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E4244" w:rsidRDefault="00BE4244" w:rsidP="00BE4244">
      <w:pPr>
        <w:jc w:val="right"/>
        <w:rPr>
          <w:b/>
          <w:sz w:val="36"/>
        </w:rPr>
      </w:pPr>
      <w:r w:rsidRPr="00BE4244">
        <w:rPr>
          <w:b/>
        </w:rPr>
        <w:t>FILED APRIL 23,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F40A2">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105AE5">
            <w:pPr>
              <w:rPr>
                <w:b/>
                <w:bCs/>
              </w:rPr>
            </w:pPr>
            <w:bookmarkStart w:id="1" w:name="resp"/>
            <w:bookmarkEnd w:id="1"/>
            <w:r>
              <w:rPr>
                <w:b/>
                <w:bCs/>
              </w:rPr>
              <w:t>STEVEN MARK KLUGMAN</w:t>
            </w:r>
          </w:p>
          <w:p w:rsidR="003D3B12" w:rsidRDefault="003D3B12">
            <w:pPr>
              <w:rPr>
                <w:b/>
                <w:bCs/>
              </w:rPr>
            </w:pPr>
          </w:p>
          <w:p w:rsidR="003D3B12" w:rsidRDefault="003D3B12">
            <w:pPr>
              <w:rPr>
                <w:b/>
                <w:bCs/>
              </w:rPr>
            </w:pPr>
            <w:r>
              <w:rPr>
                <w:b/>
                <w:bCs/>
              </w:rPr>
              <w:t xml:space="preserve">Member No.  </w:t>
            </w:r>
            <w:bookmarkStart w:id="2" w:name="member"/>
            <w:bookmarkEnd w:id="2"/>
            <w:r w:rsidR="00105AE5">
              <w:rPr>
                <w:b/>
                <w:bCs/>
              </w:rPr>
              <w:t>53902</w:t>
            </w:r>
          </w:p>
          <w:p w:rsidR="003D3B12" w:rsidRDefault="003D3B12">
            <w:pPr>
              <w:rPr>
                <w:b/>
                <w:bCs/>
              </w:rPr>
            </w:pPr>
          </w:p>
          <w:p w:rsidR="003D3B12" w:rsidRDefault="006F40A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A42E96" w:rsidRDefault="00A42E96">
            <w:pPr>
              <w:rPr>
                <w:b/>
                <w:bCs/>
              </w:rPr>
            </w:pPr>
            <w:r>
              <w:rPr>
                <w:b/>
                <w:bCs/>
              </w:rPr>
              <w:t>)</w:t>
            </w:r>
          </w:p>
          <w:p w:rsidR="00A42E96" w:rsidRDefault="00A42E96">
            <w:pPr>
              <w:rPr>
                <w:b/>
                <w:bCs/>
              </w:rPr>
            </w:pPr>
            <w:r>
              <w:rPr>
                <w:b/>
                <w:bCs/>
              </w:rPr>
              <w:t>)</w:t>
            </w:r>
          </w:p>
          <w:p w:rsidR="00A42E96" w:rsidRDefault="00A42E96">
            <w:pPr>
              <w:rPr>
                <w:b/>
                <w:bCs/>
              </w:rPr>
            </w:pPr>
            <w:r>
              <w:rPr>
                <w:b/>
                <w:bCs/>
              </w:rPr>
              <w:t>)</w:t>
            </w:r>
          </w:p>
          <w:p w:rsidR="00A42E96" w:rsidRDefault="00A42E96">
            <w:pPr>
              <w:rPr>
                <w:b/>
                <w:bCs/>
              </w:rPr>
            </w:pPr>
            <w:r>
              <w:rPr>
                <w:b/>
                <w:bCs/>
              </w:rPr>
              <w:t>)</w:t>
            </w:r>
          </w:p>
          <w:p w:rsidR="00A42E96" w:rsidRDefault="00A42E96">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CC3893" w:rsidRDefault="006F40A2" w:rsidP="00CC3893">
            <w:pPr>
              <w:rPr>
                <w:b/>
                <w:bCs/>
              </w:rPr>
            </w:pPr>
            <w:bookmarkStart w:id="4" w:name="caseno"/>
            <w:bookmarkEnd w:id="4"/>
            <w:r>
              <w:rPr>
                <w:b/>
                <w:bCs/>
              </w:rPr>
              <w:t>0</w:t>
            </w:r>
            <w:r w:rsidR="00CC3893">
              <w:rPr>
                <w:b/>
                <w:bCs/>
              </w:rPr>
              <w:t>3</w:t>
            </w:r>
            <w:r>
              <w:rPr>
                <w:b/>
                <w:bCs/>
              </w:rPr>
              <w:t>-O-</w:t>
            </w:r>
            <w:r w:rsidR="00CC3893">
              <w:rPr>
                <w:b/>
                <w:bCs/>
              </w:rPr>
              <w:t xml:space="preserve">05112-RAH; </w:t>
            </w:r>
          </w:p>
          <w:p w:rsidR="00CC3893" w:rsidRDefault="00CC3893" w:rsidP="00CC3893">
            <w:pPr>
              <w:rPr>
                <w:b/>
                <w:bCs/>
              </w:rPr>
            </w:pPr>
            <w:r>
              <w:rPr>
                <w:b/>
                <w:bCs/>
              </w:rPr>
              <w:t xml:space="preserve">01-O-03385 </w:t>
            </w:r>
            <w:r w:rsidR="006F40A2">
              <w:rPr>
                <w:b/>
                <w:bCs/>
              </w:rPr>
              <w:t>(0</w:t>
            </w:r>
            <w:r>
              <w:rPr>
                <w:b/>
                <w:bCs/>
              </w:rPr>
              <w:t>1</w:t>
            </w:r>
            <w:r w:rsidR="006F40A2">
              <w:rPr>
                <w:b/>
                <w:bCs/>
              </w:rPr>
              <w:t>-O-0</w:t>
            </w:r>
            <w:r>
              <w:rPr>
                <w:b/>
                <w:bCs/>
              </w:rPr>
              <w:t>4</w:t>
            </w:r>
            <w:r w:rsidR="006F40A2">
              <w:rPr>
                <w:b/>
                <w:bCs/>
              </w:rPr>
              <w:t>5</w:t>
            </w:r>
            <w:r>
              <w:rPr>
                <w:b/>
                <w:bCs/>
              </w:rPr>
              <w:t>37</w:t>
            </w:r>
          </w:p>
          <w:p w:rsidR="003D3B12" w:rsidRDefault="00A91E77" w:rsidP="00CC3893">
            <w:pPr>
              <w:rPr>
                <w:b/>
                <w:bCs/>
              </w:rPr>
            </w:pPr>
            <w:r>
              <w:rPr>
                <w:b/>
                <w:bCs/>
              </w:rPr>
              <w:t>0</w:t>
            </w:r>
            <w:r w:rsidR="00CC3893">
              <w:rPr>
                <w:b/>
                <w:bCs/>
              </w:rPr>
              <w:t>1</w:t>
            </w:r>
            <w:r>
              <w:rPr>
                <w:b/>
                <w:bCs/>
              </w:rPr>
              <w:t>-O-</w:t>
            </w:r>
            <w:r w:rsidR="00CC3893">
              <w:rPr>
                <w:b/>
                <w:bCs/>
              </w:rPr>
              <w:t>04688</w:t>
            </w:r>
            <w:r>
              <w:rPr>
                <w:b/>
                <w:bCs/>
              </w:rPr>
              <w:t>; 0</w:t>
            </w:r>
            <w:r w:rsidR="00CC3893">
              <w:rPr>
                <w:b/>
                <w:bCs/>
              </w:rPr>
              <w:t>2-O-10290</w:t>
            </w:r>
          </w:p>
          <w:p w:rsidR="00CC3893" w:rsidRDefault="00CC3893" w:rsidP="00CC3893">
            <w:pPr>
              <w:rPr>
                <w:b/>
                <w:bCs/>
              </w:rPr>
            </w:pPr>
            <w:r>
              <w:rPr>
                <w:b/>
                <w:bCs/>
              </w:rPr>
              <w:t>02-O-13271; 03-O-00224</w:t>
            </w:r>
          </w:p>
          <w:p w:rsidR="00CC3893" w:rsidRDefault="00CC3893" w:rsidP="00CC3893">
            <w:pPr>
              <w:rPr>
                <w:b/>
                <w:bCs/>
              </w:rPr>
            </w:pPr>
            <w:r>
              <w:rPr>
                <w:b/>
                <w:bCs/>
              </w:rPr>
              <w:t>03-O-02613; 04-O-10834</w:t>
            </w:r>
          </w:p>
          <w:p w:rsidR="00CC3893" w:rsidRDefault="00CC3893" w:rsidP="00CC3893">
            <w:pPr>
              <w:rPr>
                <w:b/>
                <w:bCs/>
              </w:rPr>
            </w:pPr>
            <w:r>
              <w:rPr>
                <w:b/>
                <w:bCs/>
              </w:rPr>
              <w:t>04-O-11115; 04-O-11408</w:t>
            </w:r>
          </w:p>
          <w:p w:rsidR="00CC3893" w:rsidRDefault="00CC3893" w:rsidP="00CC3893">
            <w:pPr>
              <w:rPr>
                <w:b/>
                <w:bCs/>
              </w:rPr>
            </w:pPr>
            <w:r>
              <w:rPr>
                <w:b/>
                <w:bCs/>
              </w:rPr>
              <w:t>04-O-11739)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581FED" w:rsidRDefault="00581FED">
            <w:pPr>
              <w:rPr>
                <w:b/>
                <w:bCs/>
              </w:rPr>
            </w:pPr>
            <w:bookmarkStart w:id="5" w:name="title"/>
            <w:bookmarkEnd w:id="5"/>
          </w:p>
          <w:p w:rsidR="003D3B12" w:rsidRDefault="006F40A2">
            <w:pPr>
              <w:rPr>
                <w:b/>
                <w:bCs/>
              </w:rPr>
            </w:pPr>
            <w:r>
              <w:rPr>
                <w:b/>
                <w:bCs/>
              </w:rPr>
              <w:t>DECISION AND ORDER SEALING CERTAIN DOCUMENTS</w:t>
            </w:r>
          </w:p>
        </w:tc>
      </w:tr>
    </w:tbl>
    <w:p w:rsidR="003D3B12" w:rsidRDefault="003D3B12">
      <w:pPr>
        <w:spacing w:line="480" w:lineRule="auto"/>
      </w:pPr>
    </w:p>
    <w:p w:rsidR="003D3B12" w:rsidRDefault="00901072" w:rsidP="00901072">
      <w:pPr>
        <w:spacing w:line="480" w:lineRule="auto"/>
        <w:jc w:val="center"/>
        <w:rPr>
          <w:b/>
          <w:u w:val="single"/>
        </w:rPr>
      </w:pPr>
      <w:r>
        <w:rPr>
          <w:b/>
          <w:u w:val="single"/>
        </w:rPr>
        <w:t>INTRODUCTION</w:t>
      </w:r>
    </w:p>
    <w:p w:rsidR="00B54D39" w:rsidRDefault="00B54D39" w:rsidP="00B54D39">
      <w:pPr>
        <w:spacing w:line="480" w:lineRule="auto"/>
      </w:pPr>
      <w:r w:rsidRPr="00C7247D">
        <w:tab/>
        <w:t xml:space="preserve">After the filing of formal disciplinary charges against respondent </w:t>
      </w:r>
      <w:r w:rsidR="00202DBA">
        <w:t>Steven Mark Klugman</w:t>
      </w:r>
      <w:r w:rsidR="004E21D4">
        <w:t xml:space="preserve"> on A</w:t>
      </w:r>
      <w:r w:rsidR="00202DBA">
        <w:t>pril 6</w:t>
      </w:r>
      <w:r w:rsidR="004E21D4">
        <w:t>, 200</w:t>
      </w:r>
      <w:r w:rsidR="00202DBA">
        <w:t>4</w:t>
      </w:r>
      <w:r w:rsidRPr="00C7247D">
        <w:t>, in case number 0</w:t>
      </w:r>
      <w:r w:rsidR="00202DBA">
        <w:t>3</w:t>
      </w:r>
      <w:r w:rsidRPr="00C7247D">
        <w:t>-O-</w:t>
      </w:r>
      <w:r w:rsidR="00202DBA">
        <w:t>0511</w:t>
      </w:r>
      <w:r w:rsidR="00671C3F">
        <w:t>2</w:t>
      </w:r>
      <w:r w:rsidRPr="00C7247D">
        <w:t xml:space="preserve">, this matter </w:t>
      </w:r>
      <w:r w:rsidR="00202DBA">
        <w:t xml:space="preserve">was referred </w:t>
      </w:r>
      <w:r w:rsidRPr="00C7247D">
        <w:t>to the State Bar Court’s Alternative Discipline Program (ADP)</w:t>
      </w:r>
      <w:r w:rsidR="00202DBA">
        <w:t xml:space="preserve"> before this court</w:t>
      </w:r>
      <w:r>
        <w:t xml:space="preserve">.  </w:t>
      </w:r>
    </w:p>
    <w:p w:rsidR="00C36C21" w:rsidRDefault="00B54D39" w:rsidP="00B54D39">
      <w:pPr>
        <w:spacing w:line="480" w:lineRule="auto"/>
      </w:pPr>
      <w:r w:rsidRPr="00C7247D">
        <w:tab/>
      </w:r>
      <w:r w:rsidR="00C36C21">
        <w:t>R</w:t>
      </w:r>
      <w:r w:rsidRPr="00C7247D">
        <w:t xml:space="preserve">espondent contacted the State Bar of California’s Lawyer Assistance Program (LAP) to assist him with his </w:t>
      </w:r>
      <w:r w:rsidR="00051393">
        <w:t>substance abuse and mental health issues</w:t>
      </w:r>
      <w:r w:rsidR="00C36C21">
        <w:t>.  O</w:t>
      </w:r>
      <w:r w:rsidRPr="00C7247D">
        <w:t xml:space="preserve">n </w:t>
      </w:r>
      <w:r w:rsidR="00782AC4">
        <w:t>August 15</w:t>
      </w:r>
      <w:r w:rsidR="00674306">
        <w:t xml:space="preserve">, 2003, </w:t>
      </w:r>
      <w:r w:rsidR="00C36C21">
        <w:t>he</w:t>
      </w:r>
      <w:r w:rsidRPr="00C7247D">
        <w:t xml:space="preserve"> executed a Participation Agreement with the LAP.</w:t>
      </w:r>
      <w:r w:rsidR="00674306">
        <w:t xml:space="preserve">  </w:t>
      </w:r>
    </w:p>
    <w:p w:rsidR="00B54D39" w:rsidRPr="00E610F9" w:rsidRDefault="00B54D39" w:rsidP="00B54D39">
      <w:pPr>
        <w:spacing w:line="480" w:lineRule="auto"/>
      </w:pPr>
      <w:r w:rsidRPr="009F7AFF">
        <w:rPr>
          <w:b/>
        </w:rPr>
        <w:tab/>
      </w:r>
      <w:r w:rsidRPr="00E610F9">
        <w:t xml:space="preserve">On </w:t>
      </w:r>
      <w:r w:rsidR="0096789F">
        <w:t>October 22</w:t>
      </w:r>
      <w:r w:rsidRPr="00E610F9">
        <w:t>, 200</w:t>
      </w:r>
      <w:r w:rsidR="0096789F">
        <w:t>4</w:t>
      </w:r>
      <w:r w:rsidRPr="00E610F9">
        <w:t xml:space="preserve">, respondent submitted a declaration establishing a nexus between his </w:t>
      </w:r>
      <w:r w:rsidR="00051393">
        <w:t>substance abuse and mental health issues</w:t>
      </w:r>
      <w:r w:rsidRPr="00E610F9">
        <w:t xml:space="preserve"> and his misconduct in this matter.  </w:t>
      </w:r>
    </w:p>
    <w:p w:rsidR="00B54D39" w:rsidRPr="00E610F9" w:rsidRDefault="00B54D39" w:rsidP="00B54D39">
      <w:pPr>
        <w:spacing w:line="480" w:lineRule="auto"/>
      </w:pPr>
      <w:r w:rsidRPr="009F7AFF">
        <w:rPr>
          <w:b/>
        </w:rPr>
        <w:tab/>
      </w:r>
      <w:r w:rsidRPr="00E610F9">
        <w:t>The parties entered into a Stipulation R</w:t>
      </w:r>
      <w:r w:rsidR="0096789F">
        <w:t>e Facts and Conclusions of Law o</w:t>
      </w:r>
      <w:r w:rsidRPr="00E610F9">
        <w:t xml:space="preserve">n </w:t>
      </w:r>
      <w:r w:rsidR="0096789F">
        <w:t>May 27,</w:t>
      </w:r>
      <w:r w:rsidR="00671C3F">
        <w:t xml:space="preserve"> </w:t>
      </w:r>
      <w:r w:rsidRPr="00E610F9">
        <w:t>2005</w:t>
      </w:r>
      <w:r w:rsidR="00671C3F">
        <w:t>.</w:t>
      </w:r>
      <w:r w:rsidRPr="00E610F9">
        <w:t xml:space="preserve">  </w:t>
      </w:r>
    </w:p>
    <w:p w:rsidR="00B54D39" w:rsidRPr="00E610F9" w:rsidRDefault="00B54D39" w:rsidP="00B54D39">
      <w:pPr>
        <w:spacing w:line="480" w:lineRule="auto"/>
      </w:pPr>
      <w:r w:rsidRPr="009F7AFF">
        <w:rPr>
          <w:b/>
        </w:rPr>
        <w:lastRenderedPageBreak/>
        <w:tab/>
      </w:r>
      <w:r w:rsidRPr="00E610F9">
        <w:t xml:space="preserve">On </w:t>
      </w:r>
      <w:r w:rsidR="0096789F">
        <w:t>September 19</w:t>
      </w:r>
      <w:r w:rsidRPr="00E610F9">
        <w:t xml:space="preserve">, 2005, the court lodged its </w:t>
      </w:r>
      <w:r w:rsidR="00674306">
        <w:t xml:space="preserve">Confidential </w:t>
      </w:r>
      <w:r w:rsidRPr="00E610F9">
        <w:t>Statement of Alternative Dispositions and Orders, the Contract and Waiver for Participation in the State Bar Court’s ADP (Contract), and the parties’ Stipulation Re Facts and Conclusions of Law</w:t>
      </w:r>
      <w:r w:rsidR="00671C3F">
        <w:t>.  R</w:t>
      </w:r>
      <w:r w:rsidRPr="00E610F9">
        <w:t xml:space="preserve">espondent was accepted into the ADP </w:t>
      </w:r>
      <w:r w:rsidR="0096789F">
        <w:t>on Septe</w:t>
      </w:r>
      <w:r w:rsidR="00671C3F">
        <w:t>mber 15, 2005</w:t>
      </w:r>
      <w:r w:rsidRPr="00E610F9">
        <w:t>.</w:t>
      </w:r>
    </w:p>
    <w:p w:rsidR="00CD41B8" w:rsidRDefault="00B54D39" w:rsidP="00B54D39">
      <w:pPr>
        <w:spacing w:line="480" w:lineRule="auto"/>
      </w:pPr>
      <w:r>
        <w:rPr>
          <w:b/>
        </w:rPr>
        <w:tab/>
      </w:r>
      <w:r>
        <w:t xml:space="preserve">The court issued </w:t>
      </w:r>
      <w:r w:rsidR="0096789F">
        <w:t xml:space="preserve">an </w:t>
      </w:r>
      <w:r>
        <w:t xml:space="preserve">order on </w:t>
      </w:r>
      <w:r w:rsidR="0096789F">
        <w:t>April 28</w:t>
      </w:r>
      <w:r w:rsidR="00674306">
        <w:t>, 2009</w:t>
      </w:r>
      <w:r>
        <w:t xml:space="preserve">, extending respondent’s participation in the ADP until further order.  </w:t>
      </w:r>
      <w:r w:rsidR="0096789F">
        <w:t>The order was effective, nunc pro tunc, on October 15, 2008</w:t>
      </w:r>
      <w:r w:rsidR="00CD41B8">
        <w:t>.</w:t>
      </w:r>
    </w:p>
    <w:p w:rsidR="00B54D39" w:rsidRPr="00CD41B8" w:rsidRDefault="00CD41B8" w:rsidP="00B54D39">
      <w:pPr>
        <w:spacing w:line="480" w:lineRule="auto"/>
      </w:pPr>
      <w:r>
        <w:rPr>
          <w:b/>
        </w:rPr>
        <w:tab/>
      </w:r>
      <w:r>
        <w:t>On July 28, 2008, LAP issued respondent a One-Year Certificate of Participation in the program and closed its case on respondent as he had successfully completed LAP.</w:t>
      </w:r>
    </w:p>
    <w:p w:rsidR="00B54D39" w:rsidRPr="009F7AFF" w:rsidRDefault="00B54D39" w:rsidP="00B54D39">
      <w:pPr>
        <w:spacing w:line="480" w:lineRule="auto"/>
        <w:rPr>
          <w:b/>
        </w:rPr>
      </w:pPr>
      <w:r w:rsidRPr="00D73120">
        <w:tab/>
      </w:r>
      <w:r>
        <w:t xml:space="preserve">On </w:t>
      </w:r>
      <w:r w:rsidR="00753C5C">
        <w:t>Octo</w:t>
      </w:r>
      <w:r w:rsidR="008507F0">
        <w:t xml:space="preserve">ber </w:t>
      </w:r>
      <w:r w:rsidR="00753C5C">
        <w:t>21</w:t>
      </w:r>
      <w:r w:rsidR="008507F0">
        <w:t>, 2009</w:t>
      </w:r>
      <w:r>
        <w:t>, t</w:t>
      </w:r>
      <w:r w:rsidRPr="00D73120">
        <w:t>he court issued an order finding that respondent has successfully completed the ADP</w:t>
      </w:r>
      <w:r>
        <w:t>.  Thereafter, on that same date, t</w:t>
      </w:r>
      <w:r w:rsidRPr="00D73120">
        <w:t>he parties</w:t>
      </w:r>
      <w:r>
        <w:t>’</w:t>
      </w:r>
      <w:r w:rsidRPr="00D73120">
        <w:t xml:space="preserve"> Stipulation Re Facts and Conclusions of Law was filed</w:t>
      </w:r>
      <w:r>
        <w:t>, and t</w:t>
      </w:r>
      <w:r w:rsidRPr="00955C2D">
        <w:t>his matter was submitted for decision</w:t>
      </w:r>
      <w:r>
        <w:t>.</w:t>
      </w:r>
    </w:p>
    <w:p w:rsidR="00B54D39" w:rsidRDefault="00B54D39" w:rsidP="00B54D39">
      <w:pPr>
        <w:spacing w:line="480" w:lineRule="auto"/>
        <w:jc w:val="center"/>
        <w:rPr>
          <w:b/>
          <w:u w:val="single"/>
        </w:rPr>
      </w:pPr>
      <w:r>
        <w:rPr>
          <w:b/>
          <w:u w:val="single"/>
        </w:rPr>
        <w:t>FINDINGS OF FACT AND CONCLUSIONS OF LAW</w:t>
      </w:r>
    </w:p>
    <w:p w:rsidR="00036336" w:rsidRDefault="00B54D39" w:rsidP="00B54D39">
      <w:pPr>
        <w:spacing w:line="480" w:lineRule="auto"/>
      </w:pPr>
      <w:r w:rsidRPr="009F7AFF">
        <w:rPr>
          <w:b/>
        </w:rPr>
        <w:tab/>
      </w:r>
      <w:r w:rsidRPr="007A793D">
        <w:t xml:space="preserve">In this matter, respondent stipulated to </w:t>
      </w:r>
      <w:r w:rsidR="0074597E">
        <w:t xml:space="preserve">culpability, in </w:t>
      </w:r>
      <w:r w:rsidR="00E71E7C">
        <w:t>12</w:t>
      </w:r>
      <w:r w:rsidR="0074597E">
        <w:t xml:space="preserve"> matters, of violations of Rules of Professional Conduct, rules </w:t>
      </w:r>
      <w:r w:rsidR="00E71E7C">
        <w:t>1-311(</w:t>
      </w:r>
      <w:r w:rsidR="00036336">
        <w:t>F</w:t>
      </w:r>
      <w:r w:rsidR="00E71E7C">
        <w:t xml:space="preserve">) (two counts), 3-100(A) (eight counts), 3-500 and </w:t>
      </w:r>
    </w:p>
    <w:p w:rsidR="00B54D39" w:rsidRPr="007A793D" w:rsidRDefault="00E71E7C" w:rsidP="00B54D39">
      <w:pPr>
        <w:spacing w:line="480" w:lineRule="auto"/>
      </w:pPr>
      <w:r>
        <w:t>3-700(D</w:t>
      </w:r>
      <w:proofErr w:type="gramStart"/>
      <w:r>
        <w:t>)(</w:t>
      </w:r>
      <w:proofErr w:type="gramEnd"/>
      <w:r>
        <w:t xml:space="preserve">2) (one count each) and </w:t>
      </w:r>
      <w:r w:rsidR="0074597E">
        <w:t>4-100(A) (</w:t>
      </w:r>
      <w:r>
        <w:t>two</w:t>
      </w:r>
      <w:r w:rsidR="0074597E">
        <w:t xml:space="preserve"> count</w:t>
      </w:r>
      <w:r>
        <w:t>s</w:t>
      </w:r>
      <w:r w:rsidR="0074597E">
        <w:t>) a</w:t>
      </w:r>
      <w:r>
        <w:t>s well as</w:t>
      </w:r>
      <w:r w:rsidR="0074597E">
        <w:t xml:space="preserve"> Business a</w:t>
      </w:r>
      <w:r>
        <w:t>nd</w:t>
      </w:r>
      <w:r w:rsidR="0074597E">
        <w:t xml:space="preserve"> Professions Code, section</w:t>
      </w:r>
      <w:r>
        <w:t xml:space="preserve">s 6068, subdivision (m) (one count) and </w:t>
      </w:r>
      <w:r w:rsidR="0074597E">
        <w:t>6106</w:t>
      </w:r>
      <w:r w:rsidR="00B54D39" w:rsidRPr="007A793D">
        <w:t xml:space="preserve"> </w:t>
      </w:r>
      <w:r w:rsidR="0074597E">
        <w:t>(</w:t>
      </w:r>
      <w:r>
        <w:t>six</w:t>
      </w:r>
      <w:r w:rsidR="0074597E">
        <w:t xml:space="preserve"> counts). </w:t>
      </w:r>
      <w:r w:rsidR="00B54D39" w:rsidRPr="007A793D">
        <w:t xml:space="preserve"> In mitigation, respondent had no prior record of discipline; displayed candor</w:t>
      </w:r>
      <w:r w:rsidR="00F96F2A">
        <w:t xml:space="preserve"> or </w:t>
      </w:r>
      <w:r w:rsidR="00B54D39" w:rsidRPr="007A793D">
        <w:t>cooperation; and</w:t>
      </w:r>
      <w:r w:rsidR="00BC3D4D">
        <w:t xml:space="preserve"> had family problems</w:t>
      </w:r>
      <w:r w:rsidR="00B54D39" w:rsidRPr="007A793D">
        <w:t xml:space="preserve">.  In aggravation, respondent’s </w:t>
      </w:r>
      <w:r w:rsidR="00BC3D4D">
        <w:t>multiple acts of misconduct</w:t>
      </w:r>
      <w:r w:rsidR="00B54D39" w:rsidRPr="007A793D">
        <w:t xml:space="preserve"> resulted in significant harm</w:t>
      </w:r>
      <w:r w:rsidR="00BC3D4D">
        <w:t>.</w:t>
      </w:r>
      <w:r w:rsidR="0074597E">
        <w:t xml:space="preserve"> </w:t>
      </w:r>
    </w:p>
    <w:p w:rsidR="00B54D39" w:rsidRDefault="00B54D39" w:rsidP="00B54D39">
      <w:pPr>
        <w:spacing w:line="480" w:lineRule="auto"/>
      </w:pPr>
      <w:r w:rsidRPr="007A793D">
        <w:tab/>
        <w:t xml:space="preserve">The parties’ Stipulation Re Facts and Conclusions of Law, including the court’s order approving the stipulation, is attached hereto and hereby incorporated by reference, as if fully set forth herein.  The Stipulation Re Facts and Conclusions of Law </w:t>
      </w:r>
      <w:proofErr w:type="gramStart"/>
      <w:r w:rsidRPr="007A793D">
        <w:t>sets</w:t>
      </w:r>
      <w:proofErr w:type="gramEnd"/>
      <w:r w:rsidRPr="007A793D">
        <w:t xml:space="preserve"> forth the factual findings, legal conclusions and aggravating and mitigating circumstances in this matter.</w:t>
      </w:r>
    </w:p>
    <w:p w:rsidR="00C6575E" w:rsidRDefault="00C6575E" w:rsidP="00C6575E">
      <w:pPr>
        <w:spacing w:line="480" w:lineRule="auto"/>
      </w:pPr>
      <w:r>
        <w:tab/>
      </w:r>
      <w:r w:rsidRPr="00AE588B">
        <w:t xml:space="preserve">Furthermore, at the time respondent engaged in his misconduct, he was suffering from </w:t>
      </w:r>
      <w:r w:rsidR="00051393">
        <w:t>substance abuse and mental health issues</w:t>
      </w:r>
      <w:r w:rsidR="00823672">
        <w:t xml:space="preserve"> which</w:t>
      </w:r>
      <w:r w:rsidRPr="00AE588B">
        <w:t xml:space="preserve"> directly caused or contributed to the misconduct </w:t>
      </w:r>
      <w:r w:rsidR="00823672">
        <w:lastRenderedPageBreak/>
        <w:t>that</w:t>
      </w:r>
      <w:r w:rsidRPr="00AE588B">
        <w:t xml:space="preserve"> forms the basis for this proceeding.  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proofErr w:type="gramStart"/>
      <w:r w:rsidRPr="00AE588B">
        <w:t>(</w:t>
      </w:r>
      <w:r w:rsidRPr="00AE588B">
        <w:rPr>
          <w:i/>
        </w:rPr>
        <w:t xml:space="preserve">Harford v. State </w:t>
      </w:r>
      <w:r w:rsidRPr="0038135D">
        <w:rPr>
          <w:i/>
        </w:rPr>
        <w:t>Bar</w:t>
      </w:r>
      <w:r w:rsidRPr="00AE588B">
        <w:t xml:space="preserve"> (1990) 52 Cal.3d 93, 101; </w:t>
      </w:r>
      <w:r w:rsidRPr="00AE588B">
        <w:rPr>
          <w:i/>
        </w:rPr>
        <w:t>In re Billings</w:t>
      </w:r>
      <w:r w:rsidRPr="00AE588B">
        <w:t xml:space="preserve"> (1990) 50 Cal.3d 358, 367.)</w:t>
      </w:r>
      <w:proofErr w:type="gramEnd"/>
      <w:r w:rsidRPr="00AE588B">
        <w:t xml:space="preserve"> </w:t>
      </w:r>
    </w:p>
    <w:p w:rsidR="00BF5ACB" w:rsidRPr="00EF6455" w:rsidRDefault="00BF5ACB" w:rsidP="00BF5ACB">
      <w:pPr>
        <w:spacing w:line="480" w:lineRule="auto"/>
      </w:pPr>
      <w:r w:rsidRPr="009F7AFF">
        <w:rPr>
          <w:b/>
        </w:rPr>
        <w:tab/>
      </w:r>
      <w:r w:rsidRPr="00EF6455">
        <w:t>Furthermore, the parties also stipulated that respondent suffered emotional difficulties</w:t>
      </w:r>
      <w:r>
        <w:t xml:space="preserve"> due to family problems</w:t>
      </w:r>
      <w:r w:rsidRPr="00EF6455">
        <w:t xml:space="preserve"> at the time of his misconduct and that </w:t>
      </w:r>
      <w:r>
        <w:t>this</w:t>
      </w:r>
      <w:r w:rsidRPr="00EF6455">
        <w:t xml:space="preserve"> is a mitigating circumstance.</w:t>
      </w:r>
    </w:p>
    <w:p w:rsidR="00BF5ACB" w:rsidRPr="009F7AFF" w:rsidRDefault="00BF5ACB" w:rsidP="00BF5ACB">
      <w:pPr>
        <w:spacing w:line="480" w:lineRule="auto"/>
        <w:rPr>
          <w:b/>
        </w:rPr>
      </w:pPr>
      <w:r w:rsidRPr="00EF6455">
        <w:tab/>
        <w:t>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w:t>
      </w:r>
      <w:r w:rsidR="00036336">
        <w:t>d convincing evidence</w:t>
      </w:r>
      <w:r w:rsidRPr="00EF6455">
        <w:t xml:space="preserve"> that he or she no longer suffers from such difficulties.  (</w:t>
      </w:r>
      <w:r w:rsidRPr="00EF6455">
        <w:rPr>
          <w:i/>
        </w:rPr>
        <w:t>Porter v. State Bar</w:t>
      </w:r>
      <w:r w:rsidRPr="00EF6455">
        <w:t xml:space="preserve"> (1990) 52 Cal.3d 518, 527; </w:t>
      </w:r>
      <w:r w:rsidRPr="00EF6455">
        <w:rPr>
          <w:i/>
        </w:rPr>
        <w:t>In re Naney</w:t>
      </w:r>
      <w:r w:rsidRPr="00EF6455">
        <w:t xml:space="preserve"> (1990) 51 Cal.3d 186, 197; </w:t>
      </w:r>
      <w:r w:rsidRPr="00EF6455">
        <w:rPr>
          <w:i/>
        </w:rPr>
        <w:t>In re Lamb</w:t>
      </w:r>
      <w:r w:rsidRPr="00EF6455">
        <w:t xml:space="preserve"> (1989) 49 Cal.3d 239, 246; </w:t>
      </w:r>
      <w:r w:rsidRPr="00EF6455">
        <w:rPr>
          <w:i/>
        </w:rPr>
        <w:t>In the Matter of Frazier</w:t>
      </w:r>
      <w:r w:rsidRPr="00EF6455">
        <w:t xml:space="preserve"> (Review Dept. 1991) 1 Cal. State Bar Ct. Rptr. 676, 701-702.)  However, the Supreme Court has also held that, absent a finding of rehabilitation, emotional problems are not considered a mitigating factor.  </w:t>
      </w:r>
      <w:proofErr w:type="gramStart"/>
      <w:r w:rsidRPr="00EF6455">
        <w:t>(</w:t>
      </w:r>
      <w:r w:rsidRPr="00EF6455">
        <w:rPr>
          <w:i/>
        </w:rPr>
        <w:t>Kaplan v. State Bar</w:t>
      </w:r>
      <w:r w:rsidRPr="00EF6455">
        <w:t xml:space="preserve"> (1991) 52 Cal.3d 1067, 1072-1073; </w:t>
      </w:r>
      <w:r w:rsidRPr="00EF6455">
        <w:rPr>
          <w:i/>
        </w:rPr>
        <w:t>In re Naney</w:t>
      </w:r>
      <w:r w:rsidRPr="00EF6455">
        <w:t xml:space="preserve">, </w:t>
      </w:r>
      <w:r w:rsidRPr="00EF6455">
        <w:rPr>
          <w:i/>
        </w:rPr>
        <w:t>supra</w:t>
      </w:r>
      <w:r w:rsidRPr="00EF6455">
        <w:t>, 51 Cal.3d at p. 197.)</w:t>
      </w:r>
      <w:proofErr w:type="gramEnd"/>
    </w:p>
    <w:p w:rsidR="00B54D39" w:rsidRPr="009F7AFF" w:rsidRDefault="00B54D39" w:rsidP="00B54D39">
      <w:pPr>
        <w:spacing w:line="480" w:lineRule="auto"/>
        <w:rPr>
          <w:b/>
        </w:rPr>
      </w:pPr>
      <w:r w:rsidRPr="009F7AFF">
        <w:rPr>
          <w:b/>
        </w:rPr>
        <w:tab/>
      </w:r>
      <w:r w:rsidRPr="002561D0">
        <w:t xml:space="preserve">Respondent executed a Participation Agreement with the LAP on </w:t>
      </w:r>
      <w:r w:rsidR="0057591D">
        <w:t>August 15, 2003</w:t>
      </w:r>
      <w:r w:rsidR="001F2CF6">
        <w:t>,</w:t>
      </w:r>
      <w:r w:rsidRPr="002561D0">
        <w:t xml:space="preserve"> and successfully completed the LAP </w:t>
      </w:r>
      <w:r w:rsidR="0057591D">
        <w:t>on July 28</w:t>
      </w:r>
      <w:r w:rsidRPr="002561D0">
        <w:t>, 200</w:t>
      </w:r>
      <w:r w:rsidR="0057591D">
        <w:t>8</w:t>
      </w:r>
      <w:r w:rsidRPr="002561D0">
        <w:t>.</w:t>
      </w:r>
      <w:r w:rsidR="002A4CCA">
        <w:rPr>
          <w:b/>
        </w:rPr>
        <w:t xml:space="preserve">  </w:t>
      </w:r>
    </w:p>
    <w:p w:rsidR="00B54D39" w:rsidRPr="00D71793" w:rsidRDefault="00B54D39" w:rsidP="00B54D39">
      <w:pPr>
        <w:spacing w:line="480" w:lineRule="auto"/>
      </w:pPr>
      <w:r w:rsidRPr="00D71793">
        <w:tab/>
        <w:t xml:space="preserve">Respondent also successfully completed the ADP.  Respondent’s successful completion of the ADP and the LAP qualify as clear and convincing evidence that respondent no longer suffers from the </w:t>
      </w:r>
      <w:r w:rsidR="00051393">
        <w:t>substance abuse and mental health issues</w:t>
      </w:r>
      <w:r w:rsidRPr="00D71793">
        <w:t xml:space="preserve"> which led to his misconduct.  Accordingly, it is appropriate to consider respondent’s successful completion of the ADP as a </w:t>
      </w:r>
      <w:r w:rsidRPr="00D71793">
        <w:lastRenderedPageBreak/>
        <w:t>mitigating circumstance in this matter.  (Rules Proc. of State Bar, tit. IV, Stds. for Atty. Sanctions for Prof. Misconduct, standard 1.2(e</w:t>
      </w:r>
      <w:proofErr w:type="gramStart"/>
      <w:r w:rsidRPr="00D71793">
        <w:t>)(</w:t>
      </w:r>
      <w:proofErr w:type="gramEnd"/>
      <w:r w:rsidRPr="00D71793">
        <w:t xml:space="preserve">iv).)  </w:t>
      </w:r>
    </w:p>
    <w:p w:rsidR="00672BF6" w:rsidRDefault="00672BF6" w:rsidP="00672BF6">
      <w:pPr>
        <w:spacing w:line="480" w:lineRule="auto"/>
        <w:jc w:val="center"/>
        <w:rPr>
          <w:b/>
          <w:u w:val="single"/>
        </w:rPr>
      </w:pPr>
      <w:r>
        <w:rPr>
          <w:b/>
          <w:u w:val="single"/>
        </w:rPr>
        <w:t>DISCUSSION</w:t>
      </w:r>
    </w:p>
    <w:p w:rsidR="00672BF6" w:rsidRDefault="00672BF6" w:rsidP="00672BF6">
      <w:pPr>
        <w:spacing w:line="480" w:lineRule="auto"/>
        <w:jc w:val="both"/>
      </w:pPr>
      <w:r w:rsidRPr="009F7AFF">
        <w:rPr>
          <w:b/>
        </w:rPr>
        <w:tab/>
      </w:r>
      <w:r w:rsidRPr="00D71793">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D71793">
        <w:t>(</w:t>
      </w:r>
      <w:r w:rsidRPr="00D71793">
        <w:rPr>
          <w:i/>
        </w:rPr>
        <w:t>Chadwick v. State Bar</w:t>
      </w:r>
      <w:r w:rsidRPr="00D71793">
        <w:t xml:space="preserve"> (1989) 49 Cal.3d 103, 111.)</w:t>
      </w:r>
      <w:proofErr w:type="gramEnd"/>
    </w:p>
    <w:p w:rsidR="00562C4F" w:rsidRPr="009546DA" w:rsidRDefault="00562C4F" w:rsidP="00562C4F">
      <w:pPr>
        <w:spacing w:line="480" w:lineRule="auto"/>
      </w:pPr>
      <w:r w:rsidRPr="009546DA">
        <w:tab/>
      </w:r>
      <w:r w:rsidR="00030FE8">
        <w:t xml:space="preserve">The court reviewed </w:t>
      </w:r>
      <w:r w:rsidR="00067A95">
        <w:t>the parties’ brief</w:t>
      </w:r>
      <w:r w:rsidR="00B83D42">
        <w:t>s</w:t>
      </w:r>
      <w:r w:rsidR="00067A95">
        <w:t xml:space="preserve"> on discipline</w:t>
      </w:r>
      <w:r w:rsidR="00B83D42">
        <w:t xml:space="preserve">.  </w:t>
      </w:r>
      <w:r w:rsidR="00030FE8">
        <w:t xml:space="preserve">After reviewing </w:t>
      </w:r>
      <w:r w:rsidR="00FF06EE">
        <w:t xml:space="preserve">the State Bar’s </w:t>
      </w:r>
      <w:r w:rsidR="00B83D42">
        <w:t>brief</w:t>
      </w:r>
      <w:r w:rsidR="00FF06EE">
        <w:t>,</w:t>
      </w:r>
      <w:r w:rsidR="00FF06EE" w:rsidRPr="009546DA">
        <w:t xml:space="preserve"> which was received by the court on </w:t>
      </w:r>
      <w:r w:rsidR="00B83D42">
        <w:t>May 11</w:t>
      </w:r>
      <w:r w:rsidR="00FF06EE">
        <w:t>, 2005</w:t>
      </w:r>
      <w:r w:rsidR="00FF06EE" w:rsidRPr="009546DA">
        <w:t>,</w:t>
      </w:r>
      <w:r w:rsidR="00FF06EE">
        <w:t xml:space="preserve"> and </w:t>
      </w:r>
      <w:r w:rsidR="00030FE8">
        <w:t>res</w:t>
      </w:r>
      <w:r w:rsidRPr="009546DA">
        <w:t>pondent’s brief</w:t>
      </w:r>
      <w:r>
        <w:t>,</w:t>
      </w:r>
      <w:r w:rsidRPr="009546DA">
        <w:t xml:space="preserve"> which was received by the court on</w:t>
      </w:r>
      <w:r w:rsidR="00030FE8">
        <w:t xml:space="preserve"> Ju</w:t>
      </w:r>
      <w:r w:rsidR="00B83D42">
        <w:t>ne</w:t>
      </w:r>
      <w:r w:rsidR="00030FE8">
        <w:t xml:space="preserve"> </w:t>
      </w:r>
      <w:r w:rsidR="00B83D42">
        <w:t>21</w:t>
      </w:r>
      <w:r w:rsidR="00030FE8">
        <w:t xml:space="preserve">, 2005, and </w:t>
      </w:r>
      <w:r w:rsidRPr="009546DA">
        <w:t>considering the Standards for Attorney Sanctions for Professional Misconduct (standard</w:t>
      </w:r>
      <w:r w:rsidR="00FF06EE">
        <w:t>s</w:t>
      </w:r>
      <w:r w:rsidRPr="009546DA">
        <w:t xml:space="preserve">) and case law cited therein, the parties’ stipulation setting forth the facts, conclusions of law, and the aggravating and mitigating circumstances with respect to this disciplinary proceeding, and respondent’s declaration regarding the nexus between his </w:t>
      </w:r>
      <w:r w:rsidR="00051393">
        <w:t>substance abuse and mental health issues</w:t>
      </w:r>
      <w:r w:rsidRPr="009546DA">
        <w:t xml:space="preserve">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C54148" w:rsidRDefault="00562C4F" w:rsidP="00562C4F">
      <w:pPr>
        <w:spacing w:line="480" w:lineRule="auto"/>
      </w:pPr>
      <w:r w:rsidRPr="009F7AFF">
        <w:rPr>
          <w:b/>
        </w:rPr>
        <w:tab/>
      </w:r>
      <w:r w:rsidRPr="009546DA">
        <w:t>In determining the appropriate discipline to recommend in this matter if respondent successfully completed the ADP, the court considered the discipline recommended by the parties, as well as certain standards and case law.</w:t>
      </w:r>
      <w:r w:rsidRPr="009F7AFF">
        <w:rPr>
          <w:b/>
        </w:rPr>
        <w:t xml:space="preserve">  </w:t>
      </w:r>
      <w:r w:rsidR="007F6912">
        <w:t xml:space="preserve">In </w:t>
      </w:r>
      <w:r w:rsidR="00EB3A5C">
        <w:t>its</w:t>
      </w:r>
      <w:r w:rsidR="007F6912">
        <w:t xml:space="preserve"> brief, the </w:t>
      </w:r>
      <w:r w:rsidR="00EB3A5C">
        <w:t>State Bar</w:t>
      </w:r>
      <w:r w:rsidR="007F6912">
        <w:t xml:space="preserve"> sought actual suspension for </w:t>
      </w:r>
      <w:r w:rsidR="00EB3A5C">
        <w:t>six month</w:t>
      </w:r>
      <w:r w:rsidR="007F6912">
        <w:t xml:space="preserve">s and until </w:t>
      </w:r>
      <w:r w:rsidR="002E7F3D">
        <w:t xml:space="preserve">respondent </w:t>
      </w:r>
      <w:r w:rsidR="007F6912">
        <w:t>made restitution if he successfully completed the ADP.  In his brief, r</w:t>
      </w:r>
      <w:r w:rsidRPr="006141E0">
        <w:t>espondent recommended that he receive</w:t>
      </w:r>
      <w:r w:rsidR="00EB3A5C">
        <w:t xml:space="preserve"> no more than 60 days’ actual suspension</w:t>
      </w:r>
      <w:r w:rsidR="007F6912">
        <w:t xml:space="preserve">.  </w:t>
      </w:r>
    </w:p>
    <w:p w:rsidR="00B50CB0" w:rsidRDefault="00B50CB0" w:rsidP="00562C4F">
      <w:pPr>
        <w:spacing w:line="480" w:lineRule="auto"/>
      </w:pPr>
    </w:p>
    <w:p w:rsidR="003649A3" w:rsidRDefault="007F6912" w:rsidP="00562C4F">
      <w:pPr>
        <w:spacing w:line="480" w:lineRule="auto"/>
      </w:pPr>
      <w:r>
        <w:lastRenderedPageBreak/>
        <w:tab/>
      </w:r>
      <w:r w:rsidR="00C54148">
        <w:t>T</w:t>
      </w:r>
      <w:r w:rsidR="00562C4F" w:rsidRPr="00633A2D">
        <w:t xml:space="preserve">he court also considered standards </w:t>
      </w:r>
      <w:r w:rsidR="004B4818">
        <w:t xml:space="preserve">1.2, 1.3, 1.4, 1.5, 1.6, </w:t>
      </w:r>
      <w:r w:rsidR="00204B3B">
        <w:t>2.2</w:t>
      </w:r>
      <w:r w:rsidR="004B4818">
        <w:t>,</w:t>
      </w:r>
      <w:r w:rsidR="00204B3B">
        <w:t xml:space="preserve"> 2.3</w:t>
      </w:r>
      <w:r w:rsidR="004B4818">
        <w:t>, 2.4, 2.6 and 2.10</w:t>
      </w:r>
      <w:r w:rsidR="00562C4F" w:rsidRPr="00633A2D">
        <w:t xml:space="preserve"> </w:t>
      </w:r>
      <w:r w:rsidR="00562C4F" w:rsidRPr="00E75CC6">
        <w:t>and the case law cited in the parties’ discipline briefs</w:t>
      </w:r>
      <w:r w:rsidR="00DF02E7">
        <w:t>, including</w:t>
      </w:r>
      <w:r w:rsidR="004B7F6C">
        <w:t xml:space="preserve"> </w:t>
      </w:r>
      <w:r w:rsidR="004B7F6C">
        <w:rPr>
          <w:i/>
        </w:rPr>
        <w:t>Bernstein v. State Bar</w:t>
      </w:r>
      <w:r w:rsidR="004B7F6C">
        <w:t xml:space="preserve"> (1990) 50 Cal.3d 221; </w:t>
      </w:r>
      <w:r w:rsidR="004B7F6C">
        <w:rPr>
          <w:i/>
        </w:rPr>
        <w:t>Bledsoe v. State Bar</w:t>
      </w:r>
      <w:r w:rsidR="004B7F6C">
        <w:t xml:space="preserve"> (1991) 52 Cal.3d 1074; </w:t>
      </w:r>
      <w:r w:rsidR="004B7F6C">
        <w:rPr>
          <w:i/>
        </w:rPr>
        <w:t>Bowles v. State Bar</w:t>
      </w:r>
      <w:r w:rsidR="004B7F6C">
        <w:t xml:space="preserve"> (1989) 48 Cal.3d 100; </w:t>
      </w:r>
      <w:r w:rsidR="004B7F6C">
        <w:rPr>
          <w:i/>
        </w:rPr>
        <w:t>Chefsky v. State Bar</w:t>
      </w:r>
      <w:r w:rsidR="004B7F6C">
        <w:t xml:space="preserve"> (1984) 36 Cal.3d 116; </w:t>
      </w:r>
      <w:r w:rsidR="004B7F6C">
        <w:rPr>
          <w:i/>
        </w:rPr>
        <w:t>Drociak v. State Bar</w:t>
      </w:r>
      <w:r w:rsidR="004B7F6C">
        <w:t xml:space="preserve"> (1991) 52 Cal.3d 1085; </w:t>
      </w:r>
      <w:r w:rsidR="004B7F6C">
        <w:rPr>
          <w:i/>
        </w:rPr>
        <w:t>In re Nadrich</w:t>
      </w:r>
      <w:r w:rsidR="004B7F6C">
        <w:t xml:space="preserve"> (1988) 44 Cal.3d 271; </w:t>
      </w:r>
      <w:r w:rsidR="004B7F6C">
        <w:rPr>
          <w:i/>
        </w:rPr>
        <w:t>Palomo v. State Bar</w:t>
      </w:r>
      <w:r w:rsidR="004B7F6C">
        <w:t xml:space="preserve"> (1984) 36 Cal.3d 785; </w:t>
      </w:r>
      <w:r w:rsidR="004B7F6C">
        <w:rPr>
          <w:i/>
        </w:rPr>
        <w:t>Read v. State Bar</w:t>
      </w:r>
      <w:r w:rsidR="004B7F6C">
        <w:t xml:space="preserve"> (1991) 53 Cal.3d 394;</w:t>
      </w:r>
      <w:r w:rsidR="00A5010D">
        <w:t xml:space="preserve"> </w:t>
      </w:r>
      <w:r w:rsidR="00A5010D">
        <w:rPr>
          <w:i/>
        </w:rPr>
        <w:t>Ridley v. State Bar</w:t>
      </w:r>
      <w:r w:rsidR="00A5010D">
        <w:t xml:space="preserve"> (1972) 6 Cal.3d 551;</w:t>
      </w:r>
      <w:r w:rsidR="004B7F6C">
        <w:t xml:space="preserve"> </w:t>
      </w:r>
      <w:r w:rsidR="004B7F6C">
        <w:rPr>
          <w:i/>
        </w:rPr>
        <w:t>Twohy v. State Bar</w:t>
      </w:r>
      <w:r w:rsidR="004B7F6C">
        <w:t xml:space="preserve"> (1989) 48 Cal.3d 502; </w:t>
      </w:r>
      <w:r w:rsidR="004B7F6C">
        <w:rPr>
          <w:i/>
        </w:rPr>
        <w:t>Waysman v. State Bar</w:t>
      </w:r>
      <w:r w:rsidR="004B7F6C">
        <w:t xml:space="preserve"> (1986) 41 Cal.3d 452; </w:t>
      </w:r>
      <w:r w:rsidR="0053585A">
        <w:rPr>
          <w:i/>
        </w:rPr>
        <w:t>In the Matter of Jones</w:t>
      </w:r>
      <w:r w:rsidR="0053585A">
        <w:t xml:space="preserve"> (Review Dept. 1993) 2 Cal. State Bar Ct. Rptr. 411;</w:t>
      </w:r>
      <w:r w:rsidR="00DF02E7">
        <w:t xml:space="preserve"> </w:t>
      </w:r>
      <w:r w:rsidR="00DF02E7">
        <w:rPr>
          <w:i/>
        </w:rPr>
        <w:t>In the Matter of Mapps</w:t>
      </w:r>
      <w:r w:rsidR="00DF02E7">
        <w:t xml:space="preserve"> (Review Dept. 1990) 1 Cal. State Bar Ct. Rptr. </w:t>
      </w:r>
    </w:p>
    <w:p w:rsidR="00562C4F" w:rsidRPr="00633A2D" w:rsidRDefault="00562C4F" w:rsidP="00562C4F">
      <w:pPr>
        <w:spacing w:line="480" w:lineRule="auto"/>
      </w:pPr>
      <w:r w:rsidRPr="00633A2D">
        <w:tab/>
        <w:t xml:space="preserve">After agreeing to the discipline </w:t>
      </w:r>
      <w:r w:rsidR="007B34AA">
        <w:t>that</w:t>
      </w:r>
      <w:r w:rsidRPr="00633A2D">
        <w:t xml:space="preserve"> the court would recommend to the Supreme Court if </w:t>
      </w:r>
      <w:r w:rsidR="007B34AA">
        <w:t>he</w:t>
      </w:r>
      <w:r w:rsidRPr="00633A2D">
        <w:t xml:space="preserve"> successfully completed or was terminated from, or failed to successfully complete, the ADP, respondent executed the Contract to participate in the ADP; the Contract was lodged with the court; and respondent’s period of participation in the ADP commenced.  </w:t>
      </w:r>
    </w:p>
    <w:p w:rsidR="00562C4F" w:rsidRDefault="00562C4F" w:rsidP="00562C4F">
      <w:pPr>
        <w:spacing w:line="480" w:lineRule="auto"/>
        <w:jc w:val="both"/>
      </w:pPr>
      <w:r w:rsidRPr="009F7AFF">
        <w:rPr>
          <w:b/>
        </w:rPr>
        <w:tab/>
      </w:r>
      <w:r w:rsidRPr="00633A2D">
        <w:t>Thereafter, respondent successfully participated in the ADP and, as noted above, the court has found that respondent has successfully completed both the ADP and the LAP.  Accordingly, the court will recommend to the Supreme Court the imposition of the discipline set forth in the court’s</w:t>
      </w:r>
      <w:r w:rsidRPr="009F7AFF">
        <w:rPr>
          <w:b/>
        </w:rPr>
        <w:t xml:space="preserve"> </w:t>
      </w:r>
      <w:r w:rsidR="00BC6A5F" w:rsidRPr="00BC6A5F">
        <w:t>Confidential</w:t>
      </w:r>
      <w:r w:rsidRPr="00633A2D">
        <w:t xml:space="preserve"> </w:t>
      </w:r>
      <w:r w:rsidR="00BC6A5F">
        <w:t xml:space="preserve">Statement </w:t>
      </w:r>
      <w:r w:rsidRPr="00633A2D">
        <w:t>of Alternative Dispositions and Orders if respondent successfully completed the ADP.</w:t>
      </w:r>
      <w:r w:rsidR="004253E3">
        <w:rPr>
          <w:rStyle w:val="FootnoteReference"/>
        </w:rPr>
        <w:footnoteReference w:id="1"/>
      </w:r>
      <w:r w:rsidRPr="009F7AFF">
        <w:rPr>
          <w:b/>
        </w:rPr>
        <w:t xml:space="preserve">  </w:t>
      </w:r>
    </w:p>
    <w:p w:rsidR="00E93680" w:rsidRDefault="00E93680" w:rsidP="00E93680">
      <w:pPr>
        <w:spacing w:line="480" w:lineRule="auto"/>
        <w:jc w:val="center"/>
        <w:rPr>
          <w:b/>
          <w:u w:val="single"/>
        </w:rPr>
      </w:pPr>
      <w:r>
        <w:rPr>
          <w:b/>
          <w:u w:val="single"/>
        </w:rPr>
        <w:t>RECOMMENDED DISCIPLINE</w:t>
      </w:r>
    </w:p>
    <w:p w:rsidR="000E6FFD" w:rsidRDefault="000E6FFD" w:rsidP="00131575">
      <w:pPr>
        <w:widowControl w:val="0"/>
        <w:spacing w:line="480" w:lineRule="auto"/>
      </w:pPr>
      <w:r>
        <w:tab/>
        <w:t xml:space="preserve">IT IS HEREBY RECOMMENDED that respondent </w:t>
      </w:r>
      <w:r w:rsidR="00407F56">
        <w:t>Steven Mark Klugman</w:t>
      </w:r>
      <w:r>
        <w:t xml:space="preserve"> </w:t>
      </w:r>
      <w:proofErr w:type="gramStart"/>
      <w:r>
        <w:t>be</w:t>
      </w:r>
      <w:proofErr w:type="gramEnd"/>
      <w:r>
        <w:t xml:space="preserve"> suspended from the practice of law for </w:t>
      </w:r>
      <w:r w:rsidR="00407F56">
        <w:t>three</w:t>
      </w:r>
      <w:r>
        <w:t xml:space="preserve"> years; that execution of that suspension be stayed, and that respondent be placed on probation for f</w:t>
      </w:r>
      <w:r w:rsidR="00407F56">
        <w:t>our</w:t>
      </w:r>
      <w:r>
        <w:t xml:space="preserve"> years, with the following conditions:</w:t>
      </w:r>
    </w:p>
    <w:p w:rsidR="001A4755" w:rsidRDefault="001A4755" w:rsidP="006C3FCC">
      <w:pPr>
        <w:widowControl w:val="0"/>
        <w:spacing w:line="480" w:lineRule="auto"/>
      </w:pPr>
      <w:r>
        <w:lastRenderedPageBreak/>
        <w:tab/>
        <w:t xml:space="preserve">1.  Respondent must be actually suspended from the practice of law for the first </w:t>
      </w:r>
      <w:r w:rsidR="00407F56">
        <w:t>four month</w:t>
      </w:r>
      <w:r>
        <w:t>s</w:t>
      </w:r>
      <w:r w:rsidR="00407F56">
        <w:t xml:space="preserve"> </w:t>
      </w:r>
      <w:r>
        <w:t>of probation;</w:t>
      </w:r>
    </w:p>
    <w:p w:rsidR="00BC299B" w:rsidRDefault="00BC299B" w:rsidP="006C3FCC">
      <w:pPr>
        <w:spacing w:line="480" w:lineRule="auto"/>
      </w:pPr>
      <w:r>
        <w:tab/>
      </w:r>
      <w:r w:rsidR="00DA5CFA">
        <w:t>2</w:t>
      </w:r>
      <w:r>
        <w:t>.</w:t>
      </w:r>
      <w:r>
        <w:tab/>
        <w:t>Respondent must comply with the provisions of the State Bar Act and the Rules of Professional Conduct of the State Bar of California;</w:t>
      </w:r>
    </w:p>
    <w:p w:rsidR="00BC299B" w:rsidRDefault="00BC299B" w:rsidP="006C3FCC">
      <w:pPr>
        <w:spacing w:line="480" w:lineRule="auto"/>
      </w:pPr>
      <w:r>
        <w:tab/>
      </w:r>
      <w:r w:rsidR="00DA5CFA">
        <w:t>3</w:t>
      </w:r>
      <w:r>
        <w:t>.</w:t>
      </w:r>
      <w:r>
        <w:tab/>
        <w:t xml:space="preserve">Within thirty (30) days after the effective date of discipline, respondent must contact the State Bar’s Office of Probation and schedule a meeting with respondent’s assigned probation deputy to discuss these terms and conditions of probation.  Upon the direction of the Office of Probation, respondent must meet with the probation deputy either in-person or by telephone.  During the period of probation, respondent must promptly meet with the probation deputy as directed and upon request;   </w:t>
      </w:r>
    </w:p>
    <w:p w:rsidR="00BC299B" w:rsidRDefault="00BC299B" w:rsidP="006C3FCC">
      <w:pPr>
        <w:spacing w:line="480" w:lineRule="auto"/>
      </w:pPr>
      <w:r>
        <w:tab/>
      </w:r>
      <w:r w:rsidR="00DA5CFA">
        <w:t>4</w:t>
      </w:r>
      <w:r>
        <w:t>.</w:t>
      </w:r>
      <w:r>
        <w:tab/>
        <w:t>Within ten (10) calendar days of any change in the information required to be maintained on the membership records of the State Bar pursuant to Business and Professions Code section 6002.1, subdivision (a), including his current office address and telephone number, respondent must report such change in writing to both the Office of Probation and to the Membership Records Office of the State Bar;</w:t>
      </w:r>
    </w:p>
    <w:p w:rsidR="00BC299B" w:rsidRDefault="00DA5CFA" w:rsidP="006C3FCC">
      <w:pPr>
        <w:spacing w:line="480" w:lineRule="auto"/>
      </w:pPr>
      <w:r>
        <w:tab/>
        <w:t>5</w:t>
      </w:r>
      <w:r w:rsidR="00BC299B">
        <w:t>.</w:t>
      </w:r>
      <w:r w:rsidR="00BC299B">
        <w:tab/>
        <w:t xml:space="preserve">Respondent must submit written quarterly reports to the Office of Probation on each January 10, April 10, July 10 and October 10 of the period during which these probation conditions are in effect.  Under penalty of perjury, respondent must state in each report whether he has complied with the State Bar Act, the Rules of Professional Conduct and all conditions of probation during the preceding calendar quarter.  If the first report will cover less than thirty (30) calendar days, that report must be submitted on the reporting date for the next calendar quarter and must cover the extended period.  In addition to all quarterly reports, respondent must submit a final report, containing the same information required by the quarterly reports.  The final report </w:t>
      </w:r>
      <w:r w:rsidR="00BC299B">
        <w:lastRenderedPageBreak/>
        <w:t xml:space="preserve">must be submitted no earlier than twenty (20) calendar days before the last day of the period of probation and no later than the last day of the probation period; </w:t>
      </w:r>
    </w:p>
    <w:p w:rsidR="00BC299B" w:rsidRDefault="00DA5CFA" w:rsidP="00BC299B">
      <w:pPr>
        <w:spacing w:line="480" w:lineRule="auto"/>
      </w:pPr>
      <w:r>
        <w:tab/>
        <w:t>6</w:t>
      </w:r>
      <w:r w:rsidR="00BC299B">
        <w:t>.</w:t>
      </w:r>
      <w:r w:rsidR="00BC299B">
        <w:tab/>
        <w:t>Subject to the assertion of applicable privileges, respondent must answer fully, promptly and truthfully, all inquiries of the Office of Probation which are directed to him personally or in writing relating to whether respondent is complying or has complied with the conditions of his probation;</w:t>
      </w:r>
    </w:p>
    <w:p w:rsidR="00BC299B" w:rsidRDefault="004E0990" w:rsidP="00BC299B">
      <w:pPr>
        <w:spacing w:line="480" w:lineRule="auto"/>
      </w:pPr>
      <w:r>
        <w:tab/>
        <w:t>7.</w:t>
      </w:r>
      <w:r w:rsidR="00D147C8">
        <w:tab/>
      </w:r>
      <w:r w:rsidR="00082A1D">
        <w:t>Respondent must pay restitution to the following individuals (or the Client Security Fund, if appropriate) of the amount set forth below, plus 10% interest per annum, accruing from the date specified below, and provide satisfactory proof thereof to the Office of Probation</w:t>
      </w:r>
      <w:r>
        <w:t xml:space="preserve"> during the period of probation</w:t>
      </w:r>
      <w:r w:rsidR="00082A1D">
        <w:t>:</w:t>
      </w:r>
    </w:p>
    <w:p w:rsidR="00EC16BC" w:rsidRDefault="00EC16BC" w:rsidP="00EC16BC">
      <w:pPr>
        <w:spacing w:line="470" w:lineRule="exact"/>
        <w:ind w:firstLine="720"/>
        <w:rPr>
          <w:u w:val="single"/>
        </w:rPr>
      </w:pPr>
      <w:r>
        <w:rPr>
          <w:u w:val="single"/>
        </w:rPr>
        <w:t>Party Owed Restitution</w:t>
      </w:r>
      <w:r>
        <w:tab/>
      </w:r>
      <w:r>
        <w:rPr>
          <w:u w:val="single"/>
        </w:rPr>
        <w:t>Principal Amount</w:t>
      </w:r>
      <w:r>
        <w:tab/>
      </w:r>
      <w:r>
        <w:rPr>
          <w:u w:val="single"/>
        </w:rPr>
        <w:t>Interest Accrual Date</w:t>
      </w:r>
    </w:p>
    <w:p w:rsidR="00EC16BC" w:rsidRDefault="00EC16BC" w:rsidP="00EC16BC">
      <w:pPr>
        <w:tabs>
          <w:tab w:val="left" w:pos="-1440"/>
        </w:tabs>
        <w:spacing w:line="470" w:lineRule="exact"/>
        <w:ind w:left="5760" w:hanging="5040"/>
      </w:pPr>
      <w:r>
        <w:t xml:space="preserve">Seryozah Avakyan                  </w:t>
      </w:r>
      <w:proofErr w:type="gramStart"/>
      <w:r>
        <w:t>$  3,500.00</w:t>
      </w:r>
      <w:proofErr w:type="gramEnd"/>
      <w:r>
        <w:tab/>
        <w:t>January 1, 2001</w:t>
      </w:r>
    </w:p>
    <w:p w:rsidR="00EC16BC" w:rsidRDefault="00EC16BC" w:rsidP="00EC16BC">
      <w:pPr>
        <w:tabs>
          <w:tab w:val="left" w:pos="-1440"/>
        </w:tabs>
        <w:spacing w:line="470" w:lineRule="exact"/>
        <w:ind w:left="5760" w:hanging="5040"/>
      </w:pPr>
      <w:r>
        <w:t>Gharndick Avenessian            $22,500.00</w:t>
      </w:r>
      <w:r>
        <w:tab/>
        <w:t>May 1, 2001</w:t>
      </w:r>
    </w:p>
    <w:p w:rsidR="00EC16BC" w:rsidRDefault="00EC16BC" w:rsidP="00EC16BC">
      <w:pPr>
        <w:tabs>
          <w:tab w:val="left" w:pos="-1440"/>
        </w:tabs>
        <w:spacing w:line="470" w:lineRule="exact"/>
        <w:ind w:left="5760" w:hanging="5040"/>
      </w:pPr>
      <w:r>
        <w:t>Israel Sanchez                         $31,500.00</w:t>
      </w:r>
      <w:r>
        <w:tab/>
        <w:t>May 1, 2001</w:t>
      </w:r>
    </w:p>
    <w:p w:rsidR="00EC16BC" w:rsidRDefault="00EC16BC" w:rsidP="00EC16BC">
      <w:pPr>
        <w:tabs>
          <w:tab w:val="left" w:pos="-1440"/>
        </w:tabs>
        <w:spacing w:line="470" w:lineRule="exact"/>
        <w:ind w:left="5760" w:hanging="5040"/>
      </w:pPr>
      <w:r>
        <w:t>Tamara Vaschenko</w:t>
      </w:r>
      <w:r w:rsidR="00BB7A97">
        <w:t xml:space="preserve">                  </w:t>
      </w:r>
      <w:proofErr w:type="gramStart"/>
      <w:r>
        <w:t>$  1,130.90</w:t>
      </w:r>
      <w:proofErr w:type="gramEnd"/>
      <w:r>
        <w:tab/>
        <w:t>January 1, 2002</w:t>
      </w:r>
    </w:p>
    <w:p w:rsidR="00EC16BC" w:rsidRDefault="00EC16BC" w:rsidP="00EC16BC">
      <w:pPr>
        <w:tabs>
          <w:tab w:val="left" w:pos="-1440"/>
        </w:tabs>
        <w:spacing w:line="470" w:lineRule="exact"/>
        <w:ind w:left="5760" w:hanging="5040"/>
      </w:pPr>
      <w:r>
        <w:t>Ivan Vaschenko</w:t>
      </w:r>
      <w:r w:rsidR="00BB7A97">
        <w:t xml:space="preserve">                       </w:t>
      </w:r>
      <w:proofErr w:type="gramStart"/>
      <w:r>
        <w:t>$  4,500.00</w:t>
      </w:r>
      <w:proofErr w:type="gramEnd"/>
      <w:r>
        <w:tab/>
        <w:t>January 1, 2002</w:t>
      </w:r>
    </w:p>
    <w:p w:rsidR="00EC16BC" w:rsidRDefault="00EC16BC" w:rsidP="00EC16BC">
      <w:pPr>
        <w:tabs>
          <w:tab w:val="left" w:pos="-1440"/>
        </w:tabs>
        <w:spacing w:line="470" w:lineRule="exact"/>
        <w:ind w:left="5760" w:hanging="5040"/>
      </w:pPr>
      <w:r>
        <w:t>Daria Alekseyeva</w:t>
      </w:r>
      <w:r w:rsidR="00BB7A97">
        <w:t xml:space="preserve">                     </w:t>
      </w:r>
      <w:proofErr w:type="gramStart"/>
      <w:r>
        <w:t>$  4,000.00</w:t>
      </w:r>
      <w:proofErr w:type="gramEnd"/>
      <w:r>
        <w:tab/>
        <w:t>January 1, 2002</w:t>
      </w:r>
    </w:p>
    <w:p w:rsidR="00EC16BC" w:rsidRDefault="00EC16BC" w:rsidP="00EC16BC">
      <w:pPr>
        <w:tabs>
          <w:tab w:val="left" w:pos="-1440"/>
        </w:tabs>
        <w:spacing w:line="470" w:lineRule="exact"/>
        <w:ind w:left="5760" w:hanging="5040"/>
      </w:pPr>
      <w:r>
        <w:t>Jessica Rosales</w:t>
      </w:r>
      <w:r w:rsidR="00BB7A97">
        <w:t xml:space="preserve">                         </w:t>
      </w:r>
      <w:proofErr w:type="gramStart"/>
      <w:r>
        <w:t>$  4,500.00</w:t>
      </w:r>
      <w:proofErr w:type="gramEnd"/>
      <w:r>
        <w:tab/>
        <w:t>January 1, 2002</w:t>
      </w:r>
    </w:p>
    <w:p w:rsidR="00EC16BC" w:rsidRDefault="00EC16BC" w:rsidP="001A1D2A">
      <w:pPr>
        <w:tabs>
          <w:tab w:val="left" w:pos="-1440"/>
        </w:tabs>
        <w:spacing w:line="480" w:lineRule="auto"/>
        <w:ind w:left="5760" w:hanging="5040"/>
      </w:pPr>
      <w:r>
        <w:t>Ernesto Castillo</w:t>
      </w:r>
      <w:r w:rsidR="00BB7A97">
        <w:t xml:space="preserve">                        </w:t>
      </w:r>
      <w:proofErr w:type="gramStart"/>
      <w:r>
        <w:t>$  7,200.00</w:t>
      </w:r>
      <w:proofErr w:type="gramEnd"/>
      <w:r>
        <w:tab/>
        <w:t>March 1, 2003</w:t>
      </w:r>
    </w:p>
    <w:p w:rsidR="00BF5B1B" w:rsidRDefault="00912293" w:rsidP="00BF5B1B">
      <w:pPr>
        <w:spacing w:line="480" w:lineRule="auto"/>
      </w:pPr>
      <w:r>
        <w:tab/>
      </w:r>
      <w:r w:rsidR="00F17049">
        <w:t xml:space="preserve">If the </w:t>
      </w:r>
      <w:r w:rsidR="00F17049" w:rsidRPr="00F01100">
        <w:t>Client Security Fund</w:t>
      </w:r>
      <w:r w:rsidR="00F17049">
        <w:t xml:space="preserve"> (CSF) has reimbursed any of the above individuals for all or any portion of the principal amounts, respondent must pay restitution to CSF of the amount paid, plus applicable interest and costs.  To the extent the CSF has paid only principal amounts, respondent will still be liable for interest payments to said individuals, as set forth above.</w:t>
      </w:r>
    </w:p>
    <w:p w:rsidR="00BF5B1B" w:rsidRDefault="00BF5B1B" w:rsidP="00BF5B1B">
      <w:pPr>
        <w:spacing w:line="480" w:lineRule="auto"/>
      </w:pPr>
      <w:r>
        <w:tab/>
        <w:t xml:space="preserve">Respondent must also pay restitution to Diagnostic Imaging Networks (Olmos matter) in the amount of $3,600.00 and provide satisfactory proof thereof to the Office of Probation during </w:t>
      </w:r>
      <w:r>
        <w:lastRenderedPageBreak/>
        <w:t>the period of probation.  If the State Bar’s Client Security Fund (CSF) has reimbursed the above entity for all or any portion of the amount specified, respondent must also pay restitution to the CSF of the amount paid, plus applicable interest and costs.</w:t>
      </w:r>
    </w:p>
    <w:p w:rsidR="00F17049" w:rsidRDefault="00912293" w:rsidP="00BC299B">
      <w:pPr>
        <w:spacing w:line="480" w:lineRule="auto"/>
      </w:pPr>
      <w:r>
        <w:tab/>
        <w:t>Respondent must pay the restitution set forth above at the rate of a minimum of $</w:t>
      </w:r>
      <w:r w:rsidR="003A7EED">
        <w:t>1</w:t>
      </w:r>
      <w:r w:rsidR="008864F6">
        <w:t>,</w:t>
      </w:r>
      <w:r w:rsidR="003A7EED">
        <w:t>5</w:t>
      </w:r>
      <w:r>
        <w:t>00 per month.</w:t>
      </w:r>
    </w:p>
    <w:p w:rsidR="00A319E9" w:rsidRDefault="00A319E9" w:rsidP="00BC299B">
      <w:pPr>
        <w:spacing w:line="480" w:lineRule="auto"/>
      </w:pPr>
      <w:r>
        <w:tab/>
        <w:t>Respondent must provide financial information, under penalty of perjury, as requested by the Office of Probation to establish his ability to pay restitution.</w:t>
      </w:r>
    </w:p>
    <w:p w:rsidR="00912293" w:rsidRDefault="00912293" w:rsidP="00BC299B">
      <w:pPr>
        <w:spacing w:line="480" w:lineRule="auto"/>
      </w:pPr>
      <w:r>
        <w:tab/>
        <w:t xml:space="preserve">With each written quarterly report required herein, respondent must provide to the Office of Probation satisfactory proof of all restitution payments made by him during that quarter or applicable reporting period.  In addition, respondent must keep records of payments made and must make proof of payments available for inspection and copying upon the request of the Office of Probation, the Office of the Chief Trial Counsel or the </w:t>
      </w:r>
      <w:r w:rsidRPr="005329BD">
        <w:rPr>
          <w:rFonts w:eastAsiaTheme="minorEastAsia"/>
        </w:rPr>
        <w:t>State Bar Court</w:t>
      </w:r>
      <w:r>
        <w:t>.</w:t>
      </w:r>
    </w:p>
    <w:p w:rsidR="005353A3" w:rsidRDefault="005353A3" w:rsidP="00BC299B">
      <w:pPr>
        <w:spacing w:line="480" w:lineRule="auto"/>
      </w:pPr>
      <w:r>
        <w:tab/>
        <w:t xml:space="preserve">To the extent that respondent has paid any restitution prior to the effective date of the Supreme Court’s final disciplinary order in this proceeding, respondent will be given credit for such payments provided satisfactory proof of such is shown to the Office of Probation. </w:t>
      </w:r>
    </w:p>
    <w:p w:rsidR="001A68F1" w:rsidRDefault="001A68F1" w:rsidP="00BC299B">
      <w:pPr>
        <w:spacing w:line="480" w:lineRule="auto"/>
      </w:pPr>
      <w:r>
        <w:tab/>
        <w:t xml:space="preserve">Failure to strictly comply with the requirements set forth above may be considered a violation of probation which could result in further discipline.  Any modification of this probation condition may be made upon motion to, and approval by, the </w:t>
      </w:r>
      <w:r w:rsidRPr="005329BD">
        <w:rPr>
          <w:rFonts w:eastAsiaTheme="minorEastAsia"/>
        </w:rPr>
        <w:t>State Bar Court</w:t>
      </w:r>
      <w:r>
        <w:t xml:space="preserve"> or by stipulation of the parties and approval by the </w:t>
      </w:r>
      <w:r w:rsidRPr="005329BD">
        <w:rPr>
          <w:rFonts w:eastAsiaTheme="minorEastAsia"/>
        </w:rPr>
        <w:t>State Bar Court</w:t>
      </w:r>
      <w:r>
        <w:t>.</w:t>
      </w:r>
    </w:p>
    <w:p w:rsidR="00BC299B" w:rsidRDefault="00DA5CFA" w:rsidP="00BC299B">
      <w:pPr>
        <w:spacing w:line="480" w:lineRule="auto"/>
      </w:pPr>
      <w:r>
        <w:tab/>
      </w:r>
      <w:r w:rsidR="00D172EF">
        <w:t>8</w:t>
      </w:r>
      <w:r w:rsidR="00BC299B">
        <w:t>.</w:t>
      </w:r>
      <w:r w:rsidR="00BC299B">
        <w:tab/>
        <w:t>Reporting requirements:</w:t>
      </w:r>
    </w:p>
    <w:p w:rsidR="00BC299B" w:rsidRDefault="00BC299B" w:rsidP="00BC299B">
      <w:pPr>
        <w:spacing w:line="480" w:lineRule="auto"/>
        <w:ind w:left="2160" w:hanging="720"/>
      </w:pPr>
      <w:r>
        <w:t>A.</w:t>
      </w:r>
      <w:r>
        <w:tab/>
        <w:t xml:space="preserve">If respondent possesses client funds at any time during the period covered by a required quarterly report, respondent must file with each required report a certificate from a certified public accountant or other financial professional approved by the Office of Probation, certifying that:  </w:t>
      </w:r>
      <w:r>
        <w:lastRenderedPageBreak/>
        <w:t xml:space="preserve">respondent has maintained a bank account in a bank authorized to do business in the State of California, at a branch located within the State of California, and that such account is designated as a “Trust Account” or “Client’s Funds Account”; and respondent has kept and maintained the following:  </w:t>
      </w:r>
    </w:p>
    <w:p w:rsidR="00BC299B" w:rsidRDefault="00BC299B" w:rsidP="00BC299B">
      <w:pPr>
        <w:spacing w:line="480" w:lineRule="auto"/>
        <w:ind w:left="2880" w:hanging="720"/>
      </w:pPr>
      <w:proofErr w:type="gramStart"/>
      <w:r>
        <w:t>i</w:t>
      </w:r>
      <w:proofErr w:type="gramEnd"/>
      <w:r>
        <w:t>.</w:t>
      </w:r>
      <w:r>
        <w:tab/>
        <w:t>a written ledger for each client on whose behalf funds are held that sets forth:</w:t>
      </w:r>
    </w:p>
    <w:p w:rsidR="00BC299B" w:rsidRDefault="00BC299B" w:rsidP="00BC299B">
      <w:pPr>
        <w:spacing w:line="480" w:lineRule="auto"/>
        <w:ind w:left="2880" w:hanging="720"/>
      </w:pPr>
      <w:r>
        <w:tab/>
        <w:t>1.</w:t>
      </w:r>
      <w:r>
        <w:tab/>
      </w:r>
      <w:proofErr w:type="gramStart"/>
      <w:r>
        <w:t>the</w:t>
      </w:r>
      <w:proofErr w:type="gramEnd"/>
      <w:r>
        <w:t xml:space="preserve"> name of such client,</w:t>
      </w:r>
    </w:p>
    <w:p w:rsidR="00BC299B" w:rsidRDefault="00BC299B" w:rsidP="00BC299B">
      <w:pPr>
        <w:spacing w:line="480" w:lineRule="auto"/>
        <w:ind w:left="3600" w:hanging="720"/>
      </w:pPr>
      <w:r>
        <w:t>2.</w:t>
      </w:r>
      <w:r>
        <w:tab/>
      </w:r>
      <w:proofErr w:type="gramStart"/>
      <w:r>
        <w:t>the</w:t>
      </w:r>
      <w:proofErr w:type="gramEnd"/>
      <w:r>
        <w:t xml:space="preserve"> date, amount, and source of all funds received on behalf of such client,</w:t>
      </w:r>
    </w:p>
    <w:p w:rsidR="00BC299B" w:rsidRDefault="00BC299B" w:rsidP="00BC299B">
      <w:pPr>
        <w:spacing w:line="480" w:lineRule="auto"/>
        <w:ind w:left="3600" w:hanging="720"/>
      </w:pPr>
      <w:r>
        <w:t>3.</w:t>
      </w:r>
      <w:r>
        <w:tab/>
      </w:r>
      <w:proofErr w:type="gramStart"/>
      <w:r>
        <w:t>the</w:t>
      </w:r>
      <w:proofErr w:type="gramEnd"/>
      <w:r>
        <w:t xml:space="preserve"> date, amount, payee and purpose of each disbursement made on behalf of such client, and</w:t>
      </w:r>
    </w:p>
    <w:p w:rsidR="00BC299B" w:rsidRDefault="00BC299B" w:rsidP="00BC299B">
      <w:pPr>
        <w:spacing w:line="480" w:lineRule="auto"/>
        <w:ind w:left="3600" w:hanging="720"/>
      </w:pPr>
      <w:r>
        <w:t>4.</w:t>
      </w:r>
      <w:r>
        <w:tab/>
      </w:r>
      <w:proofErr w:type="gramStart"/>
      <w:r>
        <w:t>the</w:t>
      </w:r>
      <w:proofErr w:type="gramEnd"/>
      <w:r>
        <w:t xml:space="preserve"> current balance for such client;</w:t>
      </w:r>
    </w:p>
    <w:p w:rsidR="00BC299B" w:rsidRDefault="00BC299B" w:rsidP="00BC299B">
      <w:pPr>
        <w:spacing w:line="480" w:lineRule="auto"/>
        <w:ind w:left="2880" w:hanging="720"/>
      </w:pPr>
      <w:r>
        <w:t>ii.</w:t>
      </w:r>
      <w:r>
        <w:tab/>
      </w:r>
      <w:proofErr w:type="gramStart"/>
      <w:r>
        <w:t>a</w:t>
      </w:r>
      <w:proofErr w:type="gramEnd"/>
      <w:r>
        <w:t xml:space="preserve"> written journal for each client trust fund account that sets forth: 1.</w:t>
      </w:r>
      <w:r>
        <w:tab/>
        <w:t>the name of such account,</w:t>
      </w:r>
    </w:p>
    <w:p w:rsidR="00BC299B" w:rsidRDefault="00BC299B" w:rsidP="00BC299B">
      <w:pPr>
        <w:spacing w:line="480" w:lineRule="auto"/>
        <w:ind w:left="3600" w:hanging="720"/>
      </w:pPr>
      <w:r>
        <w:t>2.</w:t>
      </w:r>
      <w:r>
        <w:tab/>
      </w:r>
      <w:proofErr w:type="gramStart"/>
      <w:r>
        <w:t>the</w:t>
      </w:r>
      <w:proofErr w:type="gramEnd"/>
      <w:r>
        <w:t xml:space="preserve"> date, amount, and client affected by each debit and credit, and</w:t>
      </w:r>
    </w:p>
    <w:p w:rsidR="00BC299B" w:rsidRDefault="00BC299B" w:rsidP="00BC299B">
      <w:pPr>
        <w:spacing w:line="480" w:lineRule="auto"/>
        <w:ind w:left="3600" w:hanging="720"/>
      </w:pPr>
      <w:r>
        <w:t>3.</w:t>
      </w:r>
      <w:r>
        <w:tab/>
      </w:r>
      <w:proofErr w:type="gramStart"/>
      <w:r>
        <w:t>the</w:t>
      </w:r>
      <w:proofErr w:type="gramEnd"/>
      <w:r>
        <w:t xml:space="preserve"> current balance in such account.</w:t>
      </w:r>
      <w:r>
        <w:tab/>
      </w:r>
      <w:r>
        <w:tab/>
      </w:r>
      <w:r>
        <w:tab/>
      </w:r>
    </w:p>
    <w:p w:rsidR="00BC299B" w:rsidRDefault="00BC299B" w:rsidP="00BC299B">
      <w:pPr>
        <w:spacing w:line="480" w:lineRule="auto"/>
        <w:ind w:left="2880" w:hanging="720"/>
      </w:pPr>
      <w:r>
        <w:t>iii.</w:t>
      </w:r>
      <w:r>
        <w:tab/>
      </w:r>
      <w:proofErr w:type="gramStart"/>
      <w:r>
        <w:t>all</w:t>
      </w:r>
      <w:proofErr w:type="gramEnd"/>
      <w:r>
        <w:t xml:space="preserve"> bank statements and canceled checks for each client trust account; and</w:t>
      </w:r>
    </w:p>
    <w:p w:rsidR="00BC299B" w:rsidRDefault="00BC299B" w:rsidP="00BC299B">
      <w:pPr>
        <w:spacing w:line="480" w:lineRule="auto"/>
        <w:ind w:left="2880" w:hanging="720"/>
      </w:pPr>
      <w:r>
        <w:t>iv.</w:t>
      </w:r>
      <w:r>
        <w:tab/>
        <w:t xml:space="preserve">each monthly reconciliation (balancing) of (i), (ii), and (iii) above, and if there are any differences between the monthly total balances reflected in (i), (ii), and (iii) above, the reason for the differences, </w:t>
      </w:r>
      <w:r>
        <w:lastRenderedPageBreak/>
        <w:t>and that respondent has maintained a written journal of securities or other properties held for a client that specifies:</w:t>
      </w:r>
    </w:p>
    <w:p w:rsidR="00BC299B" w:rsidRDefault="00BC299B" w:rsidP="00BC299B">
      <w:pPr>
        <w:spacing w:line="480" w:lineRule="auto"/>
        <w:ind w:left="2880" w:hanging="720"/>
      </w:pPr>
      <w:r>
        <w:tab/>
        <w:t xml:space="preserve">1.      </w:t>
      </w:r>
      <w:r>
        <w:tab/>
      </w:r>
      <w:proofErr w:type="gramStart"/>
      <w:r>
        <w:t>each</w:t>
      </w:r>
      <w:proofErr w:type="gramEnd"/>
      <w:r>
        <w:t xml:space="preserve"> item of security and property held,</w:t>
      </w:r>
    </w:p>
    <w:p w:rsidR="00BC299B" w:rsidRDefault="00BC299B" w:rsidP="00BC299B">
      <w:pPr>
        <w:spacing w:line="480" w:lineRule="auto"/>
      </w:pPr>
      <w:r>
        <w:tab/>
      </w:r>
      <w:r>
        <w:tab/>
      </w:r>
      <w:r>
        <w:tab/>
      </w:r>
      <w:r>
        <w:tab/>
        <w:t>2.</w:t>
      </w:r>
      <w:r>
        <w:tab/>
      </w:r>
      <w:proofErr w:type="gramStart"/>
      <w:r>
        <w:t>the</w:t>
      </w:r>
      <w:proofErr w:type="gramEnd"/>
      <w:r>
        <w:t xml:space="preserve"> person on whose behalf the security or property is held,</w:t>
      </w:r>
    </w:p>
    <w:p w:rsidR="00BC299B" w:rsidRDefault="00BC299B" w:rsidP="00BC299B">
      <w:pPr>
        <w:spacing w:line="480" w:lineRule="auto"/>
      </w:pPr>
      <w:r>
        <w:tab/>
      </w:r>
      <w:r>
        <w:tab/>
      </w:r>
      <w:r>
        <w:tab/>
      </w:r>
      <w:r>
        <w:tab/>
        <w:t>3.</w:t>
      </w:r>
      <w:r>
        <w:tab/>
      </w:r>
      <w:proofErr w:type="gramStart"/>
      <w:r>
        <w:t>the</w:t>
      </w:r>
      <w:proofErr w:type="gramEnd"/>
      <w:r>
        <w:t xml:space="preserve"> date of receipt of the security or property,</w:t>
      </w:r>
    </w:p>
    <w:p w:rsidR="00BC299B" w:rsidRDefault="00BC299B" w:rsidP="00BC299B">
      <w:pPr>
        <w:spacing w:line="480" w:lineRule="auto"/>
      </w:pPr>
      <w:r>
        <w:tab/>
      </w:r>
      <w:r>
        <w:tab/>
      </w:r>
      <w:r>
        <w:tab/>
      </w:r>
      <w:r>
        <w:tab/>
        <w:t>4.</w:t>
      </w:r>
      <w:r>
        <w:tab/>
      </w:r>
      <w:proofErr w:type="gramStart"/>
      <w:r>
        <w:t>the</w:t>
      </w:r>
      <w:proofErr w:type="gramEnd"/>
      <w:r>
        <w:t xml:space="preserve"> date of distribution of the security or property, and</w:t>
      </w:r>
    </w:p>
    <w:p w:rsidR="00BC299B" w:rsidRDefault="00BC299B" w:rsidP="00BC299B">
      <w:pPr>
        <w:spacing w:line="480" w:lineRule="auto"/>
        <w:ind w:left="3600" w:hanging="720"/>
      </w:pPr>
      <w:r>
        <w:t>5.</w:t>
      </w:r>
      <w:r>
        <w:tab/>
      </w:r>
      <w:proofErr w:type="gramStart"/>
      <w:r>
        <w:t>the</w:t>
      </w:r>
      <w:proofErr w:type="gramEnd"/>
      <w:r>
        <w:t xml:space="preserve"> person to whom the security or property was distributed.</w:t>
      </w:r>
    </w:p>
    <w:p w:rsidR="00BC299B" w:rsidRDefault="00BC299B" w:rsidP="00BC299B">
      <w:pPr>
        <w:spacing w:line="480" w:lineRule="auto"/>
        <w:ind w:left="2160" w:hanging="720"/>
      </w:pPr>
      <w:r>
        <w:t>B.</w:t>
      </w:r>
      <w:r>
        <w:tab/>
        <w:t>If respondent does not possess any client funds, property or securities during the entire period covered by a report, respondent must so state under penalty of perjury in the report filed with the Office of Probation for that reporting period.  In this circumstance, respondent need not file the accountant’s certificate described above.</w:t>
      </w:r>
    </w:p>
    <w:p w:rsidR="00BC299B" w:rsidRDefault="00BC299B" w:rsidP="00BC299B">
      <w:pPr>
        <w:spacing w:line="480" w:lineRule="auto"/>
        <w:ind w:left="2160" w:hanging="720"/>
      </w:pPr>
      <w:r>
        <w:t>C.</w:t>
      </w:r>
      <w:r>
        <w:tab/>
        <w:t>This requirements of this condition are in addition to those set forth in rule 4-100 of the Rules of Professional Conduct of the State Bar of California.</w:t>
      </w:r>
    </w:p>
    <w:p w:rsidR="00D172EF" w:rsidRDefault="003219C3" w:rsidP="003219C3">
      <w:pPr>
        <w:spacing w:line="480" w:lineRule="auto"/>
        <w:ind w:left="1440" w:hanging="540"/>
      </w:pPr>
      <w:r>
        <w:t>9.</w:t>
      </w:r>
      <w:r>
        <w:tab/>
        <w:t xml:space="preserve">Within one year after the effective date of the Supreme Court’s final disciplinary order in this matter, respondent must provide the Office of Probation with satisfactory proof of his attendance at a session of </w:t>
      </w:r>
      <w:r w:rsidR="00C973CE">
        <w:t xml:space="preserve">each, the </w:t>
      </w:r>
      <w:r>
        <w:t>State Bar Ethics School</w:t>
      </w:r>
      <w:r w:rsidR="00C973CE">
        <w:t xml:space="preserve"> AND the Ethics School Client Trust Accounting School</w:t>
      </w:r>
      <w:r>
        <w:t xml:space="preserve">, given periodically by the State Bar at either 180 Howard Street, San Francisco, California, 94105-1639, or 1149 South Hill Street, Los Angeles, California, 90015, and passage of the test given at the conclusion of </w:t>
      </w:r>
      <w:r w:rsidR="00C973CE">
        <w:t>each</w:t>
      </w:r>
      <w:r>
        <w:t xml:space="preserve"> session.  Arrangements to attend Ethics School</w:t>
      </w:r>
      <w:r w:rsidR="00C973CE">
        <w:t xml:space="preserve"> and Ethics School Client Trust Accounting School </w:t>
      </w:r>
      <w:r>
        <w:t xml:space="preserve">must be made in advance by calling (213) 765-1287, and paying the </w:t>
      </w:r>
      <w:r>
        <w:lastRenderedPageBreak/>
        <w:t>required fee</w:t>
      </w:r>
      <w:r w:rsidR="00C973CE">
        <w:t>s</w:t>
      </w:r>
      <w:r>
        <w:t>.  This requirement is separate from any Minimum Continuing Legal Education</w:t>
      </w:r>
      <w:r w:rsidR="00AA1A5D">
        <w:t xml:space="preserve"> Requirement (</w:t>
      </w:r>
      <w:r>
        <w:t xml:space="preserve">MCLE), and respondent will not receive MCLE credit for attending </w:t>
      </w:r>
      <w:r w:rsidR="00C973CE">
        <w:t xml:space="preserve">either </w:t>
      </w:r>
      <w:r>
        <w:t xml:space="preserve">Ethics School </w:t>
      </w:r>
      <w:r w:rsidR="00C973CE">
        <w:t xml:space="preserve">or Ethics School Client Trust Accounting School </w:t>
      </w:r>
      <w:r>
        <w:t>(Rules Proc. of State Bar, rule 3201).</w:t>
      </w:r>
    </w:p>
    <w:p w:rsidR="00BC299B" w:rsidRDefault="00D172EF" w:rsidP="00BC299B">
      <w:pPr>
        <w:spacing w:line="480" w:lineRule="auto"/>
        <w:ind w:left="1440" w:hanging="720"/>
      </w:pPr>
      <w:r>
        <w:t>10</w:t>
      </w:r>
      <w:r w:rsidR="00BC299B">
        <w:t>.</w:t>
      </w:r>
      <w:r w:rsidR="00BC299B">
        <w:tab/>
        <w:t>These probation conditions will commence on the effective date of the Supreme Court’s final disciplinary order in this proceeding.</w:t>
      </w:r>
    </w:p>
    <w:p w:rsidR="00BC299B" w:rsidRDefault="00D172EF" w:rsidP="00BC299B">
      <w:pPr>
        <w:spacing w:line="480" w:lineRule="auto"/>
      </w:pPr>
      <w:r>
        <w:tab/>
        <w:t>11</w:t>
      </w:r>
      <w:r w:rsidR="00BC299B">
        <w:t>.</w:t>
      </w:r>
      <w:r w:rsidR="00BC299B">
        <w:tab/>
        <w:t xml:space="preserve">At the expiration of the period of this probation if respondent has complied with </w:t>
      </w:r>
      <w:r w:rsidR="00BC299B">
        <w:tab/>
      </w:r>
      <w:r w:rsidR="00BC299B">
        <w:tab/>
      </w:r>
      <w:r w:rsidR="00BC299B">
        <w:tab/>
        <w:t xml:space="preserve">all the terms of probation, the order of the Supreme Court suspending respondent </w:t>
      </w:r>
      <w:r w:rsidR="00BC299B">
        <w:tab/>
      </w:r>
      <w:r w:rsidR="00BC299B">
        <w:tab/>
      </w:r>
      <w:r w:rsidR="00BC299B">
        <w:tab/>
        <w:t xml:space="preserve">from the practice of law for </w:t>
      </w:r>
      <w:r>
        <w:t>three years</w:t>
      </w:r>
      <w:r w:rsidR="00BC299B">
        <w:t xml:space="preserve"> will be satisfied and that suspension </w:t>
      </w:r>
      <w:r w:rsidR="00BC299B">
        <w:tab/>
      </w:r>
      <w:r w:rsidR="00BC299B">
        <w:tab/>
      </w:r>
      <w:r w:rsidR="00BC299B">
        <w:tab/>
        <w:t xml:space="preserve">will be terminated. </w:t>
      </w:r>
    </w:p>
    <w:p w:rsidR="00BC299B" w:rsidRDefault="00BC299B" w:rsidP="00BC299B">
      <w:pPr>
        <w:spacing w:line="480" w:lineRule="auto"/>
      </w:pPr>
      <w:r>
        <w:tab/>
        <w:t>It is further recommended that within one year after the effective date of the Supreme Court’s final disciplinary order in this matter, respondent must take and pass the Multistate Professional Responsibility Examination (MPRE) administered by the National Conference of Bar Examiners, MPRE Application Department, P.O. Box 4001, Iowa City, Iowa, 52243 (telephone:  319-337-1287) and provide satisfactory proof of his passage of the MPRE to the Office of Probation within said year.</w:t>
      </w:r>
      <w:r>
        <w:rPr>
          <w:rStyle w:val="FootnoteReference"/>
        </w:rPr>
        <w:footnoteReference w:id="2"/>
      </w:r>
      <w:r>
        <w:t xml:space="preserve"> </w:t>
      </w:r>
    </w:p>
    <w:p w:rsidR="0068469A" w:rsidRDefault="0068469A" w:rsidP="0068469A">
      <w:pPr>
        <w:spacing w:line="480" w:lineRule="auto"/>
        <w:ind w:firstLine="720"/>
      </w:pPr>
      <w:r>
        <w:t>It is further recommended that respondent be ordered to comply with rule 9.20,</w:t>
      </w:r>
      <w:r>
        <w:rPr>
          <w:rStyle w:val="FootnoteReference"/>
        </w:rPr>
        <w:footnoteReference w:id="3"/>
      </w:r>
      <w:r>
        <w:t xml:space="preserve"> California Rules of Court, and perform the acts specified in subdivisions (a) and (c) of that rule, within thirty (30) and forty (40) days, respectively, after the effective date of the Supreme Court order herein.  </w:t>
      </w:r>
      <w:r>
        <w:rPr>
          <w:b/>
          <w:bCs/>
        </w:rPr>
        <w:t xml:space="preserve">Wilful failure to comply with the provisions of rule 9.20 may result in </w:t>
      </w:r>
      <w:r>
        <w:rPr>
          <w:b/>
          <w:bCs/>
        </w:rPr>
        <w:lastRenderedPageBreak/>
        <w:t>revocation of probation; suspension; disbarment; denial of reinstatement; conviction of contempt; or criminal conviction.</w:t>
      </w:r>
    </w:p>
    <w:p w:rsidR="004570A7" w:rsidRDefault="004570A7" w:rsidP="004570A7">
      <w:pPr>
        <w:spacing w:line="480" w:lineRule="auto"/>
        <w:jc w:val="center"/>
        <w:rPr>
          <w:b/>
          <w:u w:val="single"/>
        </w:rPr>
      </w:pPr>
      <w:r>
        <w:rPr>
          <w:b/>
          <w:u w:val="single"/>
        </w:rPr>
        <w:t>COSTS</w:t>
      </w:r>
    </w:p>
    <w:p w:rsidR="004570A7" w:rsidRPr="00633A2D" w:rsidRDefault="004570A7" w:rsidP="004570A7">
      <w:pPr>
        <w:spacing w:line="480" w:lineRule="auto"/>
      </w:pPr>
      <w:r w:rsidRPr="00633A2D">
        <w:tab/>
        <w:t>It is recommended that costs be awarded to the State Bar in accordance with Business and Professions Code section 6086.10, and are enforceable both as provided in Business and Professions Code section 6140.7 and as a money judgment.</w:t>
      </w:r>
    </w:p>
    <w:p w:rsidR="004570A7" w:rsidRDefault="004570A7" w:rsidP="004570A7">
      <w:pPr>
        <w:spacing w:line="480" w:lineRule="auto"/>
        <w:jc w:val="center"/>
        <w:rPr>
          <w:b/>
          <w:u w:val="single"/>
        </w:rPr>
      </w:pPr>
      <w:r>
        <w:rPr>
          <w:b/>
          <w:u w:val="single"/>
        </w:rPr>
        <w:t>DIRECTION RE DECISION AND ORDER SEALING CERTAIN DOCUMENTS</w:t>
      </w:r>
    </w:p>
    <w:p w:rsidR="004570A7" w:rsidRPr="00633A2D" w:rsidRDefault="004570A7" w:rsidP="004570A7">
      <w:pPr>
        <w:spacing w:line="480" w:lineRule="auto"/>
      </w:pPr>
      <w:r w:rsidRPr="00633A2D">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4570A7" w:rsidRPr="00633A2D" w:rsidRDefault="004570A7" w:rsidP="004570A7">
      <w:pPr>
        <w:spacing w:line="480" w:lineRule="auto"/>
      </w:pPr>
      <w:r w:rsidRPr="00633A2D">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4570A7" w:rsidRDefault="004570A7" w:rsidP="004570A7">
      <w:pPr>
        <w:spacing w:line="480" w:lineRule="auto"/>
        <w:rPr>
          <w:b/>
        </w:rPr>
      </w:pPr>
      <w:r>
        <w:tab/>
      </w:r>
      <w:r>
        <w:rPr>
          <w:b/>
        </w:rPr>
        <w:t>IT IS SO ORDERED.</w:t>
      </w:r>
    </w:p>
    <w:p w:rsidR="003D3B12" w:rsidRDefault="003D3B12">
      <w:pPr>
        <w:pStyle w:val="Header"/>
        <w:tabs>
          <w:tab w:val="clear" w:pos="4320"/>
          <w:tab w:val="clear" w:pos="8640"/>
        </w:tabs>
        <w:spacing w:line="480" w:lineRule="auto"/>
      </w:pPr>
    </w:p>
    <w:p w:rsidR="00161E61" w:rsidRDefault="00161E6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BE4244">
            <w:pPr>
              <w:pStyle w:val="Header"/>
              <w:tabs>
                <w:tab w:val="clear" w:pos="4320"/>
                <w:tab w:val="clear" w:pos="8640"/>
              </w:tabs>
            </w:pPr>
            <w:r>
              <w:t xml:space="preserve">Dated:  </w:t>
            </w:r>
            <w:fldSimple w:instr=" DATE \@ &quot;MMMM _____, yyyy&quot; \* MERGEFORMAT ">
              <w:r w:rsidR="00BE4244">
                <w:rPr>
                  <w:noProof/>
                </w:rPr>
                <w:t>April 21</w:t>
              </w:r>
              <w:r w:rsidR="00BE4244">
                <w:rPr>
                  <w:noProof/>
                </w:rPr>
                <w:t>, 2010</w:t>
              </w:r>
            </w:fldSimple>
          </w:p>
        </w:tc>
        <w:tc>
          <w:tcPr>
            <w:tcW w:w="4565" w:type="dxa"/>
            <w:tcBorders>
              <w:top w:val="single" w:sz="4" w:space="0" w:color="auto"/>
              <w:bottom w:val="nil"/>
              <w:right w:val="nil"/>
            </w:tcBorders>
          </w:tcPr>
          <w:p w:rsidR="003D3B12" w:rsidRDefault="006F40A2">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5A" w:rsidRDefault="004C215A">
      <w:r>
        <w:separator/>
      </w:r>
    </w:p>
  </w:endnote>
  <w:endnote w:type="continuationSeparator" w:id="0">
    <w:p w:rsidR="004C215A" w:rsidRDefault="004C2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5A" w:rsidRDefault="00EB2676" w:rsidP="003B44D5">
    <w:pPr>
      <w:pStyle w:val="Footer"/>
      <w:framePr w:wrap="around" w:vAnchor="text" w:hAnchor="margin" w:xAlign="center" w:y="1"/>
      <w:rPr>
        <w:rStyle w:val="PageNumber"/>
      </w:rPr>
    </w:pPr>
    <w:r>
      <w:rPr>
        <w:rStyle w:val="PageNumber"/>
      </w:rPr>
      <w:fldChar w:fldCharType="begin"/>
    </w:r>
    <w:r w:rsidR="004C215A">
      <w:rPr>
        <w:rStyle w:val="PageNumber"/>
      </w:rPr>
      <w:instrText xml:space="preserve">PAGE  </w:instrText>
    </w:r>
    <w:r>
      <w:rPr>
        <w:rStyle w:val="PageNumber"/>
      </w:rPr>
      <w:fldChar w:fldCharType="end"/>
    </w:r>
  </w:p>
  <w:p w:rsidR="004C215A" w:rsidRDefault="004C2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5A" w:rsidRDefault="00EB2676" w:rsidP="00200B09">
    <w:pPr>
      <w:pStyle w:val="Footer"/>
      <w:framePr w:wrap="around" w:vAnchor="text" w:hAnchor="margin" w:xAlign="center" w:y="1"/>
      <w:rPr>
        <w:rStyle w:val="PageNumber"/>
      </w:rPr>
    </w:pPr>
    <w:r>
      <w:rPr>
        <w:rStyle w:val="PageNumber"/>
      </w:rPr>
      <w:fldChar w:fldCharType="begin"/>
    </w:r>
    <w:r w:rsidR="004C215A">
      <w:rPr>
        <w:rStyle w:val="PageNumber"/>
      </w:rPr>
      <w:instrText xml:space="preserve">PAGE  </w:instrText>
    </w:r>
    <w:r>
      <w:rPr>
        <w:rStyle w:val="PageNumber"/>
      </w:rPr>
      <w:fldChar w:fldCharType="separate"/>
    </w:r>
    <w:r w:rsidR="0056679F">
      <w:rPr>
        <w:rStyle w:val="PageNumber"/>
        <w:noProof/>
      </w:rPr>
      <w:t>- 12 -</w:t>
    </w:r>
    <w:r>
      <w:rPr>
        <w:rStyle w:val="PageNumber"/>
      </w:rPr>
      <w:fldChar w:fldCharType="end"/>
    </w:r>
  </w:p>
  <w:p w:rsidR="004C215A" w:rsidRDefault="004C215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5A" w:rsidRDefault="004C215A">
    <w:pPr>
      <w:pStyle w:val="Footer"/>
      <w:framePr w:wrap="around" w:vAnchor="text" w:hAnchor="margin" w:xAlign="center" w:y="1"/>
      <w:rPr>
        <w:rStyle w:val="PageNumber"/>
      </w:rPr>
    </w:pPr>
  </w:p>
  <w:p w:rsidR="004C215A" w:rsidRDefault="004C2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5A" w:rsidRDefault="004C215A">
      <w:r>
        <w:separator/>
      </w:r>
    </w:p>
  </w:footnote>
  <w:footnote w:type="continuationSeparator" w:id="0">
    <w:p w:rsidR="004C215A" w:rsidRDefault="004C215A">
      <w:r>
        <w:continuationSeparator/>
      </w:r>
    </w:p>
  </w:footnote>
  <w:footnote w:id="1">
    <w:p w:rsidR="004C215A" w:rsidRDefault="004C215A">
      <w:pPr>
        <w:pStyle w:val="FootnoteText"/>
      </w:pPr>
      <w:r>
        <w:rPr>
          <w:rStyle w:val="FootnoteReference"/>
        </w:rPr>
        <w:footnoteRef/>
      </w:r>
      <w:r>
        <w:t>The court will not recommend medical probation conditions as respon</w:t>
      </w:r>
      <w:r w:rsidR="00B37028">
        <w:t>dent has already completed LAP nor will it recommend the fee arbitration-related probation conditions as to client Gevorg Kilimdgyan as that is no longer required.</w:t>
      </w:r>
    </w:p>
  </w:footnote>
  <w:footnote w:id="2">
    <w:p w:rsidR="004C215A" w:rsidRDefault="004C215A" w:rsidP="00BC299B">
      <w:pPr>
        <w:pStyle w:val="FootnoteText"/>
      </w:pPr>
      <w:r>
        <w:rPr>
          <w:rStyle w:val="FootnoteReference"/>
        </w:rPr>
        <w:footnoteRef/>
      </w:r>
      <w:r>
        <w:t xml:space="preserve"> When ordered to take and pass the MPRE by the Supreme Court, failure to do so within the specified time results in actual suspension by the Review Department of the State Bar Court, without further hearing, until passage.  But see rule 9.10(b), California Rules of Court, and rule 321(a</w:t>
      </w:r>
      <w:proofErr w:type="gramStart"/>
      <w:r>
        <w:t>)(</w:t>
      </w:r>
      <w:proofErr w:type="gramEnd"/>
      <w:r>
        <w:t>1) and (3), Rules of Procedure of the State Bar of California.</w:t>
      </w:r>
    </w:p>
  </w:footnote>
  <w:footnote w:id="3">
    <w:p w:rsidR="0068469A" w:rsidRDefault="0068469A">
      <w:pPr>
        <w:pStyle w:val="FootnoteText"/>
      </w:pPr>
      <w:r>
        <w:rPr>
          <w:rStyle w:val="FootnoteReference"/>
        </w:rPr>
        <w:footnoteRef/>
      </w:r>
      <w:r>
        <w:t xml:space="preserve"> Rule 9.20 was formerly numbered rule 955.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rsids>
    <w:rsidRoot w:val="00901072"/>
    <w:rsid w:val="00030FE8"/>
    <w:rsid w:val="00036336"/>
    <w:rsid w:val="00045160"/>
    <w:rsid w:val="00046F38"/>
    <w:rsid w:val="00051393"/>
    <w:rsid w:val="00067A95"/>
    <w:rsid w:val="00082A1D"/>
    <w:rsid w:val="000E6A27"/>
    <w:rsid w:val="000E6FFD"/>
    <w:rsid w:val="00105AE5"/>
    <w:rsid w:val="001151FD"/>
    <w:rsid w:val="00115ED1"/>
    <w:rsid w:val="00131575"/>
    <w:rsid w:val="00161E61"/>
    <w:rsid w:val="001A1D2A"/>
    <w:rsid w:val="001A4755"/>
    <w:rsid w:val="001A68F1"/>
    <w:rsid w:val="001C6537"/>
    <w:rsid w:val="001F2CF6"/>
    <w:rsid w:val="00200B09"/>
    <w:rsid w:val="00202DBA"/>
    <w:rsid w:val="00204B3B"/>
    <w:rsid w:val="00205119"/>
    <w:rsid w:val="00272BE7"/>
    <w:rsid w:val="002A4CCA"/>
    <w:rsid w:val="002B28A5"/>
    <w:rsid w:val="002E7F3D"/>
    <w:rsid w:val="003219C3"/>
    <w:rsid w:val="00334650"/>
    <w:rsid w:val="003649A3"/>
    <w:rsid w:val="00373FAC"/>
    <w:rsid w:val="003A13AD"/>
    <w:rsid w:val="003A7EED"/>
    <w:rsid w:val="003B44D5"/>
    <w:rsid w:val="003D3B12"/>
    <w:rsid w:val="003F7D0A"/>
    <w:rsid w:val="00407F56"/>
    <w:rsid w:val="00420D79"/>
    <w:rsid w:val="004253E3"/>
    <w:rsid w:val="004570A7"/>
    <w:rsid w:val="004B4818"/>
    <w:rsid w:val="004B7F6C"/>
    <w:rsid w:val="004C215A"/>
    <w:rsid w:val="004E0990"/>
    <w:rsid w:val="004E1E22"/>
    <w:rsid w:val="004E21D4"/>
    <w:rsid w:val="004F72F6"/>
    <w:rsid w:val="0050797B"/>
    <w:rsid w:val="00524E6D"/>
    <w:rsid w:val="005353A3"/>
    <w:rsid w:val="0053585A"/>
    <w:rsid w:val="00562C4F"/>
    <w:rsid w:val="0056679F"/>
    <w:rsid w:val="0057591D"/>
    <w:rsid w:val="00581FED"/>
    <w:rsid w:val="005825EC"/>
    <w:rsid w:val="005A08FB"/>
    <w:rsid w:val="0063598C"/>
    <w:rsid w:val="00645A86"/>
    <w:rsid w:val="00671C3F"/>
    <w:rsid w:val="00672BF6"/>
    <w:rsid w:val="00674306"/>
    <w:rsid w:val="0068469A"/>
    <w:rsid w:val="006A7E9D"/>
    <w:rsid w:val="006C3FCC"/>
    <w:rsid w:val="006F40A2"/>
    <w:rsid w:val="006F5341"/>
    <w:rsid w:val="006F6B57"/>
    <w:rsid w:val="00705B71"/>
    <w:rsid w:val="0074597E"/>
    <w:rsid w:val="00753C5C"/>
    <w:rsid w:val="00782AC4"/>
    <w:rsid w:val="007B34AA"/>
    <w:rsid w:val="007B7B32"/>
    <w:rsid w:val="007F4A35"/>
    <w:rsid w:val="007F6912"/>
    <w:rsid w:val="00823672"/>
    <w:rsid w:val="008507F0"/>
    <w:rsid w:val="008625B0"/>
    <w:rsid w:val="0088037A"/>
    <w:rsid w:val="008864F6"/>
    <w:rsid w:val="008D13D9"/>
    <w:rsid w:val="008F56B3"/>
    <w:rsid w:val="00901072"/>
    <w:rsid w:val="00912293"/>
    <w:rsid w:val="00950222"/>
    <w:rsid w:val="0096789F"/>
    <w:rsid w:val="009A7330"/>
    <w:rsid w:val="009D2589"/>
    <w:rsid w:val="009E6880"/>
    <w:rsid w:val="00A319E9"/>
    <w:rsid w:val="00A37A2C"/>
    <w:rsid w:val="00A42E96"/>
    <w:rsid w:val="00A5010D"/>
    <w:rsid w:val="00A772D9"/>
    <w:rsid w:val="00A91E77"/>
    <w:rsid w:val="00AA1A5D"/>
    <w:rsid w:val="00AB2EB5"/>
    <w:rsid w:val="00B30F98"/>
    <w:rsid w:val="00B3603C"/>
    <w:rsid w:val="00B37028"/>
    <w:rsid w:val="00B50CB0"/>
    <w:rsid w:val="00B54D39"/>
    <w:rsid w:val="00B6722F"/>
    <w:rsid w:val="00B83D42"/>
    <w:rsid w:val="00B87B4F"/>
    <w:rsid w:val="00B94A5C"/>
    <w:rsid w:val="00BB7A97"/>
    <w:rsid w:val="00BC299B"/>
    <w:rsid w:val="00BC3D4D"/>
    <w:rsid w:val="00BC6A5F"/>
    <w:rsid w:val="00BE4244"/>
    <w:rsid w:val="00BF5ACB"/>
    <w:rsid w:val="00BF5B1B"/>
    <w:rsid w:val="00C36C21"/>
    <w:rsid w:val="00C54148"/>
    <w:rsid w:val="00C6575E"/>
    <w:rsid w:val="00C973CE"/>
    <w:rsid w:val="00CC3893"/>
    <w:rsid w:val="00CD41B8"/>
    <w:rsid w:val="00CE1DE9"/>
    <w:rsid w:val="00D147C8"/>
    <w:rsid w:val="00D172EF"/>
    <w:rsid w:val="00DA5CFA"/>
    <w:rsid w:val="00DF02E7"/>
    <w:rsid w:val="00E32AEB"/>
    <w:rsid w:val="00E71E7C"/>
    <w:rsid w:val="00E740F9"/>
    <w:rsid w:val="00E93680"/>
    <w:rsid w:val="00EB11D3"/>
    <w:rsid w:val="00EB2676"/>
    <w:rsid w:val="00EB3A5C"/>
    <w:rsid w:val="00EC16BC"/>
    <w:rsid w:val="00EE3AFC"/>
    <w:rsid w:val="00F17049"/>
    <w:rsid w:val="00F85B9F"/>
    <w:rsid w:val="00F8757B"/>
    <w:rsid w:val="00F96F2A"/>
    <w:rsid w:val="00FF0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AD"/>
    <w:rPr>
      <w:sz w:val="24"/>
      <w:szCs w:val="24"/>
    </w:rPr>
  </w:style>
  <w:style w:type="paragraph" w:styleId="Heading1">
    <w:name w:val="heading 1"/>
    <w:basedOn w:val="Normal"/>
    <w:next w:val="Normal"/>
    <w:qFormat/>
    <w:rsid w:val="003A13A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A13AD"/>
    <w:pPr>
      <w:spacing w:before="28"/>
      <w:ind w:right="90"/>
    </w:pPr>
    <w:rPr>
      <w:sz w:val="19"/>
      <w:szCs w:val="19"/>
    </w:rPr>
  </w:style>
  <w:style w:type="paragraph" w:styleId="Header">
    <w:name w:val="header"/>
    <w:basedOn w:val="Normal"/>
    <w:semiHidden/>
    <w:rsid w:val="003A13AD"/>
    <w:pPr>
      <w:tabs>
        <w:tab w:val="center" w:pos="4320"/>
        <w:tab w:val="right" w:pos="8640"/>
      </w:tabs>
    </w:pPr>
  </w:style>
  <w:style w:type="paragraph" w:styleId="Footer">
    <w:name w:val="footer"/>
    <w:basedOn w:val="Normal"/>
    <w:semiHidden/>
    <w:rsid w:val="003A13AD"/>
    <w:pPr>
      <w:tabs>
        <w:tab w:val="center" w:pos="4320"/>
        <w:tab w:val="right" w:pos="8640"/>
      </w:tabs>
    </w:pPr>
  </w:style>
  <w:style w:type="character" w:styleId="PageNumber">
    <w:name w:val="page number"/>
    <w:basedOn w:val="DefaultParagraphFont"/>
    <w:semiHidden/>
    <w:rsid w:val="003A13AD"/>
  </w:style>
  <w:style w:type="paragraph" w:styleId="FootnoteText">
    <w:name w:val="footnote text"/>
    <w:basedOn w:val="Normal"/>
    <w:semiHidden/>
    <w:rsid w:val="003A13AD"/>
    <w:pPr>
      <w:ind w:firstLine="720"/>
    </w:pPr>
    <w:rPr>
      <w:szCs w:val="20"/>
    </w:rPr>
  </w:style>
  <w:style w:type="character" w:styleId="FootnoteReference">
    <w:name w:val="footnote reference"/>
    <w:basedOn w:val="DefaultParagraphFont"/>
    <w:uiPriority w:val="99"/>
    <w:rsid w:val="003A13A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1922-BBF5-4F3B-9686-6668A5BC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Template>
  <TotalTime>0</TotalTime>
  <Pages>12</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Johnnie Lee Smith</cp:lastModifiedBy>
  <cp:revision>2</cp:revision>
  <cp:lastPrinted>2010-04-20T19:06:00Z</cp:lastPrinted>
  <dcterms:created xsi:type="dcterms:W3CDTF">2010-04-23T19:00:00Z</dcterms:created>
  <dcterms:modified xsi:type="dcterms:W3CDTF">2010-04-23T19:00:00Z</dcterms:modified>
</cp:coreProperties>
</file>