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CC8" w:rsidRPr="00497A94" w:rsidRDefault="00D37879" w:rsidP="00497A94">
      <w:pPr>
        <w:pStyle w:val="Footnote"/>
      </w:pPr>
      <w:bookmarkStart w:id="0" w:name="designation"/>
      <w:bookmarkEnd w:id="0"/>
      <w:r>
        <w:t>PUBLIC MATTER - NOT DESIGNATED FOR PUBLICATION</w:t>
      </w:r>
    </w:p>
    <w:p w:rsidR="00C11CC8" w:rsidRDefault="00C11CC8"/>
    <w:p w:rsidR="00737D40" w:rsidRPr="00320DCD" w:rsidRDefault="004B30C3">
      <w:pPr>
        <w:rPr>
          <w:b/>
        </w:rPr>
      </w:pPr>
      <w:r>
        <w:t xml:space="preserve">                                              </w:t>
      </w:r>
      <w:r w:rsidR="00320DCD">
        <w:t xml:space="preserve">                                                     </w:t>
      </w:r>
      <w:r w:rsidRPr="00320DCD">
        <w:rPr>
          <w:b/>
        </w:rPr>
        <w:t>FILED FEBRUARY 4, 2010</w:t>
      </w:r>
    </w:p>
    <w:p w:rsidR="00C11CC8" w:rsidRPr="00C11CC8" w:rsidRDefault="00C11CC8" w:rsidP="00737D40">
      <w:pPr>
        <w:spacing w:line="240" w:lineRule="auto"/>
      </w:pPr>
    </w:p>
    <w:p w:rsidR="00C11CC8" w:rsidRPr="00C11CC8" w:rsidRDefault="00C11CC8" w:rsidP="00C11CC8">
      <w:pPr>
        <w:spacing w:line="240" w:lineRule="auto"/>
        <w:jc w:val="center"/>
        <w:rPr>
          <w:b/>
        </w:rPr>
      </w:pPr>
      <w:r w:rsidRPr="00C11CC8">
        <w:rPr>
          <w:b/>
        </w:rPr>
        <w:t>REVIEW DEPARTMENT OF THE STATE BAR COURT</w:t>
      </w:r>
    </w:p>
    <w:p w:rsidR="00C11CC8" w:rsidRPr="00C11CC8" w:rsidRDefault="00C11CC8" w:rsidP="00C11CC8">
      <w:pPr>
        <w:rPr>
          <w:b/>
        </w:rPr>
      </w:pPr>
    </w:p>
    <w:tbl>
      <w:tblPr>
        <w:tblStyle w:val="TableGrid"/>
        <w:tblW w:w="0" w:type="auto"/>
        <w:tblLook w:val="04A0"/>
      </w:tblPr>
      <w:tblGrid>
        <w:gridCol w:w="4370"/>
        <w:gridCol w:w="898"/>
        <w:gridCol w:w="4200"/>
      </w:tblGrid>
      <w:tr w:rsidR="00C11CC8" w:rsidRPr="00C11CC8" w:rsidTr="007F537A">
        <w:tc>
          <w:tcPr>
            <w:tcW w:w="4416" w:type="dxa"/>
            <w:tcBorders>
              <w:top w:val="nil"/>
              <w:left w:val="nil"/>
              <w:right w:val="nil"/>
            </w:tcBorders>
            <w:tcMar>
              <w:left w:w="0" w:type="dxa"/>
              <w:right w:w="0" w:type="dxa"/>
            </w:tcMar>
          </w:tcPr>
          <w:p w:rsidR="00C11CC8" w:rsidRDefault="00C11CC8" w:rsidP="009216E0">
            <w:pPr>
              <w:spacing w:line="240" w:lineRule="auto"/>
            </w:pPr>
            <w:r>
              <w:t>In the Matter of</w:t>
            </w:r>
          </w:p>
          <w:p w:rsidR="009216E0" w:rsidRDefault="009216E0" w:rsidP="009216E0">
            <w:pPr>
              <w:spacing w:line="240" w:lineRule="auto"/>
            </w:pPr>
          </w:p>
          <w:p w:rsidR="00C11CC8" w:rsidRPr="00497A94" w:rsidRDefault="00D37879" w:rsidP="009216E0">
            <w:pPr>
              <w:spacing w:line="240" w:lineRule="auto"/>
              <w:rPr>
                <w:b/>
              </w:rPr>
            </w:pPr>
            <w:bookmarkStart w:id="1" w:name="Respondent"/>
            <w:bookmarkEnd w:id="1"/>
            <w:r>
              <w:rPr>
                <w:b/>
              </w:rPr>
              <w:t>MAXIMILIAN J. B. HOPKINS</w:t>
            </w:r>
            <w:r w:rsidR="00C11CC8" w:rsidRPr="00497A94">
              <w:rPr>
                <w:b/>
              </w:rPr>
              <w:t>,</w:t>
            </w:r>
          </w:p>
          <w:p w:rsidR="009216E0" w:rsidRDefault="009216E0" w:rsidP="009216E0">
            <w:pPr>
              <w:spacing w:line="240" w:lineRule="auto"/>
            </w:pPr>
          </w:p>
          <w:p w:rsidR="009216E0" w:rsidRPr="009216E0" w:rsidRDefault="00D37879" w:rsidP="009216E0">
            <w:pPr>
              <w:spacing w:line="240" w:lineRule="auto"/>
            </w:pPr>
            <w:bookmarkStart w:id="2" w:name="type"/>
            <w:bookmarkEnd w:id="2"/>
            <w:r>
              <w:t>A Member of the State Bar.</w:t>
            </w:r>
          </w:p>
          <w:p w:rsidR="009216E0" w:rsidRPr="00C11CC8" w:rsidRDefault="009216E0" w:rsidP="009216E0">
            <w:pPr>
              <w:spacing w:line="240" w:lineRule="auto"/>
            </w:pPr>
          </w:p>
        </w:tc>
        <w:tc>
          <w:tcPr>
            <w:tcW w:w="912" w:type="dxa"/>
            <w:tcBorders>
              <w:top w:val="nil"/>
              <w:left w:val="nil"/>
              <w:bottom w:val="nil"/>
              <w:right w:val="nil"/>
            </w:tcBorders>
            <w:tcMar>
              <w:left w:w="0" w:type="dxa"/>
              <w:right w:w="0" w:type="dxa"/>
            </w:tcMar>
          </w:tcPr>
          <w:p w:rsidR="00C11CC8" w:rsidRDefault="00C11CC8" w:rsidP="009216E0">
            <w:pPr>
              <w:spacing w:line="240" w:lineRule="auto"/>
              <w:rPr>
                <w:b/>
              </w:rPr>
            </w:pPr>
            <w:r>
              <w:rPr>
                <w:b/>
              </w:rPr>
              <w:t>)</w:t>
            </w:r>
          </w:p>
          <w:p w:rsidR="009216E0" w:rsidRPr="00C11CC8" w:rsidRDefault="009216E0" w:rsidP="009216E0">
            <w:pPr>
              <w:spacing w:line="240" w:lineRule="auto"/>
              <w:rPr>
                <w:b/>
              </w:rPr>
            </w:pPr>
            <w:r>
              <w:rPr>
                <w:b/>
              </w:rPr>
              <w:t>)</w:t>
            </w:r>
            <w:r>
              <w:rPr>
                <w:b/>
              </w:rPr>
              <w:br/>
              <w:t>)</w:t>
            </w:r>
            <w:r>
              <w:rPr>
                <w:b/>
              </w:rPr>
              <w:br/>
              <w:t>)</w:t>
            </w:r>
            <w:r>
              <w:rPr>
                <w:b/>
              </w:rPr>
              <w:br/>
              <w:t>)</w:t>
            </w:r>
            <w:r>
              <w:rPr>
                <w:b/>
              </w:rPr>
              <w:br/>
              <w:t>)</w:t>
            </w:r>
          </w:p>
        </w:tc>
        <w:tc>
          <w:tcPr>
            <w:tcW w:w="4248" w:type="dxa"/>
            <w:tcBorders>
              <w:top w:val="nil"/>
              <w:left w:val="nil"/>
              <w:bottom w:val="nil"/>
              <w:right w:val="nil"/>
            </w:tcBorders>
          </w:tcPr>
          <w:p w:rsidR="000A4377" w:rsidRDefault="00C11CC8" w:rsidP="000A4377">
            <w:pPr>
              <w:spacing w:line="240" w:lineRule="auto"/>
              <w:rPr>
                <w:b/>
              </w:rPr>
            </w:pPr>
            <w:r>
              <w:t>No</w:t>
            </w:r>
            <w:r w:rsidRPr="00497A94">
              <w:rPr>
                <w:b/>
              </w:rPr>
              <w:t>.</w:t>
            </w:r>
            <w:r w:rsidR="009216E0" w:rsidRPr="00497A94">
              <w:rPr>
                <w:b/>
              </w:rPr>
              <w:t xml:space="preserve"> </w:t>
            </w:r>
            <w:bookmarkStart w:id="3" w:name="caseno"/>
            <w:bookmarkEnd w:id="3"/>
            <w:r w:rsidR="00D37879">
              <w:rPr>
                <w:b/>
              </w:rPr>
              <w:t>03-O-04580</w:t>
            </w:r>
          </w:p>
          <w:p w:rsidR="009216E0" w:rsidRDefault="004B30C3" w:rsidP="009216E0">
            <w:pPr>
              <w:spacing w:line="240" w:lineRule="auto"/>
            </w:pPr>
            <w:r>
              <w:rPr>
                <w:b/>
              </w:rPr>
              <w:t xml:space="preserve">        </w:t>
            </w:r>
          </w:p>
          <w:p w:rsidR="007F537A" w:rsidRDefault="00D37879" w:rsidP="009216E0">
            <w:pPr>
              <w:spacing w:line="240" w:lineRule="auto"/>
              <w:rPr>
                <w:b/>
              </w:rPr>
            </w:pPr>
            <w:bookmarkStart w:id="4" w:name="title"/>
            <w:bookmarkEnd w:id="4"/>
            <w:r>
              <w:rPr>
                <w:b/>
              </w:rPr>
              <w:t>OPINION ON REVIEW</w:t>
            </w:r>
          </w:p>
          <w:p w:rsidR="004F16D9" w:rsidRPr="009216E0" w:rsidRDefault="004F16D9" w:rsidP="00E57C8C">
            <w:pPr>
              <w:spacing w:line="240" w:lineRule="auto"/>
              <w:rPr>
                <w:b/>
              </w:rPr>
            </w:pPr>
          </w:p>
        </w:tc>
      </w:tr>
    </w:tbl>
    <w:p w:rsidR="0008207F" w:rsidRDefault="0008207F" w:rsidP="00E33BA2"/>
    <w:p w:rsidR="00E0117B" w:rsidRDefault="00E70192" w:rsidP="00E33BA2">
      <w:r>
        <w:tab/>
      </w:r>
      <w:r w:rsidR="00663459">
        <w:t>R</w:t>
      </w:r>
      <w:r>
        <w:t xml:space="preserve">espondent Maximilian J. B. Hopkins </w:t>
      </w:r>
      <w:r w:rsidR="00663459">
        <w:t xml:space="preserve">was admitted to the practice of law in California in 1988 and has no prior record of discipline.  However, in </w:t>
      </w:r>
      <w:r w:rsidR="00C50E04">
        <w:t xml:space="preserve">four </w:t>
      </w:r>
      <w:r w:rsidR="00AA319C">
        <w:t>matters</w:t>
      </w:r>
      <w:r w:rsidR="00663459">
        <w:t>, he has been found culpable of serious misconduct</w:t>
      </w:r>
      <w:r w:rsidR="001A6EBD">
        <w:t xml:space="preserve"> that</w:t>
      </w:r>
      <w:r w:rsidR="00663459">
        <w:t xml:space="preserve"> span</w:t>
      </w:r>
      <w:r w:rsidR="001A6EBD">
        <w:t>s</w:t>
      </w:r>
      <w:r w:rsidR="00663459">
        <w:t xml:space="preserve"> </w:t>
      </w:r>
      <w:r w:rsidR="00E220F3">
        <w:t xml:space="preserve">the years </w:t>
      </w:r>
      <w:r w:rsidR="00663459">
        <w:t>2002</w:t>
      </w:r>
      <w:r w:rsidR="00E220F3">
        <w:t xml:space="preserve"> to </w:t>
      </w:r>
      <w:r w:rsidR="00663459">
        <w:t xml:space="preserve">2006.  In the most serious matter, Hopkins </w:t>
      </w:r>
      <w:r>
        <w:t>mis</w:t>
      </w:r>
      <w:r w:rsidR="00C23B28">
        <w:t>appropriated at least $69,000</w:t>
      </w:r>
      <w:r>
        <w:t xml:space="preserve"> from his client</w:t>
      </w:r>
      <w:r w:rsidR="00E0117B">
        <w:t xml:space="preserve">.  </w:t>
      </w:r>
      <w:r w:rsidR="004A449F">
        <w:t xml:space="preserve">In </w:t>
      </w:r>
      <w:r w:rsidR="002D50D6">
        <w:t>three other matters, t</w:t>
      </w:r>
      <w:r w:rsidR="004A449F">
        <w:t>he</w:t>
      </w:r>
      <w:r w:rsidR="00E0117B">
        <w:t xml:space="preserve"> hearing judge found Hopkins </w:t>
      </w:r>
      <w:r w:rsidR="004A449F">
        <w:t xml:space="preserve">culpable of </w:t>
      </w:r>
      <w:r w:rsidR="002D50D6">
        <w:t>failing to communicate, failing to perform, failing to obey</w:t>
      </w:r>
      <w:r w:rsidR="003769E3">
        <w:t xml:space="preserve"> court orders, </w:t>
      </w:r>
      <w:r w:rsidR="00C50E04">
        <w:t xml:space="preserve">committing acts of </w:t>
      </w:r>
      <w:r w:rsidR="003769E3">
        <w:t xml:space="preserve">moral turpitude </w:t>
      </w:r>
      <w:r w:rsidR="002D50D6">
        <w:t>and two trust account violations.  After balancing the aggravating and mitigating factors, the hearing judge recommended disba</w:t>
      </w:r>
      <w:r w:rsidR="00C50E04">
        <w:t xml:space="preserve">rment. </w:t>
      </w:r>
    </w:p>
    <w:p w:rsidR="00E0117B" w:rsidRDefault="00E0117B" w:rsidP="00E33BA2">
      <w:r>
        <w:tab/>
        <w:t xml:space="preserve">Hopkins </w:t>
      </w:r>
      <w:r w:rsidR="00C50E04">
        <w:t xml:space="preserve">sought review.  While he </w:t>
      </w:r>
      <w:r>
        <w:t xml:space="preserve">does not </w:t>
      </w:r>
      <w:r w:rsidR="00C50E04">
        <w:t xml:space="preserve">challenge </w:t>
      </w:r>
      <w:r>
        <w:t>the hearing judge’s culpability findings</w:t>
      </w:r>
      <w:r w:rsidR="00663459">
        <w:t>,</w:t>
      </w:r>
      <w:r>
        <w:t xml:space="preserve"> </w:t>
      </w:r>
      <w:r w:rsidR="00C50E04">
        <w:t xml:space="preserve">he argues that </w:t>
      </w:r>
      <w:r>
        <w:t xml:space="preserve">disbarment </w:t>
      </w:r>
      <w:r w:rsidR="00C50E04">
        <w:t>is</w:t>
      </w:r>
      <w:r>
        <w:t xml:space="preserve"> “overly severe and unwarranted</w:t>
      </w:r>
      <w:r w:rsidR="00C50E04">
        <w:t>.</w:t>
      </w:r>
      <w:r>
        <w:t xml:space="preserve">” </w:t>
      </w:r>
      <w:r w:rsidR="00C50E04">
        <w:t xml:space="preserve"> </w:t>
      </w:r>
      <w:r>
        <w:t>The State Bar contends that disbarment is appropriate and urges us to adopt the hearing judge’s recommendation.</w:t>
      </w:r>
    </w:p>
    <w:p w:rsidR="00196200" w:rsidRDefault="00E0117B" w:rsidP="00E33BA2">
      <w:r>
        <w:tab/>
      </w:r>
      <w:r w:rsidRPr="00E0117B">
        <w:t>Upon independent review of the record (</w:t>
      </w:r>
      <w:r w:rsidRPr="00E0117B">
        <w:rPr>
          <w:i/>
        </w:rPr>
        <w:t>In re Morse</w:t>
      </w:r>
      <w:r w:rsidRPr="00E0117B">
        <w:t xml:space="preserve"> (1995) 11 Cal.4th 184, 207), we adopt </w:t>
      </w:r>
      <w:r>
        <w:t xml:space="preserve">most of the </w:t>
      </w:r>
      <w:r w:rsidRPr="00E0117B">
        <w:t>h</w:t>
      </w:r>
      <w:r>
        <w:t>earing judge’s findings of fact</w:t>
      </w:r>
      <w:r w:rsidR="001A1686">
        <w:t xml:space="preserve"> and conclusions of law</w:t>
      </w:r>
      <w:r w:rsidR="003348C3">
        <w:t xml:space="preserve">, as </w:t>
      </w:r>
      <w:r>
        <w:t>summarize</w:t>
      </w:r>
      <w:r w:rsidR="003348C3">
        <w:t>d</w:t>
      </w:r>
      <w:r>
        <w:t xml:space="preserve"> below.</w:t>
      </w:r>
      <w:r w:rsidR="003C0E0B">
        <w:t xml:space="preserve">  </w:t>
      </w:r>
      <w:r w:rsidR="00F62680">
        <w:t>W</w:t>
      </w:r>
      <w:r w:rsidR="003C0E0B">
        <w:t xml:space="preserve">e </w:t>
      </w:r>
      <w:r w:rsidR="004D3838">
        <w:t xml:space="preserve">also </w:t>
      </w:r>
      <w:r w:rsidR="003C0E0B">
        <w:t xml:space="preserve">find </w:t>
      </w:r>
      <w:r w:rsidR="00F62680">
        <w:t xml:space="preserve">an additional factor in aggravation </w:t>
      </w:r>
      <w:r w:rsidR="004D3838">
        <w:t xml:space="preserve">based on the harm Hopkins caused one client, </w:t>
      </w:r>
      <w:r w:rsidR="00F62680">
        <w:t xml:space="preserve">and we </w:t>
      </w:r>
      <w:r w:rsidR="00155D44">
        <w:t xml:space="preserve">find fewer factors in mitigation.  </w:t>
      </w:r>
      <w:r w:rsidR="00C23B28">
        <w:t>Ultimately, we</w:t>
      </w:r>
      <w:r w:rsidR="00F62680">
        <w:t xml:space="preserve"> agree with </w:t>
      </w:r>
      <w:r w:rsidR="00155D44">
        <w:t xml:space="preserve">the hearing judge’s conclusion and </w:t>
      </w:r>
      <w:r w:rsidR="00C23B28">
        <w:t>recommend that Hopkins be disbarred</w:t>
      </w:r>
      <w:r w:rsidR="00F62680">
        <w:t>.</w:t>
      </w:r>
      <w:r w:rsidR="003C0E0B">
        <w:t xml:space="preserve">  </w:t>
      </w:r>
      <w:r>
        <w:t xml:space="preserve">  </w:t>
      </w:r>
    </w:p>
    <w:p w:rsidR="004D3838" w:rsidRDefault="004D3838" w:rsidP="00E33BA2"/>
    <w:p w:rsidR="0008207F" w:rsidRDefault="0008207F" w:rsidP="0008207F">
      <w:pPr>
        <w:jc w:val="center"/>
        <w:rPr>
          <w:b/>
        </w:rPr>
      </w:pPr>
      <w:r w:rsidRPr="0008207F">
        <w:rPr>
          <w:b/>
        </w:rPr>
        <w:lastRenderedPageBreak/>
        <w:t>I.  FINDINGS OF FACT AND CONCLUSIONS OF LAW</w:t>
      </w:r>
    </w:p>
    <w:p w:rsidR="0008207F" w:rsidRPr="0008207F" w:rsidRDefault="00DA26EC" w:rsidP="00E33BA2">
      <w:pPr>
        <w:rPr>
          <w:b/>
        </w:rPr>
      </w:pPr>
      <w:r>
        <w:rPr>
          <w:b/>
        </w:rPr>
        <w:t>A.</w:t>
      </w:r>
      <w:r>
        <w:rPr>
          <w:b/>
        </w:rPr>
        <w:tab/>
      </w:r>
      <w:r w:rsidR="009402A2">
        <w:rPr>
          <w:b/>
        </w:rPr>
        <w:t>THE JAKUBICEK MATTER</w:t>
      </w:r>
      <w:r>
        <w:rPr>
          <w:b/>
        </w:rPr>
        <w:t xml:space="preserve"> (Ca</w:t>
      </w:r>
      <w:r w:rsidRPr="0008207F">
        <w:rPr>
          <w:b/>
        </w:rPr>
        <w:t>se Number 03-O-04580</w:t>
      </w:r>
      <w:r>
        <w:rPr>
          <w:b/>
        </w:rPr>
        <w:t>)</w:t>
      </w:r>
    </w:p>
    <w:p w:rsidR="005C05F4" w:rsidRDefault="005C05F4" w:rsidP="005C05F4">
      <w:r>
        <w:tab/>
        <w:t>Neither party disput</w:t>
      </w:r>
      <w:r w:rsidR="00E83758">
        <w:t>es that Hopkins is culpable of c</w:t>
      </w:r>
      <w:r>
        <w:t>ounts 1 (A), (B) and (C)</w:t>
      </w:r>
      <w:r w:rsidR="00E83758">
        <w:t xml:space="preserve"> as charged in the Jakubicek matter</w:t>
      </w:r>
      <w:r>
        <w:t xml:space="preserve">.  </w:t>
      </w:r>
      <w:r w:rsidR="00E83758">
        <w:t>Further, t</w:t>
      </w:r>
      <w:r>
        <w:t xml:space="preserve">he record supports the hearing judge’s factual findings and culpability conclusions, and as summarized below, we adopt them.  </w:t>
      </w:r>
    </w:p>
    <w:p w:rsidR="005622C6" w:rsidRDefault="00D37879" w:rsidP="00C11CC8">
      <w:r>
        <w:tab/>
        <w:t>On February 14, 2002, Trieste L. Reis</w:t>
      </w:r>
      <w:r w:rsidR="005C05F4">
        <w:t xml:space="preserve"> (</w:t>
      </w:r>
      <w:r>
        <w:t xml:space="preserve">who </w:t>
      </w:r>
      <w:r w:rsidR="00EC220B">
        <w:t xml:space="preserve">now </w:t>
      </w:r>
      <w:r w:rsidR="00E83758">
        <w:t>u</w:t>
      </w:r>
      <w:r>
        <w:t>ses her maiden name Jakubicek</w:t>
      </w:r>
      <w:r w:rsidR="005C05F4">
        <w:t>)</w:t>
      </w:r>
      <w:r>
        <w:t xml:space="preserve"> retained Hopkins </w:t>
      </w:r>
      <w:r w:rsidR="00E83758">
        <w:t xml:space="preserve">for </w:t>
      </w:r>
      <w:r w:rsidR="00FD3C32">
        <w:t xml:space="preserve">her divorce </w:t>
      </w:r>
      <w:r w:rsidR="00737D40">
        <w:t>from Kenneth C. Reis.</w:t>
      </w:r>
      <w:r w:rsidR="00FD3C32">
        <w:t xml:space="preserve">  </w:t>
      </w:r>
      <w:r w:rsidR="00E83758">
        <w:t xml:space="preserve">At the time </w:t>
      </w:r>
      <w:r w:rsidR="00737D40">
        <w:t>he</w:t>
      </w:r>
      <w:r w:rsidR="00E83758">
        <w:t xml:space="preserve"> was r</w:t>
      </w:r>
      <w:r w:rsidR="004C5FE9">
        <w:t xml:space="preserve">etained, the superior court had already awarded </w:t>
      </w:r>
      <w:r w:rsidR="00E83758">
        <w:t>Jakubicek</w:t>
      </w:r>
      <w:r w:rsidR="004C5FE9">
        <w:t xml:space="preserve"> $74,251.93 from the sale of the community property residence.  Th</w:t>
      </w:r>
      <w:r w:rsidR="005C05F4">
        <w:t>erefore</w:t>
      </w:r>
      <w:r w:rsidR="004C5FE9">
        <w:t xml:space="preserve">, </w:t>
      </w:r>
      <w:r w:rsidR="008518E6">
        <w:t xml:space="preserve">on </w:t>
      </w:r>
      <w:r w:rsidR="001756D4">
        <w:t xml:space="preserve">March 14, 2002, </w:t>
      </w:r>
      <w:r w:rsidR="00DC40BE">
        <w:t xml:space="preserve">Jakubicek’s former attorney sent Hopkins a </w:t>
      </w:r>
      <w:r w:rsidR="00DC40BE" w:rsidRPr="00FE5B81">
        <w:t xml:space="preserve">$74,251.93 </w:t>
      </w:r>
      <w:r w:rsidR="00DC40BE">
        <w:t>check made payable to Hopkins “in trust for Trieste L. and Kenneth C. Reis</w:t>
      </w:r>
      <w:r w:rsidR="005C05F4">
        <w:t>.</w:t>
      </w:r>
      <w:r w:rsidR="00DC40BE">
        <w:t>”</w:t>
      </w:r>
      <w:r w:rsidR="00A64944">
        <w:t xml:space="preserve">  </w:t>
      </w:r>
      <w:r w:rsidR="005622C6">
        <w:t xml:space="preserve">Hopkins </w:t>
      </w:r>
      <w:r w:rsidR="00E1149C" w:rsidRPr="00FE5B81">
        <w:t xml:space="preserve">deposited </w:t>
      </w:r>
      <w:r w:rsidR="00E1149C">
        <w:t xml:space="preserve">the </w:t>
      </w:r>
      <w:r w:rsidR="00E1149C" w:rsidRPr="00FE5B81">
        <w:t xml:space="preserve">check </w:t>
      </w:r>
      <w:r w:rsidR="005622C6">
        <w:t xml:space="preserve">into his </w:t>
      </w:r>
      <w:r w:rsidR="005C05F4">
        <w:t>client trust account (</w:t>
      </w:r>
      <w:r w:rsidR="005622C6">
        <w:t>CTA</w:t>
      </w:r>
      <w:r w:rsidR="005C05F4">
        <w:t>)</w:t>
      </w:r>
      <w:r w:rsidR="005622C6">
        <w:t xml:space="preserve">, knowing that </w:t>
      </w:r>
      <w:r w:rsidR="008D62A0">
        <w:t xml:space="preserve">the </w:t>
      </w:r>
      <w:r w:rsidR="005622C6">
        <w:t xml:space="preserve">funds could not be </w:t>
      </w:r>
      <w:r w:rsidR="00E1149C" w:rsidRPr="007A1B3F">
        <w:t xml:space="preserve">released to Jakubicek until the superior court signed and filed the judgment.  The superior court did not </w:t>
      </w:r>
      <w:r w:rsidR="00737D40">
        <w:t>do so</w:t>
      </w:r>
      <w:r w:rsidR="00E1149C" w:rsidRPr="007A1B3F">
        <w:t xml:space="preserve"> until February 6, 2003.</w:t>
      </w:r>
      <w:r w:rsidR="00E1149C">
        <w:t xml:space="preserve"> </w:t>
      </w:r>
    </w:p>
    <w:p w:rsidR="005C05F4" w:rsidRDefault="005C05F4" w:rsidP="00C11CC8">
      <w:r>
        <w:tab/>
      </w:r>
      <w:r w:rsidR="00BA180B">
        <w:t xml:space="preserve">Shortly </w:t>
      </w:r>
      <w:r w:rsidR="00E83758">
        <w:t xml:space="preserve">after depositing the check, </w:t>
      </w:r>
      <w:r w:rsidR="00EB3D53">
        <w:t xml:space="preserve">Hopkins </w:t>
      </w:r>
      <w:r w:rsidR="00BA180B">
        <w:t xml:space="preserve">began to misappropriate the funds </w:t>
      </w:r>
      <w:r w:rsidR="00B34B94">
        <w:t>from his CTA</w:t>
      </w:r>
      <w:r w:rsidR="00EB3D53">
        <w:t xml:space="preserve">.  </w:t>
      </w:r>
      <w:r w:rsidR="00737D40">
        <w:t>T</w:t>
      </w:r>
      <w:r w:rsidR="00B34B94">
        <w:t xml:space="preserve">o conceal his misconduct, </w:t>
      </w:r>
      <w:r w:rsidR="00EB3D53">
        <w:t xml:space="preserve">Hopkins </w:t>
      </w:r>
      <w:r w:rsidR="00B34B94">
        <w:t>provided Jakubicek with</w:t>
      </w:r>
      <w:r w:rsidR="00EB3D53">
        <w:t xml:space="preserve"> monthly billing statements</w:t>
      </w:r>
      <w:r w:rsidR="00B34B94">
        <w:t xml:space="preserve">, misrepresenting </w:t>
      </w:r>
      <w:r w:rsidR="00EB3D53">
        <w:t>that</w:t>
      </w:r>
      <w:r w:rsidR="00B34B94">
        <w:t xml:space="preserve"> he either had the entire amount in his CTA or an appropriate amount minus </w:t>
      </w:r>
      <w:r w:rsidR="00BA180B">
        <w:t>authorized</w:t>
      </w:r>
      <w:r w:rsidR="00B34B94">
        <w:t xml:space="preserve"> withdraw</w:t>
      </w:r>
      <w:r w:rsidR="00737D40">
        <w:t>al</w:t>
      </w:r>
      <w:r w:rsidR="00B34B94">
        <w:t>s</w:t>
      </w:r>
      <w:r w:rsidR="00BA180B">
        <w:t xml:space="preserve">.  According to his </w:t>
      </w:r>
      <w:r w:rsidR="00CD4E2B">
        <w:t xml:space="preserve">false </w:t>
      </w:r>
      <w:r w:rsidR="00BA180B">
        <w:t xml:space="preserve">billing statements, Hopkins claimed he made only </w:t>
      </w:r>
      <w:r w:rsidR="00556757">
        <w:t xml:space="preserve">the following </w:t>
      </w:r>
      <w:r w:rsidR="00DB70B1">
        <w:t xml:space="preserve">six </w:t>
      </w:r>
      <w:r w:rsidR="00556757">
        <w:t>withdraw</w:t>
      </w:r>
      <w:r w:rsidR="00737D40">
        <w:t>al</w:t>
      </w:r>
      <w:r w:rsidR="00556757">
        <w:t>s</w:t>
      </w:r>
      <w:r w:rsidR="00DB70B1">
        <w:t xml:space="preserve"> </w:t>
      </w:r>
      <w:r w:rsidR="00CD4E2B">
        <w:t xml:space="preserve">over the course of his representation </w:t>
      </w:r>
      <w:r w:rsidR="00DB70B1">
        <w:t xml:space="preserve">and </w:t>
      </w:r>
      <w:r w:rsidR="00556757">
        <w:t>maintain</w:t>
      </w:r>
      <w:r w:rsidR="00DB70B1">
        <w:t>ed</w:t>
      </w:r>
      <w:r w:rsidR="00BA180B">
        <w:t xml:space="preserve"> the CTA balance as indicated:</w:t>
      </w:r>
    </w:p>
    <w:p w:rsidR="005C05F4" w:rsidRDefault="005C05F4" w:rsidP="005C05F4">
      <w:pPr>
        <w:pStyle w:val="ListParagraph"/>
        <w:numPr>
          <w:ilvl w:val="0"/>
          <w:numId w:val="16"/>
        </w:numPr>
      </w:pPr>
      <w:r>
        <w:t xml:space="preserve">$3,669.02 </w:t>
      </w:r>
      <w:r w:rsidR="00B34B94">
        <w:t xml:space="preserve">for </w:t>
      </w:r>
      <w:r w:rsidR="003176BB">
        <w:t xml:space="preserve">his </w:t>
      </w:r>
      <w:r w:rsidR="00B34B94">
        <w:t>attorney fees</w:t>
      </w:r>
      <w:r w:rsidR="00CD4E2B">
        <w:t xml:space="preserve"> on January 15, 2003</w:t>
      </w:r>
      <w:r>
        <w:t xml:space="preserve">, </w:t>
      </w:r>
      <w:r w:rsidR="00556757">
        <w:t xml:space="preserve">CTA </w:t>
      </w:r>
      <w:r>
        <w:t>balance $70,582.91</w:t>
      </w:r>
    </w:p>
    <w:p w:rsidR="005C05F4" w:rsidRDefault="005C05F4" w:rsidP="005C05F4">
      <w:pPr>
        <w:pStyle w:val="ListParagraph"/>
        <w:numPr>
          <w:ilvl w:val="0"/>
          <w:numId w:val="16"/>
        </w:numPr>
      </w:pPr>
      <w:r>
        <w:t xml:space="preserve">$38,175.07 </w:t>
      </w:r>
      <w:r w:rsidR="00BA180B">
        <w:t>to</w:t>
      </w:r>
      <w:r w:rsidR="00B34B94">
        <w:t xml:space="preserve"> Jakubicek’s boyfriend</w:t>
      </w:r>
      <w:r w:rsidR="00CD4E2B">
        <w:t xml:space="preserve"> on March 15, 2003</w:t>
      </w:r>
      <w:r>
        <w:t>,</w:t>
      </w:r>
      <w:r w:rsidR="003176BB">
        <w:rPr>
          <w:rStyle w:val="FootnoteReference"/>
        </w:rPr>
        <w:footnoteReference w:id="2"/>
      </w:r>
      <w:r>
        <w:t xml:space="preserve"> </w:t>
      </w:r>
      <w:r w:rsidR="00556757">
        <w:t>CTA</w:t>
      </w:r>
      <w:r>
        <w:t xml:space="preserve"> balance $32,407.84</w:t>
      </w:r>
    </w:p>
    <w:p w:rsidR="00B34B94" w:rsidRDefault="00B34B94" w:rsidP="005C05F4">
      <w:pPr>
        <w:pStyle w:val="ListParagraph"/>
        <w:numPr>
          <w:ilvl w:val="0"/>
          <w:numId w:val="16"/>
        </w:numPr>
      </w:pPr>
      <w:r>
        <w:lastRenderedPageBreak/>
        <w:t xml:space="preserve">$18,091.66 for </w:t>
      </w:r>
      <w:r w:rsidR="003176BB">
        <w:t xml:space="preserve">his </w:t>
      </w:r>
      <w:r>
        <w:t>attorney fees</w:t>
      </w:r>
      <w:r w:rsidR="00CD4E2B">
        <w:t xml:space="preserve"> on July 30, 2003</w:t>
      </w:r>
      <w:r>
        <w:t xml:space="preserve">, </w:t>
      </w:r>
      <w:r w:rsidR="00556757">
        <w:t>CTA</w:t>
      </w:r>
      <w:r>
        <w:t xml:space="preserve"> balance $14,316.18 </w:t>
      </w:r>
    </w:p>
    <w:p w:rsidR="00BA180B" w:rsidRDefault="00B34B94" w:rsidP="005C05F4">
      <w:pPr>
        <w:pStyle w:val="ListParagraph"/>
        <w:numPr>
          <w:ilvl w:val="0"/>
          <w:numId w:val="16"/>
        </w:numPr>
      </w:pPr>
      <w:r>
        <w:t xml:space="preserve">$5,000 </w:t>
      </w:r>
      <w:r w:rsidR="00BA180B">
        <w:t xml:space="preserve">to Jakubicek </w:t>
      </w:r>
      <w:r w:rsidR="00CD4E2B">
        <w:t>on August 15, 2003</w:t>
      </w:r>
      <w:r w:rsidR="00F96A87">
        <w:t xml:space="preserve">, </w:t>
      </w:r>
      <w:r w:rsidR="00556757">
        <w:t>CTA</w:t>
      </w:r>
      <w:r w:rsidR="00F96A87">
        <w:t xml:space="preserve"> balance $9,316.18</w:t>
      </w:r>
    </w:p>
    <w:p w:rsidR="00B34B94" w:rsidRDefault="00F96A87" w:rsidP="0082685A">
      <w:pPr>
        <w:pStyle w:val="ListParagraph"/>
        <w:numPr>
          <w:ilvl w:val="0"/>
          <w:numId w:val="16"/>
        </w:numPr>
        <w:spacing w:line="240" w:lineRule="auto"/>
        <w:ind w:left="835"/>
      </w:pPr>
      <w:r>
        <w:t>$</w:t>
      </w:r>
      <w:r w:rsidR="003176BB">
        <w:t xml:space="preserve">4,407 for his attorney fees and $4,909.18 to Jakubicek </w:t>
      </w:r>
      <w:r w:rsidR="00DB70B1">
        <w:t>as the remainder of funds</w:t>
      </w:r>
      <w:r w:rsidR="003176BB">
        <w:t>, leaving the CTA balance at zero</w:t>
      </w:r>
      <w:r w:rsidR="00CD4E2B">
        <w:t xml:space="preserve"> on September 9, 2003.</w:t>
      </w:r>
    </w:p>
    <w:p w:rsidR="0082685A" w:rsidRDefault="0082685A" w:rsidP="0082685A">
      <w:pPr>
        <w:pStyle w:val="ListParagraph"/>
        <w:spacing w:line="240" w:lineRule="auto"/>
        <w:ind w:left="835"/>
      </w:pPr>
    </w:p>
    <w:p w:rsidR="00BA180B" w:rsidRDefault="005622C6" w:rsidP="00C11CC8">
      <w:r>
        <w:tab/>
      </w:r>
      <w:r w:rsidR="00BA180B">
        <w:t xml:space="preserve">In fact, </w:t>
      </w:r>
      <w:r w:rsidR="00A64944">
        <w:t xml:space="preserve">Hopkins </w:t>
      </w:r>
      <w:r w:rsidR="00DB70B1">
        <w:t xml:space="preserve">wrote </w:t>
      </w:r>
      <w:r w:rsidR="00A64944">
        <w:t xml:space="preserve">numerous </w:t>
      </w:r>
      <w:r w:rsidR="00661EB6">
        <w:t xml:space="preserve">CTA </w:t>
      </w:r>
      <w:r w:rsidR="00A64944">
        <w:t>checks unr</w:t>
      </w:r>
      <w:r w:rsidR="00661EB6">
        <w:t>elated to Jakubicek</w:t>
      </w:r>
      <w:r w:rsidR="00DB70B1">
        <w:t>’s case</w:t>
      </w:r>
      <w:r w:rsidR="00BA180B">
        <w:t xml:space="preserve"> over the course of his representation, </w:t>
      </w:r>
      <w:r w:rsidR="00A64944">
        <w:t>caus</w:t>
      </w:r>
      <w:r w:rsidR="00BA180B">
        <w:t>ing</w:t>
      </w:r>
      <w:r w:rsidR="00A64944">
        <w:t xml:space="preserve"> the balance to repeatedly fall below </w:t>
      </w:r>
      <w:r w:rsidR="00F96A87">
        <w:t>the amount</w:t>
      </w:r>
      <w:r w:rsidR="003176BB">
        <w:t>s</w:t>
      </w:r>
      <w:r w:rsidR="00F96A87">
        <w:t xml:space="preserve"> he was required to hold in trust.  </w:t>
      </w:r>
      <w:r w:rsidR="005448FD">
        <w:t>For example</w:t>
      </w:r>
      <w:r w:rsidR="003176BB">
        <w:t>,</w:t>
      </w:r>
      <w:r w:rsidR="005448FD">
        <w:t xml:space="preserve"> on November 29, 2002, </w:t>
      </w:r>
      <w:r w:rsidR="00E83758">
        <w:t xml:space="preserve">when </w:t>
      </w:r>
      <w:r w:rsidR="00F96A87">
        <w:t>the entire $74,251.93</w:t>
      </w:r>
      <w:r w:rsidR="003176BB">
        <w:t xml:space="preserve"> should have been in the CTA</w:t>
      </w:r>
      <w:r w:rsidR="00F96A87">
        <w:t xml:space="preserve">, </w:t>
      </w:r>
      <w:r w:rsidR="005448FD">
        <w:t xml:space="preserve">the balance </w:t>
      </w:r>
      <w:r w:rsidR="003176BB">
        <w:t>was</w:t>
      </w:r>
      <w:r w:rsidR="005448FD">
        <w:t xml:space="preserve"> $5,221</w:t>
      </w:r>
      <w:r w:rsidR="00BC526E">
        <w:t>.82</w:t>
      </w:r>
      <w:r w:rsidR="001572DC">
        <w:t xml:space="preserve">.  </w:t>
      </w:r>
      <w:r w:rsidR="00556757">
        <w:t>O</w:t>
      </w:r>
      <w:r w:rsidR="00F96A87">
        <w:t>n April 30, 2003, when</w:t>
      </w:r>
      <w:r w:rsidR="00556757">
        <w:t xml:space="preserve"> at least $32,407 should have been maintained, the balance dropped as low as $108.78.</w:t>
      </w:r>
    </w:p>
    <w:p w:rsidR="00F87A1D" w:rsidRDefault="00BA180B" w:rsidP="00C11CC8">
      <w:r>
        <w:tab/>
      </w:r>
      <w:r w:rsidR="00FF2DFA">
        <w:t xml:space="preserve">Jakubicek terminated Hopkins in September 2003.  On the day Jakubicek went to pick up her file and </w:t>
      </w:r>
      <w:r w:rsidR="00626138">
        <w:t xml:space="preserve">the </w:t>
      </w:r>
      <w:r w:rsidR="003D33BA">
        <w:t xml:space="preserve">remaining </w:t>
      </w:r>
      <w:r w:rsidR="00FF2DFA">
        <w:t>funds Hopki</w:t>
      </w:r>
      <w:r w:rsidR="008D62A0">
        <w:t xml:space="preserve">ns held in trust, </w:t>
      </w:r>
      <w:r w:rsidR="00F13029">
        <w:t>he</w:t>
      </w:r>
      <w:r w:rsidR="008D62A0">
        <w:t xml:space="preserve"> </w:t>
      </w:r>
      <w:r w:rsidR="00FF2DFA">
        <w:t xml:space="preserve">gave her a </w:t>
      </w:r>
      <w:r w:rsidR="00F96A87">
        <w:t xml:space="preserve">final </w:t>
      </w:r>
      <w:r w:rsidR="0074701A">
        <w:t xml:space="preserve">billing statement and </w:t>
      </w:r>
      <w:r w:rsidR="00E83758">
        <w:t>a</w:t>
      </w:r>
      <w:r w:rsidR="00556757">
        <w:t xml:space="preserve"> </w:t>
      </w:r>
      <w:r w:rsidR="00FF2DFA">
        <w:t>check for $4,909.</w:t>
      </w:r>
      <w:r w:rsidR="00162218">
        <w:t xml:space="preserve">  </w:t>
      </w:r>
      <w:r w:rsidR="004D3838">
        <w:t xml:space="preserve">Hopkins claimed he withdrew the remaining $4,407 for fees.  </w:t>
      </w:r>
      <w:r w:rsidR="0074701A">
        <w:t>B</w:t>
      </w:r>
      <w:r w:rsidR="00626138">
        <w:t xml:space="preserve">ecause Jakubicek </w:t>
      </w:r>
      <w:r w:rsidR="00F13029">
        <w:t>believed</w:t>
      </w:r>
      <w:r w:rsidR="00162218">
        <w:t xml:space="preserve"> that she had been double</w:t>
      </w:r>
      <w:r w:rsidR="00F13029">
        <w:t>-</w:t>
      </w:r>
      <w:r w:rsidR="00162218">
        <w:t xml:space="preserve"> and triple-billed</w:t>
      </w:r>
      <w:r w:rsidR="00E83758">
        <w:t>,</w:t>
      </w:r>
      <w:r w:rsidR="003769E3">
        <w:t xml:space="preserve"> and she </w:t>
      </w:r>
      <w:r w:rsidR="00F56F8F">
        <w:t xml:space="preserve">claimed she </w:t>
      </w:r>
      <w:r w:rsidR="003769E3">
        <w:t xml:space="preserve">never authorized the transfer of funds to </w:t>
      </w:r>
      <w:r w:rsidR="00556757">
        <w:t xml:space="preserve">her boyfriend, </w:t>
      </w:r>
      <w:r w:rsidR="00162218">
        <w:t>she and Ho</w:t>
      </w:r>
      <w:r w:rsidR="00F77FE1">
        <w:t xml:space="preserve">pkins </w:t>
      </w:r>
      <w:r w:rsidR="00AC400A">
        <w:t>agreed</w:t>
      </w:r>
      <w:r w:rsidR="00F77FE1">
        <w:t xml:space="preserve"> to fee arbitration.  </w:t>
      </w:r>
      <w:r w:rsidR="00750263">
        <w:t>The arbitrator awarded Jakubicek $5,630</w:t>
      </w:r>
      <w:r w:rsidR="00556757">
        <w:t xml:space="preserve">, finding that </w:t>
      </w:r>
      <w:r w:rsidR="00D85E9F">
        <w:t xml:space="preserve">Hopkins </w:t>
      </w:r>
      <w:r w:rsidR="003D33BA">
        <w:t xml:space="preserve">did </w:t>
      </w:r>
      <w:r w:rsidR="00D85E9F">
        <w:t>overcharge her</w:t>
      </w:r>
      <w:r w:rsidR="00847200">
        <w:t>, but</w:t>
      </w:r>
      <w:r w:rsidR="008D62A0">
        <w:t xml:space="preserve"> </w:t>
      </w:r>
      <w:r w:rsidR="003D33BA">
        <w:t xml:space="preserve">declined to </w:t>
      </w:r>
      <w:r w:rsidR="008D62A0">
        <w:t xml:space="preserve">decide whether Jakubicek </w:t>
      </w:r>
      <w:r w:rsidR="00847200">
        <w:t xml:space="preserve">had </w:t>
      </w:r>
      <w:r w:rsidR="008D62A0">
        <w:t xml:space="preserve">instructed Hopkins to transfer $38,175.07 to </w:t>
      </w:r>
      <w:r w:rsidR="00556757">
        <w:t>her boyfriend</w:t>
      </w:r>
      <w:r w:rsidR="00F56F8F">
        <w:t xml:space="preserve">.  </w:t>
      </w:r>
      <w:r w:rsidR="00556757">
        <w:t>The arbitrator</w:t>
      </w:r>
      <w:r w:rsidR="00F56F8F">
        <w:t xml:space="preserve"> </w:t>
      </w:r>
      <w:r w:rsidR="00C54DDD">
        <w:t xml:space="preserve">determined </w:t>
      </w:r>
      <w:r w:rsidR="00847200">
        <w:t xml:space="preserve">that </w:t>
      </w:r>
      <w:r w:rsidR="00F617A1">
        <w:t xml:space="preserve">the </w:t>
      </w:r>
      <w:r w:rsidR="00847200">
        <w:t>issue</w:t>
      </w:r>
      <w:r w:rsidR="00C54DDD">
        <w:t xml:space="preserve"> </w:t>
      </w:r>
      <w:r w:rsidR="003D33BA">
        <w:t xml:space="preserve">was not </w:t>
      </w:r>
      <w:r w:rsidR="00C54DDD">
        <w:t>a fee dispute</w:t>
      </w:r>
      <w:r w:rsidR="00556757">
        <w:t>,</w:t>
      </w:r>
      <w:r w:rsidR="00C54DDD">
        <w:t xml:space="preserve"> but</w:t>
      </w:r>
      <w:r w:rsidR="00556757">
        <w:t xml:space="preserve"> </w:t>
      </w:r>
      <w:r w:rsidR="00F617A1">
        <w:t>a</w:t>
      </w:r>
      <w:r w:rsidR="001A1686">
        <w:t>n issue of</w:t>
      </w:r>
      <w:r w:rsidR="003D33BA">
        <w:t xml:space="preserve"> whether </w:t>
      </w:r>
      <w:r w:rsidR="00847200">
        <w:t xml:space="preserve">the </w:t>
      </w:r>
      <w:r w:rsidR="00C54DDD">
        <w:t>trust account funds</w:t>
      </w:r>
      <w:r w:rsidR="00F56F8F">
        <w:t xml:space="preserve"> </w:t>
      </w:r>
      <w:r w:rsidR="00847200">
        <w:t>had been</w:t>
      </w:r>
      <w:r w:rsidR="003D33BA">
        <w:t xml:space="preserve"> handled </w:t>
      </w:r>
      <w:r w:rsidR="00847200">
        <w:t xml:space="preserve">properly, which was a matter for </w:t>
      </w:r>
      <w:r w:rsidR="00C54DDD">
        <w:t>the State Bar</w:t>
      </w:r>
      <w:r w:rsidR="00847200">
        <w:t xml:space="preserve"> to decide</w:t>
      </w:r>
      <w:r w:rsidR="00C54DDD">
        <w:t>.</w:t>
      </w:r>
      <w:r w:rsidR="00FE1B92">
        <w:rPr>
          <w:rStyle w:val="FootnoteReference"/>
        </w:rPr>
        <w:footnoteReference w:id="3"/>
      </w:r>
      <w:r w:rsidR="00750263">
        <w:t xml:space="preserve"> </w:t>
      </w:r>
    </w:p>
    <w:p w:rsidR="008D62A0" w:rsidRDefault="008D62A0" w:rsidP="00C11CC8">
      <w:r>
        <w:tab/>
        <w:t xml:space="preserve">During the State Bar’s investigation into this matter, Hopkins provided copies of 10 checks </w:t>
      </w:r>
      <w:r w:rsidR="00313501">
        <w:t xml:space="preserve">totaling $41,159 </w:t>
      </w:r>
      <w:r>
        <w:t>drawn on his CTA</w:t>
      </w:r>
      <w:r w:rsidR="003D33BA">
        <w:t xml:space="preserve"> and claimed they </w:t>
      </w:r>
      <w:r>
        <w:t>were issued in connection with Jakubicek’s case</w:t>
      </w:r>
      <w:r w:rsidR="003D33BA">
        <w:t xml:space="preserve">.  However, </w:t>
      </w:r>
      <w:r>
        <w:t xml:space="preserve">only </w:t>
      </w:r>
      <w:r w:rsidR="003D33BA">
        <w:t>two</w:t>
      </w:r>
      <w:r>
        <w:t xml:space="preserve"> checks totaling $9,909 </w:t>
      </w:r>
      <w:r w:rsidR="00F617A1">
        <w:t>pertained</w:t>
      </w:r>
      <w:r>
        <w:t xml:space="preserve"> </w:t>
      </w:r>
      <w:r w:rsidR="003D33BA">
        <w:t xml:space="preserve">to </w:t>
      </w:r>
      <w:r>
        <w:t>the Jakubicek matter</w:t>
      </w:r>
      <w:r w:rsidR="003D33BA">
        <w:t xml:space="preserve"> and t</w:t>
      </w:r>
      <w:r>
        <w:t xml:space="preserve">he remaining </w:t>
      </w:r>
      <w:r w:rsidR="003D33BA">
        <w:t xml:space="preserve">eight </w:t>
      </w:r>
      <w:r>
        <w:t>checks were unrelated.</w:t>
      </w:r>
    </w:p>
    <w:p w:rsidR="006F406D" w:rsidRDefault="008D516F" w:rsidP="00C11CC8">
      <w:r>
        <w:lastRenderedPageBreak/>
        <w:tab/>
        <w:t xml:space="preserve">At the hearing, Hopkins testified that his wife </w:t>
      </w:r>
      <w:r w:rsidR="00B61D75">
        <w:t>was his bookkeeper until the summer of 2005</w:t>
      </w:r>
      <w:r w:rsidR="00DA26EC">
        <w:t xml:space="preserve">, and that she took </w:t>
      </w:r>
      <w:r w:rsidR="0016724F">
        <w:t xml:space="preserve">approximately $70,000 from the CTA </w:t>
      </w:r>
      <w:r w:rsidR="00EE0964">
        <w:t xml:space="preserve">by </w:t>
      </w:r>
      <w:r w:rsidR="0016724F">
        <w:t>signing che</w:t>
      </w:r>
      <w:r w:rsidR="00B61D75">
        <w:t>cks without his authorization.</w:t>
      </w:r>
      <w:r w:rsidR="00EE0964">
        <w:t xml:space="preserve">  </w:t>
      </w:r>
      <w:r w:rsidR="00B61D75">
        <w:t>H</w:t>
      </w:r>
      <w:r w:rsidR="00F617A1">
        <w:t>e</w:t>
      </w:r>
      <w:r w:rsidR="00B61D75">
        <w:t xml:space="preserve"> admitted that he was negligent for failing to closely monitor her bookkeeping duties. </w:t>
      </w:r>
      <w:r w:rsidR="00631CD6">
        <w:t xml:space="preserve"> </w:t>
      </w:r>
    </w:p>
    <w:p w:rsidR="00AA319C" w:rsidRDefault="00F96A87" w:rsidP="00AA319C">
      <w:pPr>
        <w:spacing w:line="240" w:lineRule="auto"/>
        <w:ind w:firstLine="720"/>
        <w:rPr>
          <w:b/>
        </w:rPr>
      </w:pPr>
      <w:r>
        <w:rPr>
          <w:b/>
        </w:rPr>
        <w:t>Count 1</w:t>
      </w:r>
      <w:r w:rsidRPr="00B71B7A">
        <w:rPr>
          <w:b/>
        </w:rPr>
        <w:t>(A)</w:t>
      </w:r>
      <w:r>
        <w:rPr>
          <w:b/>
        </w:rPr>
        <w:t xml:space="preserve"> – Failure to Maintain Funds in CTA (Rule</w:t>
      </w:r>
      <w:r w:rsidR="00AA319C">
        <w:rPr>
          <w:b/>
        </w:rPr>
        <w:t xml:space="preserve">s Prof. Conduct, </w:t>
      </w:r>
    </w:p>
    <w:p w:rsidR="00F96A87" w:rsidRDefault="00EC220B" w:rsidP="00AA319C">
      <w:pPr>
        <w:spacing w:line="240" w:lineRule="auto"/>
        <w:ind w:firstLine="720"/>
        <w:rPr>
          <w:b/>
        </w:rPr>
      </w:pPr>
      <w:r>
        <w:rPr>
          <w:b/>
        </w:rPr>
        <w:tab/>
      </w:r>
      <w:r w:rsidR="00AA319C">
        <w:rPr>
          <w:b/>
        </w:rPr>
        <w:tab/>
        <w:t>rule</w:t>
      </w:r>
      <w:r w:rsidR="00F96A87">
        <w:rPr>
          <w:b/>
        </w:rPr>
        <w:t xml:space="preserve"> 4-100(A)</w:t>
      </w:r>
      <w:r w:rsidR="00F96A87" w:rsidRPr="002B3418">
        <w:rPr>
          <w:rStyle w:val="FootnoteReference"/>
          <w:b/>
        </w:rPr>
        <w:t xml:space="preserve"> </w:t>
      </w:r>
      <w:r w:rsidR="00F96A87">
        <w:rPr>
          <w:rStyle w:val="FootnoteReference"/>
          <w:b/>
        </w:rPr>
        <w:footnoteReference w:id="4"/>
      </w:r>
      <w:r w:rsidR="00F96A87">
        <w:rPr>
          <w:b/>
        </w:rPr>
        <w:t>)</w:t>
      </w:r>
    </w:p>
    <w:p w:rsidR="00F96A87" w:rsidRDefault="00AA319C" w:rsidP="00F96A87">
      <w:pPr>
        <w:spacing w:line="240" w:lineRule="auto"/>
        <w:rPr>
          <w:b/>
        </w:rPr>
      </w:pPr>
      <w:r>
        <w:rPr>
          <w:b/>
        </w:rPr>
        <w:tab/>
        <w:t>Count 1(B) – Moral Turpitude (Bus. &amp; Prof. Code, §</w:t>
      </w:r>
      <w:r w:rsidR="00F96A87">
        <w:rPr>
          <w:b/>
        </w:rPr>
        <w:t xml:space="preserve"> 6106</w:t>
      </w:r>
      <w:r w:rsidR="00F96A87">
        <w:rPr>
          <w:rStyle w:val="FootnoteReference"/>
          <w:b/>
        </w:rPr>
        <w:footnoteReference w:id="5"/>
      </w:r>
      <w:r w:rsidR="00F96A87">
        <w:rPr>
          <w:b/>
        </w:rPr>
        <w:t>)</w:t>
      </w:r>
    </w:p>
    <w:p w:rsidR="00F96A87" w:rsidRDefault="00F96A87" w:rsidP="00F96A87">
      <w:pPr>
        <w:spacing w:line="240" w:lineRule="auto"/>
        <w:rPr>
          <w:b/>
        </w:rPr>
      </w:pPr>
      <w:r>
        <w:rPr>
          <w:b/>
        </w:rPr>
        <w:tab/>
        <w:t>Count 1(C) – Moral Turpitude (</w:t>
      </w:r>
      <w:r w:rsidR="00AA319C">
        <w:rPr>
          <w:b/>
        </w:rPr>
        <w:t>§</w:t>
      </w:r>
      <w:r>
        <w:rPr>
          <w:b/>
        </w:rPr>
        <w:t xml:space="preserve"> 6106)</w:t>
      </w:r>
    </w:p>
    <w:p w:rsidR="00F96A87" w:rsidRDefault="00F96A87" w:rsidP="00F96A87">
      <w:pPr>
        <w:spacing w:line="240" w:lineRule="auto"/>
        <w:rPr>
          <w:b/>
        </w:rPr>
      </w:pPr>
    </w:p>
    <w:p w:rsidR="00F96A87" w:rsidRDefault="009160C9" w:rsidP="002B3418">
      <w:r>
        <w:tab/>
      </w:r>
      <w:r w:rsidR="00AC4D39">
        <w:t xml:space="preserve">Hopkins </w:t>
      </w:r>
      <w:r w:rsidR="00D3639B">
        <w:t>failed</w:t>
      </w:r>
      <w:r w:rsidR="00AC4D39">
        <w:t xml:space="preserve"> to maintain the entire $74,251.93 in his CTA for Jakubicek and Reis from </w:t>
      </w:r>
      <w:r w:rsidR="00313501">
        <w:t>March 14</w:t>
      </w:r>
      <w:r w:rsidR="00AC4D39">
        <w:t xml:space="preserve">, 2002 until the notice of entry of the superior court’s judgment was filed on </w:t>
      </w:r>
      <w:r w:rsidR="00A66562">
        <w:t xml:space="preserve">    </w:t>
      </w:r>
      <w:r w:rsidR="00AC4D39">
        <w:t>February 11, 2003.</w:t>
      </w:r>
      <w:r w:rsidR="00D3639B">
        <w:t xml:space="preserve">  Thus, Hopkins </w:t>
      </w:r>
      <w:r w:rsidR="00F96A87">
        <w:t>willfully violated r</w:t>
      </w:r>
      <w:r w:rsidR="00B228BB">
        <w:t>ule 4-100(A)</w:t>
      </w:r>
      <w:r w:rsidR="0082685A">
        <w:t xml:space="preserve">, which provides that all funds held for the benefit of a client must </w:t>
      </w:r>
      <w:r w:rsidR="004D3838">
        <w:t xml:space="preserve">be maintained in </w:t>
      </w:r>
      <w:r w:rsidR="0082685A">
        <w:t>a CTA</w:t>
      </w:r>
      <w:r w:rsidR="00D3639B">
        <w:t>.</w:t>
      </w:r>
    </w:p>
    <w:p w:rsidR="008A4A77" w:rsidRDefault="006A601C" w:rsidP="002B3418">
      <w:r>
        <w:rPr>
          <w:b/>
        </w:rPr>
        <w:tab/>
      </w:r>
      <w:r w:rsidR="00F01D90">
        <w:t>Hopkins admitted that he personally wrote and signed numerous checks from March 2002 through November 29, 2002, when the CTA fell to $5,221.82.</w:t>
      </w:r>
      <w:r w:rsidR="009160C9">
        <w:t xml:space="preserve">  He also admitted that he did not review his bank statements during this time period.  </w:t>
      </w:r>
      <w:r w:rsidR="00F01D90">
        <w:t>This evidence</w:t>
      </w:r>
      <w:r w:rsidR="001A1686">
        <w:t>,</w:t>
      </w:r>
      <w:r w:rsidR="00F617A1">
        <w:t xml:space="preserve"> and</w:t>
      </w:r>
      <w:r w:rsidR="00D005BF">
        <w:t xml:space="preserve"> the </w:t>
      </w:r>
      <w:r w:rsidR="00631CD6">
        <w:t xml:space="preserve">hearing judge’s finding that Hopkins’ </w:t>
      </w:r>
      <w:r w:rsidR="00F617A1">
        <w:t>claim</w:t>
      </w:r>
      <w:r w:rsidR="00F01D90">
        <w:t xml:space="preserve"> that his wife stole the money</w:t>
      </w:r>
      <w:r w:rsidR="00631CD6">
        <w:t xml:space="preserve"> lacked credibility</w:t>
      </w:r>
      <w:r w:rsidR="001A1686">
        <w:t>,</w:t>
      </w:r>
      <w:r>
        <w:t xml:space="preserve"> </w:t>
      </w:r>
      <w:r w:rsidR="00F01D90">
        <w:t xml:space="preserve">support a finding that Hopkins’ misappropriation </w:t>
      </w:r>
      <w:r w:rsidR="00DF23A0">
        <w:t xml:space="preserve">was a willful violation of </w:t>
      </w:r>
      <w:r w:rsidR="00270FCB">
        <w:t>section 6106</w:t>
      </w:r>
      <w:r w:rsidR="00DF23A0">
        <w:t xml:space="preserve">, which </w:t>
      </w:r>
      <w:r w:rsidR="0082685A">
        <w:t>prohibits any act involving moral turpitude, dishonesty or corruption</w:t>
      </w:r>
      <w:r w:rsidR="00270FCB">
        <w:t>.  (</w:t>
      </w:r>
      <w:r w:rsidR="00270FCB">
        <w:rPr>
          <w:i/>
        </w:rPr>
        <w:t>In the Matter of Priamos</w:t>
      </w:r>
      <w:r w:rsidR="00270FCB">
        <w:t xml:space="preserve"> (Review Dept. 1998) 3 Cal. State Bar Ct. Rptr. 824, </w:t>
      </w:r>
      <w:r w:rsidR="00483210">
        <w:t>829-830</w:t>
      </w:r>
      <w:r w:rsidR="00270FCB">
        <w:t xml:space="preserve"> [attorney’s willful misappropriation of trust funds usually compels conclusion of moral turpitude].)  </w:t>
      </w:r>
    </w:p>
    <w:p w:rsidR="001B620E" w:rsidRDefault="00270FCB" w:rsidP="00C11CC8">
      <w:r>
        <w:tab/>
      </w:r>
      <w:r w:rsidR="00F96A87">
        <w:t xml:space="preserve">Finally, </w:t>
      </w:r>
      <w:r w:rsidR="006A601C">
        <w:t>Hopkins falsely represented</w:t>
      </w:r>
      <w:r>
        <w:t xml:space="preserve"> to the State Bar that </w:t>
      </w:r>
      <w:r w:rsidR="00DF23A0">
        <w:t xml:space="preserve">the </w:t>
      </w:r>
      <w:r>
        <w:t xml:space="preserve">copies of CTA checks </w:t>
      </w:r>
      <w:r w:rsidR="006A601C">
        <w:t xml:space="preserve">he submitted </w:t>
      </w:r>
      <w:r>
        <w:t>were issued in connection with the Jakubicek matter.  The</w:t>
      </w:r>
      <w:r w:rsidR="006A601C">
        <w:t>se</w:t>
      </w:r>
      <w:r>
        <w:t xml:space="preserve"> representations were dishonest and meant to mislead the St</w:t>
      </w:r>
      <w:r w:rsidR="006A601C">
        <w:t xml:space="preserve">ate Bar.  Thus, </w:t>
      </w:r>
      <w:r w:rsidR="009B72FF">
        <w:t>Hopkins violated section 6106.</w:t>
      </w:r>
      <w:r w:rsidR="006A601C">
        <w:t xml:space="preserve"> </w:t>
      </w:r>
    </w:p>
    <w:p w:rsidR="008A4A77" w:rsidRDefault="0082685A" w:rsidP="00C11CC8">
      <w:pPr>
        <w:rPr>
          <w:b/>
        </w:rPr>
      </w:pPr>
      <w:r>
        <w:rPr>
          <w:b/>
        </w:rPr>
        <w:lastRenderedPageBreak/>
        <w:t>B.</w:t>
      </w:r>
      <w:r w:rsidR="00DA26EC">
        <w:rPr>
          <w:b/>
        </w:rPr>
        <w:tab/>
      </w:r>
      <w:r w:rsidR="009402A2">
        <w:rPr>
          <w:b/>
        </w:rPr>
        <w:t xml:space="preserve">THE LOPEZ MATTER </w:t>
      </w:r>
      <w:r w:rsidR="00DA26EC">
        <w:rPr>
          <w:b/>
        </w:rPr>
        <w:t>(Ca</w:t>
      </w:r>
      <w:r w:rsidR="00DA26EC" w:rsidRPr="0008207F">
        <w:rPr>
          <w:b/>
        </w:rPr>
        <w:t>se Number 0</w:t>
      </w:r>
      <w:r w:rsidR="0063062E">
        <w:rPr>
          <w:b/>
        </w:rPr>
        <w:t>6-O-13452)</w:t>
      </w:r>
    </w:p>
    <w:p w:rsidR="000B13F1" w:rsidRDefault="002659CA" w:rsidP="00C11CC8">
      <w:r>
        <w:rPr>
          <w:b/>
        </w:rPr>
        <w:tab/>
      </w:r>
      <w:r>
        <w:t>On October 25, 2005, Chris Lopez</w:t>
      </w:r>
      <w:r w:rsidR="00F4699F">
        <w:t>,</w:t>
      </w:r>
      <w:r>
        <w:t xml:space="preserve"> individually and as the principa</w:t>
      </w:r>
      <w:r w:rsidR="00626138">
        <w:t>l of Phoenix DVD and Games, Inc.</w:t>
      </w:r>
      <w:r>
        <w:t>, retained Hopkins</w:t>
      </w:r>
      <w:r w:rsidR="00F4699F">
        <w:t xml:space="preserve"> and paid him $1,250 in advanced fees</w:t>
      </w:r>
      <w:r>
        <w:t xml:space="preserve"> to purchase </w:t>
      </w:r>
      <w:r w:rsidR="00EB4AF8">
        <w:t xml:space="preserve">a </w:t>
      </w:r>
      <w:r w:rsidR="00B47014">
        <w:t>Bradley Video s</w:t>
      </w:r>
      <w:r w:rsidR="00D005BF">
        <w:t xml:space="preserve">tore.  </w:t>
      </w:r>
      <w:r w:rsidR="006C375B">
        <w:t xml:space="preserve">Hopkins </w:t>
      </w:r>
      <w:r w:rsidR="0067435F">
        <w:t>negotiated</w:t>
      </w:r>
      <w:r w:rsidR="006C375B">
        <w:t xml:space="preserve"> </w:t>
      </w:r>
      <w:r w:rsidR="00F4699F">
        <w:t xml:space="preserve">the purchase </w:t>
      </w:r>
      <w:r w:rsidR="006C375B">
        <w:t>with Robert Kaplan</w:t>
      </w:r>
      <w:r w:rsidR="0067435F">
        <w:t xml:space="preserve">, </w:t>
      </w:r>
      <w:r w:rsidR="00F4699F">
        <w:t>who</w:t>
      </w:r>
      <w:r w:rsidR="006C375B">
        <w:t xml:space="preserve"> </w:t>
      </w:r>
      <w:r w:rsidR="00AF03CA">
        <w:t xml:space="preserve">ultimately </w:t>
      </w:r>
      <w:r w:rsidR="006C375B">
        <w:t xml:space="preserve">rejected Lopez’s offer </w:t>
      </w:r>
      <w:r w:rsidR="00EB4AF8">
        <w:t xml:space="preserve">and instead sold </w:t>
      </w:r>
      <w:r w:rsidR="006C375B">
        <w:t xml:space="preserve">Bradley Video’s </w:t>
      </w:r>
      <w:r w:rsidR="000B7AC2">
        <w:t xml:space="preserve">assets to </w:t>
      </w:r>
      <w:r w:rsidR="00370A20">
        <w:t>Phoenix Restructuring Group</w:t>
      </w:r>
      <w:r w:rsidR="00E64E29">
        <w:t xml:space="preserve">.  Since Lopez </w:t>
      </w:r>
      <w:r w:rsidR="00EB4AF8">
        <w:t xml:space="preserve">was unable to </w:t>
      </w:r>
      <w:r w:rsidR="00AF03CA">
        <w:t>buy</w:t>
      </w:r>
      <w:r w:rsidR="00EB4AF8">
        <w:t xml:space="preserve"> the store, </w:t>
      </w:r>
      <w:r w:rsidR="00AF03CA">
        <w:t>he</w:t>
      </w:r>
      <w:r w:rsidR="00370A20">
        <w:t xml:space="preserve"> agreed </w:t>
      </w:r>
      <w:r w:rsidR="00626138">
        <w:t xml:space="preserve">to </w:t>
      </w:r>
      <w:r w:rsidR="00370A20">
        <w:t xml:space="preserve">work for </w:t>
      </w:r>
      <w:r w:rsidR="000B7AC2">
        <w:t>Mark Jasperson</w:t>
      </w:r>
      <w:r w:rsidR="00EB4AF8">
        <w:t xml:space="preserve"> </w:t>
      </w:r>
      <w:r w:rsidR="000B7AC2">
        <w:t>and Phoenix Restructuring Group.  Lopez paid Hopkins an additional $5,000 in advanced legal fees to negotiate an employment contract between Lopez and Jasperson.</w:t>
      </w:r>
      <w:r w:rsidR="00A56E93">
        <w:t xml:space="preserve">  </w:t>
      </w:r>
      <w:r w:rsidR="000B13F1">
        <w:t xml:space="preserve">On December 13, 2005, Hopkins sent Jasperson a letter </w:t>
      </w:r>
      <w:r w:rsidR="00AF03CA">
        <w:t>discussing</w:t>
      </w:r>
      <w:r w:rsidR="000B13F1">
        <w:t xml:space="preserve"> employment terms.</w:t>
      </w:r>
    </w:p>
    <w:p w:rsidR="00370A20" w:rsidRDefault="000B13F1" w:rsidP="00C11CC8">
      <w:r>
        <w:tab/>
      </w:r>
      <w:r w:rsidR="002018E7" w:rsidRPr="002018E7">
        <w:t xml:space="preserve">On December 20, 2005, </w:t>
      </w:r>
      <w:r w:rsidR="002018E7">
        <w:t xml:space="preserve">Hopkins </w:t>
      </w:r>
      <w:r w:rsidR="002018E7" w:rsidRPr="002018E7">
        <w:t xml:space="preserve">sent Lopez </w:t>
      </w:r>
      <w:r w:rsidR="00AF03CA">
        <w:t>several</w:t>
      </w:r>
      <w:r w:rsidR="003C0E0B">
        <w:t xml:space="preserve"> docum</w:t>
      </w:r>
      <w:r w:rsidR="00DD50EB">
        <w:t>ents to sign, including</w:t>
      </w:r>
      <w:r w:rsidR="003C0E0B">
        <w:t xml:space="preserve"> </w:t>
      </w:r>
      <w:r w:rsidR="001A3CB6">
        <w:t>a</w:t>
      </w:r>
      <w:r w:rsidR="002018E7" w:rsidRPr="002018E7">
        <w:t xml:space="preserve"> fee agreement for the attempted purchase of </w:t>
      </w:r>
      <w:r w:rsidR="00421277">
        <w:t>the</w:t>
      </w:r>
      <w:r w:rsidR="002018E7" w:rsidRPr="002018E7">
        <w:t xml:space="preserve"> </w:t>
      </w:r>
      <w:r w:rsidR="001A3CB6">
        <w:t>Bradley V</w:t>
      </w:r>
      <w:r w:rsidR="00421277">
        <w:t xml:space="preserve">ideo </w:t>
      </w:r>
      <w:r w:rsidR="002018E7" w:rsidRPr="002018E7">
        <w:t>store</w:t>
      </w:r>
      <w:r w:rsidR="003C0E0B">
        <w:t>.</w:t>
      </w:r>
      <w:r w:rsidR="00AF03CA">
        <w:t xml:space="preserve"> </w:t>
      </w:r>
      <w:r w:rsidR="002018E7">
        <w:t xml:space="preserve"> In the </w:t>
      </w:r>
      <w:r w:rsidR="00AF03CA">
        <w:t xml:space="preserve">accompanying </w:t>
      </w:r>
      <w:r w:rsidR="002018E7">
        <w:t xml:space="preserve">letter, Hopkins </w:t>
      </w:r>
      <w:r w:rsidR="00AF03CA">
        <w:t>stated</w:t>
      </w:r>
      <w:r w:rsidR="00586B28">
        <w:t xml:space="preserve"> </w:t>
      </w:r>
      <w:r w:rsidR="002018E7" w:rsidRPr="002018E7">
        <w:t>that</w:t>
      </w:r>
      <w:r w:rsidR="001A3CB6">
        <w:t xml:space="preserve"> </w:t>
      </w:r>
      <w:r w:rsidR="00072FE6">
        <w:t>at the beginning of the month</w:t>
      </w:r>
      <w:r w:rsidR="00AF03CA">
        <w:t>,</w:t>
      </w:r>
      <w:r w:rsidR="00072FE6">
        <w:t xml:space="preserve"> </w:t>
      </w:r>
      <w:r w:rsidR="00586B28">
        <w:t xml:space="preserve">there was </w:t>
      </w:r>
      <w:r w:rsidR="00072FE6">
        <w:t>“</w:t>
      </w:r>
      <w:r w:rsidR="00586B28">
        <w:t>a retainer balance in [Lopez’s] favor</w:t>
      </w:r>
      <w:r w:rsidR="001A3CB6">
        <w:t xml:space="preserve">” in the amount of $3,500.  </w:t>
      </w:r>
      <w:r w:rsidR="00A56E93">
        <w:t xml:space="preserve">Lopez signed and returned the documents to Hopkins, </w:t>
      </w:r>
      <w:r w:rsidR="00AF03CA">
        <w:t>who thereafter</w:t>
      </w:r>
      <w:r w:rsidR="00586B28">
        <w:t xml:space="preserve"> </w:t>
      </w:r>
      <w:r w:rsidR="003C0310">
        <w:t xml:space="preserve">failed to perform any </w:t>
      </w:r>
      <w:r w:rsidR="006C375B">
        <w:t xml:space="preserve">additional </w:t>
      </w:r>
      <w:r w:rsidR="003C0310">
        <w:t>legal services for Lopez.</w:t>
      </w:r>
      <w:r w:rsidR="00421277">
        <w:t xml:space="preserve">  </w:t>
      </w:r>
      <w:r w:rsidR="00AF03CA">
        <w:t>Eight times during</w:t>
      </w:r>
      <w:r w:rsidR="00144308">
        <w:t xml:space="preserve"> Dece</w:t>
      </w:r>
      <w:r w:rsidR="0067435F">
        <w:t>mber 2005 through March 2006</w:t>
      </w:r>
      <w:r w:rsidR="00144308">
        <w:t xml:space="preserve">, Lopez </w:t>
      </w:r>
      <w:r w:rsidR="0067435F">
        <w:t xml:space="preserve">tried to speak with Hopkins about the employment contract negotiations with Jasperson.  </w:t>
      </w:r>
      <w:r w:rsidR="00AF03CA">
        <w:t>He</w:t>
      </w:r>
      <w:r w:rsidR="00144308">
        <w:t xml:space="preserve"> left </w:t>
      </w:r>
      <w:r w:rsidR="0067435F">
        <w:t xml:space="preserve">messages at Hopkins’ office and on his cell phone.  </w:t>
      </w:r>
      <w:r w:rsidR="00C026BE">
        <w:t>Hopkins never responded to any of Lopez’s calls or inquiries.</w:t>
      </w:r>
    </w:p>
    <w:p w:rsidR="00EC220B" w:rsidRDefault="00C026BE" w:rsidP="00C11CC8">
      <w:r>
        <w:tab/>
      </w:r>
      <w:r w:rsidR="00AF03CA">
        <w:t xml:space="preserve">Finally, </w:t>
      </w:r>
      <w:r w:rsidR="00205001">
        <w:t>on April 6, 2006, Lopez</w:t>
      </w:r>
      <w:r w:rsidR="00E06389">
        <w:t xml:space="preserve"> wrote Hopkins a letter </w:t>
      </w:r>
      <w:r w:rsidR="006C375B">
        <w:t xml:space="preserve">terminating </w:t>
      </w:r>
      <w:r w:rsidR="00421277">
        <w:t xml:space="preserve">his services </w:t>
      </w:r>
      <w:r w:rsidR="006C375B">
        <w:t xml:space="preserve">and requesting </w:t>
      </w:r>
      <w:r w:rsidR="00AF03CA">
        <w:t xml:space="preserve">the return of the </w:t>
      </w:r>
      <w:r w:rsidR="00205001">
        <w:t xml:space="preserve">$3,500 </w:t>
      </w:r>
      <w:r w:rsidR="00AF03CA">
        <w:t>balance</w:t>
      </w:r>
      <w:r w:rsidR="00205001">
        <w:t xml:space="preserve">.  </w:t>
      </w:r>
      <w:r w:rsidR="00977BF5">
        <w:t>On June 16, 2006,</w:t>
      </w:r>
      <w:r w:rsidR="00205001">
        <w:t xml:space="preserve"> Hopkins sent Lopez a billing statement</w:t>
      </w:r>
      <w:r w:rsidR="009B6327">
        <w:t xml:space="preserve"> for legal services </w:t>
      </w:r>
      <w:r w:rsidR="00AF03CA">
        <w:t>related</w:t>
      </w:r>
      <w:r w:rsidR="004A5A2C">
        <w:t xml:space="preserve"> </w:t>
      </w:r>
      <w:r w:rsidR="00AF03CA">
        <w:t>to</w:t>
      </w:r>
      <w:r w:rsidR="009B6327">
        <w:t xml:space="preserve"> the attempted purchase of </w:t>
      </w:r>
      <w:r w:rsidR="00421277">
        <w:t>the v</w:t>
      </w:r>
      <w:r w:rsidR="009B6327">
        <w:t xml:space="preserve">ideo store, but </w:t>
      </w:r>
      <w:r w:rsidR="00AF03CA">
        <w:t>none related to</w:t>
      </w:r>
      <w:r w:rsidR="004A5A2C">
        <w:t xml:space="preserve"> </w:t>
      </w:r>
      <w:r w:rsidR="009B6327">
        <w:t>the employment contract matter.</w:t>
      </w:r>
      <w:r w:rsidR="00977BF5">
        <w:t xml:space="preserve">  The </w:t>
      </w:r>
      <w:r w:rsidR="00E06389">
        <w:t xml:space="preserve">statement </w:t>
      </w:r>
      <w:r w:rsidR="001A1686">
        <w:t>provided that Hopkins performed $2,125 in services, and that Lopez was entitled to a refund of $1,375</w:t>
      </w:r>
      <w:r w:rsidR="00977BF5">
        <w:t xml:space="preserve"> in unearned fees on the Bradley Video </w:t>
      </w:r>
      <w:r w:rsidR="00421277">
        <w:t xml:space="preserve">store </w:t>
      </w:r>
      <w:r w:rsidR="00977BF5">
        <w:t xml:space="preserve">matter.  Hopkins provided Lopez with a </w:t>
      </w:r>
      <w:r w:rsidR="00FA579A">
        <w:t xml:space="preserve">check for </w:t>
      </w:r>
      <w:r w:rsidR="00977BF5">
        <w:t>$1,375</w:t>
      </w:r>
      <w:r w:rsidR="001A3CB6">
        <w:t>,</w:t>
      </w:r>
      <w:r w:rsidR="00977BF5">
        <w:t xml:space="preserve"> </w:t>
      </w:r>
      <w:r w:rsidR="00FA579A">
        <w:t>which</w:t>
      </w:r>
      <w:r w:rsidR="00977BF5">
        <w:t xml:space="preserve"> Lopez refused </w:t>
      </w:r>
    </w:p>
    <w:p w:rsidR="00EC220B" w:rsidRDefault="00EC220B">
      <w:pPr>
        <w:spacing w:after="200" w:line="276" w:lineRule="auto"/>
      </w:pPr>
      <w:r>
        <w:br w:type="page"/>
      </w:r>
    </w:p>
    <w:p w:rsidR="00205001" w:rsidRDefault="00977BF5" w:rsidP="00C11CC8">
      <w:r>
        <w:lastRenderedPageBreak/>
        <w:t xml:space="preserve">because he felt he was entitled to </w:t>
      </w:r>
      <w:r w:rsidR="00FA579A">
        <w:t xml:space="preserve">a refund of </w:t>
      </w:r>
      <w:r w:rsidR="001A1686">
        <w:t>at least</w:t>
      </w:r>
      <w:r w:rsidR="00AC400A">
        <w:t xml:space="preserve"> </w:t>
      </w:r>
      <w:r>
        <w:t>$3,500.</w:t>
      </w:r>
      <w:r w:rsidR="00EC220B">
        <w:t xml:space="preserve">  In fact, since Lopez had paid $6,250 in fees, $4,125 was unaccounted for at this point.</w:t>
      </w:r>
    </w:p>
    <w:p w:rsidR="00725E7A" w:rsidRDefault="00E27F00" w:rsidP="00C11CC8">
      <w:r>
        <w:tab/>
      </w:r>
      <w:r w:rsidR="004B5F2F">
        <w:t xml:space="preserve">In response to the State Bar’s investigation, Hopkins submitted two </w:t>
      </w:r>
      <w:r w:rsidR="00D005BF">
        <w:t xml:space="preserve">separate </w:t>
      </w:r>
      <w:r w:rsidR="004B5F2F">
        <w:t>billing statements dated November 9, 2006</w:t>
      </w:r>
      <w:r w:rsidR="00FA579A">
        <w:t xml:space="preserve">:  </w:t>
      </w:r>
      <w:r w:rsidR="00313501">
        <w:t>one</w:t>
      </w:r>
      <w:r w:rsidR="004B5F2F">
        <w:t xml:space="preserve"> statement pertain</w:t>
      </w:r>
      <w:r w:rsidR="00313501">
        <w:t>ed</w:t>
      </w:r>
      <w:r w:rsidR="004B5F2F">
        <w:t xml:space="preserve"> to the Bradley Video </w:t>
      </w:r>
      <w:r w:rsidR="00421277">
        <w:t xml:space="preserve">store </w:t>
      </w:r>
      <w:r w:rsidR="004B5F2F">
        <w:t xml:space="preserve">matter and the other was for </w:t>
      </w:r>
      <w:r w:rsidR="00E06389">
        <w:t xml:space="preserve">legal services </w:t>
      </w:r>
      <w:r w:rsidR="00FA579A">
        <w:t>in</w:t>
      </w:r>
      <w:r w:rsidR="00E06389">
        <w:t xml:space="preserve"> </w:t>
      </w:r>
      <w:r w:rsidR="004B5F2F">
        <w:t xml:space="preserve">the employment contract matter.  </w:t>
      </w:r>
      <w:r w:rsidR="00487914">
        <w:t xml:space="preserve">Hopkins </w:t>
      </w:r>
      <w:r w:rsidR="00421277">
        <w:t xml:space="preserve">testified </w:t>
      </w:r>
      <w:r w:rsidR="00487914">
        <w:t xml:space="preserve">that the </w:t>
      </w:r>
      <w:r w:rsidR="004B5F2F">
        <w:t xml:space="preserve">second Bradley Video billing statement corrected </w:t>
      </w:r>
      <w:r w:rsidR="00E64E29">
        <w:t>certain erro</w:t>
      </w:r>
      <w:r w:rsidR="00421277">
        <w:t>r</w:t>
      </w:r>
      <w:r w:rsidR="00E64E29">
        <w:t>s</w:t>
      </w:r>
      <w:r w:rsidR="004B5F2F">
        <w:t xml:space="preserve"> in </w:t>
      </w:r>
      <w:r w:rsidR="00487914">
        <w:t>the June</w:t>
      </w:r>
      <w:r w:rsidR="00E76488">
        <w:t xml:space="preserve"> </w:t>
      </w:r>
      <w:r w:rsidR="004B5F2F">
        <w:t>16, 2006 statement</w:t>
      </w:r>
      <w:r w:rsidR="001A3CB6">
        <w:t>, but still reflected</w:t>
      </w:r>
      <w:r w:rsidR="00FA579A">
        <w:t xml:space="preserve"> </w:t>
      </w:r>
      <w:r w:rsidR="001A3CB6">
        <w:t>$2,125 in services</w:t>
      </w:r>
      <w:r w:rsidR="00FA579A">
        <w:t xml:space="preserve"> provided</w:t>
      </w:r>
      <w:r w:rsidR="004B5F2F">
        <w:t xml:space="preserve">.  The </w:t>
      </w:r>
      <w:r w:rsidR="00FA579A">
        <w:t xml:space="preserve">employment contract matter </w:t>
      </w:r>
      <w:r w:rsidR="004B5F2F">
        <w:t xml:space="preserve">billing statement </w:t>
      </w:r>
      <w:r w:rsidR="001A3CB6">
        <w:t>indicated that Hopkins performed $4,</w:t>
      </w:r>
      <w:r w:rsidR="001A1686">
        <w:t>57</w:t>
      </w:r>
      <w:r w:rsidR="001A3CB6">
        <w:t>5 in services from December 13-23, 2005, and that Lopez owed $450 in fees</w:t>
      </w:r>
      <w:r w:rsidR="004B5F2F">
        <w:t xml:space="preserve">. </w:t>
      </w:r>
      <w:r w:rsidR="009F7838">
        <w:t xml:space="preserve"> </w:t>
      </w:r>
      <w:r w:rsidR="001A1686">
        <w:t>Hopkins had never provided this statement to Lopez.</w:t>
      </w:r>
    </w:p>
    <w:p w:rsidR="009B72FF" w:rsidRPr="009B72FF" w:rsidRDefault="009B72FF" w:rsidP="009B72FF">
      <w:pPr>
        <w:spacing w:line="240" w:lineRule="auto"/>
        <w:rPr>
          <w:b/>
        </w:rPr>
      </w:pPr>
      <w:r>
        <w:tab/>
      </w:r>
      <w:r w:rsidRPr="009B72FF">
        <w:rPr>
          <w:b/>
        </w:rPr>
        <w:t>Count 2(A) – Failure to Perform (Rule 3-110(A))</w:t>
      </w:r>
    </w:p>
    <w:p w:rsidR="009B72FF" w:rsidRPr="009B72FF" w:rsidRDefault="009B72FF" w:rsidP="009B72FF">
      <w:pPr>
        <w:spacing w:line="240" w:lineRule="auto"/>
        <w:rPr>
          <w:b/>
        </w:rPr>
      </w:pPr>
      <w:r w:rsidRPr="009B72FF">
        <w:rPr>
          <w:b/>
        </w:rPr>
        <w:tab/>
        <w:t>Count 2(B) – Failure to Communicate (</w:t>
      </w:r>
      <w:r w:rsidR="00AA319C">
        <w:rPr>
          <w:b/>
        </w:rPr>
        <w:t>§</w:t>
      </w:r>
      <w:r w:rsidRPr="009B72FF">
        <w:rPr>
          <w:b/>
        </w:rPr>
        <w:t xml:space="preserve"> 6068, subd</w:t>
      </w:r>
      <w:r w:rsidR="00AA319C">
        <w:rPr>
          <w:b/>
        </w:rPr>
        <w:t>.</w:t>
      </w:r>
      <w:r w:rsidRPr="009B72FF">
        <w:rPr>
          <w:b/>
        </w:rPr>
        <w:t xml:space="preserve"> (m))</w:t>
      </w:r>
    </w:p>
    <w:p w:rsidR="009B72FF" w:rsidRPr="009B72FF" w:rsidRDefault="009B72FF" w:rsidP="009B72FF">
      <w:pPr>
        <w:spacing w:line="240" w:lineRule="auto"/>
        <w:rPr>
          <w:b/>
        </w:rPr>
      </w:pPr>
      <w:r w:rsidRPr="009B72FF">
        <w:rPr>
          <w:b/>
        </w:rPr>
        <w:tab/>
        <w:t>Count 2(D) – Moral Turpitude</w:t>
      </w:r>
      <w:r>
        <w:rPr>
          <w:b/>
        </w:rPr>
        <w:t xml:space="preserve"> (</w:t>
      </w:r>
      <w:r w:rsidR="00AA319C">
        <w:rPr>
          <w:b/>
        </w:rPr>
        <w:t>§</w:t>
      </w:r>
      <w:r>
        <w:rPr>
          <w:b/>
        </w:rPr>
        <w:t xml:space="preserve"> 6106)</w:t>
      </w:r>
    </w:p>
    <w:p w:rsidR="009B72FF" w:rsidRDefault="009B72FF" w:rsidP="009B72FF">
      <w:pPr>
        <w:spacing w:line="240" w:lineRule="auto"/>
      </w:pPr>
      <w:r>
        <w:t xml:space="preserve"> </w:t>
      </w:r>
    </w:p>
    <w:p w:rsidR="00B84670" w:rsidRDefault="009B72FF" w:rsidP="009B72FF">
      <w:r>
        <w:tab/>
      </w:r>
      <w:r w:rsidR="00313501">
        <w:t>H</w:t>
      </w:r>
      <w:r w:rsidR="00313501" w:rsidRPr="00C1062A">
        <w:t>opkins</w:t>
      </w:r>
      <w:r w:rsidR="00313501">
        <w:t xml:space="preserve"> does not challenge any of the culpability determinations in these counts, and upon review of the record, we adopt them.  First, he</w:t>
      </w:r>
      <w:r w:rsidR="00CD79B6">
        <w:t xml:space="preserve"> violated rule 3-1</w:t>
      </w:r>
      <w:r w:rsidR="004212E8">
        <w:t xml:space="preserve">10(A) by </w:t>
      </w:r>
      <w:r w:rsidR="003F0203">
        <w:t xml:space="preserve">repeatedly </w:t>
      </w:r>
      <w:r w:rsidR="004212E8">
        <w:t xml:space="preserve">failing to perform </w:t>
      </w:r>
      <w:r w:rsidR="00CD79B6">
        <w:t xml:space="preserve">work for Lopez on the employment contract matter from December </w:t>
      </w:r>
      <w:r w:rsidR="001A3CB6">
        <w:t xml:space="preserve">2005 </w:t>
      </w:r>
      <w:r w:rsidR="00CD79B6">
        <w:t>through April 4, 2006.</w:t>
      </w:r>
      <w:r w:rsidR="00F86E03">
        <w:t xml:space="preserve">  </w:t>
      </w:r>
      <w:r w:rsidR="00313501">
        <w:t>Second, Hopkins</w:t>
      </w:r>
      <w:r w:rsidR="00CD79B6">
        <w:t xml:space="preserve"> violated section 6068, subdivision (m)</w:t>
      </w:r>
      <w:r w:rsidR="00725E7A">
        <w:t>,</w:t>
      </w:r>
      <w:r w:rsidR="00CD79B6">
        <w:t xml:space="preserve"> by failing to respond to Lopez’s eight </w:t>
      </w:r>
      <w:r w:rsidR="00FA579A">
        <w:t>inquiries</w:t>
      </w:r>
      <w:r w:rsidR="00CD79B6">
        <w:t xml:space="preserve"> </w:t>
      </w:r>
      <w:r w:rsidR="00FA579A">
        <w:t>about</w:t>
      </w:r>
      <w:r w:rsidR="00CD79B6">
        <w:t xml:space="preserve"> the employment contract.</w:t>
      </w:r>
      <w:r w:rsidR="00B769BD">
        <w:t xml:space="preserve">  </w:t>
      </w:r>
      <w:r w:rsidR="00313501">
        <w:t xml:space="preserve">And third, </w:t>
      </w:r>
      <w:r w:rsidR="00B43932">
        <w:t>Hopkins</w:t>
      </w:r>
      <w:r w:rsidR="00794142">
        <w:t xml:space="preserve"> violated section 6106 by creating a false billing statement </w:t>
      </w:r>
      <w:r w:rsidR="00FA579A">
        <w:t>i</w:t>
      </w:r>
      <w:r w:rsidR="00794142">
        <w:t>n t</w:t>
      </w:r>
      <w:r w:rsidR="00B43932">
        <w:t xml:space="preserve">he employment contract matter </w:t>
      </w:r>
      <w:r w:rsidR="00794142">
        <w:t xml:space="preserve">to justify </w:t>
      </w:r>
      <w:r w:rsidR="00B43932">
        <w:t>the retention of</w:t>
      </w:r>
      <w:r w:rsidR="00794142">
        <w:t xml:space="preserve"> </w:t>
      </w:r>
      <w:r w:rsidR="001A1686">
        <w:t xml:space="preserve">at least </w:t>
      </w:r>
      <w:r w:rsidR="00794142">
        <w:t>$3,500 in advanced fees.</w:t>
      </w:r>
      <w:r w:rsidR="00D005BF">
        <w:t xml:space="preserve">  (</w:t>
      </w:r>
      <w:r w:rsidR="00C1062A">
        <w:rPr>
          <w:i/>
        </w:rPr>
        <w:t xml:space="preserve">In the Matter of </w:t>
      </w:r>
      <w:r w:rsidR="00C1062A" w:rsidRPr="003A2CA3">
        <w:rPr>
          <w:i/>
        </w:rPr>
        <w:t>Conner</w:t>
      </w:r>
      <w:r w:rsidR="00C1062A">
        <w:t xml:space="preserve"> (Review Dept. 2008) 5 Cal. State Bar Ct. Rptr. 93, 103 [fraudulent invoices and memoranda created after the fact to justify respondent’s fees constitutes moral turpitude].)</w:t>
      </w:r>
      <w:r w:rsidR="005B3B36">
        <w:t xml:space="preserve">  </w:t>
      </w:r>
    </w:p>
    <w:p w:rsidR="00CE5E0B" w:rsidRPr="00CE5E0B" w:rsidRDefault="00CE5E0B" w:rsidP="009B72FF">
      <w:pPr>
        <w:rPr>
          <w:b/>
        </w:rPr>
      </w:pPr>
      <w:r>
        <w:tab/>
      </w:r>
      <w:r w:rsidRPr="00CE5E0B">
        <w:rPr>
          <w:b/>
        </w:rPr>
        <w:t>Count 2(C) – Failure to Return Unearned Fees (Rule 3-700(D)(2))</w:t>
      </w:r>
    </w:p>
    <w:p w:rsidR="00EC220B" w:rsidRDefault="00CE5E0B" w:rsidP="009B72FF">
      <w:r>
        <w:tab/>
      </w:r>
      <w:r w:rsidR="00B17E71">
        <w:t>W</w:t>
      </w:r>
      <w:r>
        <w:t xml:space="preserve">e conclude that </w:t>
      </w:r>
      <w:r w:rsidR="001D08B2">
        <w:t>Hopkins is culpable of violating rule 3-700(D)(2)</w:t>
      </w:r>
      <w:r w:rsidR="00926EC5">
        <w:t>, and accordingly, reverse the hearing judge’s culpability finding on this count</w:t>
      </w:r>
      <w:r w:rsidR="001D08B2">
        <w:t>.  Pursuant to the rule, an attorney who is terminated must promptly refund any unearn</w:t>
      </w:r>
      <w:r w:rsidR="00481316">
        <w:t xml:space="preserve">ed portion of an advance fee.  </w:t>
      </w:r>
      <w:r w:rsidR="00926EC5">
        <w:t xml:space="preserve">At the time he </w:t>
      </w:r>
    </w:p>
    <w:p w:rsidR="00EC220B" w:rsidRDefault="00EC220B">
      <w:pPr>
        <w:spacing w:after="200" w:line="276" w:lineRule="auto"/>
      </w:pPr>
      <w:r>
        <w:br w:type="page"/>
      </w:r>
    </w:p>
    <w:p w:rsidR="006C7FC0" w:rsidRDefault="00926EC5" w:rsidP="009B72FF">
      <w:r>
        <w:lastRenderedPageBreak/>
        <w:t xml:space="preserve">was terminated, Hopkins provided a billing statement that showed only $2,125 in services, leaving a balance of $4,125 in unearned fees.  After </w:t>
      </w:r>
      <w:r w:rsidR="001D08B2">
        <w:t xml:space="preserve">Lopez rejected the $1,375 refund check from Hopkins, a fee dispute arose.  </w:t>
      </w:r>
      <w:r>
        <w:t xml:space="preserve">Hopkins made no further effort to resolve the dispute or </w:t>
      </w:r>
      <w:r w:rsidR="00AC400A">
        <w:t xml:space="preserve">to </w:t>
      </w:r>
      <w:r>
        <w:t xml:space="preserve">justify his retention of the $4,125.  </w:t>
      </w:r>
      <w:r w:rsidR="00072FE6">
        <w:t>H</w:t>
      </w:r>
      <w:r w:rsidR="00FA579A">
        <w:t>e</w:t>
      </w:r>
      <w:r w:rsidR="00072FE6">
        <w:t xml:space="preserve"> provided the </w:t>
      </w:r>
      <w:r w:rsidR="006C7FC0">
        <w:t xml:space="preserve">purported </w:t>
      </w:r>
      <w:r w:rsidR="00072FE6">
        <w:t>November 9, 2006</w:t>
      </w:r>
      <w:r w:rsidR="00313501">
        <w:t>,</w:t>
      </w:r>
      <w:r w:rsidR="00072FE6">
        <w:t xml:space="preserve"> billing statement for the employment contract matter only after the State Bar investigation began and seven months after his services were terminated.  </w:t>
      </w:r>
      <w:r w:rsidR="001A3CB6">
        <w:t>Hopkins</w:t>
      </w:r>
      <w:r w:rsidR="006C7FC0">
        <w:t>’</w:t>
      </w:r>
      <w:r w:rsidR="001A3CB6">
        <w:t xml:space="preserve"> </w:t>
      </w:r>
      <w:r w:rsidR="00FD10CC">
        <w:t>failure to make any effort to resolve the dispute</w:t>
      </w:r>
      <w:r w:rsidR="001A3CB6">
        <w:t xml:space="preserve"> or return </w:t>
      </w:r>
      <w:r w:rsidR="00FD10CC">
        <w:t>the unearned fee is a violation of rule 3-700(D)(2).</w:t>
      </w:r>
      <w:r w:rsidR="00072FE6">
        <w:rPr>
          <w:rStyle w:val="FootnoteReference"/>
        </w:rPr>
        <w:footnoteReference w:id="6"/>
      </w:r>
      <w:r w:rsidR="00FD10CC">
        <w:t xml:space="preserve">  </w:t>
      </w:r>
      <w:r w:rsidR="001A3CB6">
        <w:t>(See</w:t>
      </w:r>
      <w:r w:rsidR="00AA319C">
        <w:t>,</w:t>
      </w:r>
      <w:r w:rsidR="001A3CB6">
        <w:t xml:space="preserve"> e.g.</w:t>
      </w:r>
      <w:r w:rsidR="00AA319C">
        <w:t>,</w:t>
      </w:r>
      <w:r w:rsidR="001A3CB6">
        <w:t xml:space="preserve"> </w:t>
      </w:r>
      <w:r w:rsidR="001A3CB6">
        <w:rPr>
          <w:i/>
        </w:rPr>
        <w:t>In the Matter of Yagman</w:t>
      </w:r>
      <w:r w:rsidR="001A3CB6">
        <w:t xml:space="preserve"> (Review Dept. 1997) 3 Cal. State Bar Ct. Rptr. 788, 805, 807 [when attorney fee dispute arises with former client, attorney should take prompt action to resolve dispute].)</w:t>
      </w:r>
      <w:r w:rsidR="001D08B2">
        <w:t xml:space="preserve">  </w:t>
      </w:r>
    </w:p>
    <w:p w:rsidR="00526F34" w:rsidRDefault="004C212F" w:rsidP="00C11CC8">
      <w:pPr>
        <w:rPr>
          <w:b/>
        </w:rPr>
      </w:pPr>
      <w:r>
        <w:rPr>
          <w:b/>
        </w:rPr>
        <w:t xml:space="preserve">C.  </w:t>
      </w:r>
      <w:r w:rsidR="00725E7A">
        <w:rPr>
          <w:b/>
        </w:rPr>
        <w:tab/>
      </w:r>
      <w:r w:rsidR="006C7FC0">
        <w:rPr>
          <w:b/>
        </w:rPr>
        <w:t>THE BROSNAN MATTER</w:t>
      </w:r>
      <w:r w:rsidR="00725E7A">
        <w:rPr>
          <w:b/>
        </w:rPr>
        <w:t xml:space="preserve"> (</w:t>
      </w:r>
      <w:r w:rsidR="00ED455C">
        <w:rPr>
          <w:b/>
        </w:rPr>
        <w:t>Case Number 06-O-13306</w:t>
      </w:r>
      <w:r w:rsidR="00725E7A">
        <w:rPr>
          <w:b/>
        </w:rPr>
        <w:t>)</w:t>
      </w:r>
    </w:p>
    <w:p w:rsidR="00E27F00" w:rsidRPr="00526F34" w:rsidRDefault="00526F34" w:rsidP="00C11CC8">
      <w:pPr>
        <w:rPr>
          <w:b/>
        </w:rPr>
      </w:pPr>
      <w:r>
        <w:tab/>
      </w:r>
      <w:r w:rsidR="00725E7A" w:rsidRPr="00725E7A">
        <w:rPr>
          <w:b/>
        </w:rPr>
        <w:t>1.</w:t>
      </w:r>
      <w:r w:rsidR="00725E7A">
        <w:t xml:space="preserve">  </w:t>
      </w:r>
      <w:r w:rsidR="004C212F" w:rsidRPr="004C212F">
        <w:rPr>
          <w:b/>
        </w:rPr>
        <w:t>The</w:t>
      </w:r>
      <w:r w:rsidR="004C212F">
        <w:t xml:space="preserve"> </w:t>
      </w:r>
      <w:r w:rsidRPr="00526F34">
        <w:rPr>
          <w:b/>
        </w:rPr>
        <w:t>Kim Lawsuit</w:t>
      </w:r>
      <w:r w:rsidR="004B5F2F" w:rsidRPr="00526F34">
        <w:rPr>
          <w:b/>
        </w:rPr>
        <w:t xml:space="preserve"> </w:t>
      </w:r>
    </w:p>
    <w:p w:rsidR="00855AEF" w:rsidRDefault="00526F34" w:rsidP="00855AEF">
      <w:r>
        <w:tab/>
      </w:r>
      <w:r w:rsidR="00855AEF">
        <w:t xml:space="preserve">On December 2, 2002, </w:t>
      </w:r>
      <w:r>
        <w:t>Hopkins</w:t>
      </w:r>
      <w:r w:rsidR="00855AEF">
        <w:t xml:space="preserve"> filed a personal injury lawsuit</w:t>
      </w:r>
      <w:r w:rsidR="006C7FC0">
        <w:t xml:space="preserve"> in Contra Costa County Superior Court</w:t>
      </w:r>
      <w:r w:rsidR="00855AEF">
        <w:t xml:space="preserve"> </w:t>
      </w:r>
      <w:r w:rsidR="006C7FC0">
        <w:t>on behalf of John</w:t>
      </w:r>
      <w:r w:rsidR="00855AEF">
        <w:t xml:space="preserve"> Brosnan against Julia and Alfred Kim (</w:t>
      </w:r>
      <w:r w:rsidR="003769E3">
        <w:t>Kim lawsuit</w:t>
      </w:r>
      <w:r w:rsidR="002161BA">
        <w:t xml:space="preserve">).  </w:t>
      </w:r>
      <w:r w:rsidR="006C7FC0">
        <w:t>H</w:t>
      </w:r>
      <w:r w:rsidR="00AE421E">
        <w:t>opkins</w:t>
      </w:r>
      <w:r w:rsidR="006C7FC0">
        <w:t xml:space="preserve"> received notice from t</w:t>
      </w:r>
      <w:r w:rsidR="002161BA">
        <w:t>he</w:t>
      </w:r>
      <w:r w:rsidR="00855AEF">
        <w:t xml:space="preserve"> </w:t>
      </w:r>
      <w:r w:rsidR="006C7FC0">
        <w:t xml:space="preserve">court </w:t>
      </w:r>
      <w:r w:rsidR="00855AEF">
        <w:t>clerk th</w:t>
      </w:r>
      <w:r w:rsidR="002161BA">
        <w:t xml:space="preserve">at a case management conference </w:t>
      </w:r>
      <w:r w:rsidR="003769E3">
        <w:t>(CMC</w:t>
      </w:r>
      <w:r w:rsidR="00855AEF">
        <w:t xml:space="preserve">) was set for </w:t>
      </w:r>
      <w:r w:rsidR="00AE421E">
        <w:t xml:space="preserve"> </w:t>
      </w:r>
      <w:r w:rsidR="00855AEF">
        <w:t xml:space="preserve">April 16, 2003.  </w:t>
      </w:r>
    </w:p>
    <w:p w:rsidR="00526F34" w:rsidRDefault="00526F34" w:rsidP="00526F34">
      <w:r>
        <w:tab/>
      </w:r>
      <w:r w:rsidR="00A36D87">
        <w:t>Hopkins failed to appear at the CMC</w:t>
      </w:r>
      <w:r w:rsidR="006C7FC0">
        <w:t xml:space="preserve">.  He also </w:t>
      </w:r>
      <w:r w:rsidR="00A36D87">
        <w:t xml:space="preserve">failed to appear at a </w:t>
      </w:r>
      <w:r w:rsidR="003A2CA3">
        <w:t xml:space="preserve">properly-noticed </w:t>
      </w:r>
      <w:r w:rsidR="00A36D87">
        <w:t xml:space="preserve">hearing on an </w:t>
      </w:r>
      <w:r w:rsidR="003769E3">
        <w:t>order to show cause (OSC</w:t>
      </w:r>
      <w:r>
        <w:t xml:space="preserve">) </w:t>
      </w:r>
      <w:r w:rsidR="002161BA">
        <w:t>as to</w:t>
      </w:r>
      <w:r>
        <w:t xml:space="preserve"> why the case should not be dismissed and/or why plaintiff should not be san</w:t>
      </w:r>
      <w:r w:rsidR="00A36D87">
        <w:t>ctioned</w:t>
      </w:r>
      <w:r w:rsidR="006C7FC0">
        <w:t>.  Hopkins was sanctioned $250</w:t>
      </w:r>
      <w:r w:rsidR="00A36D87">
        <w:t xml:space="preserve"> for failure to appear.  </w:t>
      </w:r>
    </w:p>
    <w:p w:rsidR="00631CD6" w:rsidRDefault="00526F34" w:rsidP="00526F34">
      <w:r>
        <w:tab/>
        <w:t xml:space="preserve">On May 29, 2003, Hopkins signed a substitution of attorney form in which </w:t>
      </w:r>
      <w:r w:rsidR="006E3AD2">
        <w:t>he</w:t>
      </w:r>
      <w:r>
        <w:t xml:space="preserve"> “substituted out” and Brosnan “substituted in” </w:t>
      </w:r>
      <w:r w:rsidR="006E3AD2">
        <w:t>to represent himself</w:t>
      </w:r>
      <w:r>
        <w:t>.  Hopkins</w:t>
      </w:r>
      <w:r w:rsidR="007741D0">
        <w:t xml:space="preserve"> did not file the </w:t>
      </w:r>
      <w:r>
        <w:t>substitution form until June 6, 2003.</w:t>
      </w:r>
    </w:p>
    <w:p w:rsidR="00526F34" w:rsidRDefault="00526F34" w:rsidP="00526F34">
      <w:r>
        <w:lastRenderedPageBreak/>
        <w:tab/>
        <w:t xml:space="preserve">Hopkins failed to appear at </w:t>
      </w:r>
      <w:r w:rsidR="003A2CA3">
        <w:t>a second OSC hearing on</w:t>
      </w:r>
      <w:r>
        <w:t xml:space="preserve"> </w:t>
      </w:r>
      <w:r w:rsidR="003A2CA3">
        <w:t>June 6, 2003</w:t>
      </w:r>
      <w:r>
        <w:t xml:space="preserve">.  </w:t>
      </w:r>
      <w:r w:rsidR="006E3AD2">
        <w:t>As a result</w:t>
      </w:r>
      <w:r w:rsidR="007741D0">
        <w:t xml:space="preserve">, the </w:t>
      </w:r>
      <w:r>
        <w:t xml:space="preserve">superior court dismissed </w:t>
      </w:r>
      <w:r w:rsidR="00313501">
        <w:t xml:space="preserve">the Kim lawsuit </w:t>
      </w:r>
      <w:r>
        <w:t>without prejudice.</w:t>
      </w:r>
    </w:p>
    <w:p w:rsidR="00ED455C" w:rsidRDefault="009A247A" w:rsidP="00855AEF">
      <w:pPr>
        <w:rPr>
          <w:b/>
        </w:rPr>
      </w:pPr>
      <w:r>
        <w:tab/>
      </w:r>
      <w:r w:rsidR="00725E7A" w:rsidRPr="00725E7A">
        <w:rPr>
          <w:b/>
        </w:rPr>
        <w:t xml:space="preserve">2. </w:t>
      </w:r>
      <w:r w:rsidR="00725E7A">
        <w:t xml:space="preserve"> </w:t>
      </w:r>
      <w:r w:rsidRPr="009A247A">
        <w:rPr>
          <w:b/>
        </w:rPr>
        <w:t>The Pascoe Lawsuit</w:t>
      </w:r>
    </w:p>
    <w:p w:rsidR="00855AEF" w:rsidRPr="00ED455C" w:rsidRDefault="00ED455C" w:rsidP="00855AEF">
      <w:pPr>
        <w:rPr>
          <w:b/>
        </w:rPr>
      </w:pPr>
      <w:r>
        <w:rPr>
          <w:b/>
        </w:rPr>
        <w:tab/>
      </w:r>
      <w:r w:rsidR="00855AEF">
        <w:t xml:space="preserve">On February 19, 2003, a case was filed in the Alameda County Superior Court in which </w:t>
      </w:r>
      <w:r w:rsidR="006602AE">
        <w:t xml:space="preserve">John </w:t>
      </w:r>
      <w:r w:rsidR="00855AEF">
        <w:t>Brosnan was</w:t>
      </w:r>
      <w:r w:rsidR="006602AE">
        <w:t xml:space="preserve"> the plaintiff and </w:t>
      </w:r>
      <w:r w:rsidR="00855AEF">
        <w:t>Dane Pascoe was the defendant (</w:t>
      </w:r>
      <w:r w:rsidR="003769E3">
        <w:t>Pascoe lawsuit</w:t>
      </w:r>
      <w:r w:rsidR="006602AE">
        <w:t xml:space="preserve">).  </w:t>
      </w:r>
      <w:r w:rsidR="00855AEF">
        <w:t xml:space="preserve">On the complaint, </w:t>
      </w:r>
      <w:r w:rsidR="00526F34">
        <w:t>Hopkins</w:t>
      </w:r>
      <w:r w:rsidR="00855AEF">
        <w:t xml:space="preserve"> was listed as </w:t>
      </w:r>
      <w:r w:rsidR="007C5AE0">
        <w:t>Brosnan’s</w:t>
      </w:r>
      <w:r w:rsidR="00855AEF">
        <w:t xml:space="preserve"> attorney of record.  </w:t>
      </w:r>
      <w:r w:rsidR="00526F34">
        <w:t>H</w:t>
      </w:r>
      <w:r w:rsidR="00313501">
        <w:t>e</w:t>
      </w:r>
      <w:r w:rsidR="00855AEF">
        <w:t xml:space="preserve"> </w:t>
      </w:r>
      <w:r w:rsidR="00313501">
        <w:t>claims that someone else</w:t>
      </w:r>
      <w:r w:rsidR="00855AEF">
        <w:t xml:space="preserve"> signed </w:t>
      </w:r>
      <w:r w:rsidR="00901940">
        <w:t>his</w:t>
      </w:r>
      <w:r w:rsidR="00855AEF">
        <w:t xml:space="preserve"> name</w:t>
      </w:r>
      <w:r w:rsidR="00313501">
        <w:t xml:space="preserve"> to the complaint and that he was unaware that the lawsuit had been filed</w:t>
      </w:r>
      <w:r w:rsidR="00D005BF">
        <w:t>.</w:t>
      </w:r>
    </w:p>
    <w:p w:rsidR="00855AEF" w:rsidRDefault="00855AEF" w:rsidP="00901940">
      <w:r>
        <w:tab/>
      </w:r>
      <w:r w:rsidR="00313501">
        <w:t>However, o</w:t>
      </w:r>
      <w:r w:rsidR="003A2CA3">
        <w:t xml:space="preserve">nce </w:t>
      </w:r>
      <w:r w:rsidR="00901940">
        <w:t xml:space="preserve">Hopkins </w:t>
      </w:r>
      <w:r w:rsidR="003A2CA3">
        <w:t>became aware of the lawsuit, he did nothing to remove h</w:t>
      </w:r>
      <w:r w:rsidR="00901940">
        <w:t xml:space="preserve">is name as Brosnan’s attorney.  </w:t>
      </w:r>
      <w:r w:rsidR="007C5AE0">
        <w:t>Despite receiving notice, h</w:t>
      </w:r>
      <w:r w:rsidR="00901940">
        <w:t>e failed to attend</w:t>
      </w:r>
      <w:r w:rsidR="00A66128">
        <w:t xml:space="preserve"> the court-ordered CMC</w:t>
      </w:r>
      <w:r w:rsidR="007C5AE0">
        <w:t>s</w:t>
      </w:r>
      <w:r w:rsidR="00A66128">
        <w:t xml:space="preserve"> </w:t>
      </w:r>
      <w:r w:rsidR="00901940">
        <w:t xml:space="preserve">in June, September, October and November 2003.  </w:t>
      </w:r>
      <w:r w:rsidR="007C5AE0">
        <w:t>As to</w:t>
      </w:r>
      <w:r w:rsidR="00901940">
        <w:t xml:space="preserve"> the </w:t>
      </w:r>
      <w:r w:rsidR="00A8588D">
        <w:t>CMC</w:t>
      </w:r>
      <w:r w:rsidR="007C5AE0">
        <w:t>s</w:t>
      </w:r>
      <w:r w:rsidR="00A8588D">
        <w:t xml:space="preserve"> in </w:t>
      </w:r>
      <w:r w:rsidR="00901940">
        <w:t>October and November</w:t>
      </w:r>
      <w:r w:rsidR="00A8588D">
        <w:t xml:space="preserve">, </w:t>
      </w:r>
      <w:r w:rsidR="00901940">
        <w:t xml:space="preserve">the court ordered Hopkins to </w:t>
      </w:r>
      <w:r w:rsidR="00A8588D">
        <w:t xml:space="preserve">show cause </w:t>
      </w:r>
      <w:r w:rsidR="00901940">
        <w:t xml:space="preserve">why </w:t>
      </w:r>
      <w:r w:rsidR="00A8588D">
        <w:t>he</w:t>
      </w:r>
      <w:r w:rsidR="00901940">
        <w:t xml:space="preserve"> should not be sanctioned for failing to appear.   </w:t>
      </w:r>
    </w:p>
    <w:p w:rsidR="00901940" w:rsidRDefault="00855AEF" w:rsidP="00855AEF">
      <w:r>
        <w:tab/>
        <w:t xml:space="preserve">On October 15, 2003, </w:t>
      </w:r>
      <w:r w:rsidR="00526F34">
        <w:t>Hopkins</w:t>
      </w:r>
      <w:r>
        <w:t xml:space="preserve"> signed a substitution of attorney form in the Pascoe lawsuit in which </w:t>
      </w:r>
      <w:r w:rsidR="007C5AE0">
        <w:t xml:space="preserve">he </w:t>
      </w:r>
      <w:r>
        <w:t>substituted out and Brosnan</w:t>
      </w:r>
      <w:r w:rsidR="007C5AE0">
        <w:t xml:space="preserve"> indicated he would represent himself.</w:t>
      </w:r>
      <w:r>
        <w:t xml:space="preserve"> </w:t>
      </w:r>
      <w:r w:rsidR="00901940">
        <w:t xml:space="preserve">  </w:t>
      </w:r>
      <w:r w:rsidR="007C5AE0">
        <w:t>T</w:t>
      </w:r>
      <w:r>
        <w:t>he substitution of attorney form was filed with the superior court</w:t>
      </w:r>
      <w:r w:rsidR="007C5AE0">
        <w:t xml:space="preserve"> on October 21, 2003</w:t>
      </w:r>
      <w:r w:rsidR="00901940">
        <w:t xml:space="preserve">.  </w:t>
      </w:r>
    </w:p>
    <w:p w:rsidR="001B4571" w:rsidRDefault="00901940" w:rsidP="00855AEF">
      <w:r>
        <w:tab/>
        <w:t>During the November 2003 CMC and OSC hearing, t</w:t>
      </w:r>
      <w:r w:rsidR="00855AEF">
        <w:t xml:space="preserve">he superior court sanctioned </w:t>
      </w:r>
      <w:r w:rsidR="00526F34">
        <w:t>Hopkins</w:t>
      </w:r>
      <w:r w:rsidR="00855AEF">
        <w:t xml:space="preserve"> $1,000 and continued the CMC to January 30, 2004.</w:t>
      </w:r>
      <w:r w:rsidR="00552DBD">
        <w:t xml:space="preserve">  After Hopkins received notice of the sanctions, he</w:t>
      </w:r>
      <w:r w:rsidR="00855AEF">
        <w:t xml:space="preserve"> </w:t>
      </w:r>
      <w:r w:rsidR="007C5AE0">
        <w:t>delivered</w:t>
      </w:r>
      <w:r w:rsidR="00855AEF">
        <w:t xml:space="preserve"> a letter and check for $1,000 to the superior court</w:t>
      </w:r>
      <w:r w:rsidR="00552DBD">
        <w:t xml:space="preserve"> on January 6, 2004.</w:t>
      </w:r>
    </w:p>
    <w:p w:rsidR="004C212F" w:rsidRPr="004C212F" w:rsidRDefault="004C212F" w:rsidP="00855AEF">
      <w:pPr>
        <w:rPr>
          <w:b/>
        </w:rPr>
      </w:pPr>
      <w:r>
        <w:tab/>
      </w:r>
      <w:r w:rsidR="009B72FF">
        <w:rPr>
          <w:b/>
        </w:rPr>
        <w:t xml:space="preserve">Count 1(A) – </w:t>
      </w:r>
      <w:r w:rsidRPr="004C212F">
        <w:rPr>
          <w:b/>
        </w:rPr>
        <w:t>Failure to Obey Court Orders</w:t>
      </w:r>
      <w:r w:rsidR="00AA319C">
        <w:rPr>
          <w:b/>
        </w:rPr>
        <w:t xml:space="preserve"> (§ </w:t>
      </w:r>
      <w:r w:rsidR="009160C9">
        <w:rPr>
          <w:b/>
        </w:rPr>
        <w:t>6103)</w:t>
      </w:r>
      <w:r w:rsidRPr="004C212F">
        <w:rPr>
          <w:b/>
        </w:rPr>
        <w:t xml:space="preserve"> </w:t>
      </w:r>
    </w:p>
    <w:p w:rsidR="00394979" w:rsidRDefault="00394979" w:rsidP="00855AEF">
      <w:r>
        <w:tab/>
        <w:t xml:space="preserve">When Hopkins failed to attend the CMCs and </w:t>
      </w:r>
      <w:r w:rsidR="006E61D7">
        <w:t>OSC hearings</w:t>
      </w:r>
      <w:r>
        <w:t xml:space="preserve"> in the Kim and Pascoe lawsuits, he disobeyed court orders.  Such dis</w:t>
      </w:r>
      <w:r w:rsidR="00A95A77">
        <w:t>obedience violated section 6103.  (</w:t>
      </w:r>
      <w:r w:rsidR="00A95A77">
        <w:rPr>
          <w:i/>
        </w:rPr>
        <w:t>In the Matter of Hunter</w:t>
      </w:r>
      <w:r w:rsidR="00A95A77">
        <w:t xml:space="preserve"> (Review Dept. 1994) 3 Cal. State Bar Ct. Rptr. 63, 72-73 [failure to attend court-ordered hearings is violation of section 6103].)</w:t>
      </w:r>
      <w:r w:rsidR="002A037E">
        <w:rPr>
          <w:rStyle w:val="FootnoteReference"/>
        </w:rPr>
        <w:footnoteReference w:id="7"/>
      </w:r>
      <w:r>
        <w:t xml:space="preserve"> </w:t>
      </w:r>
    </w:p>
    <w:p w:rsidR="001B4571" w:rsidRDefault="00562D5F" w:rsidP="00855AEF">
      <w:pPr>
        <w:rPr>
          <w:b/>
        </w:rPr>
      </w:pPr>
      <w:r>
        <w:rPr>
          <w:b/>
        </w:rPr>
        <w:lastRenderedPageBreak/>
        <w:t>D.</w:t>
      </w:r>
      <w:r>
        <w:rPr>
          <w:b/>
        </w:rPr>
        <w:tab/>
      </w:r>
      <w:r w:rsidR="003D79AF" w:rsidRPr="00E90BA5">
        <w:rPr>
          <w:b/>
        </w:rPr>
        <w:t>CLIENT TRUST ACCOUNT MATTER</w:t>
      </w:r>
      <w:r w:rsidR="003D79AF">
        <w:rPr>
          <w:b/>
        </w:rPr>
        <w:t xml:space="preserve"> </w:t>
      </w:r>
      <w:r w:rsidR="00AA319C">
        <w:rPr>
          <w:b/>
        </w:rPr>
        <w:t>(Case Number 06-O-14081)</w:t>
      </w:r>
    </w:p>
    <w:p w:rsidR="00EC6030" w:rsidRDefault="00561821" w:rsidP="00855AEF">
      <w:r>
        <w:tab/>
      </w:r>
      <w:r w:rsidRPr="00561821">
        <w:t>On October 27, 2005, the bala</w:t>
      </w:r>
      <w:r>
        <w:t xml:space="preserve">nce in Hopkins’ CTA was </w:t>
      </w:r>
      <w:r w:rsidRPr="00561821">
        <w:t>$7,332.69.</w:t>
      </w:r>
      <w:r>
        <w:t xml:space="preserve">  </w:t>
      </w:r>
      <w:r w:rsidRPr="00561821">
        <w:t xml:space="preserve">On </w:t>
      </w:r>
      <w:r>
        <w:t>that date, he</w:t>
      </w:r>
      <w:r w:rsidRPr="00561821">
        <w:t xml:space="preserve"> wrote CTA check number 1673 </w:t>
      </w:r>
      <w:r w:rsidR="003D79AF">
        <w:t>for</w:t>
      </w:r>
      <w:r w:rsidRPr="00561821">
        <w:t xml:space="preserve"> $8,474.49 made payable to cash.  The </w:t>
      </w:r>
      <w:r w:rsidR="003D79AF">
        <w:t>money</w:t>
      </w:r>
      <w:r w:rsidRPr="00561821">
        <w:t xml:space="preserve"> was </w:t>
      </w:r>
      <w:r w:rsidR="007B4110">
        <w:t xml:space="preserve">then </w:t>
      </w:r>
      <w:r w:rsidRPr="00561821">
        <w:t xml:space="preserve">used to purchase an official bank check in the same amount </w:t>
      </w:r>
      <w:r w:rsidR="007B4110">
        <w:t xml:space="preserve">payable to another </w:t>
      </w:r>
      <w:r>
        <w:t>client.  When</w:t>
      </w:r>
      <w:r w:rsidRPr="00561821">
        <w:t xml:space="preserve"> the bank paid check </w:t>
      </w:r>
      <w:r w:rsidR="0052318F">
        <w:t xml:space="preserve">number </w:t>
      </w:r>
      <w:r w:rsidRPr="00561821">
        <w:t xml:space="preserve">1673 on October 28, 2005, </w:t>
      </w:r>
      <w:r w:rsidR="007B4110">
        <w:t>Hopkins</w:t>
      </w:r>
      <w:r w:rsidRPr="00561821">
        <w:t xml:space="preserve">’ CTA was </w:t>
      </w:r>
      <w:r w:rsidR="006E349F">
        <w:t xml:space="preserve">overdrawn by </w:t>
      </w:r>
      <w:r w:rsidR="006E349F" w:rsidRPr="0052318F">
        <w:t>$1,14</w:t>
      </w:r>
      <w:r w:rsidRPr="0052318F">
        <w:t>1.80.</w:t>
      </w:r>
      <w:r w:rsidR="0052318F">
        <w:t xml:space="preserve">  </w:t>
      </w:r>
    </w:p>
    <w:p w:rsidR="00EC6030" w:rsidRPr="00EC6030" w:rsidRDefault="00EC6030" w:rsidP="00855AEF">
      <w:pPr>
        <w:rPr>
          <w:b/>
        </w:rPr>
      </w:pPr>
      <w:r>
        <w:tab/>
      </w:r>
      <w:r w:rsidRPr="00EC6030">
        <w:rPr>
          <w:b/>
        </w:rPr>
        <w:t>Count</w:t>
      </w:r>
      <w:r>
        <w:rPr>
          <w:b/>
        </w:rPr>
        <w:t>s</w:t>
      </w:r>
      <w:r w:rsidRPr="00EC6030">
        <w:rPr>
          <w:b/>
        </w:rPr>
        <w:t xml:space="preserve"> 2(A)</w:t>
      </w:r>
      <w:r>
        <w:rPr>
          <w:b/>
        </w:rPr>
        <w:t xml:space="preserve"> and (C)</w:t>
      </w:r>
      <w:r w:rsidR="009160C9">
        <w:rPr>
          <w:b/>
        </w:rPr>
        <w:t xml:space="preserve"> – </w:t>
      </w:r>
      <w:r>
        <w:rPr>
          <w:b/>
        </w:rPr>
        <w:t>Trust Account Violations</w:t>
      </w:r>
      <w:r w:rsidR="009160C9">
        <w:rPr>
          <w:b/>
        </w:rPr>
        <w:t xml:space="preserve"> (Rule 4-100(A))</w:t>
      </w:r>
    </w:p>
    <w:p w:rsidR="00EC6030" w:rsidRDefault="00EC6030" w:rsidP="00855AEF">
      <w:r>
        <w:tab/>
      </w:r>
      <w:r w:rsidR="00083357">
        <w:t xml:space="preserve">As alleged in </w:t>
      </w:r>
      <w:r w:rsidR="00A8588D">
        <w:t>c</w:t>
      </w:r>
      <w:r w:rsidR="00083357">
        <w:t>ount 2(A), Hopkins violated rule 4-100(A) by allowing his CTA to be overdrawn by $1,141.80 on October 28, 2005.  (</w:t>
      </w:r>
      <w:r w:rsidR="00083357" w:rsidRPr="00284B21">
        <w:rPr>
          <w:i/>
        </w:rPr>
        <w:t>In the Matter of Acuna</w:t>
      </w:r>
      <w:r w:rsidR="00702542">
        <w:rPr>
          <w:i/>
        </w:rPr>
        <w:t xml:space="preserve"> </w:t>
      </w:r>
      <w:r w:rsidR="00702542">
        <w:t>(Review Dept. 1996)</w:t>
      </w:r>
      <w:r w:rsidR="00083357">
        <w:t xml:space="preserve"> 3 Cal. State Bar Ct. Rptr. </w:t>
      </w:r>
      <w:r w:rsidR="00702542">
        <w:t xml:space="preserve">495, </w:t>
      </w:r>
      <w:r w:rsidR="00083357">
        <w:t>504.)</w:t>
      </w:r>
      <w:r w:rsidR="00313501">
        <w:t xml:space="preserve">  However, w</w:t>
      </w:r>
      <w:r>
        <w:t xml:space="preserve">e do not find that on October 27, 2005, Hopkins commingled his own funds with those in his CTA, as alleged in </w:t>
      </w:r>
      <w:r w:rsidR="001A1686">
        <w:t>c</w:t>
      </w:r>
      <w:r>
        <w:t xml:space="preserve">ount 2(C).  </w:t>
      </w:r>
      <w:r w:rsidR="003C2362">
        <w:t>Although</w:t>
      </w:r>
      <w:r w:rsidR="00770D9D">
        <w:t xml:space="preserve"> the account </w:t>
      </w:r>
      <w:r w:rsidR="00196E9C">
        <w:t>was $1141.80</w:t>
      </w:r>
      <w:r w:rsidR="00F93CB5">
        <w:t xml:space="preserve"> short, no evidence </w:t>
      </w:r>
      <w:r w:rsidR="003C2362">
        <w:t xml:space="preserve">was provided </w:t>
      </w:r>
      <w:r w:rsidR="00F93CB5">
        <w:t>to</w:t>
      </w:r>
      <w:r w:rsidR="003C2362">
        <w:t xml:space="preserve"> identify</w:t>
      </w:r>
      <w:r w:rsidR="00F93CB5">
        <w:t xml:space="preserve"> </w:t>
      </w:r>
      <w:r w:rsidR="003C2362">
        <w:t xml:space="preserve">the source of </w:t>
      </w:r>
      <w:r w:rsidR="00F93CB5">
        <w:t>the</w:t>
      </w:r>
      <w:r w:rsidR="003C2362">
        <w:t xml:space="preserve"> subsequent $1,200 deposit</w:t>
      </w:r>
      <w:r w:rsidR="00F93CB5">
        <w:t xml:space="preserve"> to cover the difference.  </w:t>
      </w:r>
      <w:r w:rsidR="003C2362">
        <w:t>Since it could have come from the client, t</w:t>
      </w:r>
      <w:r>
        <w:t>here is</w:t>
      </w:r>
      <w:r w:rsidR="003C2362">
        <w:t xml:space="preserve"> no</w:t>
      </w:r>
      <w:r>
        <w:t xml:space="preserve"> cle</w:t>
      </w:r>
      <w:r w:rsidR="00196E9C">
        <w:t xml:space="preserve">ar and convincing evidence that </w:t>
      </w:r>
      <w:r>
        <w:t>commingling occurred.  Thus, we reverse the hearing judge’s conclusion that Hopkins violated rule 4-100(A) based on commingling.</w:t>
      </w:r>
    </w:p>
    <w:p w:rsidR="00ED455C" w:rsidRPr="00ED455C" w:rsidRDefault="00ED455C" w:rsidP="00855AEF">
      <w:pPr>
        <w:rPr>
          <w:b/>
        </w:rPr>
      </w:pPr>
      <w:r>
        <w:tab/>
      </w:r>
      <w:r>
        <w:rPr>
          <w:b/>
        </w:rPr>
        <w:t>Count 2(B</w:t>
      </w:r>
      <w:r w:rsidR="009160C9">
        <w:rPr>
          <w:b/>
        </w:rPr>
        <w:t xml:space="preserve">) – Moral </w:t>
      </w:r>
      <w:r w:rsidR="00C03557">
        <w:rPr>
          <w:b/>
        </w:rPr>
        <w:t>Turpitude</w:t>
      </w:r>
      <w:r w:rsidR="009160C9">
        <w:rPr>
          <w:b/>
        </w:rPr>
        <w:t xml:space="preserve"> (</w:t>
      </w:r>
      <w:r w:rsidR="00AA319C">
        <w:rPr>
          <w:b/>
        </w:rPr>
        <w:t>§</w:t>
      </w:r>
      <w:r w:rsidR="009160C9">
        <w:rPr>
          <w:b/>
        </w:rPr>
        <w:t xml:space="preserve"> 6106)</w:t>
      </w:r>
      <w:r w:rsidRPr="00ED455C">
        <w:rPr>
          <w:b/>
        </w:rPr>
        <w:t xml:space="preserve"> </w:t>
      </w:r>
    </w:p>
    <w:p w:rsidR="00EC6030" w:rsidRDefault="00083357" w:rsidP="00EC6030">
      <w:r>
        <w:tab/>
      </w:r>
      <w:r w:rsidR="00EC6030">
        <w:t>The State Bar alleged that Hopkins committed an act involving moral turpitude when he wrote check number 1673 with insufficient funds in his account, causing his CTA to be overdrawn by $1,141.80.  An attorney who writes numerous checks with insufficient funds in his CTA “</w:t>
      </w:r>
      <w:r w:rsidR="00EC6030" w:rsidRPr="0041013D">
        <w:t>mani</w:t>
      </w:r>
      <w:r w:rsidR="00EC6030">
        <w:t>fests an abiding disregard of ‘</w:t>
      </w:r>
      <w:r w:rsidR="00AA319C">
        <w:t xml:space="preserve"> “</w:t>
      </w:r>
      <w:r w:rsidR="00EC6030" w:rsidRPr="0041013D">
        <w:t>the fundamental rule of ethics - that of common honesty - without which the profession is worse than valueless in the place it holds in</w:t>
      </w:r>
      <w:r w:rsidR="00EC6030">
        <w:t xml:space="preserve"> the administration of justice.</w:t>
      </w:r>
      <w:r w:rsidR="00AA319C">
        <w:t xml:space="preserve">” </w:t>
      </w:r>
      <w:r w:rsidR="00EC6030">
        <w:t>’  [Citation.]”  (</w:t>
      </w:r>
      <w:r w:rsidR="00EC6030" w:rsidRPr="0041013D">
        <w:rPr>
          <w:i/>
        </w:rPr>
        <w:t>Tomlinson v. State Bar</w:t>
      </w:r>
      <w:r w:rsidR="00EC6030" w:rsidRPr="0041013D">
        <w:t xml:space="preserve"> (1975) 13 Cal.3d 567, 577</w:t>
      </w:r>
      <w:r w:rsidR="00EC6030">
        <w:t xml:space="preserve">.)   Hopkins wrote </w:t>
      </w:r>
      <w:r w:rsidR="00AE421E">
        <w:t xml:space="preserve">only </w:t>
      </w:r>
      <w:r w:rsidR="00EC6030">
        <w:t xml:space="preserve">one check with insufficient funds in his CTA.  Since there is no evidence </w:t>
      </w:r>
      <w:r w:rsidR="003C2362">
        <w:t>that he</w:t>
      </w:r>
      <w:r w:rsidR="00EC6030">
        <w:t xml:space="preserve"> repeatedly wrote checks with insufficient funds in his CTA during the same time period, and no other evidence </w:t>
      </w:r>
      <w:r w:rsidR="003C2362">
        <w:t>of</w:t>
      </w:r>
      <w:r w:rsidR="00EC6030">
        <w:t xml:space="preserve"> gross negligence, deception or dishonesty, we do not find </w:t>
      </w:r>
      <w:r w:rsidR="003C2362">
        <w:t>that Hopkins</w:t>
      </w:r>
      <w:r w:rsidR="00EC6030">
        <w:t xml:space="preserve"> violated section 6106. </w:t>
      </w:r>
    </w:p>
    <w:p w:rsidR="005B3B36" w:rsidRDefault="005B3B36" w:rsidP="005B3B36">
      <w:pPr>
        <w:jc w:val="center"/>
        <w:rPr>
          <w:b/>
        </w:rPr>
      </w:pPr>
      <w:r w:rsidRPr="005B3B36">
        <w:rPr>
          <w:b/>
        </w:rPr>
        <w:lastRenderedPageBreak/>
        <w:t>II.  DISCIPLINE</w:t>
      </w:r>
    </w:p>
    <w:p w:rsidR="00BC7192" w:rsidRPr="00BC7192" w:rsidRDefault="00BC7192" w:rsidP="00BC7192">
      <w:r>
        <w:tab/>
      </w:r>
      <w:r w:rsidRPr="00BC7192">
        <w:t>We determine the appropriate discipline in light of all relevant circumstances, including mitigating and aggravating factors.  (</w:t>
      </w:r>
      <w:r w:rsidRPr="00BC7192">
        <w:rPr>
          <w:i/>
        </w:rPr>
        <w:t>Gary v. State Bar</w:t>
      </w:r>
      <w:r w:rsidRPr="00BC7192">
        <w:t xml:space="preserve"> (1988) 44 Cal.3d 820, 828.)  </w:t>
      </w:r>
      <w:r>
        <w:t>Hopkins</w:t>
      </w:r>
      <w:r w:rsidRPr="00BC7192">
        <w:t xml:space="preserve"> must establish mitigation by clear and convincing evidence, while the State Bar has the same burden of proof for aggravating circumstances.  (Rules Proc. of State Bar, tit. IV, Stds. for Atty. Sanctions for Prof. Misconduct, stds. 1.2(e) &amp; 1.2(b).)</w:t>
      </w:r>
      <w:r w:rsidR="00AA319C">
        <w:rPr>
          <w:rStyle w:val="FootnoteReference"/>
        </w:rPr>
        <w:footnoteReference w:id="8"/>
      </w:r>
    </w:p>
    <w:p w:rsidR="005B3B36" w:rsidRPr="005B3B36" w:rsidRDefault="005B3B36" w:rsidP="005B3B36">
      <w:pPr>
        <w:rPr>
          <w:b/>
        </w:rPr>
      </w:pPr>
      <w:r w:rsidRPr="005B3B36">
        <w:rPr>
          <w:b/>
        </w:rPr>
        <w:t>A.</w:t>
      </w:r>
      <w:r w:rsidR="002D5DFB">
        <w:rPr>
          <w:b/>
        </w:rPr>
        <w:tab/>
      </w:r>
      <w:r w:rsidR="003C2362" w:rsidRPr="005B3B36">
        <w:rPr>
          <w:b/>
        </w:rPr>
        <w:t>AGGRAVATION</w:t>
      </w:r>
    </w:p>
    <w:p w:rsidR="00313501" w:rsidRDefault="00724CCA" w:rsidP="00855AEF">
      <w:r>
        <w:tab/>
        <w:t xml:space="preserve">We find </w:t>
      </w:r>
      <w:r w:rsidR="00072FE6">
        <w:t>four</w:t>
      </w:r>
      <w:r w:rsidR="009246DF">
        <w:t xml:space="preserve"> factors in aggravation.  First</w:t>
      </w:r>
      <w:r w:rsidR="00221C84">
        <w:t>,</w:t>
      </w:r>
      <w:r w:rsidR="009246DF">
        <w:t xml:space="preserve"> Hopkins comm</w:t>
      </w:r>
      <w:r w:rsidR="00D145BD">
        <w:t>itted multiple acts of misconduct.  (Std. 1.2(b)(ii).)  Second, he committed uncharged misconduct of dishonesty</w:t>
      </w:r>
      <w:r w:rsidR="000D7D19">
        <w:t xml:space="preserve"> and</w:t>
      </w:r>
      <w:r w:rsidR="00D145BD">
        <w:t xml:space="preserve"> </w:t>
      </w:r>
      <w:r w:rsidR="00F63EAC">
        <w:t xml:space="preserve">concealment </w:t>
      </w:r>
      <w:r w:rsidR="00D145BD">
        <w:t xml:space="preserve">in the Jakubicek matter.  (Std. 1.2(b)(iii); </w:t>
      </w:r>
      <w:r w:rsidR="00D145BD">
        <w:rPr>
          <w:i/>
        </w:rPr>
        <w:t>Edwards v. State Bar</w:t>
      </w:r>
      <w:r w:rsidR="00D145BD">
        <w:t xml:space="preserve"> (1990) 52 Cal.3d 28, 35-36.)  </w:t>
      </w:r>
      <w:r w:rsidR="00F63EAC">
        <w:t xml:space="preserve">In order to conceal his misappropriation, </w:t>
      </w:r>
      <w:r w:rsidR="003C2362">
        <w:t xml:space="preserve">Hopkins’ </w:t>
      </w:r>
      <w:r w:rsidR="00F63EAC">
        <w:t>billing statements to</w:t>
      </w:r>
      <w:r w:rsidR="00D145BD">
        <w:t xml:space="preserve"> Jakubicek repeatedly misrepresented that </w:t>
      </w:r>
      <w:r w:rsidR="003C2362">
        <w:t xml:space="preserve">the CTA </w:t>
      </w:r>
      <w:r w:rsidR="00D145BD">
        <w:t xml:space="preserve">held the appropriate amount of </w:t>
      </w:r>
      <w:r w:rsidR="00A8588D">
        <w:t>funds</w:t>
      </w:r>
      <w:r w:rsidR="003C2362">
        <w:t xml:space="preserve"> on her behalf</w:t>
      </w:r>
      <w:r w:rsidR="00A8588D">
        <w:t xml:space="preserve">.  </w:t>
      </w:r>
      <w:r>
        <w:t>Third,</w:t>
      </w:r>
      <w:r w:rsidR="00D145BD">
        <w:t xml:space="preserve"> Hopkins</w:t>
      </w:r>
      <w:r w:rsidR="00D73B50">
        <w:t xml:space="preserve"> failed to accept responsibility for his action</w:t>
      </w:r>
      <w:r w:rsidR="000D7D19">
        <w:t>s.  (Std. 1.2(b)(v).)  He blamed</w:t>
      </w:r>
      <w:r w:rsidR="00D73B50">
        <w:t xml:space="preserve"> his wife for the misappropriation of a</w:t>
      </w:r>
      <w:r w:rsidR="00A66562">
        <w:t xml:space="preserve">pproximately </w:t>
      </w:r>
      <w:r w:rsidR="00D73B50">
        <w:t>$</w:t>
      </w:r>
      <w:r w:rsidR="00A66562">
        <w:t>70</w:t>
      </w:r>
      <w:r w:rsidR="00D73B50">
        <w:t>,0</w:t>
      </w:r>
      <w:r w:rsidR="000C7189">
        <w:t>00</w:t>
      </w:r>
      <w:r w:rsidR="000D7D19">
        <w:t xml:space="preserve"> from his CTA, and he blamed</w:t>
      </w:r>
      <w:r w:rsidR="00D73B50">
        <w:t xml:space="preserve"> the bank for his account being overdrawn by $1,141</w:t>
      </w:r>
      <w:r w:rsidR="00221C84">
        <w:t>,</w:t>
      </w:r>
      <w:r w:rsidR="00D73B50">
        <w:t xml:space="preserve"> </w:t>
      </w:r>
      <w:r w:rsidR="000D7D19">
        <w:t>alleging</w:t>
      </w:r>
      <w:r w:rsidR="00D73B50">
        <w:t xml:space="preserve"> </w:t>
      </w:r>
      <w:r w:rsidR="003C2362">
        <w:t xml:space="preserve">that </w:t>
      </w:r>
      <w:r w:rsidR="00D73B50">
        <w:t>it incorrectly credited a client’s check as $3,000 instea</w:t>
      </w:r>
      <w:r w:rsidR="00AE57FB">
        <w:t>d of $5,000.  His inability to accept responsibility for his actions shows a lack of insight into his shortcomings that underlie his misconduct.</w:t>
      </w:r>
      <w:r>
        <w:t xml:space="preserve">  And fourth, </w:t>
      </w:r>
      <w:r w:rsidR="000D7D19">
        <w:t>Hopkins</w:t>
      </w:r>
      <w:r>
        <w:t xml:space="preserve"> significantly harmed Lopez by failing to complete the employment contract </w:t>
      </w:r>
      <w:r w:rsidR="000D7D19">
        <w:t>with Lopez’s new employer.  (Std. 1.2(b)(iv).</w:t>
      </w:r>
      <w:r w:rsidR="00A8588D">
        <w:t>)</w:t>
      </w:r>
      <w:r w:rsidR="000D7D19">
        <w:t xml:space="preserve">  Lopez was forced</w:t>
      </w:r>
      <w:r>
        <w:t xml:space="preserve"> to hire another attorney to complete the </w:t>
      </w:r>
      <w:r w:rsidR="003C2362">
        <w:t xml:space="preserve">employment </w:t>
      </w:r>
      <w:r>
        <w:t xml:space="preserve">negotiations and contract that </w:t>
      </w:r>
      <w:r w:rsidR="000D7D19">
        <w:t xml:space="preserve">he </w:t>
      </w:r>
      <w:r w:rsidR="00AE421E">
        <w:t xml:space="preserve">had </w:t>
      </w:r>
      <w:r w:rsidR="003769E3">
        <w:t>hired Hopkins to handle</w:t>
      </w:r>
      <w:r w:rsidR="000D7D19">
        <w:t xml:space="preserve">.  </w:t>
      </w:r>
      <w:r>
        <w:t>(</w:t>
      </w:r>
      <w:r>
        <w:rPr>
          <w:i/>
        </w:rPr>
        <w:t>In the Matter of Peterson</w:t>
      </w:r>
      <w:r>
        <w:t xml:space="preserve"> (Review Dept. 1990)</w:t>
      </w:r>
      <w:r w:rsidR="00241A29">
        <w:t xml:space="preserve"> 1 Cal. State Bar Ct. Rptr. 73, 79 </w:t>
      </w:r>
      <w:r>
        <w:t>[counsel’s abandonment harmed clients because they had to hire new counsel to finish o</w:t>
      </w:r>
      <w:r w:rsidR="00B1372B">
        <w:t>utstanding matters and counsel failed to cooperate with new counsel].)</w:t>
      </w:r>
    </w:p>
    <w:p w:rsidR="00693F2D" w:rsidRPr="003C2362" w:rsidRDefault="005B3B36" w:rsidP="00855AEF">
      <w:pPr>
        <w:rPr>
          <w:b/>
        </w:rPr>
      </w:pPr>
      <w:r w:rsidRPr="005B3B36">
        <w:rPr>
          <w:b/>
        </w:rPr>
        <w:lastRenderedPageBreak/>
        <w:t>B.</w:t>
      </w:r>
      <w:r w:rsidR="002D5DFB">
        <w:rPr>
          <w:b/>
        </w:rPr>
        <w:tab/>
      </w:r>
      <w:r w:rsidRPr="005B3B36">
        <w:rPr>
          <w:b/>
        </w:rPr>
        <w:t>M</w:t>
      </w:r>
      <w:r w:rsidR="003C2362" w:rsidRPr="003C2362">
        <w:rPr>
          <w:b/>
        </w:rPr>
        <w:t>ITIGATION</w:t>
      </w:r>
    </w:p>
    <w:p w:rsidR="00693F2D" w:rsidRDefault="003675B9" w:rsidP="00855AEF">
      <w:r>
        <w:tab/>
      </w:r>
      <w:r w:rsidR="002D5DFB">
        <w:t>W</w:t>
      </w:r>
      <w:r>
        <w:t xml:space="preserve">e find that </w:t>
      </w:r>
      <w:r w:rsidR="002D5DFB">
        <w:t>Hopkins</w:t>
      </w:r>
      <w:r>
        <w:t xml:space="preserve"> is entitled to full mitigation credit for two factors and minimal credit for two </w:t>
      </w:r>
      <w:r w:rsidR="000D7D19">
        <w:t xml:space="preserve">other </w:t>
      </w:r>
      <w:r>
        <w:t>factors.  First</w:t>
      </w:r>
      <w:r w:rsidR="00221C84">
        <w:t>,</w:t>
      </w:r>
      <w:r>
        <w:t xml:space="preserve"> we assign considerable weight to his more than 14 years of disc</w:t>
      </w:r>
      <w:r w:rsidR="00CA6F40">
        <w:t>ipline-free practice before the current</w:t>
      </w:r>
      <w:r>
        <w:t xml:space="preserve"> misconduct.  (Std. 1.2(e)(i); </w:t>
      </w:r>
      <w:r>
        <w:rPr>
          <w:i/>
        </w:rPr>
        <w:t>In the Matter of Riordan</w:t>
      </w:r>
      <w:r>
        <w:t xml:space="preserve"> (Review Dept. 2007) 5 Cal. State Bar Ct. Rptr. 41, 49 [more than 17 years of practice with no prior record of discipline is “significant mitigating  factor”].)  Further, </w:t>
      </w:r>
      <w:r w:rsidR="00B62BC5">
        <w:t>Hopkins is entitled to</w:t>
      </w:r>
      <w:r w:rsidR="00D22D16">
        <w:t xml:space="preserve"> </w:t>
      </w:r>
      <w:r w:rsidR="007C755F">
        <w:t xml:space="preserve">substantial </w:t>
      </w:r>
      <w:r w:rsidR="00D22D16">
        <w:t>mitigation credit for his service to the community.  H</w:t>
      </w:r>
      <w:r w:rsidR="00DF2FE9">
        <w:t>e</w:t>
      </w:r>
      <w:r w:rsidR="00D22D16">
        <w:t xml:space="preserve"> and his witnesses testified </w:t>
      </w:r>
      <w:r w:rsidR="001C6D43">
        <w:t>to the extent of hi</w:t>
      </w:r>
      <w:r w:rsidR="000D7D19">
        <w:t>s volunteer work, includ</w:t>
      </w:r>
      <w:r w:rsidR="00CA6F40">
        <w:t>ing</w:t>
      </w:r>
      <w:r w:rsidR="001C6D43">
        <w:t xml:space="preserve"> serving as </w:t>
      </w:r>
      <w:r w:rsidR="00D22D16">
        <w:t>president of the Novato Pop Warner, Lit</w:t>
      </w:r>
      <w:r w:rsidR="00CA6F40">
        <w:t>tle Scholars football program</w:t>
      </w:r>
      <w:r w:rsidR="00DF2FE9">
        <w:t>,</w:t>
      </w:r>
      <w:r w:rsidR="001C6D43">
        <w:t xml:space="preserve"> serving </w:t>
      </w:r>
      <w:r w:rsidR="00D22D16">
        <w:t>20 years on the board of</w:t>
      </w:r>
      <w:r w:rsidR="00DF2FE9">
        <w:t xml:space="preserve"> and providing free legal services to</w:t>
      </w:r>
      <w:r w:rsidR="00D22D16">
        <w:t xml:space="preserve"> the Andrews Reiter Epilepsy Research Program</w:t>
      </w:r>
      <w:r w:rsidR="00DF2FE9">
        <w:t>,</w:t>
      </w:r>
      <w:r w:rsidR="001C6D43">
        <w:t xml:space="preserve"> and </w:t>
      </w:r>
      <w:r w:rsidR="00CA6F40">
        <w:t xml:space="preserve">being </w:t>
      </w:r>
      <w:r w:rsidR="00D22D16">
        <w:t xml:space="preserve">a founding board </w:t>
      </w:r>
      <w:r w:rsidR="000D7D19">
        <w:t xml:space="preserve">member and </w:t>
      </w:r>
      <w:r w:rsidR="001C6D43">
        <w:t>current adviser to the Knowledge Context, a nonprofit organization that trains young people to understand and eva</w:t>
      </w:r>
      <w:r w:rsidR="00AF6596">
        <w:t>luate technology.  (</w:t>
      </w:r>
      <w:r w:rsidR="00AF6596">
        <w:rPr>
          <w:i/>
        </w:rPr>
        <w:t xml:space="preserve">In the Matter of </w:t>
      </w:r>
      <w:r w:rsidR="00AF6596" w:rsidRPr="00702542">
        <w:rPr>
          <w:i/>
        </w:rPr>
        <w:t>Davis</w:t>
      </w:r>
      <w:r w:rsidR="00AF6596">
        <w:t xml:space="preserve"> (Review Dept. 2003) 4 Cal. State Bar Ct. Rptr. 576, 592 [significant community service entitled to considerable weight</w:t>
      </w:r>
      <w:r w:rsidR="00CA6F40">
        <w:t>]</w:t>
      </w:r>
      <w:r w:rsidR="001C6D43">
        <w:t>.</w:t>
      </w:r>
      <w:r w:rsidR="00CA6F40">
        <w:t>)</w:t>
      </w:r>
    </w:p>
    <w:p w:rsidR="00924829" w:rsidRDefault="001C6D43" w:rsidP="00855AEF">
      <w:r>
        <w:tab/>
        <w:t>We give minimal mitigation credit for Hopkins’ demonstration of good character</w:t>
      </w:r>
      <w:r w:rsidR="0091550D">
        <w:t>.</w:t>
      </w:r>
      <w:r>
        <w:t xml:space="preserve"> </w:t>
      </w:r>
      <w:r w:rsidR="0091550D">
        <w:t xml:space="preserve"> </w:t>
      </w:r>
      <w:r>
        <w:t>(</w:t>
      </w:r>
      <w:r w:rsidR="0091550D">
        <w:t>S</w:t>
      </w:r>
      <w:r>
        <w:t>td. 1.2(e)(vi)</w:t>
      </w:r>
      <w:r w:rsidR="00A14A21">
        <w:t>.</w:t>
      </w:r>
      <w:r w:rsidR="0091550D">
        <w:t>)</w:t>
      </w:r>
      <w:r w:rsidR="00A14A21">
        <w:t xml:space="preserve">  </w:t>
      </w:r>
      <w:r w:rsidR="0091550D">
        <w:t>A</w:t>
      </w:r>
      <w:r w:rsidR="00A14A21">
        <w:t xml:space="preserve">lthough six witnesses </w:t>
      </w:r>
      <w:r w:rsidR="004A5A2C">
        <w:t>testified</w:t>
      </w:r>
      <w:r w:rsidR="00A14A21">
        <w:t xml:space="preserve"> about hi</w:t>
      </w:r>
      <w:r w:rsidR="00924829">
        <w:t>s honesty and integrity</w:t>
      </w:r>
      <w:r w:rsidR="00DF2FE9">
        <w:t>,</w:t>
      </w:r>
      <w:r w:rsidR="00A14A21">
        <w:t xml:space="preserve"> none of them w</w:t>
      </w:r>
      <w:r w:rsidR="00A66562">
        <w:t xml:space="preserve">ere </w:t>
      </w:r>
      <w:r w:rsidR="00A14A21">
        <w:t>“aware of the full extent of [his] misconduct</w:t>
      </w:r>
      <w:r w:rsidR="00DF2FE9">
        <w:t>,</w:t>
      </w:r>
      <w:r w:rsidR="00A14A21">
        <w:t xml:space="preserve">” as required by the standard.  </w:t>
      </w:r>
      <w:r w:rsidR="00045A14">
        <w:t xml:space="preserve">His witnesses believed that he failed to supervise his wife when she was his bookkeeper or </w:t>
      </w:r>
      <w:r w:rsidR="00CA6F40">
        <w:t>that</w:t>
      </w:r>
      <w:r w:rsidR="00DF2FE9">
        <w:t xml:space="preserve"> </w:t>
      </w:r>
      <w:r w:rsidR="00045A14">
        <w:t xml:space="preserve">a misunderstanding </w:t>
      </w:r>
      <w:r w:rsidR="00DF2FE9">
        <w:t>occurred regarding</w:t>
      </w:r>
      <w:r w:rsidR="00045A14">
        <w:t xml:space="preserve"> Jakubicek</w:t>
      </w:r>
      <w:r w:rsidR="000D7D19">
        <w:t>’s</w:t>
      </w:r>
      <w:r w:rsidR="00045A14">
        <w:t xml:space="preserve"> instructions to transfer funds to her boyfriend’s account.  Hopkins failed to inform his witnesses that the money was missing from the CTA before the transfer of funds.  Thus, his witnesses’ testimony about his honesty and integrity is significantly diminished.   </w:t>
      </w:r>
    </w:p>
    <w:p w:rsidR="00AE421E" w:rsidRDefault="00924829" w:rsidP="00855AEF">
      <w:r>
        <w:tab/>
        <w:t xml:space="preserve">Finally, we give very little weight to </w:t>
      </w:r>
      <w:r w:rsidR="00DE7D94">
        <w:t>Hopkins’ testimony that his alcohol abuse and marital problems caused his misconduct.</w:t>
      </w:r>
      <w:r w:rsidR="007C755F">
        <w:t xml:space="preserve">  (Std. 1.2(e)(iv).)</w:t>
      </w:r>
      <w:r w:rsidR="008C25F8">
        <w:t xml:space="preserve">  Alcoholism and marital problems may be considered mitigating </w:t>
      </w:r>
      <w:r w:rsidR="00E67DFD">
        <w:t>where it is established by expert testimony that the</w:t>
      </w:r>
      <w:r w:rsidR="00DF2FE9">
        <w:t>y</w:t>
      </w:r>
      <w:r w:rsidR="00E67DFD">
        <w:t xml:space="preserve"> were </w:t>
      </w:r>
    </w:p>
    <w:p w:rsidR="00715C85" w:rsidRDefault="00E67DFD" w:rsidP="00855AEF">
      <w:r>
        <w:lastRenderedPageBreak/>
        <w:t>responsible for t</w:t>
      </w:r>
      <w:r w:rsidR="003978F1">
        <w:t>he attorney’s misconduct.  (</w:t>
      </w:r>
      <w:r>
        <w:rPr>
          <w:i/>
        </w:rPr>
        <w:t xml:space="preserve">In the Matter of </w:t>
      </w:r>
      <w:r w:rsidRPr="00702542">
        <w:rPr>
          <w:i/>
        </w:rPr>
        <w:t>Frazier</w:t>
      </w:r>
      <w:r>
        <w:t xml:space="preserve"> (Review Dept. 1991) 1 Cal. State Bar Ct. Rptr. 676, 701-702.)  </w:t>
      </w:r>
      <w:r w:rsidR="00DF2FE9">
        <w:t>Hopkins provided n</w:t>
      </w:r>
      <w:r>
        <w:t xml:space="preserve">o expert testimony </w:t>
      </w:r>
      <w:r w:rsidR="00DF2FE9">
        <w:t xml:space="preserve">on this issue </w:t>
      </w:r>
      <w:r>
        <w:t xml:space="preserve">nor was </w:t>
      </w:r>
      <w:r w:rsidR="00DF2FE9">
        <w:t>his</w:t>
      </w:r>
      <w:r>
        <w:t xml:space="preserve"> own testimony sufficient to establish that </w:t>
      </w:r>
      <w:r w:rsidR="00DF2FE9">
        <w:t>he</w:t>
      </w:r>
      <w:r>
        <w:t xml:space="preserve"> was an alcoholic.  Further, </w:t>
      </w:r>
      <w:r w:rsidR="003A74A6">
        <w:t>Hopkins failed to demonstrate</w:t>
      </w:r>
      <w:r w:rsidR="00AF6596">
        <w:t xml:space="preserve"> a causal connection between his misconduct and his </w:t>
      </w:r>
      <w:r w:rsidR="00DF2FE9">
        <w:t>personal</w:t>
      </w:r>
      <w:r w:rsidR="00AF6596">
        <w:t xml:space="preserve"> problems.</w:t>
      </w:r>
      <w:r w:rsidR="0038297C">
        <w:t xml:space="preserve">  </w:t>
      </w:r>
      <w:r w:rsidR="00281F81">
        <w:t xml:space="preserve">While Hopkins’ alcohol and marital problems may have played some role in his </w:t>
      </w:r>
      <w:r w:rsidR="00DF2FE9">
        <w:t>failure</w:t>
      </w:r>
      <w:r w:rsidR="00281F81">
        <w:t xml:space="preserve"> to oversee the management of his office, they do not ne</w:t>
      </w:r>
      <w:r w:rsidR="000D7D19">
        <w:t>gate</w:t>
      </w:r>
      <w:r w:rsidR="00DF2FE9">
        <w:t xml:space="preserve"> the fact</w:t>
      </w:r>
      <w:r w:rsidR="000D7D19">
        <w:t xml:space="preserve"> that he wrote and signed </w:t>
      </w:r>
      <w:r w:rsidR="00281F81">
        <w:t>virtually all of the checks that misappropriat</w:t>
      </w:r>
      <w:r w:rsidR="00DF2FE9">
        <w:t>ed</w:t>
      </w:r>
      <w:r w:rsidR="00281F81">
        <w:t xml:space="preserve"> Jakubicek’s </w:t>
      </w:r>
      <w:r w:rsidR="00915103">
        <w:t>f</w:t>
      </w:r>
      <w:r w:rsidR="00281F81">
        <w:t xml:space="preserve">unds.  </w:t>
      </w:r>
      <w:r w:rsidR="0038297C">
        <w:t>H</w:t>
      </w:r>
      <w:r w:rsidR="00DF2FE9">
        <w:t>is</w:t>
      </w:r>
      <w:r w:rsidR="0038297C">
        <w:t xml:space="preserve"> efforts </w:t>
      </w:r>
      <w:r w:rsidR="00281F81">
        <w:t>to</w:t>
      </w:r>
      <w:r w:rsidR="00DF2FE9">
        <w:t xml:space="preserve"> achieve</w:t>
      </w:r>
      <w:r w:rsidR="00281F81">
        <w:t xml:space="preserve"> sobriety and repair his marriage,</w:t>
      </w:r>
      <w:r w:rsidR="0038297C">
        <w:t xml:space="preserve"> though commendable, are insufficient to overcome his active involvement </w:t>
      </w:r>
      <w:r w:rsidR="00281F81">
        <w:t xml:space="preserve">in the misappropriation of at least </w:t>
      </w:r>
      <w:r w:rsidR="00281F81" w:rsidRPr="005B3B36">
        <w:t>$</w:t>
      </w:r>
      <w:r w:rsidR="005B3B36">
        <w:t>69,0</w:t>
      </w:r>
      <w:r w:rsidR="000C7189">
        <w:t>00</w:t>
      </w:r>
      <w:r w:rsidR="0038297C">
        <w:t>.  Thu</w:t>
      </w:r>
      <w:r w:rsidR="00281F81">
        <w:t>s</w:t>
      </w:r>
      <w:r w:rsidR="0038297C">
        <w:t>,</w:t>
      </w:r>
      <w:r w:rsidR="00281F81">
        <w:t xml:space="preserve"> we give him minimal mitigation credit for his </w:t>
      </w:r>
      <w:r w:rsidR="00313501">
        <w:t xml:space="preserve">alleged </w:t>
      </w:r>
      <w:r w:rsidR="00281F81">
        <w:t xml:space="preserve">alcohol abuse and marital problems. </w:t>
      </w:r>
    </w:p>
    <w:p w:rsidR="00FE1B92" w:rsidRPr="00E67DFD" w:rsidRDefault="009A0CAD" w:rsidP="00855AEF">
      <w:r>
        <w:tab/>
        <w:t xml:space="preserve">We do not find that </w:t>
      </w:r>
      <w:r w:rsidR="004E2196">
        <w:t xml:space="preserve">Hopkins is entitled to </w:t>
      </w:r>
      <w:r w:rsidR="00027D66">
        <w:t xml:space="preserve">any </w:t>
      </w:r>
      <w:r w:rsidR="004E2196">
        <w:t>mitigation for lack of harm to Jakubicek.  (Std. 1.2(e)(ii</w:t>
      </w:r>
      <w:r w:rsidR="00AA319C">
        <w:t>i</w:t>
      </w:r>
      <w:r w:rsidR="004E2196">
        <w:t>).</w:t>
      </w:r>
      <w:r w:rsidR="0091550D">
        <w:t>)</w:t>
      </w:r>
      <w:r w:rsidR="004E2196">
        <w:t xml:space="preserve">  </w:t>
      </w:r>
      <w:r w:rsidR="003156D8">
        <w:t xml:space="preserve">Jakubicek </w:t>
      </w:r>
      <w:r w:rsidR="00DF2FE9">
        <w:t>had to seek</w:t>
      </w:r>
      <w:r w:rsidR="00C54DDD">
        <w:t xml:space="preserve"> fee arbitration to </w:t>
      </w:r>
      <w:r w:rsidR="003156D8">
        <w:t>obtain</w:t>
      </w:r>
      <w:r w:rsidR="00C54DDD">
        <w:t xml:space="preserve"> the return of the money entrusted to Hopkins, which was an inconvenience.  Although such inconvenience does not rise to the level of harm ne</w:t>
      </w:r>
      <w:r w:rsidR="00DF2FE9">
        <w:t>cessary to be</w:t>
      </w:r>
      <w:r w:rsidR="00C54DDD">
        <w:t xml:space="preserve"> an aggravating factor (std. 1.2(b)(iv), it is enough to prevent us from giving any mitigation credit pursuant to standard 1.2(e)(ii</w:t>
      </w:r>
      <w:r w:rsidR="00AA319C">
        <w:t>i</w:t>
      </w:r>
      <w:r w:rsidR="00C54DDD">
        <w:t xml:space="preserve">). </w:t>
      </w:r>
      <w:r w:rsidR="003156D8">
        <w:t xml:space="preserve"> </w:t>
      </w:r>
    </w:p>
    <w:p w:rsidR="00FE35D3" w:rsidRPr="005B3B36" w:rsidRDefault="005B3B36" w:rsidP="00855AEF">
      <w:pPr>
        <w:rPr>
          <w:b/>
        </w:rPr>
      </w:pPr>
      <w:r w:rsidRPr="005B3B36">
        <w:rPr>
          <w:b/>
        </w:rPr>
        <w:t>C.</w:t>
      </w:r>
      <w:r w:rsidR="00DF2FE9">
        <w:rPr>
          <w:b/>
        </w:rPr>
        <w:tab/>
      </w:r>
      <w:r w:rsidR="00DF2FE9" w:rsidRPr="005B3B36">
        <w:rPr>
          <w:b/>
        </w:rPr>
        <w:t>LEVEL OF DISCIPLINE</w:t>
      </w:r>
    </w:p>
    <w:p w:rsidR="005C7B74" w:rsidRDefault="00FE35D3" w:rsidP="00855AEF">
      <w:r>
        <w:tab/>
      </w:r>
      <w:r w:rsidRPr="00FE35D3">
        <w:t>We start with the standards in determining the appropriate discipline to recommend.  Guided by standard 1.6(a), we consider the most severe discipline provided by the various standards applicable to the misconduct.  Standard 2.3 provides for actual suspension or disbarment for an act of moral t</w:t>
      </w:r>
      <w:r w:rsidR="000D7D19">
        <w:t xml:space="preserve">urpitude, while </w:t>
      </w:r>
      <w:r w:rsidRPr="00FE35D3">
        <w:t xml:space="preserve">standard 2.2(a) </w:t>
      </w:r>
      <w:r w:rsidR="00A66562">
        <w:t>calls for</w:t>
      </w:r>
      <w:r w:rsidRPr="00FE35D3">
        <w:t xml:space="preserve"> disbarment for willful misappropriation </w:t>
      </w:r>
      <w:r w:rsidR="00124C55">
        <w:t>unless the amount of money is insignificant or the most compelling mitigating circumstances predominate</w:t>
      </w:r>
      <w:r w:rsidRPr="00FE35D3">
        <w:t>.</w:t>
      </w:r>
      <w:r w:rsidR="00124C55">
        <w:t xml:space="preserve"> </w:t>
      </w:r>
      <w:r w:rsidR="001465B9">
        <w:t xml:space="preserve"> </w:t>
      </w:r>
      <w:r w:rsidR="005C7B74">
        <w:t>Due to Hopkins’ dishonesty and misrepresentations surrounding his misappropriation, w</w:t>
      </w:r>
      <w:r w:rsidR="00135A1D">
        <w:t xml:space="preserve">e conclude that disbarment is </w:t>
      </w:r>
      <w:r w:rsidR="005C7B74">
        <w:t>necessary</w:t>
      </w:r>
      <w:r w:rsidR="00135A1D">
        <w:t xml:space="preserve"> to </w:t>
      </w:r>
      <w:r w:rsidR="005C7B74">
        <w:t>maintain public confidence in the legal profession.</w:t>
      </w:r>
    </w:p>
    <w:p w:rsidR="00D2655B" w:rsidRDefault="001A5CE5" w:rsidP="00D2655B">
      <w:r>
        <w:lastRenderedPageBreak/>
        <w:tab/>
      </w:r>
      <w:r w:rsidR="00313501">
        <w:t>N</w:t>
      </w:r>
      <w:r w:rsidR="00A07A51">
        <w:t>either of the exceptions in standard 2.2(a) applies in this c</w:t>
      </w:r>
      <w:r w:rsidR="003847A8">
        <w:t>ase.  Hopkins mi</w:t>
      </w:r>
      <w:r w:rsidR="009A0CAD">
        <w:t>sappropriated at least $69,0</w:t>
      </w:r>
      <w:r w:rsidR="00562D5F">
        <w:t xml:space="preserve">00, </w:t>
      </w:r>
      <w:r w:rsidR="003847A8">
        <w:t xml:space="preserve">a significant amount.  </w:t>
      </w:r>
      <w:r w:rsidR="005C7B74">
        <w:t>And h</w:t>
      </w:r>
      <w:r w:rsidR="009E0ED0">
        <w:t>is multip</w:t>
      </w:r>
      <w:r w:rsidR="009A0CAD">
        <w:t>le circumstances in aggravation</w:t>
      </w:r>
      <w:r w:rsidR="009E0ED0">
        <w:t xml:space="preserve">, particularly those involving </w:t>
      </w:r>
      <w:r w:rsidR="009A0CAD">
        <w:t xml:space="preserve">his deception to conceal his misappropriation </w:t>
      </w:r>
      <w:r w:rsidR="009E0ED0">
        <w:t xml:space="preserve">and his </w:t>
      </w:r>
      <w:r w:rsidR="009A0CAD">
        <w:t>failure to accept responsibility</w:t>
      </w:r>
      <w:r w:rsidR="00AD33AC">
        <w:t xml:space="preserve"> for his misconduct</w:t>
      </w:r>
      <w:r w:rsidR="0091550D">
        <w:t>,</w:t>
      </w:r>
      <w:r w:rsidR="00AD33AC">
        <w:t xml:space="preserve"> outweigh any</w:t>
      </w:r>
      <w:r w:rsidR="009A0CAD">
        <w:t xml:space="preserve"> alleviating effect hi</w:t>
      </w:r>
      <w:r w:rsidR="00AD33AC">
        <w:t xml:space="preserve">s mitigating factors may have.  </w:t>
      </w:r>
      <w:r w:rsidR="00D2655B">
        <w:t>Although</w:t>
      </w:r>
      <w:r w:rsidR="00562D5F">
        <w:t xml:space="preserve"> Hopkins’ misconduct may appear aberrational in light of his 14 years of discipline-free practice, the serious surrounding cir</w:t>
      </w:r>
      <w:r w:rsidR="005C7B74">
        <w:t>cumstances are of great concern.</w:t>
      </w:r>
      <w:r w:rsidR="00D2655B" w:rsidRPr="00D2655B">
        <w:t xml:space="preserve"> </w:t>
      </w:r>
    </w:p>
    <w:p w:rsidR="00D2655B" w:rsidRDefault="00D2655B" w:rsidP="00855AEF">
      <w:r>
        <w:tab/>
        <w:t>W</w:t>
      </w:r>
      <w:r w:rsidR="00041EE1">
        <w:t xml:space="preserve">hile we are </w:t>
      </w:r>
      <w:r w:rsidR="00135A1D">
        <w:t>permitted to temper the letter of the law with considerations peculiar to the offense and the offender (</w:t>
      </w:r>
      <w:r w:rsidR="00135A1D">
        <w:rPr>
          <w:i/>
        </w:rPr>
        <w:t>In the Matter of Van Sickle</w:t>
      </w:r>
      <w:r w:rsidR="00135A1D">
        <w:t xml:space="preserve"> (Review Dept. 2006) 4 Cal. State Bar Ct. Rptr. 980, 994), </w:t>
      </w:r>
      <w:r w:rsidR="005C7B74">
        <w:t xml:space="preserve">we find no compelling reason </w:t>
      </w:r>
      <w:r>
        <w:t>t</w:t>
      </w:r>
      <w:r w:rsidR="005C7B74">
        <w:t>o depart from the application of standard 2.2(a)</w:t>
      </w:r>
      <w:r w:rsidR="00DF2FE9">
        <w:t xml:space="preserve"> in this matter</w:t>
      </w:r>
      <w:r w:rsidR="005C7B74">
        <w:t xml:space="preserve">.  </w:t>
      </w:r>
    </w:p>
    <w:p w:rsidR="00A07A51" w:rsidRDefault="005C7B74" w:rsidP="00855AEF">
      <w:r>
        <w:tab/>
      </w:r>
      <w:r w:rsidR="008F60F7">
        <w:t>Finally, o</w:t>
      </w:r>
      <w:r w:rsidR="007E468B">
        <w:t>ur disbarment recommendation is supported by comparable case law as the proper sanction to ensure discipline proportionate to the misconduct.  (</w:t>
      </w:r>
      <w:r w:rsidR="00C4583B">
        <w:rPr>
          <w:i/>
        </w:rPr>
        <w:t>In the Matter of Conner</w:t>
      </w:r>
      <w:r w:rsidR="00702542">
        <w:rPr>
          <w:i/>
        </w:rPr>
        <w:t xml:space="preserve">, supra, </w:t>
      </w:r>
      <w:r w:rsidR="00C4583B">
        <w:t xml:space="preserve">5 Cal. State Bar Ct. Rptr. 93 [attorney disbarred for </w:t>
      </w:r>
      <w:r w:rsidR="00C64556">
        <w:t xml:space="preserve">willfully misappropriating </w:t>
      </w:r>
      <w:r w:rsidR="008F60F7">
        <w:t xml:space="preserve">over </w:t>
      </w:r>
      <w:r w:rsidR="00C64556">
        <w:t>$26,</w:t>
      </w:r>
      <w:r w:rsidR="008F60F7">
        <w:t>000</w:t>
      </w:r>
      <w:r w:rsidR="00C64556">
        <w:t xml:space="preserve"> from </w:t>
      </w:r>
      <w:r w:rsidR="0095561D">
        <w:t>CTA</w:t>
      </w:r>
      <w:r w:rsidR="00C64556">
        <w:t xml:space="preserve"> and trying to deceive State Bar during its investigation</w:t>
      </w:r>
      <w:r w:rsidR="008F60F7">
        <w:t>]</w:t>
      </w:r>
      <w:r w:rsidR="00433304">
        <w:t xml:space="preserve">; </w:t>
      </w:r>
      <w:r w:rsidR="00433304">
        <w:rPr>
          <w:i/>
        </w:rPr>
        <w:t>Kaplan v. State Bar</w:t>
      </w:r>
      <w:r w:rsidR="00433304">
        <w:t xml:space="preserve"> (1991) 52 Cal.3d 1067 [attorney disbarred for misappropriating $29,000 in checks payable to his law firm and from client and lying to managing partner and State Bar that he spent the money on relatives’ medical expenses</w:t>
      </w:r>
      <w:r w:rsidR="008F60F7">
        <w:t>]</w:t>
      </w:r>
      <w:r w:rsidR="00433304">
        <w:t>;</w:t>
      </w:r>
      <w:r w:rsidR="00C4583B">
        <w:t xml:space="preserve"> </w:t>
      </w:r>
      <w:r w:rsidR="00C4583B">
        <w:rPr>
          <w:i/>
        </w:rPr>
        <w:t>Chang v. State Bar</w:t>
      </w:r>
      <w:r w:rsidR="00C4583B">
        <w:t xml:space="preserve"> (1989) 49 Cal.3d 114 </w:t>
      </w:r>
      <w:r w:rsidR="007E468B">
        <w:t>[attorney</w:t>
      </w:r>
      <w:r w:rsidR="00C4583B">
        <w:t xml:space="preserve"> disbarred for making misrepresentations to State Bar surrounding circumstances of his misappropriation of </w:t>
      </w:r>
      <w:r w:rsidR="008F60F7">
        <w:t xml:space="preserve">approximately </w:t>
      </w:r>
      <w:r w:rsidR="00C4583B">
        <w:t>$7,8</w:t>
      </w:r>
      <w:r w:rsidR="008F60F7">
        <w:t>00</w:t>
      </w:r>
      <w:r w:rsidR="00C4583B">
        <w:t xml:space="preserve"> and whose actions involved a course of conduct designed to conceal his misappropriation]</w:t>
      </w:r>
      <w:r w:rsidR="003847A8">
        <w:t>.)</w:t>
      </w:r>
      <w:r w:rsidR="00C4583B">
        <w:t xml:space="preserve"> </w:t>
      </w:r>
    </w:p>
    <w:p w:rsidR="00BC7192" w:rsidRPr="00BC7192" w:rsidRDefault="00BC7192" w:rsidP="00BC7192">
      <w:pPr>
        <w:jc w:val="center"/>
        <w:rPr>
          <w:b/>
        </w:rPr>
      </w:pPr>
      <w:r w:rsidRPr="00BC7192">
        <w:rPr>
          <w:b/>
        </w:rPr>
        <w:t>III.  RECOMMENDATION</w:t>
      </w:r>
    </w:p>
    <w:p w:rsidR="00BC7192" w:rsidRDefault="00BC7192" w:rsidP="00BC7192">
      <w:r>
        <w:tab/>
        <w:t xml:space="preserve">For the foregoing reasons, we recommend that Maximilian J. B. Hopkins be disbarred and </w:t>
      </w:r>
      <w:r w:rsidR="0095561D">
        <w:t xml:space="preserve">that </w:t>
      </w:r>
      <w:r>
        <w:t>his name be stricken from the roll of attorneys.</w:t>
      </w:r>
    </w:p>
    <w:p w:rsidR="00BC7192" w:rsidRDefault="00BC7192" w:rsidP="00BC7192">
      <w:r>
        <w:lastRenderedPageBreak/>
        <w:tab/>
        <w:t xml:space="preserve">We further recommend that </w:t>
      </w:r>
      <w:r w:rsidR="0095561D">
        <w:t>he</w:t>
      </w:r>
      <w:r>
        <w:t xml:space="preserve"> be required to comply with rule 9.20 of the California Rules of Court and </w:t>
      </w:r>
      <w:r w:rsidR="0095561D">
        <w:t xml:space="preserve">to </w:t>
      </w:r>
      <w:r>
        <w:t>perform the acts specified in subdivisions (a) and (c) of that rule, within 30 and 40 calendar days, respectively, after the effective date of the Supreme Court order herein.</w:t>
      </w:r>
    </w:p>
    <w:p w:rsidR="0095561D" w:rsidRDefault="00BC7192" w:rsidP="0095561D">
      <w:r>
        <w:tab/>
        <w:t>We further recommend that costs be awarded to the State Bar in accordance with Business and Professions Code section 6086.10, such costs being enforceable both as provided in Business and Professions Code section 6140.7 and as a money judgment.</w:t>
      </w:r>
    </w:p>
    <w:p w:rsidR="00783AF1" w:rsidRPr="00FA2FD2" w:rsidRDefault="00FA2FD2" w:rsidP="00C11CC8">
      <w:r>
        <w:tab/>
      </w:r>
      <w:r w:rsidR="00BC7192">
        <w:t xml:space="preserve">The order that </w:t>
      </w:r>
      <w:r>
        <w:t xml:space="preserve">Maximilian J. B. Hopkins </w:t>
      </w:r>
      <w:r w:rsidR="00BC7192">
        <w:t xml:space="preserve">be enrolled as an inactive member of the State Bar pursuant to Business and Professions Code section 6007, subdivision (c)(4), </w:t>
      </w:r>
      <w:r w:rsidR="00072FE6">
        <w:t>will</w:t>
      </w:r>
      <w:r w:rsidR="00BC7192">
        <w:t xml:space="preserve"> continue pending the consideration and decision of the Supreme Court on this recommendation</w:t>
      </w:r>
      <w:r>
        <w:t>.</w:t>
      </w:r>
    </w:p>
    <w:p w:rsidR="009A086C" w:rsidRDefault="009A086C" w:rsidP="00C11CC8"/>
    <w:p w:rsidR="00783AF1" w:rsidRDefault="007768C9" w:rsidP="00C11CC8">
      <w:r w:rsidRPr="007768C9">
        <w:tab/>
      </w:r>
      <w:r w:rsidRPr="007768C9">
        <w:tab/>
      </w:r>
      <w:r w:rsidRPr="007768C9">
        <w:tab/>
      </w:r>
      <w:r w:rsidRPr="007768C9">
        <w:tab/>
      </w:r>
      <w:r w:rsidRPr="007768C9">
        <w:tab/>
      </w:r>
      <w:r w:rsidRPr="007768C9">
        <w:tab/>
      </w:r>
      <w:r w:rsidRPr="007768C9">
        <w:tab/>
      </w:r>
      <w:bookmarkStart w:id="5" w:name="judge"/>
      <w:bookmarkEnd w:id="5"/>
      <w:r w:rsidR="00D37879">
        <w:t>REMKE, P. J.</w:t>
      </w:r>
    </w:p>
    <w:p w:rsidR="000A21FD" w:rsidRDefault="000A21FD" w:rsidP="00C11CC8">
      <w:r>
        <w:t>We concur:</w:t>
      </w:r>
    </w:p>
    <w:p w:rsidR="00FA2FD2" w:rsidRDefault="00FA2FD2" w:rsidP="00FA2FD2">
      <w:pPr>
        <w:tabs>
          <w:tab w:val="left" w:pos="720"/>
        </w:tabs>
      </w:pPr>
      <w:r>
        <w:t>EPSTEIN, J.</w:t>
      </w:r>
    </w:p>
    <w:p w:rsidR="008F60F7" w:rsidRDefault="00FA2FD2" w:rsidP="008F60F7">
      <w:pPr>
        <w:tabs>
          <w:tab w:val="left" w:pos="720"/>
        </w:tabs>
      </w:pPr>
      <w:r>
        <w:t>PURCELL, J.</w:t>
      </w:r>
    </w:p>
    <w:p w:rsidR="0095561D" w:rsidRPr="008A154E" w:rsidRDefault="0095561D" w:rsidP="008F60F7">
      <w:pPr>
        <w:tabs>
          <w:tab w:val="left" w:pos="720"/>
        </w:tabs>
      </w:pPr>
    </w:p>
    <w:sectPr w:rsidR="0095561D" w:rsidRPr="008A154E" w:rsidSect="00737D40">
      <w:footerReference w:type="default" r:id="rId8"/>
      <w:pgSz w:w="12240" w:h="15840" w:code="1"/>
      <w:pgMar w:top="1440" w:right="1440" w:bottom="864" w:left="144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F55" w:rsidRDefault="002B6F55" w:rsidP="00783AF1">
      <w:pPr>
        <w:spacing w:line="240" w:lineRule="auto"/>
      </w:pPr>
      <w:r>
        <w:separator/>
      </w:r>
    </w:p>
  </w:endnote>
  <w:endnote w:type="continuationSeparator" w:id="0">
    <w:p w:rsidR="002B6F55" w:rsidRDefault="002B6F55" w:rsidP="00783A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20E" w:rsidRDefault="001B620E" w:rsidP="00783AF1">
    <w:pPr>
      <w:pStyle w:val="Footer"/>
      <w:spacing w:before="120" w:line="240" w:lineRule="auto"/>
      <w:jc w:val="center"/>
    </w:pPr>
    <w:r>
      <w:t>-</w:t>
    </w:r>
    <w:fldSimple w:instr=" PAGE   \* MERGEFORMAT ">
      <w:r w:rsidR="00320DCD">
        <w:rPr>
          <w:noProof/>
        </w:rPr>
        <w:t>2</w:t>
      </w:r>
    </w:fldSimple>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F55" w:rsidRDefault="002B6F55" w:rsidP="00783AF1">
      <w:pPr>
        <w:spacing w:line="240" w:lineRule="auto"/>
      </w:pPr>
      <w:r>
        <w:separator/>
      </w:r>
    </w:p>
  </w:footnote>
  <w:footnote w:type="continuationSeparator" w:id="0">
    <w:p w:rsidR="002B6F55" w:rsidRDefault="002B6F55" w:rsidP="00783AF1">
      <w:pPr>
        <w:spacing w:line="240" w:lineRule="auto"/>
      </w:pPr>
      <w:r>
        <w:continuationSeparator/>
      </w:r>
    </w:p>
  </w:footnote>
  <w:footnote w:type="continuationNotice" w:id="1">
    <w:p w:rsidR="002B6F55" w:rsidRDefault="002B6F55">
      <w:pPr>
        <w:spacing w:line="240" w:lineRule="auto"/>
      </w:pPr>
    </w:p>
  </w:footnote>
  <w:footnote w:id="2">
    <w:p w:rsidR="001B620E" w:rsidRDefault="001B620E" w:rsidP="00915103">
      <w:pPr>
        <w:pStyle w:val="FootnoteText"/>
      </w:pPr>
      <w:r>
        <w:rPr>
          <w:rStyle w:val="FootnoteReference"/>
        </w:rPr>
        <w:footnoteRef/>
      </w:r>
      <w:r>
        <w:t xml:space="preserve">On the date Hopkins claimed he made this transfer, the CTA held less than $4,000.  It was not until April 28, 2003, that Hopkins obtained a cashier’s check for $38,175.07 with his own money from a different account and deposited the check into Jakubicek’s boyfriend’s account. </w:t>
      </w:r>
    </w:p>
  </w:footnote>
  <w:footnote w:id="3">
    <w:p w:rsidR="001B620E" w:rsidRDefault="001B620E" w:rsidP="00AA319C">
      <w:pPr>
        <w:spacing w:line="240" w:lineRule="auto"/>
      </w:pPr>
      <w:r>
        <w:tab/>
      </w:r>
      <w:r>
        <w:rPr>
          <w:rStyle w:val="FootnoteReference"/>
        </w:rPr>
        <w:footnoteRef/>
      </w:r>
      <w:r>
        <w:t>The State Bar did not charge any misconduct based on the transfer of funds to Jakubicek’s boyfriend.  Although Jakubicek testified that she did not authorize the transfer, the hearing department found the transfer was authorized and we find no reason to overturn this finding.</w:t>
      </w:r>
    </w:p>
  </w:footnote>
  <w:footnote w:id="4">
    <w:p w:rsidR="001B620E" w:rsidRDefault="001B620E" w:rsidP="00915103">
      <w:pPr>
        <w:pStyle w:val="FootnoteText"/>
      </w:pPr>
      <w:r>
        <w:rPr>
          <w:rStyle w:val="FootnoteReference"/>
        </w:rPr>
        <w:footnoteRef/>
      </w:r>
      <w:r w:rsidRPr="00BC7192">
        <w:t>Unless otherwise noted, all further references to “rule</w:t>
      </w:r>
      <w:r>
        <w:t>(</w:t>
      </w:r>
      <w:r w:rsidRPr="00BC7192">
        <w:t>s</w:t>
      </w:r>
      <w:r>
        <w:t>)</w:t>
      </w:r>
      <w:r w:rsidRPr="00BC7192">
        <w:t>” are to the Rules of Professional Conduct.</w:t>
      </w:r>
    </w:p>
    <w:p w:rsidR="001B620E" w:rsidRDefault="001B620E" w:rsidP="00915103">
      <w:pPr>
        <w:pStyle w:val="FootnoteText"/>
      </w:pPr>
    </w:p>
  </w:footnote>
  <w:footnote w:id="5">
    <w:p w:rsidR="001B620E" w:rsidRDefault="001B620E" w:rsidP="00915103">
      <w:pPr>
        <w:pStyle w:val="FootnoteText"/>
      </w:pPr>
      <w:r>
        <w:rPr>
          <w:rStyle w:val="FootnoteReference"/>
        </w:rPr>
        <w:footnoteRef/>
      </w:r>
      <w:r w:rsidRPr="00BC7192">
        <w:t>Unless otherwise noted, all further references to “section(s)” are to the Business and Professions Code.</w:t>
      </w:r>
    </w:p>
  </w:footnote>
  <w:footnote w:id="6">
    <w:p w:rsidR="001B620E" w:rsidRDefault="001B620E" w:rsidP="00915103">
      <w:pPr>
        <w:pStyle w:val="FootnoteText"/>
      </w:pPr>
      <w:r>
        <w:rPr>
          <w:rStyle w:val="FootnoteReference"/>
        </w:rPr>
        <w:footnoteRef/>
      </w:r>
      <w:r>
        <w:t xml:space="preserve">However, like the hearing judge, we find that the record is unclear as to how much, if any, of the $4,125 Hopkins earned on the employment contract matter.  Accordingly, Lopez will have to resolve his fee dispute in a more appropriate forum (i.e., civil action or fee arbitration). </w:t>
      </w:r>
    </w:p>
  </w:footnote>
  <w:footnote w:id="7">
    <w:p w:rsidR="001B620E" w:rsidRDefault="001B620E" w:rsidP="00915103">
      <w:pPr>
        <w:pStyle w:val="FootnoteText"/>
      </w:pPr>
      <w:r>
        <w:rPr>
          <w:rStyle w:val="FootnoteReference"/>
        </w:rPr>
        <w:footnoteRef/>
      </w:r>
      <w:r>
        <w:t>The hearing judge dismissed count 1(B) (failure to maintain respect due court, § 6068, subd. (b)) as duplicative of count 1(A).  On review, this dismissal is not in dispute and we adopt it.</w:t>
      </w:r>
    </w:p>
  </w:footnote>
  <w:footnote w:id="8">
    <w:p w:rsidR="001B620E" w:rsidRDefault="001B620E" w:rsidP="00915103">
      <w:pPr>
        <w:pStyle w:val="FootnoteText"/>
      </w:pPr>
      <w:r>
        <w:rPr>
          <w:rStyle w:val="FootnoteReference"/>
        </w:rPr>
        <w:footnoteRef/>
      </w:r>
      <w:r>
        <w:t xml:space="preserve"> Unless otherwise noted, all further references to “standard(s)” are to this source.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35D89"/>
    <w:multiLevelType w:val="hybridMultilevel"/>
    <w:tmpl w:val="7EE6AA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913CB"/>
    <w:multiLevelType w:val="hybridMultilevel"/>
    <w:tmpl w:val="7D56DE6C"/>
    <w:lvl w:ilvl="0" w:tplc="0F6E73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76A37"/>
    <w:multiLevelType w:val="hybridMultilevel"/>
    <w:tmpl w:val="9DC415C6"/>
    <w:lvl w:ilvl="0" w:tplc="37F4145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0E247D"/>
    <w:multiLevelType w:val="hybridMultilevel"/>
    <w:tmpl w:val="FA60E35E"/>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4">
    <w:nsid w:val="186E6608"/>
    <w:multiLevelType w:val="hybridMultilevel"/>
    <w:tmpl w:val="5AAA9C3C"/>
    <w:lvl w:ilvl="0" w:tplc="7F60FD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80F0B"/>
    <w:multiLevelType w:val="hybridMultilevel"/>
    <w:tmpl w:val="70FE3504"/>
    <w:lvl w:ilvl="0" w:tplc="4D947E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B62F87"/>
    <w:multiLevelType w:val="multilevel"/>
    <w:tmpl w:val="262604D0"/>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rFonts w:ascii="Times New Roman" w:hAnsi="Times New Roman" w:cs="Times New Roman" w:hint="default"/>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3DD84B7E"/>
    <w:multiLevelType w:val="hybridMultilevel"/>
    <w:tmpl w:val="B11031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E85108"/>
    <w:multiLevelType w:val="hybridMultilevel"/>
    <w:tmpl w:val="181E82A8"/>
    <w:lvl w:ilvl="0" w:tplc="BD0896C8">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7FE68F4"/>
    <w:multiLevelType w:val="hybridMultilevel"/>
    <w:tmpl w:val="DC240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72591A"/>
    <w:multiLevelType w:val="hybridMultilevel"/>
    <w:tmpl w:val="DB92028E"/>
    <w:lvl w:ilvl="0" w:tplc="E31687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870128"/>
    <w:multiLevelType w:val="hybridMultilevel"/>
    <w:tmpl w:val="998E5D84"/>
    <w:lvl w:ilvl="0" w:tplc="D1264C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5A245C"/>
    <w:multiLevelType w:val="hybridMultilevel"/>
    <w:tmpl w:val="FC0AB5B8"/>
    <w:lvl w:ilvl="0" w:tplc="58923E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DB0989"/>
    <w:multiLevelType w:val="hybridMultilevel"/>
    <w:tmpl w:val="1EFAB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D8593A"/>
    <w:multiLevelType w:val="hybridMultilevel"/>
    <w:tmpl w:val="4CD27CE2"/>
    <w:lvl w:ilvl="0" w:tplc="9ED6DE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887478"/>
    <w:multiLevelType w:val="hybridMultilevel"/>
    <w:tmpl w:val="36F6E92A"/>
    <w:lvl w:ilvl="0" w:tplc="3ACAAC1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
  </w:num>
  <w:num w:numId="3">
    <w:abstractNumId w:val="11"/>
  </w:num>
  <w:num w:numId="4">
    <w:abstractNumId w:val="2"/>
  </w:num>
  <w:num w:numId="5">
    <w:abstractNumId w:val="8"/>
  </w:num>
  <w:num w:numId="6">
    <w:abstractNumId w:val="14"/>
  </w:num>
  <w:num w:numId="7">
    <w:abstractNumId w:val="6"/>
  </w:num>
  <w:num w:numId="8">
    <w:abstractNumId w:val="10"/>
  </w:num>
  <w:num w:numId="9">
    <w:abstractNumId w:val="5"/>
  </w:num>
  <w:num w:numId="10">
    <w:abstractNumId w:val="15"/>
  </w:num>
  <w:num w:numId="11">
    <w:abstractNumId w:val="4"/>
  </w:num>
  <w:num w:numId="12">
    <w:abstractNumId w:val="0"/>
  </w:num>
  <w:num w:numId="13">
    <w:abstractNumId w:val="9"/>
  </w:num>
  <w:num w:numId="14">
    <w:abstractNumId w:val="13"/>
  </w:num>
  <w:num w:numId="15">
    <w:abstractNumId w:val="7"/>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1"/>
    <w:footnote w:id="0"/>
    <w:footnote w:id="1"/>
  </w:footnotePr>
  <w:endnotePr>
    <w:endnote w:id="-1"/>
    <w:endnote w:id="0"/>
  </w:endnotePr>
  <w:compat/>
  <w:rsids>
    <w:rsidRoot w:val="00231ABD"/>
    <w:rsid w:val="00001B48"/>
    <w:rsid w:val="0002323E"/>
    <w:rsid w:val="00027D66"/>
    <w:rsid w:val="000367FE"/>
    <w:rsid w:val="00041DB9"/>
    <w:rsid w:val="00041EE1"/>
    <w:rsid w:val="00045A14"/>
    <w:rsid w:val="00046FAE"/>
    <w:rsid w:val="00057431"/>
    <w:rsid w:val="00072FE6"/>
    <w:rsid w:val="000732FF"/>
    <w:rsid w:val="0008207F"/>
    <w:rsid w:val="00083357"/>
    <w:rsid w:val="00085B60"/>
    <w:rsid w:val="000A21FD"/>
    <w:rsid w:val="000A3B5B"/>
    <w:rsid w:val="000A4377"/>
    <w:rsid w:val="000A4B94"/>
    <w:rsid w:val="000A5269"/>
    <w:rsid w:val="000B13F1"/>
    <w:rsid w:val="000B79EB"/>
    <w:rsid w:val="000B7AC2"/>
    <w:rsid w:val="000C7189"/>
    <w:rsid w:val="000D5EB8"/>
    <w:rsid w:val="000D7D19"/>
    <w:rsid w:val="000F0F74"/>
    <w:rsid w:val="000F7E51"/>
    <w:rsid w:val="001013D0"/>
    <w:rsid w:val="00101B92"/>
    <w:rsid w:val="00103681"/>
    <w:rsid w:val="00107E2A"/>
    <w:rsid w:val="0012144E"/>
    <w:rsid w:val="00124C55"/>
    <w:rsid w:val="00135A1D"/>
    <w:rsid w:val="00144308"/>
    <w:rsid w:val="001465B9"/>
    <w:rsid w:val="00147F45"/>
    <w:rsid w:val="001552AD"/>
    <w:rsid w:val="00155D44"/>
    <w:rsid w:val="001572DC"/>
    <w:rsid w:val="00162218"/>
    <w:rsid w:val="0016724F"/>
    <w:rsid w:val="00174E58"/>
    <w:rsid w:val="001756D4"/>
    <w:rsid w:val="00182323"/>
    <w:rsid w:val="001865B7"/>
    <w:rsid w:val="0018793E"/>
    <w:rsid w:val="00196200"/>
    <w:rsid w:val="00196E9C"/>
    <w:rsid w:val="001A1686"/>
    <w:rsid w:val="001A3CB6"/>
    <w:rsid w:val="001A5CE5"/>
    <w:rsid w:val="001A6EBD"/>
    <w:rsid w:val="001B4571"/>
    <w:rsid w:val="001B620E"/>
    <w:rsid w:val="001C5319"/>
    <w:rsid w:val="001C6D43"/>
    <w:rsid w:val="001D08B2"/>
    <w:rsid w:val="001D3399"/>
    <w:rsid w:val="002018E7"/>
    <w:rsid w:val="00205001"/>
    <w:rsid w:val="00207DFF"/>
    <w:rsid w:val="00207FCE"/>
    <w:rsid w:val="002107B3"/>
    <w:rsid w:val="002161BA"/>
    <w:rsid w:val="002173E7"/>
    <w:rsid w:val="00221C84"/>
    <w:rsid w:val="00231ABD"/>
    <w:rsid w:val="00241A29"/>
    <w:rsid w:val="0025732F"/>
    <w:rsid w:val="002659CA"/>
    <w:rsid w:val="00270FCB"/>
    <w:rsid w:val="00281F81"/>
    <w:rsid w:val="002A037E"/>
    <w:rsid w:val="002A25D7"/>
    <w:rsid w:val="002B1E13"/>
    <w:rsid w:val="002B3418"/>
    <w:rsid w:val="002B6F55"/>
    <w:rsid w:val="002C3942"/>
    <w:rsid w:val="002D1312"/>
    <w:rsid w:val="002D4929"/>
    <w:rsid w:val="002D50D6"/>
    <w:rsid w:val="002D5DFB"/>
    <w:rsid w:val="002E7623"/>
    <w:rsid w:val="00313501"/>
    <w:rsid w:val="00314FD6"/>
    <w:rsid w:val="003156D8"/>
    <w:rsid w:val="003176BB"/>
    <w:rsid w:val="00320DCD"/>
    <w:rsid w:val="00330A1A"/>
    <w:rsid w:val="003348C3"/>
    <w:rsid w:val="00334DA4"/>
    <w:rsid w:val="003410C4"/>
    <w:rsid w:val="003675B9"/>
    <w:rsid w:val="00367DF2"/>
    <w:rsid w:val="00370A20"/>
    <w:rsid w:val="003769E3"/>
    <w:rsid w:val="0038297C"/>
    <w:rsid w:val="003847A8"/>
    <w:rsid w:val="00393577"/>
    <w:rsid w:val="00394979"/>
    <w:rsid w:val="003978F1"/>
    <w:rsid w:val="003A2CA3"/>
    <w:rsid w:val="003A74A6"/>
    <w:rsid w:val="003B46EE"/>
    <w:rsid w:val="003C0310"/>
    <w:rsid w:val="003C0E0B"/>
    <w:rsid w:val="003C2362"/>
    <w:rsid w:val="003C3DB4"/>
    <w:rsid w:val="003D33BA"/>
    <w:rsid w:val="003D79AF"/>
    <w:rsid w:val="003E4315"/>
    <w:rsid w:val="003E64DB"/>
    <w:rsid w:val="003F0203"/>
    <w:rsid w:val="00421277"/>
    <w:rsid w:val="004212E8"/>
    <w:rsid w:val="00425135"/>
    <w:rsid w:val="004310E7"/>
    <w:rsid w:val="00433304"/>
    <w:rsid w:val="00462C08"/>
    <w:rsid w:val="00476A71"/>
    <w:rsid w:val="00481316"/>
    <w:rsid w:val="00483210"/>
    <w:rsid w:val="00487914"/>
    <w:rsid w:val="00490E24"/>
    <w:rsid w:val="004927C6"/>
    <w:rsid w:val="00495595"/>
    <w:rsid w:val="00497A94"/>
    <w:rsid w:val="004A0789"/>
    <w:rsid w:val="004A2A04"/>
    <w:rsid w:val="004A449F"/>
    <w:rsid w:val="004A5A2C"/>
    <w:rsid w:val="004A7313"/>
    <w:rsid w:val="004B30C3"/>
    <w:rsid w:val="004B5F2F"/>
    <w:rsid w:val="004B7572"/>
    <w:rsid w:val="004C212F"/>
    <w:rsid w:val="004C40AA"/>
    <w:rsid w:val="004C5FE9"/>
    <w:rsid w:val="004D3838"/>
    <w:rsid w:val="004D4245"/>
    <w:rsid w:val="004E1153"/>
    <w:rsid w:val="004E2196"/>
    <w:rsid w:val="004F16D9"/>
    <w:rsid w:val="004F40E0"/>
    <w:rsid w:val="005038C3"/>
    <w:rsid w:val="00505128"/>
    <w:rsid w:val="00513391"/>
    <w:rsid w:val="00517D4B"/>
    <w:rsid w:val="0052318F"/>
    <w:rsid w:val="005264F8"/>
    <w:rsid w:val="00526F34"/>
    <w:rsid w:val="00530797"/>
    <w:rsid w:val="005307B8"/>
    <w:rsid w:val="00534132"/>
    <w:rsid w:val="00541D4E"/>
    <w:rsid w:val="00541E5B"/>
    <w:rsid w:val="005448FD"/>
    <w:rsid w:val="00552DBD"/>
    <w:rsid w:val="00556757"/>
    <w:rsid w:val="00556C8F"/>
    <w:rsid w:val="00561821"/>
    <w:rsid w:val="005622C6"/>
    <w:rsid w:val="00562D5F"/>
    <w:rsid w:val="00586B28"/>
    <w:rsid w:val="00586E4D"/>
    <w:rsid w:val="00595CE0"/>
    <w:rsid w:val="0059727D"/>
    <w:rsid w:val="005A2E80"/>
    <w:rsid w:val="005B3B36"/>
    <w:rsid w:val="005B3E24"/>
    <w:rsid w:val="005B6D91"/>
    <w:rsid w:val="005C05F4"/>
    <w:rsid w:val="005C7B74"/>
    <w:rsid w:val="005F1A58"/>
    <w:rsid w:val="00622C77"/>
    <w:rsid w:val="00626138"/>
    <w:rsid w:val="0063062E"/>
    <w:rsid w:val="00631CD6"/>
    <w:rsid w:val="0063550A"/>
    <w:rsid w:val="00640867"/>
    <w:rsid w:val="00640B5F"/>
    <w:rsid w:val="0064665A"/>
    <w:rsid w:val="0065527E"/>
    <w:rsid w:val="006602AE"/>
    <w:rsid w:val="00661EB6"/>
    <w:rsid w:val="00663459"/>
    <w:rsid w:val="00663970"/>
    <w:rsid w:val="0067195A"/>
    <w:rsid w:val="006722CA"/>
    <w:rsid w:val="00672373"/>
    <w:rsid w:val="0067435F"/>
    <w:rsid w:val="0068733C"/>
    <w:rsid w:val="00691D9B"/>
    <w:rsid w:val="00693F2D"/>
    <w:rsid w:val="006A601C"/>
    <w:rsid w:val="006B7E8F"/>
    <w:rsid w:val="006C296F"/>
    <w:rsid w:val="006C375B"/>
    <w:rsid w:val="006C7D31"/>
    <w:rsid w:val="006C7FC0"/>
    <w:rsid w:val="006E349F"/>
    <w:rsid w:val="006E3AD2"/>
    <w:rsid w:val="006E5C8D"/>
    <w:rsid w:val="006E61D7"/>
    <w:rsid w:val="006F2397"/>
    <w:rsid w:val="006F3874"/>
    <w:rsid w:val="006F406D"/>
    <w:rsid w:val="00702542"/>
    <w:rsid w:val="00702C0B"/>
    <w:rsid w:val="00710EB4"/>
    <w:rsid w:val="00715C85"/>
    <w:rsid w:val="00721C8F"/>
    <w:rsid w:val="00724CCA"/>
    <w:rsid w:val="00725016"/>
    <w:rsid w:val="00725E7A"/>
    <w:rsid w:val="007305A6"/>
    <w:rsid w:val="00737D40"/>
    <w:rsid w:val="0074686E"/>
    <w:rsid w:val="0074701A"/>
    <w:rsid w:val="00747935"/>
    <w:rsid w:val="00750263"/>
    <w:rsid w:val="00750366"/>
    <w:rsid w:val="00753956"/>
    <w:rsid w:val="0075432A"/>
    <w:rsid w:val="007623D7"/>
    <w:rsid w:val="00762D35"/>
    <w:rsid w:val="00764187"/>
    <w:rsid w:val="00770D9D"/>
    <w:rsid w:val="00772E2C"/>
    <w:rsid w:val="007741D0"/>
    <w:rsid w:val="007768C9"/>
    <w:rsid w:val="00781F91"/>
    <w:rsid w:val="00783AF1"/>
    <w:rsid w:val="00794142"/>
    <w:rsid w:val="007951D1"/>
    <w:rsid w:val="007A07ED"/>
    <w:rsid w:val="007A3601"/>
    <w:rsid w:val="007A3A27"/>
    <w:rsid w:val="007B4110"/>
    <w:rsid w:val="007B52D2"/>
    <w:rsid w:val="007C259D"/>
    <w:rsid w:val="007C5AE0"/>
    <w:rsid w:val="007C755F"/>
    <w:rsid w:val="007E1A69"/>
    <w:rsid w:val="007E3E9F"/>
    <w:rsid w:val="007E468B"/>
    <w:rsid w:val="007F3E65"/>
    <w:rsid w:val="007F4DA2"/>
    <w:rsid w:val="007F537A"/>
    <w:rsid w:val="008129EE"/>
    <w:rsid w:val="008156A1"/>
    <w:rsid w:val="0082685A"/>
    <w:rsid w:val="00835419"/>
    <w:rsid w:val="00835F54"/>
    <w:rsid w:val="00836359"/>
    <w:rsid w:val="008367A7"/>
    <w:rsid w:val="00847200"/>
    <w:rsid w:val="00847912"/>
    <w:rsid w:val="008518E6"/>
    <w:rsid w:val="00855AEF"/>
    <w:rsid w:val="008615DD"/>
    <w:rsid w:val="008A154E"/>
    <w:rsid w:val="008A22ED"/>
    <w:rsid w:val="008A4A77"/>
    <w:rsid w:val="008B0762"/>
    <w:rsid w:val="008B1231"/>
    <w:rsid w:val="008B708F"/>
    <w:rsid w:val="008C25F8"/>
    <w:rsid w:val="008C51CE"/>
    <w:rsid w:val="008C6FEE"/>
    <w:rsid w:val="008D29CC"/>
    <w:rsid w:val="008D516F"/>
    <w:rsid w:val="008D62A0"/>
    <w:rsid w:val="008E0B8E"/>
    <w:rsid w:val="008E10DB"/>
    <w:rsid w:val="008E3541"/>
    <w:rsid w:val="008E4725"/>
    <w:rsid w:val="008F60F7"/>
    <w:rsid w:val="00901940"/>
    <w:rsid w:val="00915103"/>
    <w:rsid w:val="0091550D"/>
    <w:rsid w:val="009160C9"/>
    <w:rsid w:val="0092010F"/>
    <w:rsid w:val="009216E0"/>
    <w:rsid w:val="00922D46"/>
    <w:rsid w:val="009246DF"/>
    <w:rsid w:val="00924829"/>
    <w:rsid w:val="00926EC5"/>
    <w:rsid w:val="009274CB"/>
    <w:rsid w:val="009402A2"/>
    <w:rsid w:val="009429C0"/>
    <w:rsid w:val="00943692"/>
    <w:rsid w:val="009452D8"/>
    <w:rsid w:val="00951D1A"/>
    <w:rsid w:val="00953BEC"/>
    <w:rsid w:val="0095561D"/>
    <w:rsid w:val="00966B36"/>
    <w:rsid w:val="009726F2"/>
    <w:rsid w:val="00973DA8"/>
    <w:rsid w:val="00977BF5"/>
    <w:rsid w:val="009A086C"/>
    <w:rsid w:val="009A0CAD"/>
    <w:rsid w:val="009A247A"/>
    <w:rsid w:val="009A57AB"/>
    <w:rsid w:val="009B49EE"/>
    <w:rsid w:val="009B6327"/>
    <w:rsid w:val="009B72FF"/>
    <w:rsid w:val="009C1E05"/>
    <w:rsid w:val="009C1F5D"/>
    <w:rsid w:val="009C6F65"/>
    <w:rsid w:val="009E0ED0"/>
    <w:rsid w:val="009E3081"/>
    <w:rsid w:val="009E5D75"/>
    <w:rsid w:val="009F0C13"/>
    <w:rsid w:val="009F7838"/>
    <w:rsid w:val="00A01006"/>
    <w:rsid w:val="00A07497"/>
    <w:rsid w:val="00A07A51"/>
    <w:rsid w:val="00A10FBD"/>
    <w:rsid w:val="00A14A21"/>
    <w:rsid w:val="00A21F71"/>
    <w:rsid w:val="00A25C7D"/>
    <w:rsid w:val="00A30C55"/>
    <w:rsid w:val="00A31F0A"/>
    <w:rsid w:val="00A36B11"/>
    <w:rsid w:val="00A36D87"/>
    <w:rsid w:val="00A41F4E"/>
    <w:rsid w:val="00A426A2"/>
    <w:rsid w:val="00A42B3C"/>
    <w:rsid w:val="00A56E93"/>
    <w:rsid w:val="00A602F7"/>
    <w:rsid w:val="00A64944"/>
    <w:rsid w:val="00A66128"/>
    <w:rsid w:val="00A66562"/>
    <w:rsid w:val="00A8421F"/>
    <w:rsid w:val="00A8588D"/>
    <w:rsid w:val="00A90D3B"/>
    <w:rsid w:val="00A9160C"/>
    <w:rsid w:val="00A95A77"/>
    <w:rsid w:val="00A97CBA"/>
    <w:rsid w:val="00AA319C"/>
    <w:rsid w:val="00AB3B30"/>
    <w:rsid w:val="00AC400A"/>
    <w:rsid w:val="00AC4D39"/>
    <w:rsid w:val="00AD33AC"/>
    <w:rsid w:val="00AD3D4A"/>
    <w:rsid w:val="00AE421E"/>
    <w:rsid w:val="00AE57FB"/>
    <w:rsid w:val="00AF03CA"/>
    <w:rsid w:val="00AF6596"/>
    <w:rsid w:val="00B02EB5"/>
    <w:rsid w:val="00B04880"/>
    <w:rsid w:val="00B06B36"/>
    <w:rsid w:val="00B1288A"/>
    <w:rsid w:val="00B1372B"/>
    <w:rsid w:val="00B178A9"/>
    <w:rsid w:val="00B17E71"/>
    <w:rsid w:val="00B20581"/>
    <w:rsid w:val="00B228BB"/>
    <w:rsid w:val="00B32B26"/>
    <w:rsid w:val="00B33967"/>
    <w:rsid w:val="00B34B94"/>
    <w:rsid w:val="00B3734A"/>
    <w:rsid w:val="00B421AC"/>
    <w:rsid w:val="00B43932"/>
    <w:rsid w:val="00B47014"/>
    <w:rsid w:val="00B61D75"/>
    <w:rsid w:val="00B62BC5"/>
    <w:rsid w:val="00B71B7A"/>
    <w:rsid w:val="00B769BD"/>
    <w:rsid w:val="00B84670"/>
    <w:rsid w:val="00B92689"/>
    <w:rsid w:val="00BA180B"/>
    <w:rsid w:val="00BA520F"/>
    <w:rsid w:val="00BA5570"/>
    <w:rsid w:val="00BB355F"/>
    <w:rsid w:val="00BC526E"/>
    <w:rsid w:val="00BC5D65"/>
    <w:rsid w:val="00BC7192"/>
    <w:rsid w:val="00BD710A"/>
    <w:rsid w:val="00BE26A9"/>
    <w:rsid w:val="00C026BE"/>
    <w:rsid w:val="00C03557"/>
    <w:rsid w:val="00C1062A"/>
    <w:rsid w:val="00C11371"/>
    <w:rsid w:val="00C11CC8"/>
    <w:rsid w:val="00C12DCD"/>
    <w:rsid w:val="00C228B7"/>
    <w:rsid w:val="00C234B3"/>
    <w:rsid w:val="00C23B28"/>
    <w:rsid w:val="00C2402F"/>
    <w:rsid w:val="00C2551D"/>
    <w:rsid w:val="00C4380C"/>
    <w:rsid w:val="00C4583B"/>
    <w:rsid w:val="00C50E04"/>
    <w:rsid w:val="00C54DDD"/>
    <w:rsid w:val="00C614A8"/>
    <w:rsid w:val="00C64556"/>
    <w:rsid w:val="00C64D73"/>
    <w:rsid w:val="00C6560B"/>
    <w:rsid w:val="00C71B79"/>
    <w:rsid w:val="00C87253"/>
    <w:rsid w:val="00CA6F40"/>
    <w:rsid w:val="00CC3722"/>
    <w:rsid w:val="00CC44FA"/>
    <w:rsid w:val="00CD4E2B"/>
    <w:rsid w:val="00CD79B6"/>
    <w:rsid w:val="00CE5E0B"/>
    <w:rsid w:val="00CE7EAE"/>
    <w:rsid w:val="00CF63ED"/>
    <w:rsid w:val="00D005BF"/>
    <w:rsid w:val="00D04EC3"/>
    <w:rsid w:val="00D145BD"/>
    <w:rsid w:val="00D20BC2"/>
    <w:rsid w:val="00D22D16"/>
    <w:rsid w:val="00D2655B"/>
    <w:rsid w:val="00D3639B"/>
    <w:rsid w:val="00D36BDC"/>
    <w:rsid w:val="00D37879"/>
    <w:rsid w:val="00D526A3"/>
    <w:rsid w:val="00D57AD0"/>
    <w:rsid w:val="00D61C4A"/>
    <w:rsid w:val="00D67AD8"/>
    <w:rsid w:val="00D73B50"/>
    <w:rsid w:val="00D85E9F"/>
    <w:rsid w:val="00D91225"/>
    <w:rsid w:val="00D9300D"/>
    <w:rsid w:val="00D97A55"/>
    <w:rsid w:val="00DA26EC"/>
    <w:rsid w:val="00DA2844"/>
    <w:rsid w:val="00DB5AEA"/>
    <w:rsid w:val="00DB70B1"/>
    <w:rsid w:val="00DC0D07"/>
    <w:rsid w:val="00DC40BE"/>
    <w:rsid w:val="00DD50EB"/>
    <w:rsid w:val="00DE7D94"/>
    <w:rsid w:val="00DF23A0"/>
    <w:rsid w:val="00DF2FE9"/>
    <w:rsid w:val="00DF4F74"/>
    <w:rsid w:val="00DF7AFE"/>
    <w:rsid w:val="00E0117B"/>
    <w:rsid w:val="00E06389"/>
    <w:rsid w:val="00E1149C"/>
    <w:rsid w:val="00E13DFC"/>
    <w:rsid w:val="00E20835"/>
    <w:rsid w:val="00E220F3"/>
    <w:rsid w:val="00E24533"/>
    <w:rsid w:val="00E27F00"/>
    <w:rsid w:val="00E33BA2"/>
    <w:rsid w:val="00E504AB"/>
    <w:rsid w:val="00E57C8C"/>
    <w:rsid w:val="00E64E29"/>
    <w:rsid w:val="00E67DFD"/>
    <w:rsid w:val="00E70192"/>
    <w:rsid w:val="00E721B2"/>
    <w:rsid w:val="00E73003"/>
    <w:rsid w:val="00E76488"/>
    <w:rsid w:val="00E81D6C"/>
    <w:rsid w:val="00E83758"/>
    <w:rsid w:val="00E90BA5"/>
    <w:rsid w:val="00E92F97"/>
    <w:rsid w:val="00EA360A"/>
    <w:rsid w:val="00EA53A4"/>
    <w:rsid w:val="00EA6BA4"/>
    <w:rsid w:val="00EB1CE9"/>
    <w:rsid w:val="00EB3D53"/>
    <w:rsid w:val="00EB4AF8"/>
    <w:rsid w:val="00EC220B"/>
    <w:rsid w:val="00EC4A1B"/>
    <w:rsid w:val="00EC6030"/>
    <w:rsid w:val="00ED455C"/>
    <w:rsid w:val="00EE0787"/>
    <w:rsid w:val="00EE0964"/>
    <w:rsid w:val="00EE310E"/>
    <w:rsid w:val="00EE725B"/>
    <w:rsid w:val="00EF45F1"/>
    <w:rsid w:val="00F01D90"/>
    <w:rsid w:val="00F13029"/>
    <w:rsid w:val="00F16BFB"/>
    <w:rsid w:val="00F307A8"/>
    <w:rsid w:val="00F413B9"/>
    <w:rsid w:val="00F4699F"/>
    <w:rsid w:val="00F46D99"/>
    <w:rsid w:val="00F54256"/>
    <w:rsid w:val="00F54728"/>
    <w:rsid w:val="00F56F8F"/>
    <w:rsid w:val="00F613FE"/>
    <w:rsid w:val="00F617A1"/>
    <w:rsid w:val="00F62680"/>
    <w:rsid w:val="00F63EAC"/>
    <w:rsid w:val="00F77FE1"/>
    <w:rsid w:val="00F80E68"/>
    <w:rsid w:val="00F86E03"/>
    <w:rsid w:val="00F87A1D"/>
    <w:rsid w:val="00F93CB5"/>
    <w:rsid w:val="00F96A87"/>
    <w:rsid w:val="00FA2FD2"/>
    <w:rsid w:val="00FA579A"/>
    <w:rsid w:val="00FB2985"/>
    <w:rsid w:val="00FC1A04"/>
    <w:rsid w:val="00FC4163"/>
    <w:rsid w:val="00FD10CC"/>
    <w:rsid w:val="00FD3C32"/>
    <w:rsid w:val="00FD6F18"/>
    <w:rsid w:val="00FE1B92"/>
    <w:rsid w:val="00FE35D3"/>
    <w:rsid w:val="00FF2D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725"/>
    <w:pPr>
      <w:spacing w:after="0" w:line="480" w:lineRule="auto"/>
    </w:pPr>
  </w:style>
  <w:style w:type="paragraph" w:styleId="Heading1">
    <w:name w:val="heading 1"/>
    <w:basedOn w:val="Normal"/>
    <w:next w:val="Normal"/>
    <w:link w:val="Heading1Char"/>
    <w:qFormat/>
    <w:rsid w:val="008E4725"/>
    <w:pPr>
      <w:keepNext/>
      <w:numPr>
        <w:numId w:val="7"/>
      </w:numPr>
      <w:jc w:val="center"/>
      <w:outlineLvl w:val="0"/>
    </w:pPr>
    <w:rPr>
      <w:b/>
      <w:bCs/>
      <w:caps/>
    </w:rPr>
  </w:style>
  <w:style w:type="paragraph" w:styleId="Heading2">
    <w:name w:val="heading 2"/>
    <w:basedOn w:val="Normal"/>
    <w:next w:val="Normal"/>
    <w:link w:val="Heading2Char"/>
    <w:uiPriority w:val="9"/>
    <w:unhideWhenUsed/>
    <w:qFormat/>
    <w:rsid w:val="008156A1"/>
    <w:pPr>
      <w:keepNext/>
      <w:keepLines/>
      <w:numPr>
        <w:ilvl w:val="1"/>
        <w:numId w:val="7"/>
      </w:numPr>
      <w:outlineLvl w:val="1"/>
    </w:pPr>
    <w:rPr>
      <w:rFonts w:asciiTheme="minorHAnsi" w:eastAsiaTheme="majorEastAsia" w:hAnsiTheme="minorHAnsi" w:cstheme="majorBidi"/>
      <w:b/>
      <w:bCs/>
      <w:szCs w:val="26"/>
    </w:rPr>
  </w:style>
  <w:style w:type="paragraph" w:styleId="Heading3">
    <w:name w:val="heading 3"/>
    <w:basedOn w:val="Normal"/>
    <w:next w:val="Normal"/>
    <w:link w:val="Heading3Char"/>
    <w:uiPriority w:val="9"/>
    <w:unhideWhenUsed/>
    <w:qFormat/>
    <w:rsid w:val="008E4725"/>
    <w:pPr>
      <w:keepNext/>
      <w:keepLines/>
      <w:numPr>
        <w:ilvl w:val="2"/>
        <w:numId w:val="7"/>
      </w:numPr>
      <w:outlineLvl w:val="2"/>
    </w:pPr>
    <w:rPr>
      <w:rFonts w:asciiTheme="minorHAnsi" w:eastAsiaTheme="majorEastAsia" w:hAnsiTheme="minorHAnsi" w:cstheme="majorBidi"/>
      <w:bCs/>
      <w:u w:val="single"/>
    </w:rPr>
  </w:style>
  <w:style w:type="paragraph" w:styleId="Heading4">
    <w:name w:val="heading 4"/>
    <w:basedOn w:val="Normal"/>
    <w:next w:val="Normal"/>
    <w:link w:val="Heading4Char"/>
    <w:uiPriority w:val="9"/>
    <w:semiHidden/>
    <w:unhideWhenUsed/>
    <w:qFormat/>
    <w:rsid w:val="00E33BA2"/>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33BA2"/>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33BA2"/>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33BA2"/>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3BA2"/>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33BA2"/>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pleheadings">
    <w:name w:val="Multiple headings"/>
    <w:basedOn w:val="Normal"/>
    <w:link w:val="MultipleheadingsChar"/>
    <w:qFormat/>
    <w:rsid w:val="008156A1"/>
    <w:pPr>
      <w:keepNext/>
      <w:jc w:val="center"/>
    </w:pPr>
    <w:rPr>
      <w:b/>
      <w:bCs/>
    </w:rPr>
  </w:style>
  <w:style w:type="character" w:customStyle="1" w:styleId="MultipleheadingsChar">
    <w:name w:val="Multiple headings Char"/>
    <w:basedOn w:val="DefaultParagraphFont"/>
    <w:link w:val="Multipleheadings"/>
    <w:rsid w:val="008156A1"/>
    <w:rPr>
      <w:rFonts w:ascii="Times New Roman" w:eastAsia="Times New Roman" w:hAnsi="Times New Roman" w:cs="Times New Roman"/>
      <w:b/>
      <w:bCs/>
      <w:sz w:val="24"/>
      <w:szCs w:val="24"/>
    </w:rPr>
  </w:style>
  <w:style w:type="paragraph" w:customStyle="1" w:styleId="Mainheading">
    <w:name w:val="Main heading"/>
    <w:basedOn w:val="Normal"/>
    <w:link w:val="MainheadingChar"/>
    <w:qFormat/>
    <w:rsid w:val="008156A1"/>
    <w:pPr>
      <w:keepNext/>
      <w:jc w:val="center"/>
    </w:pPr>
    <w:rPr>
      <w:b/>
      <w:bCs/>
    </w:rPr>
  </w:style>
  <w:style w:type="character" w:customStyle="1" w:styleId="MainheadingChar">
    <w:name w:val="Main heading Char"/>
    <w:basedOn w:val="DefaultParagraphFont"/>
    <w:link w:val="Mainheading"/>
    <w:rsid w:val="008156A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156A1"/>
    <w:rPr>
      <w:rFonts w:asciiTheme="minorHAnsi" w:eastAsiaTheme="majorEastAsia" w:hAnsiTheme="minorHAnsi" w:cstheme="majorBidi"/>
      <w:b/>
      <w:bCs/>
      <w:szCs w:val="26"/>
    </w:rPr>
  </w:style>
  <w:style w:type="character" w:customStyle="1" w:styleId="Heading3Char">
    <w:name w:val="Heading 3 Char"/>
    <w:basedOn w:val="DefaultParagraphFont"/>
    <w:link w:val="Heading3"/>
    <w:uiPriority w:val="9"/>
    <w:rsid w:val="008E4725"/>
    <w:rPr>
      <w:rFonts w:asciiTheme="minorHAnsi" w:eastAsiaTheme="majorEastAsia" w:hAnsiTheme="minorHAnsi" w:cstheme="majorBidi"/>
      <w:bCs/>
      <w:u w:val="single"/>
    </w:rPr>
  </w:style>
  <w:style w:type="character" w:customStyle="1" w:styleId="Heading1Char">
    <w:name w:val="Heading 1 Char"/>
    <w:basedOn w:val="DefaultParagraphFont"/>
    <w:link w:val="Heading1"/>
    <w:rsid w:val="008E4725"/>
    <w:rPr>
      <w:b/>
      <w:bCs/>
      <w:caps/>
    </w:rPr>
  </w:style>
  <w:style w:type="paragraph" w:styleId="FootnoteText">
    <w:name w:val="footnote text"/>
    <w:basedOn w:val="Normal"/>
    <w:link w:val="FootnoteTextChar"/>
    <w:autoRedefine/>
    <w:qFormat/>
    <w:rsid w:val="00915103"/>
    <w:pPr>
      <w:keepLines/>
      <w:spacing w:line="240" w:lineRule="auto"/>
      <w:ind w:firstLine="720"/>
    </w:pPr>
  </w:style>
  <w:style w:type="character" w:customStyle="1" w:styleId="FootnoteTextChar">
    <w:name w:val="Footnote Text Char"/>
    <w:basedOn w:val="DefaultParagraphFont"/>
    <w:link w:val="FootnoteText"/>
    <w:rsid w:val="00915103"/>
  </w:style>
  <w:style w:type="paragraph" w:customStyle="1" w:styleId="Footnote">
    <w:name w:val="Footnote"/>
    <w:basedOn w:val="Normal"/>
    <w:link w:val="FootnoteChar"/>
    <w:autoRedefine/>
    <w:qFormat/>
    <w:rsid w:val="00497A94"/>
    <w:pPr>
      <w:spacing w:after="120" w:line="240" w:lineRule="auto"/>
    </w:pPr>
    <w:rPr>
      <w:rFonts w:cstheme="minorBidi"/>
      <w:b/>
    </w:rPr>
  </w:style>
  <w:style w:type="character" w:customStyle="1" w:styleId="FootnoteChar">
    <w:name w:val="Footnote Char"/>
    <w:basedOn w:val="DefaultParagraphFont"/>
    <w:link w:val="Footnote"/>
    <w:rsid w:val="00497A94"/>
    <w:rPr>
      <w:rFonts w:cstheme="minorBidi"/>
      <w:b/>
    </w:rPr>
  </w:style>
  <w:style w:type="table" w:styleId="TableGrid">
    <w:name w:val="Table Grid"/>
    <w:basedOn w:val="TableNormal"/>
    <w:uiPriority w:val="59"/>
    <w:rsid w:val="00C11C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783AF1"/>
    <w:rPr>
      <w:vertAlign w:val="superscript"/>
    </w:rPr>
  </w:style>
  <w:style w:type="paragraph" w:styleId="Header">
    <w:name w:val="header"/>
    <w:basedOn w:val="Normal"/>
    <w:link w:val="HeaderChar"/>
    <w:uiPriority w:val="99"/>
    <w:semiHidden/>
    <w:unhideWhenUsed/>
    <w:rsid w:val="00783AF1"/>
    <w:pPr>
      <w:tabs>
        <w:tab w:val="center" w:pos="4680"/>
        <w:tab w:val="right" w:pos="9360"/>
      </w:tabs>
    </w:pPr>
  </w:style>
  <w:style w:type="character" w:customStyle="1" w:styleId="HeaderChar">
    <w:name w:val="Header Char"/>
    <w:basedOn w:val="DefaultParagraphFont"/>
    <w:link w:val="Header"/>
    <w:uiPriority w:val="99"/>
    <w:semiHidden/>
    <w:rsid w:val="00783AF1"/>
  </w:style>
  <w:style w:type="paragraph" w:styleId="Footer">
    <w:name w:val="footer"/>
    <w:basedOn w:val="Normal"/>
    <w:link w:val="FooterChar"/>
    <w:uiPriority w:val="99"/>
    <w:unhideWhenUsed/>
    <w:rsid w:val="00783AF1"/>
    <w:pPr>
      <w:tabs>
        <w:tab w:val="center" w:pos="4680"/>
        <w:tab w:val="right" w:pos="9360"/>
      </w:tabs>
    </w:pPr>
  </w:style>
  <w:style w:type="character" w:customStyle="1" w:styleId="FooterChar">
    <w:name w:val="Footer Char"/>
    <w:basedOn w:val="DefaultParagraphFont"/>
    <w:link w:val="Footer"/>
    <w:uiPriority w:val="99"/>
    <w:rsid w:val="00783AF1"/>
  </w:style>
  <w:style w:type="paragraph" w:styleId="EndnoteText">
    <w:name w:val="endnote text"/>
    <w:basedOn w:val="Normal"/>
    <w:link w:val="EndnoteTextChar"/>
    <w:uiPriority w:val="99"/>
    <w:semiHidden/>
    <w:unhideWhenUsed/>
    <w:rsid w:val="00A8421F"/>
    <w:pPr>
      <w:spacing w:line="240" w:lineRule="auto"/>
    </w:pPr>
    <w:rPr>
      <w:sz w:val="20"/>
      <w:szCs w:val="20"/>
    </w:rPr>
  </w:style>
  <w:style w:type="character" w:customStyle="1" w:styleId="EndnoteTextChar">
    <w:name w:val="Endnote Text Char"/>
    <w:basedOn w:val="DefaultParagraphFont"/>
    <w:link w:val="EndnoteText"/>
    <w:uiPriority w:val="99"/>
    <w:semiHidden/>
    <w:rsid w:val="00A8421F"/>
    <w:rPr>
      <w:sz w:val="20"/>
      <w:szCs w:val="20"/>
    </w:rPr>
  </w:style>
  <w:style w:type="character" w:styleId="EndnoteReference">
    <w:name w:val="endnote reference"/>
    <w:basedOn w:val="DefaultParagraphFont"/>
    <w:uiPriority w:val="99"/>
    <w:semiHidden/>
    <w:unhideWhenUsed/>
    <w:rsid w:val="00A8421F"/>
    <w:rPr>
      <w:vertAlign w:val="superscript"/>
    </w:rPr>
  </w:style>
  <w:style w:type="paragraph" w:styleId="ListParagraph">
    <w:name w:val="List Paragraph"/>
    <w:basedOn w:val="Normal"/>
    <w:uiPriority w:val="99"/>
    <w:qFormat/>
    <w:rsid w:val="00E33BA2"/>
    <w:pPr>
      <w:ind w:left="720"/>
      <w:contextualSpacing/>
    </w:pPr>
  </w:style>
  <w:style w:type="character" w:customStyle="1" w:styleId="Heading4Char">
    <w:name w:val="Heading 4 Char"/>
    <w:basedOn w:val="DefaultParagraphFont"/>
    <w:link w:val="Heading4"/>
    <w:uiPriority w:val="9"/>
    <w:semiHidden/>
    <w:rsid w:val="00E33BA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33BA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33BA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33BA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3B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33BA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Opinion_Fo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856E2-76C0-44C0-8449-CCF01F66A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Opinion_Form.dotm</Template>
  <TotalTime>4</TotalTime>
  <Pages>14</Pages>
  <Words>3782</Words>
  <Characters>21560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25292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Mina Ruiz</cp:lastModifiedBy>
  <cp:revision>3</cp:revision>
  <cp:lastPrinted>2010-02-03T21:03:00Z</cp:lastPrinted>
  <dcterms:created xsi:type="dcterms:W3CDTF">2010-02-04T22:42:00Z</dcterms:created>
  <dcterms:modified xsi:type="dcterms:W3CDTF">2010-02-04T22:44:00Z</dcterms:modified>
</cp:coreProperties>
</file>