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56" w:rsidRPr="005405E4" w:rsidRDefault="005030E2">
      <w:pPr>
        <w:spacing w:line="235" w:lineRule="exact"/>
        <w:rPr>
          <w:b/>
          <w:bCs/>
        </w:rPr>
      </w:pPr>
      <w:r>
        <w:rPr>
          <w:b/>
          <w:bCs/>
          <w:lang w:val="en-CA"/>
        </w:rPr>
        <w:tab/>
      </w:r>
      <w:r>
        <w:rPr>
          <w:b/>
          <w:bCs/>
          <w:lang w:val="en-CA"/>
        </w:rPr>
        <w:tab/>
      </w:r>
      <w:r>
        <w:rPr>
          <w:b/>
          <w:bCs/>
          <w:lang w:val="en-CA"/>
        </w:rPr>
        <w:tab/>
      </w:r>
      <w:r>
        <w:rPr>
          <w:b/>
          <w:bCs/>
          <w:lang w:val="en-CA"/>
        </w:rPr>
        <w:tab/>
      </w:r>
      <w:r>
        <w:rPr>
          <w:b/>
          <w:bCs/>
          <w:lang w:val="en-CA"/>
        </w:rPr>
        <w:tab/>
      </w:r>
      <w:r>
        <w:rPr>
          <w:b/>
          <w:bCs/>
          <w:lang w:val="en-CA"/>
        </w:rPr>
        <w:tab/>
      </w:r>
      <w:r>
        <w:rPr>
          <w:b/>
          <w:bCs/>
          <w:sz w:val="28"/>
          <w:szCs w:val="28"/>
          <w:lang w:val="en-CA"/>
        </w:rPr>
        <w:tab/>
      </w:r>
      <w:r>
        <w:rPr>
          <w:b/>
          <w:bCs/>
          <w:sz w:val="28"/>
          <w:szCs w:val="28"/>
          <w:lang w:val="en-CA"/>
        </w:rPr>
        <w:tab/>
      </w:r>
      <w:r w:rsidRPr="005405E4">
        <w:rPr>
          <w:b/>
          <w:bCs/>
          <w:lang w:val="en-CA"/>
        </w:rPr>
        <w:t>Filed December 12, 2008</w:t>
      </w:r>
      <w:r w:rsidR="00430DFE" w:rsidRPr="005405E4">
        <w:rPr>
          <w:b/>
          <w:bCs/>
          <w:lang w:val="en-CA"/>
        </w:rPr>
        <w:fldChar w:fldCharType="begin"/>
      </w:r>
      <w:r w:rsidR="00853556" w:rsidRPr="005405E4">
        <w:rPr>
          <w:b/>
          <w:bCs/>
          <w:lang w:val="en-CA"/>
        </w:rPr>
        <w:instrText xml:space="preserve"> SEQ CHAPTER \h \r 1</w:instrText>
      </w:r>
      <w:r w:rsidR="00430DFE" w:rsidRPr="005405E4">
        <w:rPr>
          <w:b/>
          <w:bCs/>
          <w:lang w:val="en-CA"/>
        </w:rPr>
        <w:fldChar w:fldCharType="end"/>
      </w:r>
    </w:p>
    <w:p w:rsidR="00853556" w:rsidRDefault="00853556">
      <w:pPr>
        <w:spacing w:line="235" w:lineRule="exact"/>
        <w:rPr>
          <w:b/>
          <w:bCs/>
        </w:rPr>
      </w:pPr>
    </w:p>
    <w:p w:rsidR="00853556" w:rsidRDefault="00853556">
      <w:pPr>
        <w:spacing w:line="235" w:lineRule="exact"/>
        <w:rPr>
          <w:b/>
          <w:bCs/>
        </w:rPr>
      </w:pPr>
    </w:p>
    <w:p w:rsidR="00853556" w:rsidRDefault="00853556">
      <w:pPr>
        <w:spacing w:line="235" w:lineRule="exact"/>
        <w:rPr>
          <w:b/>
          <w:bCs/>
        </w:rPr>
      </w:pPr>
    </w:p>
    <w:p w:rsidR="00853556" w:rsidRDefault="00853556">
      <w:pPr>
        <w:spacing w:line="235" w:lineRule="exact"/>
        <w:rPr>
          <w:b/>
          <w:bCs/>
        </w:rPr>
      </w:pPr>
    </w:p>
    <w:p w:rsidR="00853556" w:rsidRDefault="00853556">
      <w:pPr>
        <w:spacing w:line="235" w:lineRule="exact"/>
        <w:rPr>
          <w:b/>
          <w:bCs/>
        </w:rPr>
      </w:pPr>
    </w:p>
    <w:p w:rsidR="00853556" w:rsidRDefault="00853556">
      <w:pPr>
        <w:spacing w:line="235" w:lineRule="exact"/>
        <w:rPr>
          <w:b/>
          <w:bCs/>
        </w:rPr>
      </w:pPr>
    </w:p>
    <w:p w:rsidR="00853556" w:rsidRDefault="00853556">
      <w:pPr>
        <w:spacing w:line="235" w:lineRule="exact"/>
        <w:rPr>
          <w:b/>
          <w:bCs/>
        </w:rPr>
      </w:pPr>
    </w:p>
    <w:p w:rsidR="00853556" w:rsidRPr="0062735E" w:rsidRDefault="00853556">
      <w:pPr>
        <w:spacing w:line="235" w:lineRule="exact"/>
        <w:jc w:val="center"/>
        <w:rPr>
          <w:b/>
          <w:bCs/>
          <w:sz w:val="26"/>
          <w:szCs w:val="26"/>
        </w:rPr>
      </w:pPr>
      <w:r w:rsidRPr="0062735E">
        <w:rPr>
          <w:b/>
          <w:bCs/>
          <w:sz w:val="26"/>
          <w:szCs w:val="26"/>
        </w:rPr>
        <w:t>REVIEW DEPARTMENT OF THE STATE BAR COURT</w:t>
      </w:r>
    </w:p>
    <w:p w:rsidR="00853556" w:rsidRPr="0062735E" w:rsidRDefault="00853556">
      <w:pPr>
        <w:spacing w:line="235" w:lineRule="exact"/>
        <w:rPr>
          <w:sz w:val="26"/>
          <w:szCs w:val="26"/>
        </w:rPr>
      </w:pPr>
    </w:p>
    <w:p w:rsidR="00853556" w:rsidRPr="0062735E" w:rsidRDefault="00853556">
      <w:pPr>
        <w:spacing w:line="235" w:lineRule="exact"/>
        <w:rPr>
          <w:sz w:val="26"/>
          <w:szCs w:val="26"/>
        </w:rPr>
      </w:pPr>
    </w:p>
    <w:p w:rsidR="00853556" w:rsidRPr="0062735E" w:rsidRDefault="00853556">
      <w:pPr>
        <w:spacing w:line="62" w:lineRule="exact"/>
        <w:rPr>
          <w:sz w:val="26"/>
          <w:szCs w:val="26"/>
        </w:rPr>
      </w:pPr>
    </w:p>
    <w:p w:rsidR="00853556" w:rsidRPr="0062735E" w:rsidRDefault="00853556">
      <w:pPr>
        <w:spacing w:line="235" w:lineRule="exact"/>
        <w:rPr>
          <w:sz w:val="26"/>
          <w:szCs w:val="26"/>
        </w:rPr>
      </w:pPr>
    </w:p>
    <w:tbl>
      <w:tblPr>
        <w:tblW w:w="9360" w:type="dxa"/>
        <w:tblInd w:w="8" w:type="dxa"/>
        <w:tblLayout w:type="fixed"/>
        <w:tblCellMar>
          <w:left w:w="0" w:type="dxa"/>
          <w:right w:w="0" w:type="dxa"/>
        </w:tblCellMar>
        <w:tblLook w:val="0000"/>
      </w:tblPr>
      <w:tblGrid>
        <w:gridCol w:w="4320"/>
        <w:gridCol w:w="1620"/>
        <w:gridCol w:w="3420"/>
      </w:tblGrid>
      <w:tr w:rsidR="00853556" w:rsidRPr="0062735E" w:rsidTr="003E7946">
        <w:trPr>
          <w:cantSplit/>
          <w:trHeight w:val="535"/>
        </w:trPr>
        <w:tc>
          <w:tcPr>
            <w:tcW w:w="4320" w:type="dxa"/>
            <w:vMerge w:val="restart"/>
            <w:tcBorders>
              <w:bottom w:val="single" w:sz="6" w:space="0" w:color="000000"/>
            </w:tcBorders>
          </w:tcPr>
          <w:p w:rsidR="00853556" w:rsidRPr="0062735E" w:rsidRDefault="00853556">
            <w:pPr>
              <w:spacing w:before="30" w:line="235" w:lineRule="exact"/>
              <w:rPr>
                <w:sz w:val="26"/>
                <w:szCs w:val="26"/>
              </w:rPr>
            </w:pPr>
            <w:r w:rsidRPr="0062735E">
              <w:rPr>
                <w:sz w:val="26"/>
                <w:szCs w:val="26"/>
              </w:rPr>
              <w:t>In the Matter of</w:t>
            </w:r>
          </w:p>
          <w:p w:rsidR="00853556" w:rsidRPr="0062735E" w:rsidRDefault="00853556">
            <w:pPr>
              <w:spacing w:line="235" w:lineRule="exact"/>
              <w:rPr>
                <w:sz w:val="26"/>
                <w:szCs w:val="26"/>
              </w:rPr>
            </w:pPr>
          </w:p>
          <w:p w:rsidR="00853556" w:rsidRPr="0062735E" w:rsidRDefault="00853556">
            <w:pPr>
              <w:spacing w:line="235" w:lineRule="exact"/>
              <w:rPr>
                <w:sz w:val="26"/>
                <w:szCs w:val="26"/>
              </w:rPr>
            </w:pPr>
          </w:p>
          <w:p w:rsidR="00853556" w:rsidRPr="0062735E" w:rsidRDefault="003E7946">
            <w:pPr>
              <w:spacing w:line="235" w:lineRule="exact"/>
              <w:rPr>
                <w:b/>
                <w:sz w:val="26"/>
                <w:szCs w:val="26"/>
              </w:rPr>
            </w:pPr>
            <w:bookmarkStart w:id="0" w:name="respondent"/>
            <w:bookmarkEnd w:id="0"/>
            <w:r>
              <w:rPr>
                <w:b/>
                <w:sz w:val="26"/>
                <w:szCs w:val="26"/>
              </w:rPr>
              <w:t>JEFFREY RAY NIELSEN</w:t>
            </w:r>
          </w:p>
          <w:p w:rsidR="00853556" w:rsidRPr="0062735E" w:rsidRDefault="00853556">
            <w:pPr>
              <w:spacing w:line="235" w:lineRule="exact"/>
              <w:rPr>
                <w:sz w:val="26"/>
                <w:szCs w:val="26"/>
              </w:rPr>
            </w:pPr>
          </w:p>
          <w:p w:rsidR="00853556" w:rsidRPr="0062735E" w:rsidRDefault="00853556">
            <w:pPr>
              <w:spacing w:line="235" w:lineRule="exact"/>
              <w:rPr>
                <w:sz w:val="26"/>
                <w:szCs w:val="26"/>
              </w:rPr>
            </w:pPr>
          </w:p>
          <w:p w:rsidR="00853556" w:rsidRPr="0062735E" w:rsidRDefault="0062735E">
            <w:pPr>
              <w:spacing w:line="235" w:lineRule="exact"/>
              <w:rPr>
                <w:sz w:val="26"/>
                <w:szCs w:val="26"/>
              </w:rPr>
            </w:pPr>
            <w:r w:rsidRPr="0062735E">
              <w:rPr>
                <w:sz w:val="26"/>
                <w:szCs w:val="26"/>
              </w:rPr>
              <w:t>A Member of the State Bar.</w:t>
            </w:r>
          </w:p>
        </w:tc>
        <w:tc>
          <w:tcPr>
            <w:tcW w:w="1620" w:type="dxa"/>
            <w:vMerge w:val="restart"/>
          </w:tcPr>
          <w:p w:rsidR="00853556" w:rsidRPr="0062735E" w:rsidRDefault="00853556">
            <w:pPr>
              <w:spacing w:before="30" w:line="235" w:lineRule="exact"/>
              <w:rPr>
                <w:sz w:val="26"/>
                <w:szCs w:val="26"/>
              </w:rPr>
            </w:pPr>
            <w:r w:rsidRPr="0062735E">
              <w:rPr>
                <w:sz w:val="26"/>
                <w:szCs w:val="26"/>
              </w:rPr>
              <w:t>)</w:t>
            </w:r>
          </w:p>
          <w:p w:rsidR="00853556" w:rsidRPr="0062735E" w:rsidRDefault="00853556">
            <w:pPr>
              <w:spacing w:line="235" w:lineRule="exact"/>
              <w:rPr>
                <w:sz w:val="26"/>
                <w:szCs w:val="26"/>
              </w:rPr>
            </w:pPr>
            <w:r w:rsidRPr="0062735E">
              <w:rPr>
                <w:sz w:val="26"/>
                <w:szCs w:val="26"/>
              </w:rPr>
              <w:t>)</w:t>
            </w:r>
          </w:p>
          <w:p w:rsidR="00853556" w:rsidRPr="0062735E" w:rsidRDefault="00853556">
            <w:pPr>
              <w:spacing w:line="235" w:lineRule="exact"/>
              <w:rPr>
                <w:sz w:val="26"/>
                <w:szCs w:val="26"/>
              </w:rPr>
            </w:pPr>
            <w:r w:rsidRPr="0062735E">
              <w:rPr>
                <w:sz w:val="26"/>
                <w:szCs w:val="26"/>
              </w:rPr>
              <w:t>)</w:t>
            </w:r>
          </w:p>
          <w:p w:rsidR="00853556" w:rsidRPr="0062735E" w:rsidRDefault="00853556">
            <w:pPr>
              <w:spacing w:line="235" w:lineRule="exact"/>
              <w:rPr>
                <w:sz w:val="26"/>
                <w:szCs w:val="26"/>
              </w:rPr>
            </w:pPr>
            <w:r w:rsidRPr="0062735E">
              <w:rPr>
                <w:sz w:val="26"/>
                <w:szCs w:val="26"/>
              </w:rPr>
              <w:t>)</w:t>
            </w:r>
          </w:p>
          <w:p w:rsidR="00853556" w:rsidRPr="0062735E" w:rsidRDefault="00853556">
            <w:pPr>
              <w:spacing w:line="235" w:lineRule="exact"/>
              <w:rPr>
                <w:sz w:val="26"/>
                <w:szCs w:val="26"/>
              </w:rPr>
            </w:pPr>
            <w:r w:rsidRPr="0062735E">
              <w:rPr>
                <w:sz w:val="26"/>
                <w:szCs w:val="26"/>
              </w:rPr>
              <w:t>)</w:t>
            </w:r>
          </w:p>
          <w:p w:rsidR="00853556" w:rsidRPr="0062735E" w:rsidRDefault="00853556">
            <w:pPr>
              <w:spacing w:line="235" w:lineRule="exact"/>
              <w:rPr>
                <w:sz w:val="26"/>
                <w:szCs w:val="26"/>
              </w:rPr>
            </w:pPr>
            <w:r w:rsidRPr="0062735E">
              <w:rPr>
                <w:sz w:val="26"/>
                <w:szCs w:val="26"/>
              </w:rPr>
              <w:t>)</w:t>
            </w:r>
          </w:p>
          <w:p w:rsidR="006645A0" w:rsidRPr="0062735E" w:rsidRDefault="00853556">
            <w:pPr>
              <w:spacing w:line="235" w:lineRule="exact"/>
              <w:rPr>
                <w:sz w:val="26"/>
                <w:szCs w:val="26"/>
              </w:rPr>
            </w:pPr>
            <w:r w:rsidRPr="0062735E">
              <w:rPr>
                <w:sz w:val="26"/>
                <w:szCs w:val="26"/>
              </w:rPr>
              <w:t>)</w:t>
            </w:r>
          </w:p>
          <w:p w:rsidR="00853556" w:rsidRPr="0062735E" w:rsidRDefault="006645A0">
            <w:pPr>
              <w:spacing w:line="235" w:lineRule="exact"/>
              <w:rPr>
                <w:sz w:val="26"/>
                <w:szCs w:val="26"/>
              </w:rPr>
            </w:pPr>
            <w:r w:rsidRPr="0062735E">
              <w:rPr>
                <w:sz w:val="26"/>
                <w:szCs w:val="26"/>
              </w:rPr>
              <w:t>)</w:t>
            </w:r>
          </w:p>
        </w:tc>
        <w:tc>
          <w:tcPr>
            <w:tcW w:w="3420" w:type="dxa"/>
            <w:vMerge w:val="restart"/>
          </w:tcPr>
          <w:p w:rsidR="00853556" w:rsidRDefault="003E7946">
            <w:pPr>
              <w:spacing w:before="30" w:line="235" w:lineRule="exact"/>
              <w:rPr>
                <w:b/>
                <w:sz w:val="26"/>
                <w:szCs w:val="26"/>
              </w:rPr>
            </w:pPr>
            <w:bookmarkStart w:id="1" w:name="caseno"/>
            <w:bookmarkEnd w:id="1"/>
            <w:r>
              <w:rPr>
                <w:b/>
                <w:sz w:val="26"/>
                <w:szCs w:val="26"/>
              </w:rPr>
              <w:t>04-C-10166</w:t>
            </w:r>
          </w:p>
          <w:p w:rsidR="003E7946" w:rsidRDefault="003E7946">
            <w:pPr>
              <w:spacing w:before="30" w:line="235" w:lineRule="exact"/>
              <w:rPr>
                <w:b/>
                <w:sz w:val="26"/>
                <w:szCs w:val="26"/>
              </w:rPr>
            </w:pPr>
          </w:p>
          <w:p w:rsidR="003E7946" w:rsidRPr="0062735E" w:rsidRDefault="003E7946">
            <w:pPr>
              <w:spacing w:before="30" w:line="235" w:lineRule="exact"/>
              <w:rPr>
                <w:b/>
                <w:sz w:val="26"/>
                <w:szCs w:val="26"/>
              </w:rPr>
            </w:pPr>
            <w:r>
              <w:rPr>
                <w:b/>
                <w:sz w:val="26"/>
                <w:szCs w:val="26"/>
              </w:rPr>
              <w:t>RECOMMENDATION OF SUMMARY DISBARMENT</w:t>
            </w:r>
          </w:p>
        </w:tc>
      </w:tr>
      <w:tr w:rsidR="00853556" w:rsidRPr="0062735E" w:rsidTr="003E7946">
        <w:trPr>
          <w:cantSplit/>
          <w:trHeight w:val="270"/>
        </w:trPr>
        <w:tc>
          <w:tcPr>
            <w:tcW w:w="4320" w:type="dxa"/>
            <w:vMerge/>
            <w:tcBorders>
              <w:bottom w:val="single" w:sz="6" w:space="0" w:color="000000"/>
            </w:tcBorders>
          </w:tcPr>
          <w:p w:rsidR="00853556" w:rsidRPr="0062735E" w:rsidRDefault="00853556">
            <w:pPr>
              <w:spacing w:before="30" w:line="235" w:lineRule="exact"/>
              <w:rPr>
                <w:sz w:val="26"/>
                <w:szCs w:val="26"/>
              </w:rPr>
            </w:pPr>
          </w:p>
        </w:tc>
        <w:tc>
          <w:tcPr>
            <w:tcW w:w="1620" w:type="dxa"/>
            <w:vMerge/>
          </w:tcPr>
          <w:p w:rsidR="00853556" w:rsidRPr="0062735E" w:rsidRDefault="00853556">
            <w:pPr>
              <w:spacing w:before="30" w:line="235" w:lineRule="exact"/>
              <w:rPr>
                <w:sz w:val="26"/>
                <w:szCs w:val="26"/>
              </w:rPr>
            </w:pPr>
          </w:p>
        </w:tc>
        <w:tc>
          <w:tcPr>
            <w:tcW w:w="3420" w:type="dxa"/>
            <w:vMerge/>
          </w:tcPr>
          <w:p w:rsidR="00853556" w:rsidRPr="0062735E" w:rsidRDefault="00853556">
            <w:pPr>
              <w:spacing w:before="30" w:line="235" w:lineRule="exact"/>
              <w:rPr>
                <w:sz w:val="26"/>
                <w:szCs w:val="26"/>
              </w:rPr>
            </w:pPr>
          </w:p>
        </w:tc>
      </w:tr>
      <w:tr w:rsidR="00853556" w:rsidRPr="0062735E" w:rsidTr="003E7946">
        <w:trPr>
          <w:cantSplit/>
          <w:trHeight w:val="720"/>
        </w:trPr>
        <w:tc>
          <w:tcPr>
            <w:tcW w:w="4320" w:type="dxa"/>
            <w:vMerge/>
            <w:tcBorders>
              <w:bottom w:val="single" w:sz="6" w:space="0" w:color="000000"/>
            </w:tcBorders>
          </w:tcPr>
          <w:p w:rsidR="00853556" w:rsidRPr="0062735E" w:rsidRDefault="00853556">
            <w:pPr>
              <w:spacing w:before="30" w:line="235" w:lineRule="exact"/>
              <w:rPr>
                <w:sz w:val="26"/>
                <w:szCs w:val="26"/>
              </w:rPr>
            </w:pPr>
          </w:p>
        </w:tc>
        <w:tc>
          <w:tcPr>
            <w:tcW w:w="1620" w:type="dxa"/>
            <w:vMerge/>
          </w:tcPr>
          <w:p w:rsidR="00853556" w:rsidRPr="0062735E" w:rsidRDefault="00853556">
            <w:pPr>
              <w:spacing w:before="30" w:line="235" w:lineRule="exact"/>
              <w:rPr>
                <w:sz w:val="26"/>
                <w:szCs w:val="26"/>
              </w:rPr>
            </w:pPr>
          </w:p>
        </w:tc>
        <w:tc>
          <w:tcPr>
            <w:tcW w:w="3420" w:type="dxa"/>
          </w:tcPr>
          <w:p w:rsidR="00853556" w:rsidRPr="0062735E" w:rsidRDefault="00853556">
            <w:pPr>
              <w:pStyle w:val="Heading1"/>
              <w:rPr>
                <w:sz w:val="26"/>
                <w:szCs w:val="26"/>
              </w:rPr>
            </w:pPr>
          </w:p>
        </w:tc>
      </w:tr>
      <w:tr w:rsidR="00853556" w:rsidRPr="0062735E" w:rsidTr="003E7946">
        <w:trPr>
          <w:cantSplit/>
        </w:trPr>
        <w:tc>
          <w:tcPr>
            <w:tcW w:w="4320" w:type="dxa"/>
          </w:tcPr>
          <w:p w:rsidR="00853556" w:rsidRPr="0062735E" w:rsidRDefault="00853556">
            <w:pPr>
              <w:spacing w:before="30" w:line="235" w:lineRule="exact"/>
              <w:rPr>
                <w:sz w:val="26"/>
                <w:szCs w:val="26"/>
              </w:rPr>
            </w:pPr>
          </w:p>
        </w:tc>
        <w:tc>
          <w:tcPr>
            <w:tcW w:w="1620" w:type="dxa"/>
          </w:tcPr>
          <w:p w:rsidR="00853556" w:rsidRPr="0062735E" w:rsidRDefault="00853556">
            <w:pPr>
              <w:spacing w:before="30" w:line="235" w:lineRule="exact"/>
              <w:rPr>
                <w:sz w:val="26"/>
                <w:szCs w:val="26"/>
              </w:rPr>
            </w:pPr>
          </w:p>
        </w:tc>
        <w:tc>
          <w:tcPr>
            <w:tcW w:w="3420" w:type="dxa"/>
          </w:tcPr>
          <w:p w:rsidR="00853556" w:rsidRPr="0062735E" w:rsidRDefault="00853556">
            <w:pPr>
              <w:spacing w:before="30" w:line="235" w:lineRule="exact"/>
              <w:rPr>
                <w:sz w:val="26"/>
                <w:szCs w:val="26"/>
              </w:rPr>
            </w:pPr>
          </w:p>
        </w:tc>
      </w:tr>
    </w:tbl>
    <w:p w:rsidR="008F49AD" w:rsidRDefault="008F49AD" w:rsidP="003E7946">
      <w:pPr>
        <w:spacing w:line="480" w:lineRule="auto"/>
        <w:ind w:firstLine="720"/>
      </w:pPr>
      <w:bookmarkStart w:id="2" w:name="start"/>
      <w:bookmarkEnd w:id="2"/>
    </w:p>
    <w:p w:rsidR="003E7946" w:rsidRDefault="003E7946" w:rsidP="003E7946">
      <w:pPr>
        <w:spacing w:line="480" w:lineRule="auto"/>
        <w:ind w:firstLine="720"/>
      </w:pPr>
      <w:r>
        <w:t xml:space="preserve">The State Bar’s request for recommendation of summary disbarment, filed on </w:t>
      </w:r>
      <w:r w:rsidR="00A836C2">
        <w:t>August 19</w:t>
      </w:r>
      <w:r>
        <w:t xml:space="preserve">, 2008, is granted.  On August 28, 2008, we filed an order to show cause </w:t>
      </w:r>
      <w:r w:rsidR="00A836C2">
        <w:t>on or before September 19</w:t>
      </w:r>
      <w:r>
        <w:t xml:space="preserve">, 2008, directing respondent, </w:t>
      </w:r>
      <w:r w:rsidR="00A836C2">
        <w:t>Jeffrey Ray Nielsen, State Bar No. 202862</w:t>
      </w:r>
      <w:r>
        <w:t xml:space="preserve">, to show why we should not recommend his summary disbarment to the Supreme Court.  Respondent did not file a response.  </w:t>
      </w:r>
    </w:p>
    <w:p w:rsidR="00A836C2" w:rsidRDefault="00A836C2" w:rsidP="00A836C2">
      <w:pPr>
        <w:spacing w:line="480" w:lineRule="auto"/>
        <w:ind w:right="-144" w:firstLine="720"/>
      </w:pPr>
      <w:r>
        <w:t>On December 5, 2007, responde</w:t>
      </w:r>
      <w:r w:rsidR="008A630B">
        <w:t xml:space="preserve">nt pled guilty to one count of </w:t>
      </w:r>
      <w:r>
        <w:t>participating in an act of oral copulation with a person who is under the age of 16 in violation of Penal Code section 288</w:t>
      </w:r>
      <w:r w:rsidR="00DB4E72">
        <w:t>a</w:t>
      </w:r>
      <w:r>
        <w:t xml:space="preserve">, subdivision </w:t>
      </w:r>
      <w:r w:rsidR="00DB4E72">
        <w:t>(b</w:t>
      </w:r>
      <w:r>
        <w:t>)</w:t>
      </w:r>
      <w:r w:rsidR="00DB4E72">
        <w:t>(2)</w:t>
      </w:r>
      <w:r>
        <w:t xml:space="preserve">.  Respondent’s accepted guilty plea is a conviction under the State Bar Act. (Bus. &amp; </w:t>
      </w:r>
      <w:r w:rsidR="00DB4E72">
        <w:t xml:space="preserve">Prof. Code § 6101, subd. (e).)  </w:t>
      </w:r>
      <w:r>
        <w:t>As a result of respondent’s conviction we placed him on interim suspension eff</w:t>
      </w:r>
      <w:r w:rsidR="00DB4E72">
        <w:t>ective January 17</w:t>
      </w:r>
      <w:r>
        <w:t>, 2008, and he has remained on interim suspension since that time.  As the time period for filing an appeal from his conviction has expired and respondent has not filed a notice of appeal, his conviction is now final. (California Rules of Court, rule 9.10(a).)</w:t>
      </w:r>
    </w:p>
    <w:p w:rsidR="00374BED" w:rsidRDefault="00DB4E72" w:rsidP="00A836C2">
      <w:pPr>
        <w:spacing w:line="480" w:lineRule="auto"/>
        <w:ind w:right="-144" w:firstLine="720"/>
      </w:pPr>
      <w:r>
        <w:lastRenderedPageBreak/>
        <w:t xml:space="preserve">Respondent’s conviction is conclusive proof that he committed the crime.  (Bus. &amp; Prof. Code, § 6101, subd. (a); </w:t>
      </w:r>
      <w:r>
        <w:rPr>
          <w:i/>
          <w:iCs/>
        </w:rPr>
        <w:t xml:space="preserve">In re Crooks </w:t>
      </w:r>
      <w:r>
        <w:t>(1990) 51 Cal.3d 1090, 1097.)  The record of conviction establishes that respondent’s conviction meets the criteria for summary disbarment under Business and Professions Code section 6102, subdivision (c), as amended effective January 1, 1997.  First, the offense of which respondent was convicted is a felony. (Pen. Code § 288a, subd. (b)(1); Bus. &amp; Prof. Code § 6102, subd. (b).)  Second, the offense involves moral turpitude per se.  Penal Code</w:t>
      </w:r>
      <w:r w:rsidR="00002AAB">
        <w:t xml:space="preserve"> section 288a, subdivision (b)(2</w:t>
      </w:r>
      <w:r>
        <w:t xml:space="preserve">), provides that “any person over the age of 21 years who participates in an act of oral copulation with another person who is under 16 years of age is guilty of a felony.”  </w:t>
      </w:r>
      <w:r w:rsidR="00935988">
        <w:t>“In the attorney discipline context, the terms ‘moral turpitude’ includes ‘particular crimes that that are extremely repugnant to accepted moral standards such as . . . serious sexual offenses [citation].  [Citation.]”  (</w:t>
      </w:r>
      <w:r w:rsidR="00935988" w:rsidRPr="00637EE7">
        <w:rPr>
          <w:i/>
        </w:rPr>
        <w:t>In</w:t>
      </w:r>
      <w:r w:rsidR="00935988">
        <w:t xml:space="preserve"> </w:t>
      </w:r>
      <w:r w:rsidR="00935988" w:rsidRPr="00637EE7">
        <w:rPr>
          <w:i/>
        </w:rPr>
        <w:t>re</w:t>
      </w:r>
      <w:r w:rsidR="00935988">
        <w:t xml:space="preserve"> </w:t>
      </w:r>
      <w:r w:rsidR="00935988" w:rsidRPr="00637EE7">
        <w:rPr>
          <w:i/>
        </w:rPr>
        <w:t>Lesansky</w:t>
      </w:r>
      <w:r w:rsidR="00935988">
        <w:t xml:space="preserve"> (2001) 25 Cal.4</w:t>
      </w:r>
      <w:r w:rsidR="00935988" w:rsidRPr="00637EE7">
        <w:rPr>
          <w:vertAlign w:val="superscript"/>
        </w:rPr>
        <w:t>th</w:t>
      </w:r>
      <w:r w:rsidR="00935988">
        <w:t xml:space="preserve"> 11, 17.)  </w:t>
      </w:r>
      <w:r w:rsidR="00637EE7">
        <w:t>The Supreme Court has determined that the offense of committing a lewd act on “a child of the age of 14 or 15 years” when the attorney is “at least 10 years younger than the child” in violation of Penal Code section 288, subdivision (c)(1)</w:t>
      </w:r>
      <w:r w:rsidR="008F49AD">
        <w:t>,</w:t>
      </w:r>
      <w:r w:rsidR="00835640">
        <w:t xml:space="preserve"> involves moral turpitude</w:t>
      </w:r>
      <w:r w:rsidR="00637EE7">
        <w:t>.</w:t>
      </w:r>
      <w:r w:rsidR="00935988">
        <w:t xml:space="preserve">  (</w:t>
      </w:r>
      <w:r w:rsidR="00935988" w:rsidRPr="00935988">
        <w:rPr>
          <w:i/>
        </w:rPr>
        <w:t>Ibid</w:t>
      </w:r>
      <w:r w:rsidR="00935988">
        <w:t>.)</w:t>
      </w:r>
      <w:r w:rsidR="00F669DF">
        <w:t xml:space="preserve">  Section 288a, subdivision (b)(1) is similar to section 288, subdivision (c)(1) because it is a sexual offense involving a person under 16 and there is an age differential aimed at protecting minors from the sexual misconduc</w:t>
      </w:r>
      <w:r w:rsidR="005F1CCC">
        <w:t>t of adults.</w:t>
      </w:r>
      <w:r w:rsidR="00D307D1">
        <w:t xml:space="preserve">  (See </w:t>
      </w:r>
      <w:r w:rsidR="00D307D1" w:rsidRPr="00D307D1">
        <w:rPr>
          <w:i/>
        </w:rPr>
        <w:t>Angie M. v. Superior Court</w:t>
      </w:r>
      <w:r w:rsidR="00D307D1">
        <w:t xml:space="preserve"> (1995) 37 Cal.App.4</w:t>
      </w:r>
      <w:r w:rsidR="00D307D1" w:rsidRPr="00D307D1">
        <w:rPr>
          <w:vertAlign w:val="superscript"/>
        </w:rPr>
        <w:t>th</w:t>
      </w:r>
      <w:r w:rsidR="00D307D1">
        <w:t xml:space="preserve"> 1217, 1225 [section 288a is a statute directed at protecting minors from sexual exploitation; </w:t>
      </w:r>
      <w:r w:rsidR="00002AAB">
        <w:rPr>
          <w:i/>
        </w:rPr>
        <w:t>People v. Paz</w:t>
      </w:r>
      <w:r w:rsidR="00002AAB">
        <w:t xml:space="preserve"> (2000</w:t>
      </w:r>
      <w:r w:rsidR="00D307D1">
        <w:t>)</w:t>
      </w:r>
      <w:r w:rsidR="00002AAB">
        <w:t xml:space="preserve"> 80 Cal.App.4</w:t>
      </w:r>
      <w:r w:rsidR="00002AAB" w:rsidRPr="00002AAB">
        <w:rPr>
          <w:vertAlign w:val="superscript"/>
        </w:rPr>
        <w:t>th</w:t>
      </w:r>
      <w:r w:rsidR="00002AAB">
        <w:t xml:space="preserve"> 293, 297</w:t>
      </w:r>
      <w:r w:rsidR="00D307D1">
        <w:t xml:space="preserve"> [section 288 enacted </w:t>
      </w:r>
      <w:r w:rsidR="00002AAB">
        <w:t>to protect “infants, children and those in their early teens from sexual exploitation by adults”].)</w:t>
      </w:r>
      <w:r w:rsidR="00374BED">
        <w:t xml:space="preserve"> </w:t>
      </w:r>
    </w:p>
    <w:p w:rsidR="00374BED" w:rsidRDefault="00374BED" w:rsidP="00002AAB">
      <w:pPr>
        <w:spacing w:line="480" w:lineRule="auto"/>
        <w:ind w:firstLine="720"/>
        <w:sectPr w:rsidR="00374BED" w:rsidSect="00A836C2">
          <w:type w:val="continuous"/>
          <w:pgSz w:w="12240" w:h="15840"/>
          <w:pgMar w:top="1296" w:right="1440" w:bottom="1152" w:left="1440" w:header="1296" w:footer="1152" w:gutter="0"/>
          <w:cols w:space="720"/>
          <w:noEndnote/>
        </w:sectPr>
      </w:pPr>
      <w:r w:rsidRPr="002F7094">
        <w:t>We therefore recommend that respondent,</w:t>
      </w:r>
      <w:r w:rsidR="008A630B">
        <w:t xml:space="preserve"> Jeffrey Ray Nielsen, State Bar No. 202862</w:t>
      </w:r>
      <w:r w:rsidRPr="002F7094">
        <w:t xml:space="preserve">, be summarily disbarred from the practice of law in this state.  We also recommend that respondent be ordered to comply with rule 9.20 of the California Rules of Court and to perform the acts specified in paragraphs (a) and (c) of that rule within 30 and 45 days, respectively, after the </w:t>
      </w:r>
      <w:r w:rsidRPr="002F7094">
        <w:lastRenderedPageBreak/>
        <w:t xml:space="preserve">effective date of the Supreme Court’s order.  Finally, we recommend that costs be awarded to the State Bar in accordance with Business and Professions Code, section 6086.10, </w:t>
      </w:r>
      <w:r>
        <w:t xml:space="preserve">and that </w:t>
      </w:r>
      <w:r w:rsidRPr="002F7094">
        <w:t>such costs be enforceable both as provided in Business and Professions Code, section 6140.7 and as a money judgment.</w:t>
      </w:r>
    </w:p>
    <w:p w:rsidR="0062735E" w:rsidRPr="0062735E" w:rsidRDefault="0062735E">
      <w:pPr>
        <w:rPr>
          <w:sz w:val="26"/>
          <w:szCs w:val="26"/>
        </w:rPr>
      </w:pPr>
    </w:p>
    <w:p w:rsidR="0062735E" w:rsidRDefault="0062735E">
      <w:pPr>
        <w:rPr>
          <w:sz w:val="26"/>
          <w:szCs w:val="26"/>
        </w:rPr>
      </w:pPr>
    </w:p>
    <w:p w:rsidR="005A6A80" w:rsidRPr="0062735E" w:rsidRDefault="005A6A80">
      <w:pPr>
        <w:rPr>
          <w:sz w:val="26"/>
          <w:szCs w:val="26"/>
        </w:rPr>
      </w:pPr>
    </w:p>
    <w:p w:rsidR="0062735E" w:rsidRPr="0062735E" w:rsidRDefault="0062735E">
      <w:pPr>
        <w:rPr>
          <w:sz w:val="26"/>
          <w:szCs w:val="26"/>
        </w:rPr>
      </w:pPr>
    </w:p>
    <w:tbl>
      <w:tblPr>
        <w:tblStyle w:val="TableGrid"/>
        <w:tblW w:w="4860" w:type="dxa"/>
        <w:tblInd w:w="4514" w:type="dxa"/>
        <w:tblBorders>
          <w:top w:val="single" w:sz="4" w:space="0" w:color="00000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
      <w:tblGrid>
        <w:gridCol w:w="4860"/>
      </w:tblGrid>
      <w:tr w:rsidR="0062735E" w:rsidRPr="0062735E">
        <w:tc>
          <w:tcPr>
            <w:tcW w:w="4860" w:type="dxa"/>
            <w:tcMar>
              <w:left w:w="0" w:type="dxa"/>
              <w:right w:w="0" w:type="dxa"/>
            </w:tcMar>
          </w:tcPr>
          <w:p w:rsidR="0062735E" w:rsidRPr="0062735E" w:rsidRDefault="0062735E" w:rsidP="0062735E">
            <w:pPr>
              <w:ind w:right="720"/>
              <w:jc w:val="center"/>
              <w:rPr>
                <w:sz w:val="26"/>
                <w:szCs w:val="26"/>
              </w:rPr>
            </w:pPr>
            <w:r w:rsidRPr="0062735E">
              <w:rPr>
                <w:sz w:val="26"/>
                <w:szCs w:val="26"/>
              </w:rPr>
              <w:t>Presiding Judge</w:t>
            </w:r>
          </w:p>
        </w:tc>
      </w:tr>
    </w:tbl>
    <w:p w:rsidR="00853556" w:rsidRPr="0062735E" w:rsidRDefault="00853556">
      <w:pPr>
        <w:rPr>
          <w:sz w:val="26"/>
          <w:szCs w:val="26"/>
        </w:rPr>
      </w:pPr>
    </w:p>
    <w:sectPr w:rsidR="00853556" w:rsidRPr="0062735E" w:rsidSect="0008145D">
      <w:footerReference w:type="default" r:id="rId6"/>
      <w:type w:val="continuous"/>
      <w:pgSz w:w="12240" w:h="15840"/>
      <w:pgMar w:top="1440" w:right="1440" w:bottom="1440" w:left="1440" w:header="1205"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1B2" w:rsidRDefault="00B731B2">
      <w:r>
        <w:separator/>
      </w:r>
    </w:p>
  </w:endnote>
  <w:endnote w:type="continuationSeparator" w:id="1">
    <w:p w:rsidR="00B731B2" w:rsidRDefault="00B73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D1" w:rsidRDefault="00D307D1">
    <w:pPr>
      <w:framePr w:wrap="notBeside" w:hAnchor="text" w:xAlign="center"/>
    </w:pPr>
    <w:r>
      <w:t>-</w:t>
    </w:r>
    <w:fldSimple w:instr=" PAGE  ">
      <w:r>
        <w:rPr>
          <w:noProof/>
        </w:rPr>
        <w:t>3</w:t>
      </w:r>
    </w:fldSimple>
    <w:r>
      <w:t>-</w:t>
    </w:r>
  </w:p>
  <w:p w:rsidR="00D307D1" w:rsidRDefault="00D307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1B2" w:rsidRDefault="00B731B2">
      <w:r>
        <w:separator/>
      </w:r>
    </w:p>
  </w:footnote>
  <w:footnote w:type="continuationSeparator" w:id="1">
    <w:p w:rsidR="00B731B2" w:rsidRDefault="00B73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836C2"/>
    <w:rsid w:val="00002AAB"/>
    <w:rsid w:val="0008145D"/>
    <w:rsid w:val="000F75D9"/>
    <w:rsid w:val="00101E49"/>
    <w:rsid w:val="00230698"/>
    <w:rsid w:val="002E6C0F"/>
    <w:rsid w:val="00300B6D"/>
    <w:rsid w:val="00302D21"/>
    <w:rsid w:val="00374BED"/>
    <w:rsid w:val="003E7946"/>
    <w:rsid w:val="00430DFE"/>
    <w:rsid w:val="00472CAA"/>
    <w:rsid w:val="005030E2"/>
    <w:rsid w:val="005405E4"/>
    <w:rsid w:val="005A6A80"/>
    <w:rsid w:val="005F1CCC"/>
    <w:rsid w:val="0062735E"/>
    <w:rsid w:val="00637EE7"/>
    <w:rsid w:val="00655AF3"/>
    <w:rsid w:val="006645A0"/>
    <w:rsid w:val="0067249F"/>
    <w:rsid w:val="00835640"/>
    <w:rsid w:val="00853556"/>
    <w:rsid w:val="008A630B"/>
    <w:rsid w:val="008D2D4E"/>
    <w:rsid w:val="008F49AD"/>
    <w:rsid w:val="00901103"/>
    <w:rsid w:val="00935988"/>
    <w:rsid w:val="00A836C2"/>
    <w:rsid w:val="00AD32D6"/>
    <w:rsid w:val="00B731B2"/>
    <w:rsid w:val="00B86956"/>
    <w:rsid w:val="00BB2332"/>
    <w:rsid w:val="00CB661A"/>
    <w:rsid w:val="00D25D4F"/>
    <w:rsid w:val="00D307D1"/>
    <w:rsid w:val="00DB4E72"/>
    <w:rsid w:val="00F66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45D"/>
    <w:rPr>
      <w:sz w:val="24"/>
      <w:szCs w:val="24"/>
    </w:rPr>
  </w:style>
  <w:style w:type="paragraph" w:styleId="Heading1">
    <w:name w:val="heading 1"/>
    <w:basedOn w:val="Normal"/>
    <w:next w:val="Normal"/>
    <w:qFormat/>
    <w:rsid w:val="0008145D"/>
    <w:pPr>
      <w:keepNext/>
      <w:spacing w:before="30" w:line="235" w:lineRule="exac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8145D"/>
    <w:pPr>
      <w:spacing w:before="28"/>
      <w:ind w:right="90"/>
    </w:pPr>
    <w:rPr>
      <w:sz w:val="19"/>
      <w:szCs w:val="19"/>
    </w:rPr>
  </w:style>
  <w:style w:type="table" w:styleId="TableGrid">
    <w:name w:val="Table Grid"/>
    <w:basedOn w:val="TableNormal"/>
    <w:rsid w:val="00627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RVW_Wrkgp\Rvw_Ords\Ord_25_Blank_Ord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Ord_25_Blank_Ord_Form.dot</Template>
  <TotalTime>1</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Thomas</dc:creator>
  <cp:keywords/>
  <dc:description/>
  <cp:lastModifiedBy>Rosalie Ruiz</cp:lastModifiedBy>
  <cp:revision>6</cp:revision>
  <dcterms:created xsi:type="dcterms:W3CDTF">2008-12-11T18:34:00Z</dcterms:created>
  <dcterms:modified xsi:type="dcterms:W3CDTF">2008-12-29T22:30:00Z</dcterms:modified>
</cp:coreProperties>
</file>