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10411" w:rsidRDefault="00A10411" w:rsidP="00A10411">
      <w:pPr>
        <w:jc w:val="right"/>
        <w:rPr>
          <w:b/>
          <w:sz w:val="36"/>
        </w:rPr>
      </w:pPr>
      <w:r w:rsidRPr="00A10411">
        <w:rPr>
          <w:b/>
        </w:rPr>
        <w:t>FILED JUNE 24,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32D3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794598" w:rsidRDefault="00794598">
            <w:pPr>
              <w:rPr>
                <w:b/>
                <w:bCs/>
              </w:rPr>
            </w:pPr>
            <w:bookmarkStart w:id="1" w:name="resp"/>
            <w:bookmarkEnd w:id="1"/>
          </w:p>
          <w:p w:rsidR="003D3B12" w:rsidRDefault="000C2BF3">
            <w:pPr>
              <w:rPr>
                <w:b/>
                <w:bCs/>
              </w:rPr>
            </w:pPr>
            <w:r>
              <w:rPr>
                <w:b/>
                <w:bCs/>
              </w:rPr>
              <w:t>JERALD SCOTT BENNETT</w:t>
            </w:r>
            <w:r w:rsidR="008E14DA">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0C2BF3">
              <w:rPr>
                <w:b/>
                <w:bCs/>
              </w:rPr>
              <w:t>123450</w:t>
            </w:r>
            <w:r w:rsidR="008E14DA">
              <w:rPr>
                <w:b/>
                <w:bCs/>
              </w:rPr>
              <w:t>,</w:t>
            </w:r>
          </w:p>
          <w:p w:rsidR="003D3B12" w:rsidRDefault="003D3B12">
            <w:pPr>
              <w:rPr>
                <w:b/>
                <w:bCs/>
              </w:rPr>
            </w:pPr>
          </w:p>
          <w:p w:rsidR="002D1770" w:rsidRDefault="00332D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794598" w:rsidRDefault="00794598">
            <w:pPr>
              <w:rPr>
                <w:b/>
                <w:bCs/>
              </w:rPr>
            </w:pPr>
            <w:r>
              <w:rPr>
                <w:b/>
                <w:bCs/>
              </w:rPr>
              <w:t>)</w:t>
            </w:r>
          </w:p>
          <w:p w:rsidR="00794598" w:rsidRDefault="00794598">
            <w:pPr>
              <w:rPr>
                <w:b/>
                <w:bCs/>
              </w:rPr>
            </w:pPr>
            <w:r>
              <w:rPr>
                <w:b/>
                <w:bCs/>
              </w:rPr>
              <w:t>)</w:t>
            </w:r>
          </w:p>
          <w:p w:rsidR="003D3B12" w:rsidRDefault="00794598">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4D0886" w:rsidRDefault="008E14DA" w:rsidP="008E14DA">
            <w:pPr>
              <w:rPr>
                <w:b/>
                <w:bCs/>
              </w:rPr>
            </w:pPr>
            <w:bookmarkStart w:id="4" w:name="caseno"/>
            <w:bookmarkEnd w:id="4"/>
            <w:r>
              <w:rPr>
                <w:b/>
                <w:bCs/>
              </w:rPr>
              <w:t>0</w:t>
            </w:r>
            <w:r w:rsidR="004D0886">
              <w:rPr>
                <w:b/>
                <w:bCs/>
              </w:rPr>
              <w:t>4</w:t>
            </w:r>
            <w:r>
              <w:rPr>
                <w:b/>
                <w:bCs/>
              </w:rPr>
              <w:t>-O-</w:t>
            </w:r>
            <w:r w:rsidR="004D0886">
              <w:rPr>
                <w:b/>
                <w:bCs/>
              </w:rPr>
              <w:t>11788-RAH</w:t>
            </w:r>
            <w:r>
              <w:rPr>
                <w:b/>
                <w:bCs/>
              </w:rPr>
              <w:t xml:space="preserve"> </w:t>
            </w:r>
          </w:p>
          <w:p w:rsidR="004D0886" w:rsidRDefault="008E14DA" w:rsidP="008E14DA">
            <w:pPr>
              <w:rPr>
                <w:bCs/>
              </w:rPr>
            </w:pPr>
            <w:r w:rsidRPr="008E14DA">
              <w:rPr>
                <w:bCs/>
              </w:rPr>
              <w:t>(0</w:t>
            </w:r>
            <w:r w:rsidR="004D0886">
              <w:rPr>
                <w:bCs/>
              </w:rPr>
              <w:t>4</w:t>
            </w:r>
            <w:r w:rsidRPr="008E14DA">
              <w:rPr>
                <w:bCs/>
              </w:rPr>
              <w:t>-O-</w:t>
            </w:r>
            <w:r w:rsidR="004D0886">
              <w:rPr>
                <w:bCs/>
              </w:rPr>
              <w:t>11949</w:t>
            </w:r>
            <w:r w:rsidR="00794598">
              <w:rPr>
                <w:bCs/>
              </w:rPr>
              <w:t>;</w:t>
            </w:r>
            <w:r w:rsidR="004D0886">
              <w:rPr>
                <w:bCs/>
              </w:rPr>
              <w:t xml:space="preserve"> </w:t>
            </w:r>
            <w:r w:rsidR="00794598">
              <w:rPr>
                <w:bCs/>
              </w:rPr>
              <w:t>0</w:t>
            </w:r>
            <w:r w:rsidR="004D0886">
              <w:rPr>
                <w:bCs/>
              </w:rPr>
              <w:t>4</w:t>
            </w:r>
            <w:r w:rsidR="00794598">
              <w:rPr>
                <w:bCs/>
              </w:rPr>
              <w:t>-O-</w:t>
            </w:r>
            <w:r w:rsidR="004D0886">
              <w:rPr>
                <w:bCs/>
              </w:rPr>
              <w:t>13836</w:t>
            </w:r>
            <w:r w:rsidR="00794598">
              <w:rPr>
                <w:bCs/>
              </w:rPr>
              <w:t xml:space="preserve">; </w:t>
            </w:r>
          </w:p>
          <w:p w:rsidR="004D0886" w:rsidRDefault="00794598" w:rsidP="008E14DA">
            <w:pPr>
              <w:rPr>
                <w:bCs/>
              </w:rPr>
            </w:pPr>
            <w:r>
              <w:rPr>
                <w:bCs/>
              </w:rPr>
              <w:t>0</w:t>
            </w:r>
            <w:r w:rsidR="004D0886">
              <w:rPr>
                <w:bCs/>
              </w:rPr>
              <w:t>4</w:t>
            </w:r>
            <w:r>
              <w:rPr>
                <w:bCs/>
              </w:rPr>
              <w:t>-O-</w:t>
            </w:r>
            <w:r w:rsidR="004D0886">
              <w:rPr>
                <w:bCs/>
              </w:rPr>
              <w:t>13934)</w:t>
            </w:r>
            <w:r>
              <w:rPr>
                <w:bCs/>
              </w:rPr>
              <w:t>;</w:t>
            </w:r>
            <w:r w:rsidR="004D0886">
              <w:rPr>
                <w:bCs/>
              </w:rPr>
              <w:t xml:space="preserve"> </w:t>
            </w:r>
            <w:r>
              <w:rPr>
                <w:bCs/>
              </w:rPr>
              <w:t>0</w:t>
            </w:r>
            <w:r w:rsidR="004D0886">
              <w:rPr>
                <w:bCs/>
              </w:rPr>
              <w:t>5</w:t>
            </w:r>
            <w:r>
              <w:rPr>
                <w:bCs/>
              </w:rPr>
              <w:t>-</w:t>
            </w:r>
            <w:r w:rsidR="004D0886">
              <w:rPr>
                <w:bCs/>
              </w:rPr>
              <w:t>N</w:t>
            </w:r>
            <w:r>
              <w:rPr>
                <w:bCs/>
              </w:rPr>
              <w:t>-</w:t>
            </w:r>
            <w:r w:rsidR="004D0886">
              <w:rPr>
                <w:bCs/>
              </w:rPr>
              <w:t>00453</w:t>
            </w:r>
            <w:r>
              <w:rPr>
                <w:bCs/>
              </w:rPr>
              <w:t xml:space="preserve">; </w:t>
            </w:r>
          </w:p>
          <w:p w:rsidR="00794598" w:rsidRDefault="00794598" w:rsidP="008E14DA">
            <w:pPr>
              <w:rPr>
                <w:bCs/>
              </w:rPr>
            </w:pPr>
            <w:r>
              <w:rPr>
                <w:bCs/>
              </w:rPr>
              <w:t>0</w:t>
            </w:r>
            <w:r w:rsidR="004D0886">
              <w:rPr>
                <w:bCs/>
              </w:rPr>
              <w:t>6</w:t>
            </w:r>
            <w:r>
              <w:rPr>
                <w:bCs/>
              </w:rPr>
              <w:t>-</w:t>
            </w:r>
            <w:r w:rsidR="004D0886">
              <w:rPr>
                <w:bCs/>
              </w:rPr>
              <w:t>C</w:t>
            </w:r>
            <w:r>
              <w:rPr>
                <w:bCs/>
              </w:rPr>
              <w:t>-</w:t>
            </w:r>
            <w:r w:rsidR="004D0886">
              <w:rPr>
                <w:bCs/>
              </w:rPr>
              <w:t>10047</w:t>
            </w:r>
            <w:r>
              <w:rPr>
                <w:bCs/>
              </w:rPr>
              <w:t>;</w:t>
            </w:r>
            <w:r w:rsidR="004D0886">
              <w:rPr>
                <w:bCs/>
              </w:rPr>
              <w:t xml:space="preserve"> </w:t>
            </w:r>
            <w:r>
              <w:rPr>
                <w:bCs/>
              </w:rPr>
              <w:t>0</w:t>
            </w:r>
            <w:r w:rsidR="004D0886">
              <w:rPr>
                <w:bCs/>
              </w:rPr>
              <w:t>8</w:t>
            </w:r>
            <w:r>
              <w:rPr>
                <w:bCs/>
              </w:rPr>
              <w:t>-O-</w:t>
            </w:r>
            <w:r w:rsidR="004D0886">
              <w:rPr>
                <w:bCs/>
              </w:rPr>
              <w:t xml:space="preserve">12962 </w:t>
            </w:r>
          </w:p>
          <w:p w:rsidR="003D3B12" w:rsidRDefault="00794598" w:rsidP="008E14DA">
            <w:pPr>
              <w:rPr>
                <w:b/>
                <w:bCs/>
              </w:rPr>
            </w:pPr>
            <w:r>
              <w:rPr>
                <w:bCs/>
              </w:rPr>
              <w:t>(Cons.)</w:t>
            </w:r>
          </w:p>
        </w:tc>
      </w:tr>
      <w:tr w:rsidR="003D3B12" w:rsidTr="002D1770">
        <w:trPr>
          <w:cantSplit/>
          <w:trHeight w:val="1053"/>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794598" w:rsidRDefault="00794598" w:rsidP="008E14DA">
            <w:pPr>
              <w:rPr>
                <w:b/>
                <w:bCs/>
              </w:rPr>
            </w:pPr>
            <w:bookmarkStart w:id="5" w:name="title"/>
            <w:bookmarkEnd w:id="5"/>
          </w:p>
          <w:p w:rsidR="003D3B12" w:rsidRDefault="008E14DA" w:rsidP="002D1770">
            <w:pPr>
              <w:rPr>
                <w:b/>
                <w:bCs/>
              </w:rPr>
            </w:pPr>
            <w:r>
              <w:rPr>
                <w:b/>
                <w:bCs/>
              </w:rPr>
              <w:t>DECISION AND ORDER SEALING CERTAIN DOCUMENTS</w:t>
            </w:r>
            <w:r w:rsidR="00F51B48">
              <w:rPr>
                <w:b/>
                <w:bCs/>
              </w:rPr>
              <w:t xml:space="preserve"> </w:t>
            </w:r>
          </w:p>
        </w:tc>
      </w:tr>
    </w:tbl>
    <w:p w:rsidR="003D3B12" w:rsidRDefault="003D3B12">
      <w:pPr>
        <w:spacing w:line="480" w:lineRule="auto"/>
      </w:pPr>
    </w:p>
    <w:p w:rsidR="00E334B7" w:rsidRDefault="00E334B7" w:rsidP="001C7218">
      <w:pPr>
        <w:spacing w:line="480" w:lineRule="auto"/>
        <w:jc w:val="center"/>
        <w:rPr>
          <w:b/>
        </w:rPr>
      </w:pPr>
      <w:r>
        <w:rPr>
          <w:b/>
        </w:rPr>
        <w:t>INTRODUCTION</w:t>
      </w:r>
    </w:p>
    <w:p w:rsidR="00E334B7" w:rsidRPr="00E334B7" w:rsidRDefault="00E334B7" w:rsidP="00E334B7">
      <w:pPr>
        <w:spacing w:line="480" w:lineRule="auto"/>
        <w:ind w:firstLine="720"/>
      </w:pPr>
      <w:r>
        <w:t xml:space="preserve">In this </w:t>
      </w:r>
      <w:r w:rsidR="00794598">
        <w:t xml:space="preserve">consolidated </w:t>
      </w:r>
      <w:r>
        <w:t xml:space="preserve">disciplinary proceeding, </w:t>
      </w:r>
      <w:r w:rsidR="00794598">
        <w:t>r</w:t>
      </w:r>
      <w:r>
        <w:t xml:space="preserve">espondent </w:t>
      </w:r>
      <w:r w:rsidR="008E089F">
        <w:t>Jerald Scott Bennett</w:t>
      </w:r>
      <w:r>
        <w:t xml:space="preserve"> (</w:t>
      </w:r>
      <w:r w:rsidR="008E089F">
        <w:t>“</w:t>
      </w:r>
      <w:r w:rsidR="00794598">
        <w:t>r</w:t>
      </w:r>
      <w:r>
        <w:t>espondent</w:t>
      </w:r>
      <w:r w:rsidR="008E089F">
        <w:t>”</w:t>
      </w:r>
      <w:r>
        <w:t>) was accepted for participation in the State Bar Court’s Alternative Discipline Program (</w:t>
      </w:r>
      <w:r w:rsidR="008E089F">
        <w:t>“</w:t>
      </w:r>
      <w:r>
        <w:t>ADP</w:t>
      </w:r>
      <w:r w:rsidR="008E089F">
        <w:t>”</w:t>
      </w:r>
      <w:r>
        <w:t>).</w:t>
      </w:r>
      <w:r w:rsidR="00C92919">
        <w:rPr>
          <w:rStyle w:val="FootnoteReference"/>
        </w:rPr>
        <w:footnoteReference w:id="1"/>
      </w:r>
      <w:r>
        <w:t xml:space="preserve">  </w:t>
      </w:r>
      <w:r w:rsidR="008E089F">
        <w:t>As the court has now found that respondent has successfully completed the ADP</w:t>
      </w:r>
      <w:r w:rsidR="00794598">
        <w:t xml:space="preserve">, the court will recommend to the Supreme Court that respondent be </w:t>
      </w:r>
      <w:r w:rsidR="00FD06B1">
        <w:t xml:space="preserve">suspended from the practice of law in California for </w:t>
      </w:r>
      <w:r w:rsidR="00235C0E">
        <w:t>f</w:t>
      </w:r>
      <w:r w:rsidR="008E089F">
        <w:t>our</w:t>
      </w:r>
      <w:r w:rsidR="00FD06B1">
        <w:t xml:space="preserve"> year</w:t>
      </w:r>
      <w:r w:rsidR="00235C0E">
        <w:t>s</w:t>
      </w:r>
      <w:r w:rsidR="00FD06B1">
        <w:t>, th</w:t>
      </w:r>
      <w:r w:rsidR="00175260">
        <w:t>at</w:t>
      </w:r>
      <w:r w:rsidR="00FD06B1">
        <w:t xml:space="preserve"> execution of that period of suspension be stayed, and that he be placed on probation for </w:t>
      </w:r>
      <w:r w:rsidR="008E089F">
        <w:t>four</w:t>
      </w:r>
      <w:r w:rsidR="00235C0E">
        <w:t xml:space="preserve"> </w:t>
      </w:r>
      <w:r w:rsidR="00FD06B1">
        <w:t>years subject to certain conditions</w:t>
      </w:r>
      <w:r w:rsidR="00235C0E">
        <w:t xml:space="preserve">, including </w:t>
      </w:r>
      <w:r w:rsidR="008E089F">
        <w:t>a two-year</w:t>
      </w:r>
      <w:r w:rsidR="00235C0E">
        <w:t xml:space="preserve"> period of suspension</w:t>
      </w:r>
      <w:r w:rsidR="00FD06B1">
        <w:t xml:space="preserve">.  </w:t>
      </w:r>
    </w:p>
    <w:p w:rsidR="000001C8" w:rsidRDefault="000001C8" w:rsidP="00332D3C">
      <w:pPr>
        <w:jc w:val="center"/>
        <w:rPr>
          <w:b/>
        </w:rPr>
      </w:pPr>
    </w:p>
    <w:p w:rsidR="0042184E" w:rsidRDefault="0042184E" w:rsidP="00332D3C">
      <w:pPr>
        <w:jc w:val="center"/>
        <w:rPr>
          <w:b/>
        </w:rPr>
      </w:pPr>
    </w:p>
    <w:p w:rsidR="0042184E" w:rsidRDefault="0042184E" w:rsidP="00332D3C">
      <w:pPr>
        <w:jc w:val="center"/>
        <w:rPr>
          <w:b/>
        </w:rPr>
      </w:pPr>
    </w:p>
    <w:p w:rsidR="0042184E" w:rsidRDefault="0042184E" w:rsidP="00332D3C">
      <w:pPr>
        <w:jc w:val="center"/>
        <w:rPr>
          <w:b/>
        </w:rPr>
      </w:pPr>
    </w:p>
    <w:p w:rsidR="00332D3C" w:rsidRPr="008E14DA" w:rsidRDefault="00332D3C" w:rsidP="00332D3C">
      <w:pPr>
        <w:jc w:val="center"/>
        <w:rPr>
          <w:b/>
        </w:rPr>
      </w:pPr>
      <w:r w:rsidRPr="008E14DA">
        <w:rPr>
          <w:b/>
        </w:rPr>
        <w:lastRenderedPageBreak/>
        <w:t>PERTINENT PROCEDURAL HISTORY</w:t>
      </w:r>
    </w:p>
    <w:p w:rsidR="00332D3C" w:rsidRDefault="00332D3C" w:rsidP="00332D3C">
      <w:pPr>
        <w:jc w:val="center"/>
        <w:rPr>
          <w:b/>
          <w:u w:val="single"/>
        </w:rPr>
      </w:pPr>
    </w:p>
    <w:p w:rsidR="00E640EB" w:rsidRDefault="00E640EB" w:rsidP="00185C8B">
      <w:pPr>
        <w:spacing w:line="480" w:lineRule="auto"/>
        <w:ind w:firstLine="720"/>
      </w:pPr>
      <w:r>
        <w:t>On November 9, 2004, the State Bar of California’s Office of the Chief Trial Counsel (“Office of the Chief Trial Counsel”) filed</w:t>
      </w:r>
      <w:r w:rsidR="00185C8B">
        <w:t xml:space="preserve"> a Notice of Disciplinary Charges (</w:t>
      </w:r>
      <w:r w:rsidR="00184386">
        <w:t>“</w:t>
      </w:r>
      <w:proofErr w:type="spellStart"/>
      <w:r w:rsidR="00185C8B">
        <w:t>NDC</w:t>
      </w:r>
      <w:proofErr w:type="spellEnd"/>
      <w:r w:rsidR="00184386">
        <w:t>”</w:t>
      </w:r>
      <w:r w:rsidR="00185C8B">
        <w:t xml:space="preserve">) against </w:t>
      </w:r>
      <w:r w:rsidR="00184386">
        <w:t>r</w:t>
      </w:r>
      <w:r w:rsidR="00185C8B">
        <w:t xml:space="preserve">espondent </w:t>
      </w:r>
      <w:r>
        <w:t xml:space="preserve">in </w:t>
      </w:r>
      <w:r w:rsidR="000562A8">
        <w:t>c</w:t>
      </w:r>
      <w:r>
        <w:t xml:space="preserve">ase </w:t>
      </w:r>
      <w:r w:rsidR="000562A8">
        <w:t>n</w:t>
      </w:r>
      <w:r>
        <w:t>os. 04-O-11788 (04-O-11949; 04-O-13836; 04-O-13934).  R</w:t>
      </w:r>
      <w:r w:rsidR="00185C8B">
        <w:t xml:space="preserve">espondent </w:t>
      </w:r>
      <w:r w:rsidR="005D1656">
        <w:t>sought to participate</w:t>
      </w:r>
      <w:r w:rsidR="00185C8B">
        <w:t xml:space="preserve"> in the State Bar Court’s ADP.  </w:t>
      </w:r>
    </w:p>
    <w:p w:rsidR="004B4EA2" w:rsidRDefault="004B4EA2" w:rsidP="00185C8B">
      <w:pPr>
        <w:spacing w:line="480" w:lineRule="auto"/>
        <w:ind w:firstLine="720"/>
      </w:pPr>
      <w:r>
        <w:t>On February 28, 2005</w:t>
      </w:r>
      <w:r w:rsidR="00185C8B">
        <w:t xml:space="preserve">, this matter was referred to the ADP.  </w:t>
      </w:r>
      <w:r w:rsidR="0078380F">
        <w:t>On March 4, 2005</w:t>
      </w:r>
      <w:r w:rsidR="00185C8B">
        <w:t xml:space="preserve">, </w:t>
      </w:r>
      <w:r>
        <w:t>r</w:t>
      </w:r>
      <w:r w:rsidR="00185C8B">
        <w:t>espondent contacted the State Bar’s Lawyer Assistance Program (</w:t>
      </w:r>
      <w:r>
        <w:t>“</w:t>
      </w:r>
      <w:r w:rsidR="00185C8B">
        <w:t>LAP</w:t>
      </w:r>
      <w:r>
        <w:t>”</w:t>
      </w:r>
      <w:r w:rsidR="00185C8B">
        <w:t>) to assist him with his mental health issue</w:t>
      </w:r>
      <w:r>
        <w:t xml:space="preserve">.  </w:t>
      </w:r>
    </w:p>
    <w:p w:rsidR="004B4EA2" w:rsidRDefault="004B4EA2" w:rsidP="00185C8B">
      <w:pPr>
        <w:spacing w:line="480" w:lineRule="auto"/>
        <w:ind w:firstLine="720"/>
      </w:pPr>
      <w:r>
        <w:t>On April 13, 2005,</w:t>
      </w:r>
      <w:r w:rsidR="00E640EB">
        <w:t xml:space="preserve"> </w:t>
      </w:r>
      <w:r>
        <w:t xml:space="preserve">the Office of the Chief Trial Counsel filed a second </w:t>
      </w:r>
      <w:proofErr w:type="spellStart"/>
      <w:r>
        <w:t>NDC</w:t>
      </w:r>
      <w:proofErr w:type="spellEnd"/>
      <w:r>
        <w:t xml:space="preserve"> against respondent</w:t>
      </w:r>
      <w:r w:rsidR="00A04090">
        <w:t>,</w:t>
      </w:r>
      <w:r w:rsidR="00A5595F">
        <w:t xml:space="preserve"> in </w:t>
      </w:r>
      <w:r w:rsidR="000562A8">
        <w:t>case no</w:t>
      </w:r>
      <w:r>
        <w:t xml:space="preserve">. </w:t>
      </w:r>
      <w:r w:rsidR="008A07C5">
        <w:t>05-N-00453</w:t>
      </w:r>
      <w:r w:rsidR="00AF5C81">
        <w:t xml:space="preserve">.  </w:t>
      </w:r>
      <w:r w:rsidR="00072239">
        <w:t xml:space="preserve">On June 8, 2005, this matter was also referred to the ADP.  </w:t>
      </w:r>
    </w:p>
    <w:p w:rsidR="00185C8B" w:rsidRDefault="00CF0364" w:rsidP="00185C8B">
      <w:pPr>
        <w:spacing w:line="480" w:lineRule="auto"/>
        <w:ind w:firstLine="720"/>
      </w:pPr>
      <w:r>
        <w:t xml:space="preserve">On June 20, 2005, respondent submitted a declaration to the court, which established a nexus between respondent’s mental health issue and the charges in this matter.  </w:t>
      </w:r>
      <w:r w:rsidR="00E35A40">
        <w:t xml:space="preserve">On </w:t>
      </w:r>
      <w:r>
        <w:t>September 2, 2005</w:t>
      </w:r>
      <w:r w:rsidR="00E35A40">
        <w:t xml:space="preserve">, respondent </w:t>
      </w:r>
      <w:r w:rsidR="00185C8B">
        <w:t xml:space="preserve">signed a LAP Participation Plan.  </w:t>
      </w:r>
    </w:p>
    <w:p w:rsidR="00185C8B" w:rsidRDefault="00185C8B" w:rsidP="00185C8B">
      <w:pPr>
        <w:spacing w:line="480" w:lineRule="auto"/>
        <w:ind w:firstLine="720"/>
      </w:pPr>
      <w:r>
        <w:t>The parties entered into a Stipulation Re Facts and Conclusions of Law (</w:t>
      </w:r>
      <w:r w:rsidR="00754F47">
        <w:t>“</w:t>
      </w:r>
      <w:r>
        <w:t>Stipulation</w:t>
      </w:r>
      <w:r w:rsidR="00754F47">
        <w:t>”</w:t>
      </w:r>
      <w:r>
        <w:t xml:space="preserve">) in </w:t>
      </w:r>
      <w:r w:rsidR="008A65A5">
        <w:t>September 2005</w:t>
      </w:r>
      <w:r>
        <w:t>.  The Stipulation set forth the factual findings, legal conclusions and mitigating and aggravating circumstances in</w:t>
      </w:r>
      <w:r w:rsidR="008A65A5">
        <w:t xml:space="preserve">volved in </w:t>
      </w:r>
      <w:r w:rsidR="000562A8">
        <w:t>case no</w:t>
      </w:r>
      <w:r w:rsidR="008A65A5">
        <w:t>s. 04-O-11788 (04-O-11949; 04-O-13836; 04-O-13934) and 05-N-00453</w:t>
      </w:r>
      <w:r>
        <w:t xml:space="preserve">. </w:t>
      </w:r>
    </w:p>
    <w:p w:rsidR="00185C8B" w:rsidRDefault="00185C8B" w:rsidP="00185C8B">
      <w:pPr>
        <w:spacing w:line="480" w:lineRule="auto"/>
        <w:ind w:firstLine="720"/>
      </w:pPr>
      <w:r>
        <w:t xml:space="preserve">Following briefing by the parties, the court issued a Confidential Statement of Alternative Dispositions and Orders dated </w:t>
      </w:r>
      <w:r w:rsidR="007E4240">
        <w:t>December 9, 2005</w:t>
      </w:r>
      <w:r>
        <w:t xml:space="preserve">, formally advising the parties of (1) the discipline which would be recommended to the Supreme Court if </w:t>
      </w:r>
      <w:r w:rsidR="007E4240">
        <w:t>r</w:t>
      </w:r>
      <w:r>
        <w:t xml:space="preserve">espondent successfully completed the ADP and (2) the discipline which would be recommended if </w:t>
      </w:r>
      <w:r w:rsidR="007E4240">
        <w:t>r</w:t>
      </w:r>
      <w:r>
        <w:t xml:space="preserve">espondent failed to successfully complete, or was terminated from, the ADP.  After agreeing to those alternative dispositions, </w:t>
      </w:r>
      <w:r w:rsidR="007E4240">
        <w:t>r</w:t>
      </w:r>
      <w:r>
        <w:t xml:space="preserve">espondent and his counsel executed the Contract and Waiver for Participation in </w:t>
      </w:r>
      <w:r>
        <w:lastRenderedPageBreak/>
        <w:t xml:space="preserve">the State Bar Court’s ADP; the court accepted respondent for participation in the ADP; and </w:t>
      </w:r>
      <w:r w:rsidR="007E4240">
        <w:t>r</w:t>
      </w:r>
      <w:r>
        <w:t xml:space="preserve">espondent’s period of participation in the ADP began on </w:t>
      </w:r>
      <w:r w:rsidR="007E4240">
        <w:t>December 28, 2005</w:t>
      </w:r>
      <w:r>
        <w:t>.</w:t>
      </w:r>
    </w:p>
    <w:p w:rsidR="0054324E" w:rsidRDefault="002E3BC0" w:rsidP="00185C8B">
      <w:pPr>
        <w:spacing w:line="480" w:lineRule="auto"/>
        <w:ind w:firstLine="720"/>
      </w:pPr>
      <w:r>
        <w:t>Approximately 17 months later</w:t>
      </w:r>
      <w:r w:rsidR="00233AD7">
        <w:t xml:space="preserve">, the Review Department </w:t>
      </w:r>
      <w:r w:rsidR="00000FA1">
        <w:t xml:space="preserve">of the State Bar Court (“Review Department”) </w:t>
      </w:r>
      <w:r w:rsidR="00A807FE">
        <w:t xml:space="preserve">received notification </w:t>
      </w:r>
      <w:r>
        <w:t xml:space="preserve">- </w:t>
      </w:r>
      <w:r w:rsidR="00B66A9C">
        <w:t xml:space="preserve">in case no. 06-C-10047 </w:t>
      </w:r>
      <w:r>
        <w:t xml:space="preserve">- </w:t>
      </w:r>
      <w:r w:rsidR="00A807FE">
        <w:t>that respondent pled guilty to</w:t>
      </w:r>
      <w:r w:rsidR="00B66A9C">
        <w:t xml:space="preserve"> criminal charges</w:t>
      </w:r>
      <w:r w:rsidR="00233AD7">
        <w:t xml:space="preserve"> involving moral turpitude.  </w:t>
      </w:r>
      <w:r w:rsidR="00000FA1">
        <w:t>On August 9, 2007,</w:t>
      </w:r>
      <w:r w:rsidR="00FD3C62">
        <w:t xml:space="preserve"> the Review Department, issued an order referring </w:t>
      </w:r>
      <w:r>
        <w:t xml:space="preserve">case no. 06-C-10047 </w:t>
      </w:r>
      <w:r w:rsidR="00FD3C62">
        <w:t>to the Hearing Department for a hearing</w:t>
      </w:r>
      <w:r w:rsidR="00000FA1">
        <w:t>,</w:t>
      </w:r>
      <w:r w:rsidR="00FD3C62">
        <w:t xml:space="preserve"> decision</w:t>
      </w:r>
      <w:r w:rsidR="00000FA1">
        <w:t>, and discipline recommendation</w:t>
      </w:r>
      <w:r w:rsidR="00403152">
        <w:t xml:space="preserve">.  </w:t>
      </w:r>
    </w:p>
    <w:p w:rsidR="000562A8" w:rsidRDefault="006B3968" w:rsidP="000562A8">
      <w:pPr>
        <w:spacing w:line="480" w:lineRule="auto"/>
        <w:ind w:firstLine="720"/>
      </w:pPr>
      <w:r>
        <w:t>In February 2008, t</w:t>
      </w:r>
      <w:r w:rsidRPr="00CA1FC5">
        <w:t xml:space="preserve">he parties entered into an addendum to the Stipulation.  </w:t>
      </w:r>
      <w:r>
        <w:t xml:space="preserve">In this addendum, the parties incorporated case no. 06-C-10047.  </w:t>
      </w:r>
      <w:r w:rsidR="000562A8" w:rsidRPr="001954E3">
        <w:t xml:space="preserve">On </w:t>
      </w:r>
      <w:r w:rsidR="001954E3" w:rsidRPr="001954E3">
        <w:t>April 16, 2008</w:t>
      </w:r>
      <w:r w:rsidR="000562A8" w:rsidRPr="001954E3">
        <w:t xml:space="preserve">, respondent submitted </w:t>
      </w:r>
      <w:r w:rsidR="001954E3" w:rsidRPr="001954E3">
        <w:t xml:space="preserve">a </w:t>
      </w:r>
      <w:r w:rsidR="00E66C44">
        <w:t>s</w:t>
      </w:r>
      <w:r w:rsidR="001954E3" w:rsidRPr="001954E3">
        <w:t xml:space="preserve">upplemental </w:t>
      </w:r>
      <w:r w:rsidR="00E66C44">
        <w:t>n</w:t>
      </w:r>
      <w:r w:rsidR="001954E3" w:rsidRPr="001954E3">
        <w:t xml:space="preserve">exus </w:t>
      </w:r>
      <w:r w:rsidR="00E66C44">
        <w:t>d</w:t>
      </w:r>
      <w:r w:rsidR="001954E3" w:rsidRPr="001954E3">
        <w:t>eclaration</w:t>
      </w:r>
      <w:r w:rsidR="000562A8" w:rsidRPr="001954E3">
        <w:t xml:space="preserve"> to the court, which established a nexus between respondent’s mental health issue and the charges in </w:t>
      </w:r>
      <w:r w:rsidR="00616E31">
        <w:t>all the then-pending</w:t>
      </w:r>
      <w:r w:rsidR="000562A8" w:rsidRPr="001954E3">
        <w:t xml:space="preserve"> matter</w:t>
      </w:r>
      <w:r w:rsidR="00616E31">
        <w:t>s</w:t>
      </w:r>
      <w:r w:rsidR="000562A8" w:rsidRPr="001954E3">
        <w:t xml:space="preserve">.  </w:t>
      </w:r>
    </w:p>
    <w:p w:rsidR="002C4FED" w:rsidRDefault="002C4FED" w:rsidP="002C4FED">
      <w:pPr>
        <w:spacing w:line="480" w:lineRule="auto"/>
        <w:ind w:firstLine="720"/>
      </w:pPr>
      <w:r>
        <w:t xml:space="preserve">On May </w:t>
      </w:r>
      <w:r w:rsidR="004D0142">
        <w:t>9</w:t>
      </w:r>
      <w:r>
        <w:t>, 2008, the court issued an order enrolling respondent as an inactive member of the State Bar pursuant to Business and Professions Code section 6233.</w:t>
      </w:r>
      <w:r>
        <w:rPr>
          <w:rStyle w:val="FootnoteReference"/>
        </w:rPr>
        <w:footnoteReference w:id="2"/>
      </w:r>
      <w:r>
        <w:t xml:space="preserve">  This order was effective May 8, 2008.</w:t>
      </w:r>
    </w:p>
    <w:p w:rsidR="004F2E8C" w:rsidRDefault="000562A8" w:rsidP="002C4FED">
      <w:pPr>
        <w:spacing w:line="480" w:lineRule="auto"/>
        <w:ind w:firstLine="720"/>
      </w:pPr>
      <w:r w:rsidRPr="000562A8">
        <w:t>Following supplemental briefing by the parties, the court issued an Amended Confidential Statement of Alternative Dispositions and Orders dated June 12, 2008</w:t>
      </w:r>
      <w:r>
        <w:t>.  That same day</w:t>
      </w:r>
      <w:r w:rsidR="00A41F81">
        <w:t xml:space="preserve">, the court issued an order consolidating case no. 06-C-10047 with case nos. </w:t>
      </w:r>
      <w:r>
        <w:t xml:space="preserve">04-O-11788 (04-O-11949; 04-O-13836; 04-O-13934) and 05-N-00453.  </w:t>
      </w:r>
    </w:p>
    <w:p w:rsidR="00A41F81" w:rsidRDefault="00A06BBB" w:rsidP="002C4FED">
      <w:pPr>
        <w:spacing w:line="480" w:lineRule="auto"/>
        <w:ind w:firstLine="720"/>
      </w:pPr>
      <w:r w:rsidRPr="00A06BBB">
        <w:t>After agreeing to the alternative dispositions, respondent and his counsel executed an Agreement and Order Amending Contract and Waiver for Participation in the State Bar Court’s ADP.</w:t>
      </w:r>
      <w:r w:rsidR="004F2E8C">
        <w:t xml:space="preserve">  On June 30, 2008, th</w:t>
      </w:r>
      <w:r w:rsidR="00F25703">
        <w:t>e court lodged:  (1) the Amended Confidential Statement of Alternative Dispositions and Order; (2) t</w:t>
      </w:r>
      <w:r w:rsidR="000563AD">
        <w:t xml:space="preserve">he addendum to the Stipulation </w:t>
      </w:r>
      <w:r w:rsidR="00F25703">
        <w:t xml:space="preserve">and </w:t>
      </w:r>
      <w:r w:rsidR="005C0340">
        <w:t xml:space="preserve">its accompanying </w:t>
      </w:r>
      <w:r w:rsidR="000563AD">
        <w:lastRenderedPageBreak/>
        <w:t>order</w:t>
      </w:r>
      <w:r w:rsidR="00F25703">
        <w:t>;</w:t>
      </w:r>
      <w:r w:rsidR="00F25703" w:rsidRPr="00A06BBB">
        <w:t xml:space="preserve"> and </w:t>
      </w:r>
      <w:r w:rsidR="00F25703">
        <w:t xml:space="preserve">(3) </w:t>
      </w:r>
      <w:r w:rsidR="00A2267D">
        <w:t>the</w:t>
      </w:r>
      <w:r w:rsidR="00B82ADE">
        <w:t xml:space="preserve"> Agreement and</w:t>
      </w:r>
      <w:r w:rsidR="00A2267D">
        <w:t xml:space="preserve"> </w:t>
      </w:r>
      <w:r w:rsidR="00F25703" w:rsidRPr="00A06BBB">
        <w:t>Order Amending Contract and Waiver for Participation in the State Bar Court’s ADP</w:t>
      </w:r>
      <w:r w:rsidR="00F25703">
        <w:t>.</w:t>
      </w:r>
    </w:p>
    <w:p w:rsidR="0016080F" w:rsidRDefault="003F0AC9" w:rsidP="0016080F">
      <w:pPr>
        <w:spacing w:line="480" w:lineRule="auto"/>
        <w:ind w:firstLine="720"/>
      </w:pPr>
      <w:r>
        <w:t>Approximately three months later, o</w:t>
      </w:r>
      <w:r w:rsidR="0016080F">
        <w:t xml:space="preserve">n October 7, 2008, the Office of the Chief Trial Counsel filed a third </w:t>
      </w:r>
      <w:proofErr w:type="spellStart"/>
      <w:r w:rsidR="0016080F">
        <w:t>NDC</w:t>
      </w:r>
      <w:proofErr w:type="spellEnd"/>
      <w:r w:rsidR="0016080F">
        <w:t xml:space="preserve"> against respondent</w:t>
      </w:r>
      <w:r w:rsidR="006832E6">
        <w:t>,</w:t>
      </w:r>
      <w:r w:rsidR="0016080F">
        <w:t xml:space="preserve"> in case no. 08-O-12962.  </w:t>
      </w:r>
      <w:r w:rsidR="006832E6">
        <w:t>T</w:t>
      </w:r>
      <w:r w:rsidR="0016080F">
        <w:t xml:space="preserve">his matter was </w:t>
      </w:r>
      <w:r w:rsidR="006832E6">
        <w:t xml:space="preserve">subsequently </w:t>
      </w:r>
      <w:r w:rsidR="0016080F">
        <w:t xml:space="preserve">referred to the ADP.  </w:t>
      </w:r>
    </w:p>
    <w:p w:rsidR="0016080F" w:rsidRPr="00E66C44" w:rsidRDefault="0016080F" w:rsidP="0016080F">
      <w:pPr>
        <w:spacing w:line="480" w:lineRule="auto"/>
        <w:ind w:firstLine="720"/>
      </w:pPr>
      <w:r w:rsidRPr="00E66C44">
        <w:t xml:space="preserve">In </w:t>
      </w:r>
      <w:r w:rsidR="00E66C44" w:rsidRPr="00E66C44">
        <w:t>September 2009</w:t>
      </w:r>
      <w:r w:rsidRPr="00E66C44">
        <w:t>, t</w:t>
      </w:r>
      <w:r w:rsidR="00E66C44" w:rsidRPr="00E66C44">
        <w:t>he parties entered into a second</w:t>
      </w:r>
      <w:r w:rsidRPr="00E66C44">
        <w:t xml:space="preserve"> addendum to the Stipulation.  In this addendum, the parties incorporated case no. </w:t>
      </w:r>
      <w:r w:rsidR="00E66C44" w:rsidRPr="00E66C44">
        <w:t>08-O-12962</w:t>
      </w:r>
      <w:r w:rsidRPr="00E66C44">
        <w:t xml:space="preserve">.  On </w:t>
      </w:r>
      <w:r w:rsidR="00E66C44" w:rsidRPr="00E66C44">
        <w:t>October 30, 2009</w:t>
      </w:r>
      <w:r w:rsidRPr="00E66C44">
        <w:t xml:space="preserve">, respondent submitted </w:t>
      </w:r>
      <w:r w:rsidR="0034236B">
        <w:t>a second</w:t>
      </w:r>
      <w:r w:rsidR="00E66C44" w:rsidRPr="00E66C44">
        <w:t xml:space="preserve"> s</w:t>
      </w:r>
      <w:r w:rsidRPr="00E66C44">
        <w:t xml:space="preserve">upplemental </w:t>
      </w:r>
      <w:r w:rsidR="00E66C44" w:rsidRPr="00E66C44">
        <w:t>n</w:t>
      </w:r>
      <w:r w:rsidRPr="00E66C44">
        <w:t xml:space="preserve">exus </w:t>
      </w:r>
      <w:r w:rsidR="00E66C44" w:rsidRPr="00E66C44">
        <w:t>d</w:t>
      </w:r>
      <w:r w:rsidRPr="00E66C44">
        <w:t xml:space="preserve">eclaration to the court, which established a nexus between respondent’s mental health issue and the charges in this matter.  </w:t>
      </w:r>
    </w:p>
    <w:p w:rsidR="0016080F" w:rsidRDefault="0016080F" w:rsidP="0016080F">
      <w:pPr>
        <w:spacing w:line="480" w:lineRule="auto"/>
        <w:ind w:firstLine="720"/>
      </w:pPr>
      <w:r w:rsidRPr="00144F69">
        <w:t xml:space="preserve">Following supplemental briefing by the parties, the court issued an </w:t>
      </w:r>
      <w:r w:rsidR="00144F69" w:rsidRPr="00144F69">
        <w:t xml:space="preserve">Order Amending </w:t>
      </w:r>
      <w:r w:rsidRPr="00144F69">
        <w:t xml:space="preserve">Amended Confidential Statement of Alternative Dispositions and Orders dated </w:t>
      </w:r>
      <w:r w:rsidR="00144F69" w:rsidRPr="00144F69">
        <w:t>January 5, 2010</w:t>
      </w:r>
      <w:r w:rsidRPr="00144F69">
        <w:t>.  That same day, the court issued an order consolidating case no.</w:t>
      </w:r>
      <w:r w:rsidR="00144F69" w:rsidRPr="00144F69">
        <w:t xml:space="preserve"> 08-O-12962</w:t>
      </w:r>
      <w:r w:rsidRPr="00144F69">
        <w:t xml:space="preserve"> with case nos. 04-O-11788 (04-O-119</w:t>
      </w:r>
      <w:r w:rsidR="00144F69" w:rsidRPr="00144F69">
        <w:t xml:space="preserve">49; 04-O-13836; 04-O-13934) </w:t>
      </w:r>
      <w:r w:rsidRPr="00144F69">
        <w:t>05-N-00453</w:t>
      </w:r>
      <w:r w:rsidR="00144F69">
        <w:t>;</w:t>
      </w:r>
      <w:r w:rsidR="00144F69" w:rsidRPr="00144F69">
        <w:t xml:space="preserve"> 06-C-10047 (Cons.)</w:t>
      </w:r>
      <w:r w:rsidRPr="00144F69">
        <w:t>.</w:t>
      </w:r>
      <w:r>
        <w:t xml:space="preserve">  </w:t>
      </w:r>
    </w:p>
    <w:p w:rsidR="002C4FED" w:rsidRDefault="002C4FED" w:rsidP="002C4FED">
      <w:pPr>
        <w:spacing w:line="480" w:lineRule="auto"/>
        <w:ind w:firstLine="720"/>
      </w:pPr>
      <w:r w:rsidRPr="00F25703">
        <w:t>After agreeing to th</w:t>
      </w:r>
      <w:r w:rsidR="00144F69" w:rsidRPr="00F25703">
        <w:t>e</w:t>
      </w:r>
      <w:r w:rsidRPr="00F25703">
        <w:t xml:space="preserve"> alternative dispositions, respondent executed </w:t>
      </w:r>
      <w:r w:rsidR="00F25703" w:rsidRPr="00F25703">
        <w:t>a Further</w:t>
      </w:r>
      <w:r w:rsidR="000562A8" w:rsidRPr="00F25703">
        <w:t xml:space="preserve"> Agreement and Order </w:t>
      </w:r>
      <w:r w:rsidR="00F25703" w:rsidRPr="00F25703">
        <w:t xml:space="preserve">Further </w:t>
      </w:r>
      <w:r w:rsidR="000562A8" w:rsidRPr="00F25703">
        <w:t xml:space="preserve">Amending </w:t>
      </w:r>
      <w:r w:rsidRPr="00F25703">
        <w:t>Contract and Waiver for Participation in the State Bar Court’s ADP.</w:t>
      </w:r>
      <w:r w:rsidR="000562A8">
        <w:t xml:space="preserve">  </w:t>
      </w:r>
      <w:r w:rsidR="00F25703">
        <w:t xml:space="preserve">On January 12, 2010, the court lodged:  (1) the Order Amending Amended Confidential Statement of Alternative Dispositions and Orders; (2) the </w:t>
      </w:r>
      <w:r w:rsidR="00F25703" w:rsidRPr="00E66C44">
        <w:t>second addendum to the Stipulation</w:t>
      </w:r>
      <w:r w:rsidR="003C3B80" w:rsidRPr="003C3B80">
        <w:t xml:space="preserve"> </w:t>
      </w:r>
      <w:r w:rsidR="003C3B80">
        <w:t>and its accompanying order</w:t>
      </w:r>
      <w:r w:rsidR="00F25703">
        <w:t>; and (3)</w:t>
      </w:r>
      <w:r w:rsidR="00A2267D">
        <w:t xml:space="preserve"> the</w:t>
      </w:r>
      <w:r w:rsidR="00F25703">
        <w:t xml:space="preserve"> </w:t>
      </w:r>
      <w:r w:rsidR="00A2267D" w:rsidRPr="00F25703">
        <w:t>Further Agreement and Order Further Amending Contract and Waiver for Participation in the State Bar Court’s ADP</w:t>
      </w:r>
      <w:r w:rsidR="00F25703">
        <w:t>.</w:t>
      </w:r>
    </w:p>
    <w:p w:rsidR="00185C8B" w:rsidRPr="0016497C" w:rsidRDefault="00185C8B" w:rsidP="00185C8B">
      <w:pPr>
        <w:spacing w:line="480" w:lineRule="auto"/>
        <w:ind w:firstLine="720"/>
        <w:rPr>
          <w:b/>
          <w:u w:val="single"/>
        </w:rPr>
      </w:pPr>
      <w:r>
        <w:t xml:space="preserve">Respondent participated successfully in both the LAP and the State Bar Court’s ADP.  On </w:t>
      </w:r>
      <w:r w:rsidR="00B634D9">
        <w:t>May 26</w:t>
      </w:r>
      <w:r>
        <w:t xml:space="preserve">, 2010, </w:t>
      </w:r>
      <w:r w:rsidR="001902E8">
        <w:t xml:space="preserve">after receiving a Certificate of One Year of Participation in the LAP - Mental </w:t>
      </w:r>
      <w:r w:rsidR="001902E8">
        <w:lastRenderedPageBreak/>
        <w:t xml:space="preserve">Health and a satisfactory evaluation from a mental health professional, the court filed an order finding that </w:t>
      </w:r>
      <w:r w:rsidR="009C035D">
        <w:t>r</w:t>
      </w:r>
      <w:r w:rsidR="001902E8">
        <w:t>espondent has successfully completed the ADP.</w:t>
      </w:r>
      <w:r w:rsidR="00082E5D">
        <w:rPr>
          <w:rStyle w:val="FootnoteReference"/>
        </w:rPr>
        <w:footnoteReference w:id="3"/>
      </w:r>
      <w:r w:rsidR="001902E8">
        <w:t xml:space="preserve"> </w:t>
      </w:r>
    </w:p>
    <w:p w:rsidR="00332D3C" w:rsidRDefault="00EA3E75" w:rsidP="001C7218">
      <w:pPr>
        <w:spacing w:line="480" w:lineRule="auto"/>
        <w:jc w:val="center"/>
        <w:rPr>
          <w:b/>
        </w:rPr>
      </w:pPr>
      <w:r>
        <w:rPr>
          <w:b/>
        </w:rPr>
        <w:t>FINDINGS OF FACT AND CONCLUSION</w:t>
      </w:r>
      <w:r w:rsidR="001C7218">
        <w:rPr>
          <w:b/>
        </w:rPr>
        <w:t>S</w:t>
      </w:r>
      <w:r>
        <w:rPr>
          <w:b/>
        </w:rPr>
        <w:t xml:space="preserve"> OF LAW</w:t>
      </w:r>
    </w:p>
    <w:p w:rsidR="00C50469" w:rsidRDefault="006E3A4B" w:rsidP="00A54A59">
      <w:pPr>
        <w:pStyle w:val="Header"/>
        <w:tabs>
          <w:tab w:val="clear" w:pos="4320"/>
          <w:tab w:val="clear" w:pos="8640"/>
        </w:tabs>
        <w:spacing w:line="480" w:lineRule="auto"/>
        <w:ind w:firstLine="720"/>
      </w:pPr>
      <w:r w:rsidRPr="00CA5AA6">
        <w:t>The parties’ Stipulation</w:t>
      </w:r>
      <w:r w:rsidR="0045490B">
        <w:t xml:space="preserve"> and addend</w:t>
      </w:r>
      <w:r w:rsidR="00616E31">
        <w:t>a</w:t>
      </w:r>
      <w:r w:rsidRPr="00CA5AA6">
        <w:t>, including the court’s order</w:t>
      </w:r>
      <w:r w:rsidR="0045490B">
        <w:t>s</w:t>
      </w:r>
      <w:r w:rsidRPr="00CA5AA6">
        <w:t xml:space="preserve"> approving the </w:t>
      </w:r>
      <w:r w:rsidR="003E5CBB" w:rsidRPr="00CA5AA6">
        <w:t>S</w:t>
      </w:r>
      <w:r w:rsidRPr="00CA5AA6">
        <w:t>tipulation</w:t>
      </w:r>
      <w:r w:rsidR="0045490B">
        <w:t xml:space="preserve"> and addend</w:t>
      </w:r>
      <w:r w:rsidR="00616E31">
        <w:t>a</w:t>
      </w:r>
      <w:r w:rsidRPr="00CA5AA6">
        <w:t>, is attached hereto and hereby incorporated by reference, as if fully set forth herein.</w:t>
      </w:r>
      <w:r w:rsidR="00EA3E75" w:rsidRPr="00CA5AA6">
        <w:t xml:space="preserve">  </w:t>
      </w:r>
      <w:r w:rsidR="00EA3E75" w:rsidRPr="00961EF8">
        <w:t xml:space="preserve">Respondent stipulated in </w:t>
      </w:r>
      <w:r w:rsidR="00C50469" w:rsidRPr="00961EF8">
        <w:t xml:space="preserve">these </w:t>
      </w:r>
      <w:r w:rsidR="00961EF8" w:rsidRPr="00961EF8">
        <w:t>seven</w:t>
      </w:r>
      <w:r w:rsidR="00C50469" w:rsidRPr="00961EF8">
        <w:t xml:space="preserve"> disciplinary matters to the following violations:</w:t>
      </w:r>
      <w:r w:rsidR="00C50469" w:rsidRPr="0045490B">
        <w:rPr>
          <w:highlight w:val="green"/>
        </w:rPr>
        <w:t xml:space="preserve">  </w:t>
      </w:r>
    </w:p>
    <w:p w:rsidR="00470FB3" w:rsidRDefault="00470FB3" w:rsidP="00470FB3">
      <w:pPr>
        <w:pStyle w:val="Header"/>
        <w:tabs>
          <w:tab w:val="clear" w:pos="4320"/>
          <w:tab w:val="clear" w:pos="8640"/>
        </w:tabs>
        <w:spacing w:line="480" w:lineRule="auto"/>
        <w:ind w:firstLine="720"/>
      </w:pPr>
      <w:r w:rsidRPr="00CA5AA6">
        <w:t xml:space="preserve">Rule </w:t>
      </w:r>
      <w:r>
        <w:t>4-200(A)</w:t>
      </w:r>
      <w:r w:rsidRPr="00CA5AA6">
        <w:t xml:space="preserve"> of the Rules of Professional Conduct of the State Bar of California</w:t>
      </w:r>
      <w:r w:rsidRPr="00CA5AA6">
        <w:rPr>
          <w:rStyle w:val="FootnoteReference"/>
        </w:rPr>
        <w:footnoteReference w:id="4"/>
      </w:r>
      <w:r w:rsidRPr="00CA5AA6">
        <w:t xml:space="preserve"> in </w:t>
      </w:r>
      <w:r>
        <w:t>one matter</w:t>
      </w:r>
      <w:r w:rsidRPr="00CA5AA6">
        <w:t xml:space="preserve"> [</w:t>
      </w:r>
      <w:r>
        <w:t>charging and collecting an illegal fee</w:t>
      </w:r>
      <w:r w:rsidRPr="00CA5AA6">
        <w:t>];</w:t>
      </w:r>
    </w:p>
    <w:p w:rsidR="0095736E" w:rsidRPr="00CA5AA6" w:rsidRDefault="0095736E" w:rsidP="00A54A59">
      <w:pPr>
        <w:pStyle w:val="Header"/>
        <w:tabs>
          <w:tab w:val="clear" w:pos="4320"/>
          <w:tab w:val="clear" w:pos="8640"/>
        </w:tabs>
        <w:spacing w:line="480" w:lineRule="auto"/>
        <w:ind w:firstLine="720"/>
      </w:pPr>
      <w:r>
        <w:t>Section 6068, subdivision (</w:t>
      </w:r>
      <w:proofErr w:type="spellStart"/>
      <w:r>
        <w:t>i</w:t>
      </w:r>
      <w:proofErr w:type="spellEnd"/>
      <w:r>
        <w:t xml:space="preserve">) in one matter [failure to cooperate in a </w:t>
      </w:r>
      <w:r w:rsidR="00306E0D">
        <w:t>disciplinary</w:t>
      </w:r>
      <w:r>
        <w:t xml:space="preserve"> investigation];</w:t>
      </w:r>
    </w:p>
    <w:p w:rsidR="00470FB3" w:rsidRPr="00CA5AA6" w:rsidRDefault="00470FB3" w:rsidP="00470FB3">
      <w:pPr>
        <w:pStyle w:val="Header"/>
        <w:tabs>
          <w:tab w:val="clear" w:pos="4320"/>
          <w:tab w:val="clear" w:pos="8640"/>
        </w:tabs>
        <w:spacing w:line="480" w:lineRule="auto"/>
        <w:ind w:firstLine="720"/>
      </w:pPr>
      <w:r>
        <w:t>Section 6068, subdivision (k), in one matter [failure to comply with all conditions of probation</w:t>
      </w:r>
      <w:r w:rsidRPr="005537FD">
        <w:t xml:space="preserve"> </w:t>
      </w:r>
      <w:r>
        <w:t xml:space="preserve">disciplinary]; </w:t>
      </w:r>
    </w:p>
    <w:p w:rsidR="00C50469" w:rsidRDefault="0095736E" w:rsidP="005537FD">
      <w:pPr>
        <w:pStyle w:val="Header"/>
        <w:tabs>
          <w:tab w:val="clear" w:pos="4320"/>
          <w:tab w:val="clear" w:pos="8640"/>
        </w:tabs>
        <w:spacing w:line="480" w:lineRule="auto"/>
        <w:ind w:firstLine="720"/>
      </w:pPr>
      <w:r>
        <w:t>Section 6103 in one matter [</w:t>
      </w:r>
      <w:r w:rsidR="005537FD">
        <w:t>disobeying a court order];</w:t>
      </w:r>
    </w:p>
    <w:p w:rsidR="00C50469" w:rsidRPr="00CA5AA6" w:rsidRDefault="00B47C20" w:rsidP="005537FD">
      <w:pPr>
        <w:pStyle w:val="Header"/>
        <w:tabs>
          <w:tab w:val="clear" w:pos="4320"/>
          <w:tab w:val="clear" w:pos="8640"/>
        </w:tabs>
        <w:spacing w:line="480" w:lineRule="auto"/>
        <w:ind w:firstLine="720"/>
      </w:pPr>
      <w:r>
        <w:t>Section 6106</w:t>
      </w:r>
      <w:r w:rsidR="00C50469" w:rsidRPr="00CA5AA6">
        <w:t xml:space="preserve"> in </w:t>
      </w:r>
      <w:r w:rsidR="000563AD">
        <w:t>two</w:t>
      </w:r>
      <w:r w:rsidR="00C50469" w:rsidRPr="00CA5AA6">
        <w:t xml:space="preserve"> matter</w:t>
      </w:r>
      <w:r w:rsidR="000563AD">
        <w:t>s</w:t>
      </w:r>
      <w:r w:rsidR="00C50469" w:rsidRPr="00CA5AA6">
        <w:t xml:space="preserve"> [</w:t>
      </w:r>
      <w:r>
        <w:t>moral turpitude</w:t>
      </w:r>
      <w:r w:rsidR="00470FB3">
        <w:t>]; and</w:t>
      </w:r>
      <w:r w:rsidR="00C50469" w:rsidRPr="00CA5AA6">
        <w:t xml:space="preserve"> </w:t>
      </w:r>
    </w:p>
    <w:p w:rsidR="00470FB3" w:rsidRDefault="00470FB3" w:rsidP="00470FB3">
      <w:pPr>
        <w:pStyle w:val="Header"/>
        <w:tabs>
          <w:tab w:val="clear" w:pos="4320"/>
          <w:tab w:val="clear" w:pos="8640"/>
        </w:tabs>
        <w:spacing w:line="480" w:lineRule="auto"/>
        <w:ind w:firstLine="720"/>
      </w:pPr>
      <w:proofErr w:type="gramStart"/>
      <w:r>
        <w:t>Sections 6125 and 6126 in three matters [unauthorized practice of law].</w:t>
      </w:r>
      <w:proofErr w:type="gramEnd"/>
    </w:p>
    <w:p w:rsidR="001C5B3B" w:rsidRDefault="00FD06B1" w:rsidP="00AB2C20">
      <w:pPr>
        <w:pStyle w:val="Header"/>
        <w:tabs>
          <w:tab w:val="clear" w:pos="4320"/>
          <w:tab w:val="clear" w:pos="8640"/>
        </w:tabs>
        <w:spacing w:line="480" w:lineRule="auto"/>
        <w:ind w:firstLine="720"/>
      </w:pPr>
      <w:r w:rsidRPr="00CA5AA6">
        <w:t xml:space="preserve">In aggravation, </w:t>
      </w:r>
      <w:r w:rsidR="00CA5AA6" w:rsidRPr="00CA5AA6">
        <w:t xml:space="preserve">respondent’s misconduct evidences multiple acts of wrongdoing or demonstrates a pattern of misconduct.  </w:t>
      </w:r>
      <w:r w:rsidRPr="00CA5AA6">
        <w:t xml:space="preserve">(Rules Proc. of State Bar, tit. IV, </w:t>
      </w:r>
      <w:proofErr w:type="spellStart"/>
      <w:r w:rsidRPr="00CA5AA6">
        <w:t>Stds</w:t>
      </w:r>
      <w:proofErr w:type="spellEnd"/>
      <w:r w:rsidRPr="00CA5AA6">
        <w:t>. for Atty. Sanctions for Prof. Misconduct, std. 1.2(b</w:t>
      </w:r>
      <w:proofErr w:type="gramStart"/>
      <w:r w:rsidRPr="00CA5AA6">
        <w:t>)(</w:t>
      </w:r>
      <w:proofErr w:type="gramEnd"/>
      <w:r w:rsidRPr="00CA5AA6">
        <w:t>ii).)</w:t>
      </w:r>
      <w:r w:rsidR="00A54A59" w:rsidRPr="00CA5AA6">
        <w:rPr>
          <w:rStyle w:val="FootnoteReference"/>
        </w:rPr>
        <w:footnoteReference w:id="5"/>
      </w:r>
      <w:r w:rsidR="001C5B3B">
        <w:t xml:space="preserve">  </w:t>
      </w:r>
    </w:p>
    <w:p w:rsidR="00076C89" w:rsidRDefault="00076C89" w:rsidP="00AB2C20">
      <w:pPr>
        <w:pStyle w:val="Header"/>
        <w:tabs>
          <w:tab w:val="clear" w:pos="4320"/>
          <w:tab w:val="clear" w:pos="8640"/>
        </w:tabs>
        <w:spacing w:line="480" w:lineRule="auto"/>
        <w:ind w:firstLine="720"/>
      </w:pPr>
    </w:p>
    <w:p w:rsidR="00AB2C20" w:rsidRDefault="00C56FAB" w:rsidP="00AB2C20">
      <w:pPr>
        <w:pStyle w:val="Header"/>
        <w:tabs>
          <w:tab w:val="clear" w:pos="4320"/>
          <w:tab w:val="clear" w:pos="8640"/>
        </w:tabs>
        <w:spacing w:line="480" w:lineRule="auto"/>
        <w:ind w:firstLine="720"/>
      </w:pPr>
      <w:r>
        <w:lastRenderedPageBreak/>
        <w:t>In addition, respondent has one prior record of discipline.</w:t>
      </w:r>
      <w:r w:rsidR="001C5B3B">
        <w:t xml:space="preserve">  (Std. 1.2(b</w:t>
      </w:r>
      <w:proofErr w:type="gramStart"/>
      <w:r w:rsidR="001C5B3B">
        <w:t>)(</w:t>
      </w:r>
      <w:proofErr w:type="spellStart"/>
      <w:proofErr w:type="gramEnd"/>
      <w:r w:rsidR="001C5B3B">
        <w:t>i</w:t>
      </w:r>
      <w:proofErr w:type="spellEnd"/>
      <w:r w:rsidR="001C5B3B">
        <w:t>).)</w:t>
      </w:r>
      <w:r w:rsidR="001C5B3B">
        <w:rPr>
          <w:rStyle w:val="FootnoteReference"/>
        </w:rPr>
        <w:footnoteReference w:id="6"/>
      </w:r>
      <w:r>
        <w:t xml:space="preserve">  </w:t>
      </w:r>
      <w:r w:rsidR="00572BB3">
        <w:t>On October 12, 2004, the California Supreme Court issued an order (</w:t>
      </w:r>
      <w:proofErr w:type="spellStart"/>
      <w:r w:rsidR="00572BB3">
        <w:t>S126672</w:t>
      </w:r>
      <w:proofErr w:type="spellEnd"/>
      <w:r w:rsidR="00572BB3">
        <w:t xml:space="preserve">) suspending respondent from the practice of law for two years, stayed, and that he </w:t>
      </w:r>
      <w:proofErr w:type="gramStart"/>
      <w:r w:rsidR="00572BB3">
        <w:t>be</w:t>
      </w:r>
      <w:proofErr w:type="gramEnd"/>
      <w:r w:rsidR="00572BB3">
        <w:t xml:space="preserve"> actually suspended for one year and until restitution.  </w:t>
      </w:r>
      <w:r w:rsidR="00DB57F3">
        <w:t>In this matter respondent</w:t>
      </w:r>
      <w:r w:rsidR="00572BB3">
        <w:t xml:space="preserve"> was found culpable of </w:t>
      </w:r>
      <w:r w:rsidR="00DB57F3">
        <w:t xml:space="preserve">failing to competently perform; </w:t>
      </w:r>
      <w:r w:rsidR="00031C28">
        <w:t xml:space="preserve">improperly </w:t>
      </w:r>
      <w:r w:rsidR="00DB57F3">
        <w:t xml:space="preserve">representing </w:t>
      </w:r>
      <w:r w:rsidR="00673FE1">
        <w:t>clients with potentially conflicting interests</w:t>
      </w:r>
      <w:r w:rsidR="00DB57F3">
        <w:t xml:space="preserve">; failing to refund unearned fees; failing to promptly return all client papers and property; failing to render </w:t>
      </w:r>
      <w:r w:rsidR="000778C3">
        <w:t xml:space="preserve">an </w:t>
      </w:r>
      <w:r w:rsidR="00DB57F3">
        <w:t xml:space="preserve">accounting; failing to communicate; failing to cooperate with a </w:t>
      </w:r>
      <w:r w:rsidR="00306E0D">
        <w:t>disciplinary</w:t>
      </w:r>
      <w:r w:rsidR="00DB57F3">
        <w:t xml:space="preserve"> investigation; and committing acts constituting moral turpitude.  </w:t>
      </w:r>
    </w:p>
    <w:p w:rsidR="00AB2C20" w:rsidRDefault="00C860C1" w:rsidP="00AB2C20">
      <w:pPr>
        <w:pStyle w:val="Header"/>
        <w:tabs>
          <w:tab w:val="clear" w:pos="4320"/>
          <w:tab w:val="clear" w:pos="8640"/>
        </w:tabs>
        <w:spacing w:line="480" w:lineRule="auto"/>
        <w:ind w:firstLine="720"/>
      </w:pPr>
      <w:r>
        <w:t>In mitigation, the court considers t</w:t>
      </w:r>
      <w:r w:rsidR="00AB2C20">
        <w:t>he extreme emotional difficulties respondent was suffering from at the time of the misconduct, and his successful completion of the ADP.  (Std. 1.2(e</w:t>
      </w:r>
      <w:proofErr w:type="gramStart"/>
      <w:r w:rsidR="00AB2C20">
        <w:t>)(</w:t>
      </w:r>
      <w:proofErr w:type="gramEnd"/>
      <w:r w:rsidR="00AB2C20">
        <w:t xml:space="preserve">iv).)  </w:t>
      </w:r>
    </w:p>
    <w:p w:rsidR="00A54A59" w:rsidRPr="00AB2C20" w:rsidRDefault="00A54A59" w:rsidP="00AB2C20">
      <w:pPr>
        <w:pStyle w:val="Header"/>
        <w:tabs>
          <w:tab w:val="clear" w:pos="4320"/>
          <w:tab w:val="clear" w:pos="8640"/>
        </w:tabs>
        <w:spacing w:line="480" w:lineRule="auto"/>
        <w:ind w:firstLine="720"/>
        <w:jc w:val="center"/>
      </w:pPr>
      <w:r>
        <w:rPr>
          <w:b/>
        </w:rPr>
        <w:t>DISCUSSION</w:t>
      </w:r>
    </w:p>
    <w:p w:rsidR="00B947B6" w:rsidRPr="003516BB" w:rsidRDefault="00A54A59" w:rsidP="00B947B6">
      <w:pPr>
        <w:pStyle w:val="Header"/>
        <w:tabs>
          <w:tab w:val="clear" w:pos="4320"/>
          <w:tab w:val="clear" w:pos="8640"/>
        </w:tabs>
        <w:spacing w:line="480" w:lineRule="auto"/>
        <w:ind w:firstLine="720"/>
      </w:pPr>
      <w:r w:rsidRPr="003516BB">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rsidRPr="003516BB">
        <w:t>(</w:t>
      </w:r>
      <w:r w:rsidRPr="003516BB">
        <w:rPr>
          <w:i/>
        </w:rPr>
        <w:t>Chadwick v. State Bar</w:t>
      </w:r>
      <w:r w:rsidRPr="003516BB">
        <w:t xml:space="preserve"> (1989) 49 </w:t>
      </w:r>
      <w:proofErr w:type="spellStart"/>
      <w:r w:rsidRPr="003516BB">
        <w:t>Cal.3d</w:t>
      </w:r>
      <w:proofErr w:type="spellEnd"/>
      <w:r w:rsidRPr="003516BB">
        <w:t xml:space="preserve"> 103, 111.)</w:t>
      </w:r>
      <w:proofErr w:type="gramEnd"/>
    </w:p>
    <w:p w:rsidR="003A38CF" w:rsidRPr="003A38CF" w:rsidRDefault="00A54A59" w:rsidP="00B947B6">
      <w:pPr>
        <w:pStyle w:val="Header"/>
        <w:tabs>
          <w:tab w:val="clear" w:pos="4320"/>
          <w:tab w:val="clear" w:pos="8640"/>
        </w:tabs>
        <w:spacing w:line="480" w:lineRule="auto"/>
        <w:ind w:firstLine="720"/>
      </w:pPr>
      <w:r w:rsidRPr="003A38CF">
        <w:t xml:space="preserve">In determining the appropriate </w:t>
      </w:r>
      <w:r w:rsidR="001C7218" w:rsidRPr="003A38CF">
        <w:t xml:space="preserve">alternative </w:t>
      </w:r>
      <w:r w:rsidRPr="003A38CF">
        <w:t>disciplin</w:t>
      </w:r>
      <w:r w:rsidR="00B947B6" w:rsidRPr="003A38CF">
        <w:t>e</w:t>
      </w:r>
      <w:r w:rsidRPr="003A38CF">
        <w:t xml:space="preserve"> recommendation</w:t>
      </w:r>
      <w:r w:rsidR="001C7218" w:rsidRPr="003A38CF">
        <w:t>s</w:t>
      </w:r>
      <w:r w:rsidRPr="003A38CF">
        <w:t xml:space="preserve"> if </w:t>
      </w:r>
      <w:r w:rsidR="00383F33" w:rsidRPr="003A38CF">
        <w:t>r</w:t>
      </w:r>
      <w:r w:rsidRPr="003A38CF">
        <w:t>espondent successfully completed the ADP</w:t>
      </w:r>
      <w:r w:rsidR="001C7218" w:rsidRPr="003A38CF">
        <w:t xml:space="preserve"> or was terminated from</w:t>
      </w:r>
      <w:r w:rsidRPr="003A38CF">
        <w:t xml:space="preserve">, </w:t>
      </w:r>
      <w:r w:rsidR="001C7218" w:rsidRPr="003A38CF">
        <w:t xml:space="preserve">or failed to successfully complete, </w:t>
      </w:r>
      <w:r w:rsidRPr="003A38CF">
        <w:t xml:space="preserve">the </w:t>
      </w:r>
      <w:r w:rsidR="001C7218" w:rsidRPr="003A38CF">
        <w:t xml:space="preserve">ADP, the </w:t>
      </w:r>
      <w:r w:rsidRPr="003A38CF">
        <w:t xml:space="preserve">court considered the discipline recommended by the parties, as well as certain standards and case law.  In particular, the court considered </w:t>
      </w:r>
      <w:r w:rsidR="00B947B6" w:rsidRPr="003A38CF">
        <w:t xml:space="preserve">standards </w:t>
      </w:r>
      <w:r w:rsidR="00B947B6" w:rsidRPr="00B773BD">
        <w:t xml:space="preserve">1.2, 1.3, 1.4, 1.5, 1.6, </w:t>
      </w:r>
      <w:r w:rsidR="00B773BD" w:rsidRPr="00B773BD">
        <w:t>1.7(a),</w:t>
      </w:r>
      <w:r w:rsidR="00470744">
        <w:t xml:space="preserve"> 2.3,</w:t>
      </w:r>
      <w:r w:rsidR="000778C3">
        <w:t xml:space="preserve"> 2.4(b),</w:t>
      </w:r>
      <w:r w:rsidR="00B773BD" w:rsidRPr="00B773BD">
        <w:t xml:space="preserve"> </w:t>
      </w:r>
      <w:r w:rsidR="00B947B6" w:rsidRPr="00B773BD">
        <w:t>2.</w:t>
      </w:r>
      <w:r w:rsidR="00B773BD" w:rsidRPr="00B773BD">
        <w:t>6</w:t>
      </w:r>
      <w:r w:rsidR="00DF5636">
        <w:t xml:space="preserve">, </w:t>
      </w:r>
      <w:r w:rsidR="00383F33" w:rsidRPr="00FC2121">
        <w:t xml:space="preserve">and </w:t>
      </w:r>
      <w:r w:rsidR="00FC2121" w:rsidRPr="00FC2121">
        <w:t>3.2,</w:t>
      </w:r>
      <w:r w:rsidR="00383F33" w:rsidRPr="00FC2121">
        <w:t xml:space="preserve"> </w:t>
      </w:r>
      <w:r w:rsidR="00B947B6" w:rsidRPr="00FC2121">
        <w:t>and</w:t>
      </w:r>
      <w:r w:rsidR="002D4DC3">
        <w:t xml:space="preserve"> </w:t>
      </w:r>
      <w:r w:rsidR="00DE1EA8" w:rsidRPr="00AE1677">
        <w:rPr>
          <w:i/>
        </w:rPr>
        <w:t xml:space="preserve">In the Matter of </w:t>
      </w:r>
      <w:proofErr w:type="spellStart"/>
      <w:r w:rsidR="00DE1EA8" w:rsidRPr="00AE1677">
        <w:rPr>
          <w:i/>
        </w:rPr>
        <w:t>Wyrick</w:t>
      </w:r>
      <w:proofErr w:type="spellEnd"/>
      <w:r w:rsidR="00DE1EA8">
        <w:t xml:space="preserve"> (Review Dept. 1992) 2 Cal. State Bar Ct. </w:t>
      </w:r>
      <w:proofErr w:type="spellStart"/>
      <w:r w:rsidR="00DE1EA8">
        <w:t>Rptr</w:t>
      </w:r>
      <w:proofErr w:type="spellEnd"/>
      <w:r w:rsidR="00DE1EA8">
        <w:t xml:space="preserve">. 83; </w:t>
      </w:r>
      <w:proofErr w:type="spellStart"/>
      <w:r w:rsidR="00DE1EA8" w:rsidRPr="00AE1677">
        <w:rPr>
          <w:i/>
        </w:rPr>
        <w:t>F</w:t>
      </w:r>
      <w:r w:rsidR="00AE1677">
        <w:rPr>
          <w:i/>
        </w:rPr>
        <w:t>ar</w:t>
      </w:r>
      <w:r w:rsidR="00DE1EA8" w:rsidRPr="00AE1677">
        <w:rPr>
          <w:i/>
        </w:rPr>
        <w:t>nham</w:t>
      </w:r>
      <w:proofErr w:type="spellEnd"/>
      <w:r w:rsidR="00DE1EA8" w:rsidRPr="00AE1677">
        <w:rPr>
          <w:i/>
        </w:rPr>
        <w:t xml:space="preserve"> v. State Bar</w:t>
      </w:r>
      <w:r w:rsidR="00DE1EA8">
        <w:t xml:space="preserve"> (1976) 17 </w:t>
      </w:r>
      <w:proofErr w:type="spellStart"/>
      <w:r w:rsidR="00DE1EA8">
        <w:t>Cal.3d</w:t>
      </w:r>
      <w:proofErr w:type="spellEnd"/>
      <w:r w:rsidR="00DE1EA8">
        <w:t xml:space="preserve"> 605; </w:t>
      </w:r>
      <w:r w:rsidR="00DE1EA8" w:rsidRPr="00AE1677">
        <w:rPr>
          <w:i/>
        </w:rPr>
        <w:t>In the Matter of Mason</w:t>
      </w:r>
      <w:r w:rsidR="00DE1EA8">
        <w:t xml:space="preserve"> (Review Dept. 1997) 3 Cal. State Bar Ct. </w:t>
      </w:r>
      <w:proofErr w:type="spellStart"/>
      <w:r w:rsidR="00DE1EA8">
        <w:t>Rptr</w:t>
      </w:r>
      <w:proofErr w:type="spellEnd"/>
      <w:r w:rsidR="00DE1EA8">
        <w:t xml:space="preserve">. </w:t>
      </w:r>
      <w:r w:rsidR="002679C2">
        <w:t xml:space="preserve">639; </w:t>
      </w:r>
      <w:r w:rsidR="004E03DB" w:rsidRPr="004E03DB">
        <w:rPr>
          <w:i/>
        </w:rPr>
        <w:t xml:space="preserve">In the Matter of </w:t>
      </w:r>
      <w:proofErr w:type="spellStart"/>
      <w:r w:rsidR="004E03DB" w:rsidRPr="004E03DB">
        <w:rPr>
          <w:i/>
        </w:rPr>
        <w:t>Trousil</w:t>
      </w:r>
      <w:proofErr w:type="spellEnd"/>
      <w:r w:rsidR="004E03DB">
        <w:t xml:space="preserve"> (Review Dept. 1990) 1 Cal. </w:t>
      </w:r>
      <w:r w:rsidR="004E03DB">
        <w:lastRenderedPageBreak/>
        <w:t xml:space="preserve">State Bar Ct. </w:t>
      </w:r>
      <w:proofErr w:type="spellStart"/>
      <w:r w:rsidR="004E03DB">
        <w:t>Rptr</w:t>
      </w:r>
      <w:proofErr w:type="spellEnd"/>
      <w:r w:rsidR="004E03DB">
        <w:t xml:space="preserve">. 229; </w:t>
      </w:r>
      <w:proofErr w:type="spellStart"/>
      <w:r w:rsidR="004E03DB" w:rsidRPr="004E03DB">
        <w:rPr>
          <w:i/>
        </w:rPr>
        <w:t>Chefsky</w:t>
      </w:r>
      <w:proofErr w:type="spellEnd"/>
      <w:r w:rsidR="004E03DB" w:rsidRPr="004E03DB">
        <w:rPr>
          <w:i/>
        </w:rPr>
        <w:t xml:space="preserve"> v. State Bar</w:t>
      </w:r>
      <w:r w:rsidR="004E03DB">
        <w:t xml:space="preserve"> (1984) 36 </w:t>
      </w:r>
      <w:proofErr w:type="spellStart"/>
      <w:r w:rsidR="004E03DB">
        <w:t>Cal.3d</w:t>
      </w:r>
      <w:proofErr w:type="spellEnd"/>
      <w:r w:rsidR="004E03DB">
        <w:t xml:space="preserve"> 116; </w:t>
      </w:r>
      <w:r w:rsidR="00831986" w:rsidRPr="00831986">
        <w:rPr>
          <w:i/>
        </w:rPr>
        <w:t>In the Matter of Friedman</w:t>
      </w:r>
      <w:r w:rsidR="00831986">
        <w:t xml:space="preserve"> (Review Dept.</w:t>
      </w:r>
      <w:r w:rsidR="00A41A20">
        <w:t xml:space="preserve"> 1993) 2 Cal. State Bar Ct. </w:t>
      </w:r>
      <w:proofErr w:type="spellStart"/>
      <w:r w:rsidR="00A41A20">
        <w:t>Rptr</w:t>
      </w:r>
      <w:proofErr w:type="spellEnd"/>
      <w:r w:rsidR="00831986">
        <w:t xml:space="preserve">. 527; </w:t>
      </w:r>
      <w:r w:rsidR="00FC2121" w:rsidRPr="00FC2121">
        <w:rPr>
          <w:i/>
        </w:rPr>
        <w:t xml:space="preserve">In re </w:t>
      </w:r>
      <w:proofErr w:type="spellStart"/>
      <w:r w:rsidR="00FC2121" w:rsidRPr="00FC2121">
        <w:rPr>
          <w:i/>
        </w:rPr>
        <w:t>Demergian</w:t>
      </w:r>
      <w:proofErr w:type="spellEnd"/>
      <w:r w:rsidR="00FC2121">
        <w:t xml:space="preserve"> (1989) 48 </w:t>
      </w:r>
      <w:proofErr w:type="spellStart"/>
      <w:r w:rsidR="00FC2121">
        <w:t>Cal.3d</w:t>
      </w:r>
      <w:proofErr w:type="spellEnd"/>
      <w:r w:rsidR="00FC2121">
        <w:t xml:space="preserve"> 284; </w:t>
      </w:r>
      <w:r w:rsidR="00E50146" w:rsidRPr="00E50146">
        <w:rPr>
          <w:i/>
        </w:rPr>
        <w:t>In re Vaughn</w:t>
      </w:r>
      <w:r w:rsidR="00E50146">
        <w:t xml:space="preserve"> (1985) 38 </w:t>
      </w:r>
      <w:proofErr w:type="spellStart"/>
      <w:r w:rsidR="00E50146">
        <w:t>Cal.3d</w:t>
      </w:r>
      <w:proofErr w:type="spellEnd"/>
      <w:r w:rsidR="00E50146">
        <w:t xml:space="preserve"> 614; </w:t>
      </w:r>
      <w:r w:rsidR="00E50146" w:rsidRPr="00E50146">
        <w:rPr>
          <w:i/>
        </w:rPr>
        <w:t>Abbott v. State Bar</w:t>
      </w:r>
      <w:r w:rsidR="00E50146">
        <w:t xml:space="preserve"> (1977) 19 </w:t>
      </w:r>
      <w:proofErr w:type="spellStart"/>
      <w:r w:rsidR="00E50146">
        <w:t>Cal.3d</w:t>
      </w:r>
      <w:proofErr w:type="spellEnd"/>
      <w:r w:rsidR="00E50146">
        <w:t xml:space="preserve"> 249; </w:t>
      </w:r>
      <w:r w:rsidR="00EC0B88" w:rsidRPr="00EC0B88">
        <w:rPr>
          <w:i/>
        </w:rPr>
        <w:t xml:space="preserve">In the Matter of </w:t>
      </w:r>
      <w:proofErr w:type="spellStart"/>
      <w:r w:rsidR="00EC0B88" w:rsidRPr="00EC0B88">
        <w:rPr>
          <w:i/>
        </w:rPr>
        <w:t>Spaith</w:t>
      </w:r>
      <w:proofErr w:type="spellEnd"/>
      <w:r w:rsidR="00EC0B88">
        <w:t xml:space="preserve"> (1996) 3 </w:t>
      </w:r>
      <w:r w:rsidR="00A41A20">
        <w:t xml:space="preserve">Cal. State Bar Ct. </w:t>
      </w:r>
      <w:proofErr w:type="spellStart"/>
      <w:r w:rsidR="00A41A20">
        <w:t>Rptr</w:t>
      </w:r>
      <w:proofErr w:type="spellEnd"/>
      <w:r w:rsidR="00EC0B88">
        <w:t xml:space="preserve">. 511; </w:t>
      </w:r>
      <w:proofErr w:type="spellStart"/>
      <w:r w:rsidR="00EC0B88" w:rsidRPr="00EC0B88">
        <w:rPr>
          <w:i/>
        </w:rPr>
        <w:t>Chasteen</w:t>
      </w:r>
      <w:proofErr w:type="spellEnd"/>
      <w:r w:rsidR="00EC0B88" w:rsidRPr="00EC0B88">
        <w:rPr>
          <w:i/>
        </w:rPr>
        <w:t xml:space="preserve"> v. State Bar</w:t>
      </w:r>
      <w:r w:rsidR="00EC0B88">
        <w:t xml:space="preserve"> (1985) 40 </w:t>
      </w:r>
      <w:proofErr w:type="spellStart"/>
      <w:r w:rsidR="00EC0B88">
        <w:t>Cal.3d</w:t>
      </w:r>
      <w:proofErr w:type="spellEnd"/>
      <w:r w:rsidR="00EC0B88">
        <w:t xml:space="preserve"> 586; and </w:t>
      </w:r>
      <w:proofErr w:type="spellStart"/>
      <w:r w:rsidR="00EC0B88" w:rsidRPr="00EC0B88">
        <w:rPr>
          <w:i/>
        </w:rPr>
        <w:t>Waysman</w:t>
      </w:r>
      <w:proofErr w:type="spellEnd"/>
      <w:r w:rsidR="00EC0B88" w:rsidRPr="00EC0B88">
        <w:rPr>
          <w:i/>
        </w:rPr>
        <w:t xml:space="preserve"> v. State Bar</w:t>
      </w:r>
      <w:r w:rsidR="00EC0B88">
        <w:t xml:space="preserve"> (1986) 41 </w:t>
      </w:r>
      <w:proofErr w:type="spellStart"/>
      <w:r w:rsidR="00EC0B88">
        <w:t>Cal.3d</w:t>
      </w:r>
      <w:proofErr w:type="spellEnd"/>
      <w:r w:rsidR="00EC0B88">
        <w:t xml:space="preserve"> 452.</w:t>
      </w:r>
    </w:p>
    <w:p w:rsidR="00B947B6" w:rsidRPr="00235C0E" w:rsidRDefault="008F59F8" w:rsidP="00B947B6">
      <w:pPr>
        <w:pStyle w:val="Header"/>
        <w:tabs>
          <w:tab w:val="clear" w:pos="4320"/>
          <w:tab w:val="clear" w:pos="8640"/>
        </w:tabs>
        <w:spacing w:line="480" w:lineRule="auto"/>
        <w:ind w:firstLine="720"/>
        <w:rPr>
          <w:b/>
        </w:rPr>
      </w:pPr>
      <w:r>
        <w:t>Because r</w:t>
      </w:r>
      <w:r w:rsidR="00CF45DA">
        <w:t>espondent has now successfully completed the ADP, this court, in turn, now recommends to the Supreme Court the imposition of the lower level of discipline, set forth more fully below, contained in the Amended Confidential Statement</w:t>
      </w:r>
      <w:r w:rsidR="00814B33">
        <w:t xml:space="preserve"> of Alte</w:t>
      </w:r>
      <w:r w:rsidR="007757BB">
        <w:t xml:space="preserve">rnative Dispositions and Orders, </w:t>
      </w:r>
      <w:r w:rsidR="00CF45DA">
        <w:t xml:space="preserve">and Order Amending Amended Confidential Statement of Alternative Dispositions and Orders.  </w:t>
      </w:r>
    </w:p>
    <w:p w:rsidR="00482653" w:rsidRDefault="00482653" w:rsidP="00482653">
      <w:pPr>
        <w:pStyle w:val="Header"/>
        <w:tabs>
          <w:tab w:val="clear" w:pos="4320"/>
          <w:tab w:val="clear" w:pos="8640"/>
        </w:tabs>
        <w:spacing w:line="480" w:lineRule="auto"/>
        <w:jc w:val="center"/>
        <w:rPr>
          <w:b/>
        </w:rPr>
      </w:pPr>
      <w:r>
        <w:rPr>
          <w:b/>
        </w:rPr>
        <w:t>DISCIPLINE</w:t>
      </w:r>
    </w:p>
    <w:p w:rsidR="00482653" w:rsidRDefault="00482653" w:rsidP="00482653">
      <w:pPr>
        <w:pStyle w:val="Header"/>
        <w:tabs>
          <w:tab w:val="clear" w:pos="4320"/>
          <w:tab w:val="clear" w:pos="8640"/>
        </w:tabs>
        <w:spacing w:line="480" w:lineRule="auto"/>
        <w:rPr>
          <w:b/>
        </w:rPr>
      </w:pPr>
      <w:r w:rsidRPr="009D4AFB">
        <w:rPr>
          <w:b/>
        </w:rPr>
        <w:t>Recommended Discipline</w:t>
      </w:r>
    </w:p>
    <w:p w:rsidR="009A692D" w:rsidRPr="00175112" w:rsidRDefault="004F238C" w:rsidP="00946047">
      <w:pPr>
        <w:pStyle w:val="Header"/>
        <w:tabs>
          <w:tab w:val="clear" w:pos="4320"/>
          <w:tab w:val="clear" w:pos="8640"/>
        </w:tabs>
        <w:spacing w:line="480" w:lineRule="auto"/>
        <w:ind w:firstLine="720"/>
      </w:pPr>
      <w:r>
        <w:t>It is hereby recommended that r</w:t>
      </w:r>
      <w:r w:rsidR="00946047">
        <w:t xml:space="preserve">espondent </w:t>
      </w:r>
      <w:r w:rsidR="00931C20">
        <w:rPr>
          <w:b/>
        </w:rPr>
        <w:t>Jerald Scott Bennett</w:t>
      </w:r>
      <w:r w:rsidR="00946047" w:rsidRPr="00946047">
        <w:rPr>
          <w:b/>
        </w:rPr>
        <w:t>,</w:t>
      </w:r>
      <w:r w:rsidR="00946047">
        <w:t xml:space="preserve"> State Bar Number </w:t>
      </w:r>
      <w:r w:rsidR="00931C20">
        <w:t>123450</w:t>
      </w:r>
      <w:r w:rsidR="00946047">
        <w:t xml:space="preserve">, </w:t>
      </w:r>
      <w:r w:rsidR="00946047" w:rsidRPr="00175112">
        <w:t xml:space="preserve">be suspended from the practice of law in California for </w:t>
      </w:r>
      <w:r w:rsidR="00931C20">
        <w:t>four</w:t>
      </w:r>
      <w:r w:rsidR="00946047" w:rsidRPr="00175112">
        <w:t xml:space="preserve"> year</w:t>
      </w:r>
      <w:r w:rsidR="009A692D" w:rsidRPr="00175112">
        <w:t>s</w:t>
      </w:r>
      <w:r w:rsidR="00946047" w:rsidRPr="00175112">
        <w:t>, that execution of that period of suspension be stayed, and that he be placed on probation</w:t>
      </w:r>
      <w:r w:rsidR="00946047" w:rsidRPr="00175112">
        <w:rPr>
          <w:rStyle w:val="FootnoteReference"/>
        </w:rPr>
        <w:footnoteReference w:id="7"/>
      </w:r>
      <w:r w:rsidR="00946047" w:rsidRPr="00175112">
        <w:t xml:space="preserve"> for a period of </w:t>
      </w:r>
      <w:r w:rsidR="00931C20">
        <w:t>four</w:t>
      </w:r>
      <w:r w:rsidR="00946047" w:rsidRPr="00175112">
        <w:t xml:space="preserve"> years subject to the following conditions:</w:t>
      </w:r>
    </w:p>
    <w:p w:rsidR="00175112" w:rsidRDefault="009A692D" w:rsidP="004A21F8">
      <w:pPr>
        <w:pStyle w:val="Header"/>
        <w:tabs>
          <w:tab w:val="clear" w:pos="4320"/>
          <w:tab w:val="clear" w:pos="8640"/>
        </w:tabs>
        <w:ind w:left="1440" w:hanging="720"/>
      </w:pPr>
      <w:r w:rsidRPr="009A692D">
        <w:t>1.</w:t>
      </w:r>
      <w:r w:rsidRPr="009A692D">
        <w:tab/>
        <w:t xml:space="preserve">Respondent </w:t>
      </w:r>
      <w:r w:rsidR="00931C20">
        <w:t>Jerald Scott Bennett</w:t>
      </w:r>
      <w:r w:rsidRPr="009A692D">
        <w:t xml:space="preserve"> is suspended from the practice of law for </w:t>
      </w:r>
      <w:r w:rsidR="00082E5D">
        <w:t>the first</w:t>
      </w:r>
      <w:r w:rsidRPr="009A692D">
        <w:t xml:space="preserve"> </w:t>
      </w:r>
      <w:r w:rsidR="00931C20">
        <w:t>two years</w:t>
      </w:r>
      <w:r w:rsidR="00082E5D">
        <w:t xml:space="preserve"> of probation (with credit given for the period of inactive enrollment pursuant to Business and Professions Code section 6233 which commenced on May 8, 2008, and ended on May 26, 2010).</w:t>
      </w:r>
      <w:r w:rsidR="00082E5D">
        <w:rPr>
          <w:rStyle w:val="FootnoteReference"/>
        </w:rPr>
        <w:footnoteReference w:id="8"/>
      </w:r>
    </w:p>
    <w:p w:rsidR="004A21F8" w:rsidRDefault="004A21F8" w:rsidP="004A21F8">
      <w:pPr>
        <w:pStyle w:val="Header"/>
        <w:tabs>
          <w:tab w:val="clear" w:pos="4320"/>
          <w:tab w:val="clear" w:pos="8640"/>
        </w:tabs>
        <w:ind w:left="1440" w:hanging="720"/>
      </w:pPr>
    </w:p>
    <w:p w:rsidR="00A9717D" w:rsidRDefault="00175112" w:rsidP="004A21F8">
      <w:pPr>
        <w:pStyle w:val="Header"/>
        <w:tabs>
          <w:tab w:val="clear" w:pos="4320"/>
          <w:tab w:val="clear" w:pos="8640"/>
        </w:tabs>
        <w:ind w:left="1440" w:hanging="720"/>
      </w:pPr>
      <w:r>
        <w:t>2.</w:t>
      </w:r>
      <w:r>
        <w:tab/>
        <w:t xml:space="preserve">Respondent </w:t>
      </w:r>
      <w:r w:rsidR="004A21F8">
        <w:t>Jerald Scott Bennett</w:t>
      </w:r>
      <w:r>
        <w:t xml:space="preserve"> must also comply with the following additional conditions of probation:</w:t>
      </w:r>
    </w:p>
    <w:p w:rsidR="00A9717D" w:rsidRDefault="00A9717D" w:rsidP="00175112">
      <w:pPr>
        <w:pStyle w:val="Header"/>
        <w:tabs>
          <w:tab w:val="clear" w:pos="4320"/>
          <w:tab w:val="clear" w:pos="8640"/>
        </w:tabs>
        <w:ind w:firstLine="720"/>
      </w:pPr>
    </w:p>
    <w:p w:rsidR="00E86773" w:rsidRDefault="00A9717D" w:rsidP="005E470A">
      <w:pPr>
        <w:pStyle w:val="Header"/>
        <w:tabs>
          <w:tab w:val="clear" w:pos="4320"/>
          <w:tab w:val="clear" w:pos="8640"/>
        </w:tabs>
        <w:ind w:left="2160" w:hanging="720"/>
      </w:pPr>
      <w:r>
        <w:lastRenderedPageBreak/>
        <w:t>a</w:t>
      </w:r>
      <w:r w:rsidR="00CC0007" w:rsidRPr="00235C0E">
        <w:rPr>
          <w:b/>
        </w:rPr>
        <w:t>.</w:t>
      </w:r>
      <w:r w:rsidR="00CC0007" w:rsidRPr="00235C0E">
        <w:rPr>
          <w:b/>
        </w:rPr>
        <w:tab/>
      </w:r>
      <w:r w:rsidR="00CC0007" w:rsidRPr="00A9717D">
        <w:t xml:space="preserve">During the probation period, </w:t>
      </w:r>
      <w:r w:rsidRPr="00A9717D">
        <w:t>r</w:t>
      </w:r>
      <w:r w:rsidR="00CC0007" w:rsidRPr="00A9717D">
        <w:t>espondent must comply with the provisions of the State Bar Act and the Rules of Professional Conduct of the State Bar of Cali</w:t>
      </w:r>
      <w:r w:rsidR="005E470A">
        <w:t xml:space="preserve">fornia;  </w:t>
      </w:r>
    </w:p>
    <w:p w:rsidR="00A9717D" w:rsidRPr="00A9717D" w:rsidRDefault="00A9717D" w:rsidP="00A9717D">
      <w:pPr>
        <w:pStyle w:val="Header"/>
        <w:tabs>
          <w:tab w:val="clear" w:pos="4320"/>
          <w:tab w:val="clear" w:pos="8640"/>
        </w:tabs>
        <w:ind w:firstLine="720"/>
      </w:pPr>
    </w:p>
    <w:p w:rsidR="00E86773" w:rsidRPr="00A362C1" w:rsidRDefault="00E86773" w:rsidP="00E86773">
      <w:pPr>
        <w:pStyle w:val="Header"/>
        <w:tabs>
          <w:tab w:val="clear" w:pos="4320"/>
          <w:tab w:val="clear" w:pos="8640"/>
        </w:tabs>
        <w:ind w:left="2160" w:hanging="720"/>
      </w:pPr>
      <w:r w:rsidRPr="00A362C1">
        <w:t>b.</w:t>
      </w:r>
      <w:r w:rsidRPr="00A362C1">
        <w:tab/>
        <w:t xml:space="preserve">Within ten (10) days of any change, </w:t>
      </w:r>
      <w:r w:rsidR="00A9717D" w:rsidRPr="00A362C1">
        <w:t>r</w:t>
      </w:r>
      <w:r w:rsidRPr="00A362C1">
        <w:t>espondent must report to the Membership Records Office of the State Bar and to the Office of Probation of the State Bar of California (</w:t>
      </w:r>
      <w:r w:rsidR="00903886">
        <w:t>“</w:t>
      </w:r>
      <w:r w:rsidRPr="00A362C1">
        <w:t>Office of Probation</w:t>
      </w:r>
      <w:r w:rsidR="00903886">
        <w:t>”</w:t>
      </w:r>
      <w:r w:rsidRPr="00A362C1">
        <w:t xml:space="preserve">), all changes of information, including current office address and telephone number, or other address for State Bar purposes, as prescribed by section 6002.1 of the Business and Professions Code; </w:t>
      </w:r>
    </w:p>
    <w:p w:rsidR="00E86773" w:rsidRPr="00235C0E" w:rsidRDefault="00E86773" w:rsidP="00E86773">
      <w:pPr>
        <w:pStyle w:val="Header"/>
        <w:tabs>
          <w:tab w:val="clear" w:pos="4320"/>
          <w:tab w:val="clear" w:pos="8640"/>
        </w:tabs>
        <w:ind w:left="2160" w:hanging="720"/>
        <w:rPr>
          <w:b/>
        </w:rPr>
      </w:pPr>
    </w:p>
    <w:p w:rsidR="008F5B86" w:rsidRPr="00A362C1" w:rsidRDefault="00E86773" w:rsidP="00E86773">
      <w:pPr>
        <w:pStyle w:val="Header"/>
        <w:tabs>
          <w:tab w:val="clear" w:pos="4320"/>
          <w:tab w:val="clear" w:pos="8640"/>
        </w:tabs>
        <w:ind w:left="2160" w:hanging="720"/>
      </w:pPr>
      <w:r w:rsidRPr="00A362C1">
        <w:t>c.</w:t>
      </w:r>
      <w:r w:rsidRPr="00A362C1">
        <w:tab/>
        <w:t xml:space="preserve">Within thirty (30) days after the effective date of discipline, </w:t>
      </w:r>
      <w:r w:rsidR="00A362C1" w:rsidRPr="00A362C1">
        <w:t>r</w:t>
      </w:r>
      <w:r w:rsidRPr="00A362C1">
        <w:t xml:space="preserve">espondent must contact the Office of Probation and schedule a meeting with </w:t>
      </w:r>
      <w:r w:rsidR="00A362C1" w:rsidRPr="00A362C1">
        <w:t>r</w:t>
      </w:r>
      <w:r w:rsidRPr="00A362C1">
        <w:t xml:space="preserve">espondent’s assigned probation deputy to discuss these terms and conditions of probation.  Upon the direction of the Office of Probation, </w:t>
      </w:r>
      <w:r w:rsidR="00A362C1" w:rsidRPr="00A362C1">
        <w:t>r</w:t>
      </w:r>
      <w:r w:rsidRPr="00A362C1">
        <w:t xml:space="preserve">espondent must meet with the probation deputy either in person or by telephone.  During the period of probation, </w:t>
      </w:r>
      <w:r w:rsidR="00A362C1" w:rsidRPr="00A362C1">
        <w:t>r</w:t>
      </w:r>
      <w:r w:rsidRPr="00A362C1">
        <w:t>espondent must promptly meet with the probation deputy as directed and upon request;</w:t>
      </w:r>
    </w:p>
    <w:p w:rsidR="008F5B86" w:rsidRPr="00235C0E" w:rsidRDefault="008F5B86" w:rsidP="00E86773">
      <w:pPr>
        <w:pStyle w:val="Header"/>
        <w:tabs>
          <w:tab w:val="clear" w:pos="4320"/>
          <w:tab w:val="clear" w:pos="8640"/>
        </w:tabs>
        <w:ind w:left="2160" w:hanging="720"/>
        <w:rPr>
          <w:b/>
        </w:rPr>
      </w:pPr>
    </w:p>
    <w:p w:rsidR="00E75353" w:rsidRPr="0013032B" w:rsidRDefault="008F5B86" w:rsidP="00E86773">
      <w:pPr>
        <w:pStyle w:val="Header"/>
        <w:tabs>
          <w:tab w:val="clear" w:pos="4320"/>
          <w:tab w:val="clear" w:pos="8640"/>
        </w:tabs>
        <w:ind w:left="2160" w:hanging="720"/>
      </w:pPr>
      <w:r w:rsidRPr="0013032B">
        <w:t>d.</w:t>
      </w:r>
      <w:r w:rsidRPr="0013032B">
        <w:tab/>
        <w:t>Respondent mu</w:t>
      </w:r>
      <w:r w:rsidR="00E75353" w:rsidRPr="0013032B">
        <w:t>s</w:t>
      </w:r>
      <w:r w:rsidRPr="0013032B">
        <w:t xml:space="preserve">t submit written quarterly reports to </w:t>
      </w:r>
      <w:r w:rsidR="00E75353" w:rsidRPr="0013032B">
        <w:t>t</w:t>
      </w:r>
      <w:r w:rsidRPr="0013032B">
        <w:t>he Office of Probation on each J</w:t>
      </w:r>
      <w:r w:rsidR="00E75353" w:rsidRPr="0013032B">
        <w:t>a</w:t>
      </w:r>
      <w:r w:rsidRPr="0013032B">
        <w:t>nu</w:t>
      </w:r>
      <w:r w:rsidR="00E75353" w:rsidRPr="0013032B">
        <w:t>a</w:t>
      </w:r>
      <w:r w:rsidRPr="0013032B">
        <w:t xml:space="preserve">ry 10, April 10, July 10 and October 10 of the period of probation.  Under penalty of perjury, </w:t>
      </w:r>
      <w:r w:rsidR="00A362C1" w:rsidRPr="0013032B">
        <w:t>r</w:t>
      </w:r>
      <w:r w:rsidRPr="0013032B">
        <w:t>espondent mu</w:t>
      </w:r>
      <w:r w:rsidR="00E75353" w:rsidRPr="0013032B">
        <w:t>s</w:t>
      </w:r>
      <w:r w:rsidRPr="0013032B">
        <w:t xml:space="preserve">t state whether </w:t>
      </w:r>
      <w:r w:rsidR="00A362C1" w:rsidRPr="0013032B">
        <w:t>r</w:t>
      </w:r>
      <w:r w:rsidRPr="0013032B">
        <w:t>espondent has compli</w:t>
      </w:r>
      <w:r w:rsidR="00E75353" w:rsidRPr="0013032B">
        <w:t>e</w:t>
      </w:r>
      <w:r w:rsidRPr="0013032B">
        <w:t>d</w:t>
      </w:r>
      <w:r w:rsidR="00E75353" w:rsidRPr="0013032B">
        <w:t xml:space="preserve"> </w:t>
      </w:r>
      <w:r w:rsidRPr="0013032B">
        <w:t>with the Stat</w:t>
      </w:r>
      <w:r w:rsidR="00E75353" w:rsidRPr="0013032B">
        <w:t>e</w:t>
      </w:r>
      <w:r w:rsidRPr="0013032B">
        <w:t xml:space="preserve"> Bar Act, the Rul</w:t>
      </w:r>
      <w:r w:rsidR="00E75353" w:rsidRPr="0013032B">
        <w:t>e</w:t>
      </w:r>
      <w:r w:rsidRPr="0013032B">
        <w:t xml:space="preserve">s of </w:t>
      </w:r>
      <w:r w:rsidR="003E5CBB" w:rsidRPr="0013032B">
        <w:t>P</w:t>
      </w:r>
      <w:r w:rsidRPr="0013032B">
        <w:t>rofessional Con</w:t>
      </w:r>
      <w:r w:rsidR="00E75353" w:rsidRPr="0013032B">
        <w:t>d</w:t>
      </w:r>
      <w:r w:rsidRPr="0013032B">
        <w:t>u</w:t>
      </w:r>
      <w:r w:rsidR="00E75353" w:rsidRPr="0013032B">
        <w:t>c</w:t>
      </w:r>
      <w:r w:rsidRPr="0013032B">
        <w:t>t, and all conditions of probat</w:t>
      </w:r>
      <w:r w:rsidR="00E75353" w:rsidRPr="0013032B">
        <w:t>io</w:t>
      </w:r>
      <w:r w:rsidRPr="0013032B">
        <w:t>n during the preceding calendar quarter.  Respondent mu</w:t>
      </w:r>
      <w:r w:rsidR="00E75353" w:rsidRPr="0013032B">
        <w:t>s</w:t>
      </w:r>
      <w:r w:rsidRPr="0013032B">
        <w:t>t also state whether there are any proceedings pending ag</w:t>
      </w:r>
      <w:r w:rsidR="00E75353" w:rsidRPr="0013032B">
        <w:t>a</w:t>
      </w:r>
      <w:r w:rsidRPr="0013032B">
        <w:t>in</w:t>
      </w:r>
      <w:r w:rsidR="00E75353" w:rsidRPr="0013032B">
        <w:t>s</w:t>
      </w:r>
      <w:r w:rsidRPr="0013032B">
        <w:t>t him in the Stat</w:t>
      </w:r>
      <w:r w:rsidR="00E75353" w:rsidRPr="0013032B">
        <w:t>e</w:t>
      </w:r>
      <w:r w:rsidRPr="0013032B">
        <w:t xml:space="preserve"> Bar Court and if so, the case number and current status of t</w:t>
      </w:r>
      <w:r w:rsidR="00E75353" w:rsidRPr="0013032B">
        <w:t>h</w:t>
      </w:r>
      <w:r w:rsidRPr="0013032B">
        <w:t>at</w:t>
      </w:r>
      <w:r w:rsidR="00E75353" w:rsidRPr="0013032B">
        <w:t xml:space="preserve"> </w:t>
      </w:r>
      <w:r w:rsidRPr="0013032B">
        <w:t>proceeding.  If the first report would cover less than thirty (30) days, that report mu</w:t>
      </w:r>
      <w:r w:rsidR="00E75353" w:rsidRPr="0013032B">
        <w:t>st</w:t>
      </w:r>
      <w:r w:rsidRPr="0013032B">
        <w:t xml:space="preserve"> be submitted on the next quarter date,</w:t>
      </w:r>
      <w:r w:rsidR="00E75353" w:rsidRPr="0013032B">
        <w:t xml:space="preserve"> </w:t>
      </w:r>
      <w:r w:rsidRPr="0013032B">
        <w:t>an</w:t>
      </w:r>
      <w:r w:rsidR="00E75353" w:rsidRPr="0013032B">
        <w:t xml:space="preserve">d </w:t>
      </w:r>
      <w:r w:rsidRPr="0013032B">
        <w:t>cover the extended period</w:t>
      </w:r>
      <w:r w:rsidR="00E75353" w:rsidRPr="0013032B">
        <w:t>.</w:t>
      </w:r>
    </w:p>
    <w:p w:rsidR="00E75353" w:rsidRPr="0013032B" w:rsidRDefault="00E75353" w:rsidP="00E86773">
      <w:pPr>
        <w:pStyle w:val="Header"/>
        <w:tabs>
          <w:tab w:val="clear" w:pos="4320"/>
          <w:tab w:val="clear" w:pos="8640"/>
        </w:tabs>
        <w:ind w:left="2160" w:hanging="720"/>
      </w:pPr>
    </w:p>
    <w:p w:rsidR="00E75353" w:rsidRPr="0013032B" w:rsidRDefault="00E75353" w:rsidP="00E86773">
      <w:pPr>
        <w:pStyle w:val="Header"/>
        <w:tabs>
          <w:tab w:val="clear" w:pos="4320"/>
          <w:tab w:val="clear" w:pos="8640"/>
        </w:tabs>
        <w:ind w:left="2160" w:hanging="720"/>
      </w:pPr>
      <w:r w:rsidRPr="0013032B">
        <w:tab/>
        <w:t>In addition to all quarterly reports, a final report, containing the same information, is due no earlier than twenty (20) days before the last day of the period of probation and no later than the last day of the probation period;</w:t>
      </w:r>
    </w:p>
    <w:p w:rsidR="00E75353" w:rsidRPr="00235C0E" w:rsidRDefault="00E75353" w:rsidP="00E86773">
      <w:pPr>
        <w:pStyle w:val="Header"/>
        <w:tabs>
          <w:tab w:val="clear" w:pos="4320"/>
          <w:tab w:val="clear" w:pos="8640"/>
        </w:tabs>
        <w:ind w:left="2160" w:hanging="720"/>
        <w:rPr>
          <w:b/>
        </w:rPr>
      </w:pPr>
    </w:p>
    <w:p w:rsidR="00E75353" w:rsidRPr="0013032B" w:rsidRDefault="00E75353" w:rsidP="00E86773">
      <w:pPr>
        <w:pStyle w:val="Header"/>
        <w:tabs>
          <w:tab w:val="clear" w:pos="4320"/>
          <w:tab w:val="clear" w:pos="8640"/>
        </w:tabs>
        <w:ind w:left="2160" w:hanging="720"/>
      </w:pPr>
      <w:r w:rsidRPr="0013032B">
        <w:t>e.</w:t>
      </w:r>
      <w:r w:rsidRPr="0013032B">
        <w:tab/>
        <w:t xml:space="preserve">Subject to the assertion of applicable privileges, </w:t>
      </w:r>
      <w:r w:rsidR="0013032B" w:rsidRPr="0013032B">
        <w:t>r</w:t>
      </w:r>
      <w:r w:rsidRPr="0013032B">
        <w:t xml:space="preserve">espondent must answer fully, promptly and truthfully any inquiries of the Office of Probation which are directed to </w:t>
      </w:r>
      <w:r w:rsidR="0013032B" w:rsidRPr="0013032B">
        <w:t>r</w:t>
      </w:r>
      <w:r w:rsidRPr="0013032B">
        <w:t xml:space="preserve">espondent personally or in writing relating to whether </w:t>
      </w:r>
      <w:r w:rsidR="0013032B" w:rsidRPr="0013032B">
        <w:t>r</w:t>
      </w:r>
      <w:r w:rsidRPr="0013032B">
        <w:t>espondent is complying or has complied with the probation conditions;</w:t>
      </w:r>
    </w:p>
    <w:p w:rsidR="00E75353" w:rsidRPr="00235C0E" w:rsidRDefault="00E75353" w:rsidP="00E86773">
      <w:pPr>
        <w:pStyle w:val="Header"/>
        <w:tabs>
          <w:tab w:val="clear" w:pos="4320"/>
          <w:tab w:val="clear" w:pos="8640"/>
        </w:tabs>
        <w:ind w:left="2160" w:hanging="720"/>
        <w:rPr>
          <w:b/>
        </w:rPr>
      </w:pPr>
    </w:p>
    <w:p w:rsidR="009049C6" w:rsidRDefault="00E75353" w:rsidP="00E86773">
      <w:pPr>
        <w:pStyle w:val="Header"/>
        <w:tabs>
          <w:tab w:val="clear" w:pos="4320"/>
          <w:tab w:val="clear" w:pos="8640"/>
        </w:tabs>
        <w:ind w:left="2160" w:hanging="720"/>
      </w:pPr>
      <w:r w:rsidRPr="007A4789">
        <w:t>f.</w:t>
      </w:r>
      <w:r w:rsidRPr="007A4789">
        <w:tab/>
        <w:t xml:space="preserve">Within one (1) year of the effective date of the discipline herein, </w:t>
      </w:r>
      <w:r w:rsidR="0013032B" w:rsidRPr="007A4789">
        <w:t>r</w:t>
      </w:r>
      <w:r w:rsidRPr="007A4789">
        <w:t>espondent must provide to the Office of Probation satisfactory proof of attendance at a session of the Ethics School, and passage of the test given at the end of that session;</w:t>
      </w:r>
      <w:r w:rsidR="007F35A9">
        <w:t xml:space="preserve"> </w:t>
      </w:r>
    </w:p>
    <w:p w:rsidR="009049C6" w:rsidRDefault="009049C6" w:rsidP="00E86773">
      <w:pPr>
        <w:pStyle w:val="Header"/>
        <w:tabs>
          <w:tab w:val="clear" w:pos="4320"/>
          <w:tab w:val="clear" w:pos="8640"/>
        </w:tabs>
        <w:ind w:left="2160" w:hanging="720"/>
      </w:pPr>
    </w:p>
    <w:p w:rsidR="00E75353" w:rsidRPr="007A4789" w:rsidRDefault="009049C6" w:rsidP="00E86773">
      <w:pPr>
        <w:pStyle w:val="Header"/>
        <w:tabs>
          <w:tab w:val="clear" w:pos="4320"/>
          <w:tab w:val="clear" w:pos="8640"/>
        </w:tabs>
        <w:ind w:left="2160" w:hanging="720"/>
      </w:pPr>
      <w:r>
        <w:t>g.</w:t>
      </w:r>
      <w:r>
        <w:tab/>
        <w:t xml:space="preserve">Respondent must comply with all conditions of probation imposed in the underlying criminal matter and must so declare </w:t>
      </w:r>
      <w:r w:rsidR="005B4830">
        <w:t>under</w:t>
      </w:r>
      <w:r>
        <w:t xml:space="preserve"> penalty of perjury in </w:t>
      </w:r>
      <w:r>
        <w:lastRenderedPageBreak/>
        <w:t xml:space="preserve">conjunction with any quarterly report to be filed with the Office of Probation; </w:t>
      </w:r>
    </w:p>
    <w:p w:rsidR="00E75353" w:rsidRPr="00235C0E" w:rsidRDefault="00E75353" w:rsidP="00E86773">
      <w:pPr>
        <w:pStyle w:val="Header"/>
        <w:tabs>
          <w:tab w:val="clear" w:pos="4320"/>
          <w:tab w:val="clear" w:pos="8640"/>
        </w:tabs>
        <w:ind w:left="2160" w:hanging="720"/>
        <w:rPr>
          <w:b/>
        </w:rPr>
      </w:pPr>
    </w:p>
    <w:p w:rsidR="007765C5" w:rsidRDefault="009049C6" w:rsidP="009049C6">
      <w:pPr>
        <w:pStyle w:val="Header"/>
        <w:tabs>
          <w:tab w:val="clear" w:pos="4320"/>
          <w:tab w:val="clear" w:pos="8640"/>
        </w:tabs>
        <w:ind w:left="2160" w:hanging="720"/>
      </w:pPr>
      <w:r>
        <w:t>h</w:t>
      </w:r>
      <w:r w:rsidR="00E75353" w:rsidRPr="00715B31">
        <w:t>.</w:t>
      </w:r>
      <w:r w:rsidR="00E75353" w:rsidRPr="00715B31">
        <w:tab/>
      </w:r>
      <w:r>
        <w:t>Respondent must comply with all provisions and conditions of his Participation Plan/Agreement with the Lawyer Assistance Program (“LAP”) and must provide the Office of Probation with certification of completion of the LAP.  Respondent must immediately report any non-compliance with any provision(s) or condition(s) of h</w:t>
      </w:r>
      <w:r w:rsidR="00AD3F6D">
        <w:t>is</w:t>
      </w:r>
      <w:r>
        <w:t xml:space="preserve"> Participation Plan/Agreement to the Office of Probation.  Respondent must provide an appropriate waiver authorizing the LAP to provide the Office of Probation and this court with information regarding the terms and conditions of </w:t>
      </w:r>
      <w:r w:rsidR="00AD3F6D">
        <w:t>r</w:t>
      </w:r>
      <w:r>
        <w:t>espondent’s participation in the LAP and h</w:t>
      </w:r>
      <w:r w:rsidR="00AD3F6D">
        <w:t>is</w:t>
      </w:r>
      <w:r>
        <w:t xml:space="preserve">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r w:rsidR="00AC6A26">
        <w:t xml:space="preserve"> and</w:t>
      </w:r>
    </w:p>
    <w:p w:rsidR="00AD3F6D" w:rsidRDefault="00AD3F6D" w:rsidP="009049C6">
      <w:pPr>
        <w:pStyle w:val="Header"/>
        <w:tabs>
          <w:tab w:val="clear" w:pos="4320"/>
          <w:tab w:val="clear" w:pos="8640"/>
        </w:tabs>
        <w:ind w:left="2160" w:hanging="720"/>
      </w:pPr>
    </w:p>
    <w:p w:rsidR="00AD3F6D" w:rsidRPr="007765C5" w:rsidRDefault="00AD3F6D" w:rsidP="009049C6">
      <w:pPr>
        <w:pStyle w:val="Header"/>
        <w:tabs>
          <w:tab w:val="clear" w:pos="4320"/>
          <w:tab w:val="clear" w:pos="8640"/>
        </w:tabs>
        <w:ind w:left="2160" w:hanging="720"/>
      </w:pPr>
      <w:proofErr w:type="spellStart"/>
      <w:r>
        <w:t>i</w:t>
      </w:r>
      <w:proofErr w:type="spellEnd"/>
      <w:r>
        <w:t>.</w:t>
      </w:r>
      <w:r>
        <w:tab/>
        <w:t>Within one (1) year of the effective date of the discipline herein, respondent must supply to the Office of Probation, satisfactory proof of attendance at a session of the Ethics School Client Trust Accounting School, within the same period of time, and passage of the test given at the end of that session.</w:t>
      </w:r>
    </w:p>
    <w:p w:rsidR="007A4789" w:rsidRPr="007765C5" w:rsidRDefault="007A4789" w:rsidP="00E86773">
      <w:pPr>
        <w:pStyle w:val="Header"/>
        <w:tabs>
          <w:tab w:val="clear" w:pos="4320"/>
          <w:tab w:val="clear" w:pos="8640"/>
        </w:tabs>
        <w:ind w:left="2160" w:hanging="720"/>
      </w:pPr>
    </w:p>
    <w:p w:rsidR="005652D1" w:rsidRPr="007765C5" w:rsidRDefault="00B061EC" w:rsidP="00B061EC">
      <w:pPr>
        <w:pStyle w:val="Header"/>
        <w:tabs>
          <w:tab w:val="clear" w:pos="4320"/>
          <w:tab w:val="clear" w:pos="8640"/>
        </w:tabs>
        <w:spacing w:line="480" w:lineRule="auto"/>
        <w:ind w:firstLine="720"/>
      </w:pPr>
      <w:r w:rsidRPr="007765C5">
        <w:t xml:space="preserve">At the expiration of the period of probation, if </w:t>
      </w:r>
      <w:r w:rsidR="00971228">
        <w:t>Jerald Scott Bennett</w:t>
      </w:r>
      <w:r w:rsidRPr="007765C5">
        <w:t xml:space="preserve"> has complied with all conditions of probation, the </w:t>
      </w:r>
      <w:r w:rsidR="006002B1">
        <w:t>four-</w:t>
      </w:r>
      <w:r w:rsidRPr="007765C5">
        <w:t>year period of stayed suspension will be satisfied and that suspension will be terminated.</w:t>
      </w:r>
      <w:r w:rsidR="00A9702A">
        <w:rPr>
          <w:rStyle w:val="FootnoteReference"/>
        </w:rPr>
        <w:footnoteReference w:id="9"/>
      </w:r>
      <w:r w:rsidRPr="007765C5">
        <w:t xml:space="preserve">   </w:t>
      </w:r>
    </w:p>
    <w:p w:rsidR="009D4AFB" w:rsidRPr="00235C0E" w:rsidRDefault="009D4AFB" w:rsidP="00482653">
      <w:pPr>
        <w:pStyle w:val="Header"/>
        <w:tabs>
          <w:tab w:val="clear" w:pos="4320"/>
          <w:tab w:val="clear" w:pos="8640"/>
        </w:tabs>
        <w:spacing w:line="480" w:lineRule="auto"/>
        <w:rPr>
          <w:b/>
        </w:rPr>
      </w:pPr>
      <w:r w:rsidRPr="00235C0E">
        <w:rPr>
          <w:b/>
        </w:rPr>
        <w:t>Multistate Professional Responsibility Examination</w:t>
      </w:r>
    </w:p>
    <w:p w:rsidR="009D4AFB" w:rsidRDefault="00971228" w:rsidP="005652D1">
      <w:pPr>
        <w:pStyle w:val="Header"/>
        <w:tabs>
          <w:tab w:val="clear" w:pos="4320"/>
          <w:tab w:val="clear" w:pos="8640"/>
        </w:tabs>
        <w:spacing w:line="480" w:lineRule="auto"/>
        <w:ind w:firstLine="720"/>
      </w:pPr>
      <w:r>
        <w:t>It is not recommended that respondent be ordered to take and pass the Multistate Professional Responsibility Examination (“</w:t>
      </w:r>
      <w:proofErr w:type="spellStart"/>
      <w:r>
        <w:t>MPRE</w:t>
      </w:r>
      <w:proofErr w:type="spellEnd"/>
      <w:r>
        <w:t xml:space="preserve">”) as he provided to the court proof of passage of the </w:t>
      </w:r>
      <w:proofErr w:type="spellStart"/>
      <w:r>
        <w:t>MPRE</w:t>
      </w:r>
      <w:proofErr w:type="spellEnd"/>
      <w:r>
        <w:t xml:space="preserve"> given in March 2010.</w:t>
      </w:r>
    </w:p>
    <w:p w:rsidR="00076C89" w:rsidRDefault="00076C89" w:rsidP="005652D1">
      <w:pPr>
        <w:pStyle w:val="Header"/>
        <w:tabs>
          <w:tab w:val="clear" w:pos="4320"/>
          <w:tab w:val="clear" w:pos="8640"/>
        </w:tabs>
        <w:spacing w:line="480" w:lineRule="auto"/>
        <w:ind w:firstLine="720"/>
      </w:pPr>
    </w:p>
    <w:p w:rsidR="00076C89" w:rsidRDefault="00076C89" w:rsidP="005652D1">
      <w:pPr>
        <w:pStyle w:val="Header"/>
        <w:tabs>
          <w:tab w:val="clear" w:pos="4320"/>
          <w:tab w:val="clear" w:pos="8640"/>
        </w:tabs>
        <w:spacing w:line="480" w:lineRule="auto"/>
        <w:ind w:firstLine="720"/>
      </w:pPr>
    </w:p>
    <w:p w:rsidR="009D4AFB" w:rsidRPr="00235C0E" w:rsidRDefault="009D4AFB" w:rsidP="00482653">
      <w:pPr>
        <w:pStyle w:val="Header"/>
        <w:tabs>
          <w:tab w:val="clear" w:pos="4320"/>
          <w:tab w:val="clear" w:pos="8640"/>
        </w:tabs>
        <w:spacing w:line="480" w:lineRule="auto"/>
        <w:rPr>
          <w:b/>
        </w:rPr>
      </w:pPr>
      <w:r w:rsidRPr="00235C0E">
        <w:rPr>
          <w:b/>
        </w:rPr>
        <w:lastRenderedPageBreak/>
        <w:t>Costs</w:t>
      </w:r>
    </w:p>
    <w:p w:rsidR="00B061EC" w:rsidRDefault="00B061EC" w:rsidP="00B061EC">
      <w:pPr>
        <w:pStyle w:val="Header"/>
        <w:tabs>
          <w:tab w:val="clear" w:pos="4320"/>
          <w:tab w:val="clear" w:pos="8640"/>
        </w:tabs>
        <w:spacing w:line="480" w:lineRule="auto"/>
        <w:ind w:firstLine="720"/>
      </w:pPr>
      <w:r w:rsidRPr="007765C5">
        <w:t xml:space="preserve">It is recommended that costs be awarded to the State Bar in accordance with Business and Professions Code section 6086.10, and are enforceable both as provided in Business and Professions Code section </w:t>
      </w:r>
      <w:r w:rsidR="00A06E6B">
        <w:t xml:space="preserve">6140.7 and as a money judgment.  </w:t>
      </w:r>
    </w:p>
    <w:p w:rsidR="009D4AFB" w:rsidRPr="009D4AFB" w:rsidRDefault="009D4AFB" w:rsidP="009D4AFB">
      <w:pPr>
        <w:pStyle w:val="Header"/>
        <w:tabs>
          <w:tab w:val="clear" w:pos="4320"/>
          <w:tab w:val="clear" w:pos="8640"/>
        </w:tabs>
        <w:spacing w:line="480" w:lineRule="auto"/>
        <w:jc w:val="center"/>
        <w:rPr>
          <w:b/>
        </w:rPr>
      </w:pPr>
      <w:r>
        <w:rPr>
          <w:b/>
        </w:rPr>
        <w:t>DIRECTION RE DECISION AND ORDER SEALING CERTAIN DOCUMENTS</w:t>
      </w:r>
    </w:p>
    <w:p w:rsidR="005D76FC" w:rsidRPr="0087166C" w:rsidRDefault="005D76FC" w:rsidP="005D76FC">
      <w:pPr>
        <w:pStyle w:val="Header"/>
        <w:tabs>
          <w:tab w:val="clear" w:pos="4320"/>
          <w:tab w:val="clear" w:pos="8640"/>
        </w:tabs>
        <w:spacing w:line="480" w:lineRule="auto"/>
        <w:ind w:firstLine="720"/>
      </w:pPr>
      <w:r w:rsidRPr="0087166C">
        <w:t>The court directs a court case administrator to file this Decision and Order Sealing Certain Documents.  Thereafter, pursuant to rule 806(c) of the Rules of Procedure of the State Bar of California (</w:t>
      </w:r>
      <w:r w:rsidR="00306E0D">
        <w:t>“</w:t>
      </w:r>
      <w:r w:rsidRPr="0087166C">
        <w:t>Rules of Procedure</w:t>
      </w:r>
      <w:r w:rsidR="00306E0D">
        <w:t>”</w:t>
      </w:r>
      <w:r w:rsidRPr="0087166C">
        <w:t>), all other documents not previously filed in this matter are ordered sealed pursuant to rule 23 of the Rules of Procedure.</w:t>
      </w:r>
    </w:p>
    <w:p w:rsidR="005D76FC" w:rsidRPr="0087166C" w:rsidRDefault="005D76FC" w:rsidP="005D76FC">
      <w:pPr>
        <w:pStyle w:val="Header"/>
        <w:tabs>
          <w:tab w:val="clear" w:pos="4320"/>
          <w:tab w:val="clear" w:pos="8640"/>
        </w:tabs>
        <w:spacing w:line="480" w:lineRule="auto"/>
        <w:ind w:firstLine="720"/>
      </w:pPr>
      <w:r w:rsidRPr="0087166C">
        <w:t>It is further ordered that protected and sealed material will only be disclosed to:  (1) parties to the proceeding and counsel; (2</w:t>
      </w:r>
      <w:r w:rsidR="003E5CBB" w:rsidRPr="0087166C">
        <w:t>)</w:t>
      </w:r>
      <w:r w:rsidRPr="0087166C">
        <w:t xml:space="preserve"> personnel of the Supreme </w:t>
      </w:r>
      <w:r w:rsidR="003E5CBB" w:rsidRPr="0087166C">
        <w:t>C</w:t>
      </w:r>
      <w:r w:rsidRPr="0087166C">
        <w:t xml:space="preserve">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3D3B12">
      <w:pPr>
        <w:pStyle w:val="Header"/>
        <w:tabs>
          <w:tab w:val="clear" w:pos="4320"/>
          <w:tab w:val="clear" w:pos="8640"/>
        </w:tabs>
        <w:spacing w:line="480" w:lineRule="auto"/>
      </w:pPr>
    </w:p>
    <w:p w:rsidR="0042184E" w:rsidRDefault="0042184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A10411">
                <w:rPr>
                  <w:noProof/>
                </w:rPr>
                <w:t>June _____, 2010</w:t>
              </w:r>
            </w:fldSimple>
          </w:p>
        </w:tc>
        <w:tc>
          <w:tcPr>
            <w:tcW w:w="4547" w:type="dxa"/>
            <w:tcBorders>
              <w:top w:val="single" w:sz="4" w:space="0" w:color="auto"/>
              <w:bottom w:val="nil"/>
              <w:right w:val="nil"/>
            </w:tcBorders>
          </w:tcPr>
          <w:p w:rsidR="003D3B12" w:rsidRDefault="00235C0E">
            <w:bookmarkStart w:id="6" w:name="judge"/>
            <w:bookmarkEnd w:id="6"/>
            <w:r>
              <w:t>RICHARD A. HONN</w:t>
            </w:r>
          </w:p>
          <w:p w:rsidR="00235C0E" w:rsidRDefault="00235C0E" w:rsidP="00235C0E">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0A401F">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7B" w:rsidRDefault="0045247B">
      <w:r>
        <w:separator/>
      </w:r>
    </w:p>
  </w:endnote>
  <w:endnote w:type="continuationSeparator" w:id="0">
    <w:p w:rsidR="0045247B" w:rsidRDefault="00452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E6" w:rsidRDefault="00A8582B" w:rsidP="003B44D5">
    <w:pPr>
      <w:pStyle w:val="Footer"/>
      <w:framePr w:wrap="around" w:vAnchor="text" w:hAnchor="margin" w:xAlign="center" w:y="1"/>
      <w:rPr>
        <w:rStyle w:val="PageNumber"/>
      </w:rPr>
    </w:pPr>
    <w:r>
      <w:rPr>
        <w:rStyle w:val="PageNumber"/>
      </w:rPr>
      <w:fldChar w:fldCharType="begin"/>
    </w:r>
    <w:r w:rsidR="00DB7AE6">
      <w:rPr>
        <w:rStyle w:val="PageNumber"/>
      </w:rPr>
      <w:instrText xml:space="preserve">PAGE  </w:instrText>
    </w:r>
    <w:r>
      <w:rPr>
        <w:rStyle w:val="PageNumber"/>
      </w:rPr>
      <w:fldChar w:fldCharType="end"/>
    </w:r>
  </w:p>
  <w:p w:rsidR="00DB7AE6" w:rsidRDefault="00DB7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E6" w:rsidRDefault="00A8582B" w:rsidP="00200B09">
    <w:pPr>
      <w:pStyle w:val="Footer"/>
      <w:framePr w:wrap="around" w:vAnchor="text" w:hAnchor="margin" w:xAlign="center" w:y="1"/>
      <w:rPr>
        <w:rStyle w:val="PageNumber"/>
      </w:rPr>
    </w:pPr>
    <w:r>
      <w:rPr>
        <w:rStyle w:val="PageNumber"/>
      </w:rPr>
      <w:fldChar w:fldCharType="begin"/>
    </w:r>
    <w:r w:rsidR="00DB7AE6">
      <w:rPr>
        <w:rStyle w:val="PageNumber"/>
      </w:rPr>
      <w:instrText xml:space="preserve">PAGE  </w:instrText>
    </w:r>
    <w:r>
      <w:rPr>
        <w:rStyle w:val="PageNumber"/>
      </w:rPr>
      <w:fldChar w:fldCharType="separate"/>
    </w:r>
    <w:r w:rsidR="00A10411">
      <w:rPr>
        <w:rStyle w:val="PageNumber"/>
        <w:noProof/>
      </w:rPr>
      <w:t>- 10 -</w:t>
    </w:r>
    <w:r>
      <w:rPr>
        <w:rStyle w:val="PageNumber"/>
      </w:rPr>
      <w:fldChar w:fldCharType="end"/>
    </w:r>
  </w:p>
  <w:p w:rsidR="00DB7AE6" w:rsidRDefault="00DB7AE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E6" w:rsidRDefault="00DB7AE6">
    <w:pPr>
      <w:pStyle w:val="Footer"/>
      <w:framePr w:wrap="around" w:vAnchor="text" w:hAnchor="margin" w:xAlign="center" w:y="1"/>
      <w:rPr>
        <w:rStyle w:val="PageNumber"/>
      </w:rPr>
    </w:pPr>
  </w:p>
  <w:p w:rsidR="00DB7AE6" w:rsidRDefault="00DB7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7B" w:rsidRDefault="0045247B">
      <w:r>
        <w:separator/>
      </w:r>
    </w:p>
  </w:footnote>
  <w:footnote w:type="continuationSeparator" w:id="0">
    <w:p w:rsidR="0045247B" w:rsidRDefault="0045247B">
      <w:r>
        <w:continuationSeparator/>
      </w:r>
    </w:p>
  </w:footnote>
  <w:footnote w:id="1">
    <w:p w:rsidR="00C92919" w:rsidRDefault="00C92919">
      <w:pPr>
        <w:pStyle w:val="FootnoteText"/>
      </w:pPr>
      <w:r>
        <w:rPr>
          <w:rStyle w:val="FootnoteReference"/>
        </w:rPr>
        <w:footnoteRef/>
      </w:r>
      <w:r>
        <w:t xml:space="preserve"> The ADP was formerly known as the (Pilot) Program for Respondents with Substance Abuse or Mental Health Issues.</w:t>
      </w:r>
    </w:p>
  </w:footnote>
  <w:footnote w:id="2">
    <w:p w:rsidR="00DB7AE6" w:rsidRDefault="00DB7AE6" w:rsidP="002C4FED">
      <w:pPr>
        <w:pStyle w:val="FootnoteText"/>
      </w:pPr>
      <w:r>
        <w:rPr>
          <w:rStyle w:val="FootnoteReference"/>
        </w:rPr>
        <w:footnoteRef/>
      </w:r>
      <w:r>
        <w:t xml:space="preserve"> All further references to section(s) are to the Business and Professions Code, unless otherwise stated.</w:t>
      </w:r>
    </w:p>
  </w:footnote>
  <w:footnote w:id="3">
    <w:p w:rsidR="00DB7AE6" w:rsidRDefault="00DB7AE6">
      <w:pPr>
        <w:pStyle w:val="FootnoteText"/>
      </w:pPr>
      <w:r>
        <w:rPr>
          <w:rStyle w:val="FootnoteReference"/>
        </w:rPr>
        <w:footnoteRef/>
      </w:r>
      <w:r>
        <w:t xml:space="preserve"> That same day, the court issued an order granting respondent’s motion to terminate his period of involuntary inactive enrollment which commenced on May 8, 2008.</w:t>
      </w:r>
    </w:p>
  </w:footnote>
  <w:footnote w:id="4">
    <w:p w:rsidR="00DB7AE6" w:rsidRDefault="00DB7AE6" w:rsidP="00470FB3">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5">
    <w:p w:rsidR="00DB7AE6" w:rsidRDefault="00DB7AE6">
      <w:pPr>
        <w:pStyle w:val="FootnoteText"/>
      </w:pPr>
      <w:r>
        <w:rPr>
          <w:rStyle w:val="FootnoteReference"/>
        </w:rPr>
        <w:footnoteRef/>
      </w:r>
      <w:r>
        <w:t xml:space="preserve"> All further references to standard(s) or std. are to this source.        </w:t>
      </w:r>
    </w:p>
  </w:footnote>
  <w:footnote w:id="6">
    <w:p w:rsidR="00DB7AE6" w:rsidRDefault="00DB7AE6">
      <w:pPr>
        <w:pStyle w:val="FootnoteText"/>
      </w:pPr>
      <w:r>
        <w:rPr>
          <w:rStyle w:val="FootnoteReference"/>
        </w:rPr>
        <w:footnoteRef/>
      </w:r>
      <w:r>
        <w:t xml:space="preserve"> Pursuant to Evidence Code section 452, subdivision (h), the court takes judicial notice of respondent’s membership records.</w:t>
      </w:r>
    </w:p>
  </w:footnote>
  <w:footnote w:id="7">
    <w:p w:rsidR="00DB7AE6" w:rsidRDefault="00DB7AE6">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8">
    <w:p w:rsidR="00DB7AE6" w:rsidRDefault="00DB7AE6">
      <w:pPr>
        <w:pStyle w:val="FootnoteText"/>
      </w:pPr>
      <w:r>
        <w:rPr>
          <w:rStyle w:val="FootnoteReference"/>
        </w:rPr>
        <w:footnoteRef/>
      </w:r>
      <w:r>
        <w:t xml:space="preserve"> Upon granting relief from this period of involuntary inactive enrollment, the court found respondent provided satisfactory proof of his rehabilitation, present fitness to practice, and present learning and ability in the general law.</w:t>
      </w:r>
    </w:p>
  </w:footnote>
  <w:footnote w:id="9">
    <w:p w:rsidR="00DB7AE6" w:rsidRDefault="00DB7AE6">
      <w:pPr>
        <w:pStyle w:val="FootnoteText"/>
      </w:pPr>
      <w:r>
        <w:rPr>
          <w:rStyle w:val="FootnoteReference"/>
        </w:rPr>
        <w:footnoteRef/>
      </w:r>
      <w:r>
        <w:t xml:space="preserve"> It is recommended that respondent receive credit for the period of his inactive enrollment under section 6233 toward his period of suspension imposed in this matter.  If such recommendation is adopted by the Supreme Court, respondent will not serve any period of suspension after the effective date of the Supreme Court’s order imposing discipline in this matter.  It is therefore not recommended that respondent be ordered to comply with rule 9.20 of the California Rules of Court.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234881"/>
    <w:rsid w:val="000001C8"/>
    <w:rsid w:val="00000FA1"/>
    <w:rsid w:val="00031C28"/>
    <w:rsid w:val="000377E0"/>
    <w:rsid w:val="00044B9D"/>
    <w:rsid w:val="00052359"/>
    <w:rsid w:val="000562A8"/>
    <w:rsid w:val="000563AD"/>
    <w:rsid w:val="00072239"/>
    <w:rsid w:val="0007408B"/>
    <w:rsid w:val="000755BE"/>
    <w:rsid w:val="00076C89"/>
    <w:rsid w:val="000778C3"/>
    <w:rsid w:val="00082E5D"/>
    <w:rsid w:val="000A401F"/>
    <w:rsid w:val="000C2BF3"/>
    <w:rsid w:val="000C6399"/>
    <w:rsid w:val="001057C1"/>
    <w:rsid w:val="00123C5D"/>
    <w:rsid w:val="0013032B"/>
    <w:rsid w:val="00144F69"/>
    <w:rsid w:val="0016080F"/>
    <w:rsid w:val="00175112"/>
    <w:rsid w:val="00175260"/>
    <w:rsid w:val="00184386"/>
    <w:rsid w:val="00185C8B"/>
    <w:rsid w:val="001902E8"/>
    <w:rsid w:val="00190B5D"/>
    <w:rsid w:val="001954E3"/>
    <w:rsid w:val="001C5B3B"/>
    <w:rsid w:val="001C7218"/>
    <w:rsid w:val="001E695C"/>
    <w:rsid w:val="00200B09"/>
    <w:rsid w:val="00210817"/>
    <w:rsid w:val="0021380F"/>
    <w:rsid w:val="0023156C"/>
    <w:rsid w:val="00233AD7"/>
    <w:rsid w:val="00234881"/>
    <w:rsid w:val="00235C0E"/>
    <w:rsid w:val="00240E83"/>
    <w:rsid w:val="0024564F"/>
    <w:rsid w:val="002578AC"/>
    <w:rsid w:val="002679C2"/>
    <w:rsid w:val="00270F5C"/>
    <w:rsid w:val="002B4594"/>
    <w:rsid w:val="002C4FED"/>
    <w:rsid w:val="002D1770"/>
    <w:rsid w:val="002D3C36"/>
    <w:rsid w:val="002D4DC3"/>
    <w:rsid w:val="002E3BC0"/>
    <w:rsid w:val="002E7B00"/>
    <w:rsid w:val="002F36F9"/>
    <w:rsid w:val="00306E0D"/>
    <w:rsid w:val="00311734"/>
    <w:rsid w:val="00332D3C"/>
    <w:rsid w:val="00334A94"/>
    <w:rsid w:val="0034236B"/>
    <w:rsid w:val="003516BB"/>
    <w:rsid w:val="00356A0D"/>
    <w:rsid w:val="00362959"/>
    <w:rsid w:val="00383F33"/>
    <w:rsid w:val="00386130"/>
    <w:rsid w:val="00390C43"/>
    <w:rsid w:val="003A38CF"/>
    <w:rsid w:val="003B44D5"/>
    <w:rsid w:val="003C3B80"/>
    <w:rsid w:val="003D3B12"/>
    <w:rsid w:val="003E5CBB"/>
    <w:rsid w:val="003F0AC9"/>
    <w:rsid w:val="00403152"/>
    <w:rsid w:val="00410EA0"/>
    <w:rsid w:val="00420201"/>
    <w:rsid w:val="0042184E"/>
    <w:rsid w:val="00430011"/>
    <w:rsid w:val="0045247B"/>
    <w:rsid w:val="0045490B"/>
    <w:rsid w:val="00470744"/>
    <w:rsid w:val="00470FB3"/>
    <w:rsid w:val="00482653"/>
    <w:rsid w:val="004A21F8"/>
    <w:rsid w:val="004A7F1E"/>
    <w:rsid w:val="004B4EA2"/>
    <w:rsid w:val="004D0142"/>
    <w:rsid w:val="004D0886"/>
    <w:rsid w:val="004D30F6"/>
    <w:rsid w:val="004D77D7"/>
    <w:rsid w:val="004E03DB"/>
    <w:rsid w:val="004F238C"/>
    <w:rsid w:val="004F2E8C"/>
    <w:rsid w:val="00506DEA"/>
    <w:rsid w:val="005175BA"/>
    <w:rsid w:val="00526C44"/>
    <w:rsid w:val="0054324E"/>
    <w:rsid w:val="005537FD"/>
    <w:rsid w:val="005652D1"/>
    <w:rsid w:val="00570362"/>
    <w:rsid w:val="00572BB3"/>
    <w:rsid w:val="00584EFA"/>
    <w:rsid w:val="005A7058"/>
    <w:rsid w:val="005B4830"/>
    <w:rsid w:val="005C0340"/>
    <w:rsid w:val="005C486D"/>
    <w:rsid w:val="005D1656"/>
    <w:rsid w:val="005D76FC"/>
    <w:rsid w:val="005E470A"/>
    <w:rsid w:val="006002B1"/>
    <w:rsid w:val="00600770"/>
    <w:rsid w:val="00615079"/>
    <w:rsid w:val="00616E31"/>
    <w:rsid w:val="00637446"/>
    <w:rsid w:val="00661824"/>
    <w:rsid w:val="006634F9"/>
    <w:rsid w:val="00673FE1"/>
    <w:rsid w:val="006832E6"/>
    <w:rsid w:val="006A2103"/>
    <w:rsid w:val="006A4101"/>
    <w:rsid w:val="006B3968"/>
    <w:rsid w:val="006C07E3"/>
    <w:rsid w:val="006D2018"/>
    <w:rsid w:val="006E2974"/>
    <w:rsid w:val="006E3A4B"/>
    <w:rsid w:val="006E424E"/>
    <w:rsid w:val="00704DCC"/>
    <w:rsid w:val="00715B31"/>
    <w:rsid w:val="00754F47"/>
    <w:rsid w:val="007757BB"/>
    <w:rsid w:val="007765C5"/>
    <w:rsid w:val="0078380F"/>
    <w:rsid w:val="00794598"/>
    <w:rsid w:val="007A4789"/>
    <w:rsid w:val="007B0C86"/>
    <w:rsid w:val="007E2698"/>
    <w:rsid w:val="007E4240"/>
    <w:rsid w:val="007F35A9"/>
    <w:rsid w:val="00804569"/>
    <w:rsid w:val="00814B33"/>
    <w:rsid w:val="00831986"/>
    <w:rsid w:val="00865EB7"/>
    <w:rsid w:val="0087166C"/>
    <w:rsid w:val="008923A3"/>
    <w:rsid w:val="008A07C5"/>
    <w:rsid w:val="008A461F"/>
    <w:rsid w:val="008A65A5"/>
    <w:rsid w:val="008E089F"/>
    <w:rsid w:val="008E0D2A"/>
    <w:rsid w:val="008E14DA"/>
    <w:rsid w:val="008F2D49"/>
    <w:rsid w:val="008F59F8"/>
    <w:rsid w:val="008F5B86"/>
    <w:rsid w:val="00903886"/>
    <w:rsid w:val="009049C6"/>
    <w:rsid w:val="009153D5"/>
    <w:rsid w:val="009217AA"/>
    <w:rsid w:val="00931C20"/>
    <w:rsid w:val="00941EF4"/>
    <w:rsid w:val="00946047"/>
    <w:rsid w:val="0095736E"/>
    <w:rsid w:val="00961EF8"/>
    <w:rsid w:val="00965994"/>
    <w:rsid w:val="00971228"/>
    <w:rsid w:val="009A5B78"/>
    <w:rsid w:val="009A692D"/>
    <w:rsid w:val="009C035D"/>
    <w:rsid w:val="009D1487"/>
    <w:rsid w:val="009D4AFB"/>
    <w:rsid w:val="009F6C0F"/>
    <w:rsid w:val="00A04090"/>
    <w:rsid w:val="00A06BBB"/>
    <w:rsid w:val="00A06E6B"/>
    <w:rsid w:val="00A10411"/>
    <w:rsid w:val="00A2063E"/>
    <w:rsid w:val="00A2267D"/>
    <w:rsid w:val="00A362C1"/>
    <w:rsid w:val="00A41A20"/>
    <w:rsid w:val="00A41F81"/>
    <w:rsid w:val="00A50CB1"/>
    <w:rsid w:val="00A54A59"/>
    <w:rsid w:val="00A5595F"/>
    <w:rsid w:val="00A807FE"/>
    <w:rsid w:val="00A8100D"/>
    <w:rsid w:val="00A84FCE"/>
    <w:rsid w:val="00A8582B"/>
    <w:rsid w:val="00A9702A"/>
    <w:rsid w:val="00A9717D"/>
    <w:rsid w:val="00AA0D14"/>
    <w:rsid w:val="00AB2C20"/>
    <w:rsid w:val="00AC6A26"/>
    <w:rsid w:val="00AD3F6D"/>
    <w:rsid w:val="00AE1677"/>
    <w:rsid w:val="00AF5C81"/>
    <w:rsid w:val="00B061EC"/>
    <w:rsid w:val="00B36097"/>
    <w:rsid w:val="00B47C20"/>
    <w:rsid w:val="00B634D9"/>
    <w:rsid w:val="00B66A9C"/>
    <w:rsid w:val="00B67517"/>
    <w:rsid w:val="00B773BD"/>
    <w:rsid w:val="00B82ADE"/>
    <w:rsid w:val="00B947B6"/>
    <w:rsid w:val="00BF2C55"/>
    <w:rsid w:val="00C06D69"/>
    <w:rsid w:val="00C3557F"/>
    <w:rsid w:val="00C50469"/>
    <w:rsid w:val="00C56FAB"/>
    <w:rsid w:val="00C860C1"/>
    <w:rsid w:val="00C92919"/>
    <w:rsid w:val="00CA0EED"/>
    <w:rsid w:val="00CA1FC5"/>
    <w:rsid w:val="00CA5AA6"/>
    <w:rsid w:val="00CC0007"/>
    <w:rsid w:val="00CE1DE9"/>
    <w:rsid w:val="00CE6438"/>
    <w:rsid w:val="00CF0364"/>
    <w:rsid w:val="00CF45DA"/>
    <w:rsid w:val="00D17C6D"/>
    <w:rsid w:val="00D47088"/>
    <w:rsid w:val="00D510A2"/>
    <w:rsid w:val="00DB0560"/>
    <w:rsid w:val="00DB57F3"/>
    <w:rsid w:val="00DB7AE6"/>
    <w:rsid w:val="00DC0704"/>
    <w:rsid w:val="00DE1EA8"/>
    <w:rsid w:val="00DF3596"/>
    <w:rsid w:val="00DF5636"/>
    <w:rsid w:val="00E32AEB"/>
    <w:rsid w:val="00E334B7"/>
    <w:rsid w:val="00E35A40"/>
    <w:rsid w:val="00E4526B"/>
    <w:rsid w:val="00E50146"/>
    <w:rsid w:val="00E511ED"/>
    <w:rsid w:val="00E63861"/>
    <w:rsid w:val="00E640EB"/>
    <w:rsid w:val="00E66C44"/>
    <w:rsid w:val="00E75353"/>
    <w:rsid w:val="00E765AD"/>
    <w:rsid w:val="00E819CE"/>
    <w:rsid w:val="00E84175"/>
    <w:rsid w:val="00E86773"/>
    <w:rsid w:val="00EA3E75"/>
    <w:rsid w:val="00EB0DE2"/>
    <w:rsid w:val="00EC0B88"/>
    <w:rsid w:val="00EC4909"/>
    <w:rsid w:val="00EC5161"/>
    <w:rsid w:val="00ED10A7"/>
    <w:rsid w:val="00EE3AFC"/>
    <w:rsid w:val="00F25703"/>
    <w:rsid w:val="00F4463D"/>
    <w:rsid w:val="00F5165B"/>
    <w:rsid w:val="00F51953"/>
    <w:rsid w:val="00F51B48"/>
    <w:rsid w:val="00F5252B"/>
    <w:rsid w:val="00F86190"/>
    <w:rsid w:val="00FC1EC1"/>
    <w:rsid w:val="00FC2121"/>
    <w:rsid w:val="00FD06B1"/>
    <w:rsid w:val="00FD3C62"/>
    <w:rsid w:val="00FF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link w:val="FootnoteTextChar"/>
    <w:semiHidden/>
    <w:rsid w:val="00A2063E"/>
    <w:pPr>
      <w:ind w:firstLine="720"/>
    </w:pPr>
    <w:rPr>
      <w:szCs w:val="20"/>
    </w:rPr>
  </w:style>
  <w:style w:type="character" w:styleId="FootnoteReference">
    <w:name w:val="footnote reference"/>
    <w:basedOn w:val="DefaultParagraphFont"/>
    <w:semiHidden/>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510A2"/>
    <w:rPr>
      <w:sz w:val="24"/>
      <w:szCs w:val="24"/>
      <w:lang w:val="en-US" w:eastAsia="en-US" w:bidi="ar-SA"/>
    </w:rPr>
  </w:style>
  <w:style w:type="character" w:customStyle="1" w:styleId="FootnoteTextChar">
    <w:name w:val="Footnote Text Char"/>
    <w:basedOn w:val="DefaultParagraphFont"/>
    <w:link w:val="FootnoteText"/>
    <w:semiHidden/>
    <w:rsid w:val="0017511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AC75-E575-407C-8B06-5D5F63DE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10</Pages>
  <Words>2560</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2010-06-23T22:02:00Z</cp:lastPrinted>
  <dcterms:created xsi:type="dcterms:W3CDTF">2010-06-24T17:13:00Z</dcterms:created>
  <dcterms:modified xsi:type="dcterms:W3CDTF">2010-06-24T17:13:00Z</dcterms:modified>
</cp:coreProperties>
</file>