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C8" w:rsidRPr="00497A94" w:rsidRDefault="00636F4B" w:rsidP="00497A94">
      <w:pPr>
        <w:pStyle w:val="Footnote"/>
      </w:pPr>
      <w:r>
        <w:t>P</w:t>
      </w:r>
      <w:r w:rsidR="00A836CE">
        <w:t>UBLIC MATTER - NOT DESIGNATED FOR PUBLICATION</w:t>
      </w:r>
    </w:p>
    <w:p w:rsidR="00C11CC8" w:rsidRDefault="00C11CC8" w:rsidP="0035786F">
      <w:pPr>
        <w:spacing w:line="240" w:lineRule="auto"/>
      </w:pPr>
    </w:p>
    <w:p w:rsidR="00840DFE" w:rsidRDefault="00840DFE" w:rsidP="0035786F">
      <w:pPr>
        <w:spacing w:line="240" w:lineRule="auto"/>
      </w:pPr>
    </w:p>
    <w:p w:rsidR="0035786F" w:rsidRPr="00F55343" w:rsidRDefault="00185B5B">
      <w:pPr>
        <w:rPr>
          <w:b/>
        </w:rPr>
      </w:pPr>
      <w:r>
        <w:tab/>
      </w:r>
      <w:r>
        <w:tab/>
      </w:r>
      <w:r>
        <w:tab/>
      </w:r>
      <w:r>
        <w:tab/>
      </w:r>
      <w:r>
        <w:tab/>
      </w:r>
      <w:r>
        <w:tab/>
      </w:r>
      <w:r>
        <w:tab/>
      </w:r>
      <w:r w:rsidR="00A47402">
        <w:rPr>
          <w:b/>
        </w:rPr>
        <w:t>FILED AUGUST 11, 2</w:t>
      </w:r>
      <w:r w:rsidRPr="00F55343">
        <w:rPr>
          <w:b/>
        </w:rPr>
        <w:t>010</w:t>
      </w:r>
    </w:p>
    <w:p w:rsidR="0035786F" w:rsidRPr="00C11CC8" w:rsidRDefault="0035786F"/>
    <w:p w:rsidR="00C11CC8" w:rsidRPr="00C11CC8" w:rsidRDefault="00C11CC8" w:rsidP="00C11CC8">
      <w:pPr>
        <w:spacing w:line="240" w:lineRule="auto"/>
        <w:jc w:val="center"/>
        <w:rPr>
          <w:b/>
        </w:rPr>
      </w:pPr>
      <w:r w:rsidRPr="00C11CC8">
        <w:rPr>
          <w:b/>
        </w:rPr>
        <w:t>REVIEW DEPARTMENT OF THE STATE BAR COURT</w:t>
      </w:r>
    </w:p>
    <w:p w:rsidR="00C11CC8" w:rsidRPr="00C11CC8" w:rsidRDefault="00C11CC8" w:rsidP="00C11CC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4"/>
        <w:gridCol w:w="900"/>
        <w:gridCol w:w="4204"/>
      </w:tblGrid>
      <w:tr w:rsidR="00C11CC8" w:rsidRPr="00C11CC8" w:rsidTr="002E3918">
        <w:tc>
          <w:tcPr>
            <w:tcW w:w="4416" w:type="dxa"/>
            <w:tcBorders>
              <w:top w:val="nil"/>
              <w:left w:val="nil"/>
              <w:right w:val="nil"/>
            </w:tcBorders>
            <w:tcMar>
              <w:left w:w="0" w:type="dxa"/>
              <w:right w:w="0" w:type="dxa"/>
            </w:tcMar>
          </w:tcPr>
          <w:p w:rsidR="00C11CC8" w:rsidRDefault="00C11CC8" w:rsidP="002E3918">
            <w:pPr>
              <w:spacing w:line="240" w:lineRule="auto"/>
            </w:pPr>
            <w:r>
              <w:t>In the Matter of</w:t>
            </w:r>
          </w:p>
          <w:p w:rsidR="009216E0" w:rsidRDefault="009216E0" w:rsidP="002E3918">
            <w:pPr>
              <w:spacing w:line="240" w:lineRule="auto"/>
            </w:pPr>
          </w:p>
          <w:p w:rsidR="00C11CC8" w:rsidRPr="002E3918" w:rsidRDefault="00A836CE" w:rsidP="002E3918">
            <w:pPr>
              <w:spacing w:line="240" w:lineRule="auto"/>
              <w:rPr>
                <w:b/>
              </w:rPr>
            </w:pPr>
            <w:bookmarkStart w:id="0" w:name="Respondent"/>
            <w:bookmarkEnd w:id="0"/>
            <w:r w:rsidRPr="002E3918">
              <w:rPr>
                <w:b/>
              </w:rPr>
              <w:t>EDGAR LOUIS BORNE III</w:t>
            </w:r>
            <w:r w:rsidR="00C11CC8" w:rsidRPr="002E3918">
              <w:rPr>
                <w:b/>
              </w:rPr>
              <w:t>,</w:t>
            </w:r>
          </w:p>
          <w:p w:rsidR="009216E0" w:rsidRDefault="009216E0" w:rsidP="002E3918">
            <w:pPr>
              <w:spacing w:line="240" w:lineRule="auto"/>
            </w:pPr>
          </w:p>
          <w:p w:rsidR="009216E0" w:rsidRPr="009216E0" w:rsidRDefault="00A836CE" w:rsidP="002E3918">
            <w:pPr>
              <w:spacing w:line="240" w:lineRule="auto"/>
            </w:pPr>
            <w:bookmarkStart w:id="1" w:name="type"/>
            <w:bookmarkEnd w:id="1"/>
            <w:r>
              <w:t>A Member of the State Bar.</w:t>
            </w:r>
          </w:p>
          <w:p w:rsidR="009216E0" w:rsidRPr="00C11CC8" w:rsidRDefault="009216E0" w:rsidP="002E3918">
            <w:pPr>
              <w:spacing w:line="240" w:lineRule="auto"/>
            </w:pPr>
          </w:p>
        </w:tc>
        <w:tc>
          <w:tcPr>
            <w:tcW w:w="912" w:type="dxa"/>
            <w:tcBorders>
              <w:top w:val="nil"/>
              <w:left w:val="nil"/>
              <w:bottom w:val="nil"/>
              <w:right w:val="nil"/>
            </w:tcBorders>
            <w:tcMar>
              <w:left w:w="0" w:type="dxa"/>
              <w:right w:w="0" w:type="dxa"/>
            </w:tcMar>
          </w:tcPr>
          <w:p w:rsidR="00C11CC8" w:rsidRPr="002E3918" w:rsidRDefault="00C11CC8" w:rsidP="002E3918">
            <w:pPr>
              <w:spacing w:line="240" w:lineRule="auto"/>
              <w:rPr>
                <w:b/>
              </w:rPr>
            </w:pPr>
            <w:r w:rsidRPr="002E3918">
              <w:rPr>
                <w:b/>
              </w:rPr>
              <w:t>)</w:t>
            </w:r>
          </w:p>
          <w:p w:rsidR="009216E0" w:rsidRPr="002E3918" w:rsidRDefault="009216E0" w:rsidP="002E3918">
            <w:pPr>
              <w:spacing w:line="240" w:lineRule="auto"/>
              <w:rPr>
                <w:b/>
              </w:rPr>
            </w:pPr>
            <w:r w:rsidRPr="002E3918">
              <w:rPr>
                <w:b/>
              </w:rPr>
              <w:t>)</w:t>
            </w:r>
            <w:r w:rsidRPr="002E3918">
              <w:rPr>
                <w:b/>
              </w:rPr>
              <w:br/>
              <w:t>)</w:t>
            </w:r>
            <w:r w:rsidRPr="002E3918">
              <w:rPr>
                <w:b/>
              </w:rPr>
              <w:br/>
              <w:t>)</w:t>
            </w:r>
            <w:r w:rsidRPr="002E3918">
              <w:rPr>
                <w:b/>
              </w:rPr>
              <w:br/>
              <w:t>)</w:t>
            </w:r>
            <w:r w:rsidRPr="002E3918">
              <w:rPr>
                <w:b/>
              </w:rPr>
              <w:br/>
              <w:t>)</w:t>
            </w:r>
          </w:p>
        </w:tc>
        <w:tc>
          <w:tcPr>
            <w:tcW w:w="4248" w:type="dxa"/>
            <w:tcBorders>
              <w:top w:val="nil"/>
              <w:left w:val="nil"/>
              <w:bottom w:val="nil"/>
              <w:right w:val="nil"/>
            </w:tcBorders>
          </w:tcPr>
          <w:p w:rsidR="00C11CC8" w:rsidRPr="002E3918" w:rsidRDefault="00C11CC8" w:rsidP="002E3918">
            <w:pPr>
              <w:spacing w:line="240" w:lineRule="auto"/>
              <w:rPr>
                <w:b/>
              </w:rPr>
            </w:pPr>
            <w:r>
              <w:t>No</w:t>
            </w:r>
            <w:r w:rsidR="002D6663">
              <w:t>s</w:t>
            </w:r>
            <w:r w:rsidRPr="00242A71">
              <w:t>.</w:t>
            </w:r>
            <w:r w:rsidR="009216E0" w:rsidRPr="002E3918">
              <w:rPr>
                <w:b/>
              </w:rPr>
              <w:t xml:space="preserve"> </w:t>
            </w:r>
            <w:bookmarkStart w:id="2" w:name="caseno"/>
            <w:bookmarkEnd w:id="2"/>
            <w:r w:rsidR="00A836CE" w:rsidRPr="002E3918">
              <w:rPr>
                <w:b/>
              </w:rPr>
              <w:t>04-O-11970, 04-O-14219</w:t>
            </w:r>
            <w:r w:rsidR="00127B24">
              <w:rPr>
                <w:b/>
              </w:rPr>
              <w:t xml:space="preserve"> (Cons.)</w:t>
            </w:r>
          </w:p>
          <w:p w:rsidR="009216E0" w:rsidRDefault="009216E0" w:rsidP="002E3918">
            <w:pPr>
              <w:spacing w:line="240" w:lineRule="auto"/>
            </w:pPr>
          </w:p>
          <w:p w:rsidR="007F537A" w:rsidRPr="002E3918" w:rsidRDefault="00A836CE" w:rsidP="002E3918">
            <w:pPr>
              <w:spacing w:line="240" w:lineRule="auto"/>
              <w:rPr>
                <w:b/>
              </w:rPr>
            </w:pPr>
            <w:bookmarkStart w:id="3" w:name="title"/>
            <w:bookmarkEnd w:id="3"/>
            <w:r w:rsidRPr="002E3918">
              <w:rPr>
                <w:b/>
              </w:rPr>
              <w:t>OPINION ON REVIEW</w:t>
            </w:r>
          </w:p>
          <w:p w:rsidR="00AE076B" w:rsidRDefault="00AE076B" w:rsidP="009D3C43">
            <w:pPr>
              <w:spacing w:line="240" w:lineRule="auto"/>
              <w:rPr>
                <w:b/>
              </w:rPr>
            </w:pPr>
          </w:p>
        </w:tc>
      </w:tr>
    </w:tbl>
    <w:p w:rsidR="00C11CC8" w:rsidRDefault="00C11CC8" w:rsidP="00C11CC8"/>
    <w:p w:rsidR="002B2488" w:rsidRDefault="002B2488" w:rsidP="002B2488">
      <w:r>
        <w:tab/>
      </w:r>
      <w:r w:rsidR="0068767E">
        <w:t xml:space="preserve">This is respondent Edgar Louis Borne </w:t>
      </w:r>
      <w:proofErr w:type="spellStart"/>
      <w:r w:rsidR="0068767E">
        <w:t>III’s</w:t>
      </w:r>
      <w:proofErr w:type="spellEnd"/>
      <w:r w:rsidR="0068767E">
        <w:t xml:space="preserve"> fifth disciplinary proceeding.  He </w:t>
      </w:r>
      <w:r w:rsidR="00067A99">
        <w:t>requests</w:t>
      </w:r>
      <w:r>
        <w:t xml:space="preserve"> review of a hearing judge’s recommendation that he be disbarred for misconduct </w:t>
      </w:r>
      <w:r w:rsidR="00067A99">
        <w:t xml:space="preserve">involving </w:t>
      </w:r>
      <w:r>
        <w:t>two clients in two separate matters</w:t>
      </w:r>
      <w:r w:rsidR="007571CB">
        <w:t xml:space="preserve">.  </w:t>
      </w:r>
      <w:r>
        <w:t xml:space="preserve">The hearing judge found in one matter that Borne did not perform with competence because he failed to respond to a </w:t>
      </w:r>
      <w:r w:rsidR="006A51A2">
        <w:t xml:space="preserve">marital </w:t>
      </w:r>
      <w:r>
        <w:t xml:space="preserve">petition, </w:t>
      </w:r>
      <w:r w:rsidRPr="0031794E">
        <w:t xml:space="preserve">resulting in </w:t>
      </w:r>
      <w:r w:rsidR="006A51A2" w:rsidRPr="0031794E">
        <w:t>a</w:t>
      </w:r>
      <w:r w:rsidRPr="0031794E">
        <w:t xml:space="preserve"> default against</w:t>
      </w:r>
      <w:r w:rsidR="006A51A2" w:rsidRPr="0031794E">
        <w:t xml:space="preserve"> his</w:t>
      </w:r>
      <w:r w:rsidRPr="0031794E">
        <w:t xml:space="preserve"> client</w:t>
      </w:r>
      <w:r>
        <w:t xml:space="preserve">.  In the </w:t>
      </w:r>
      <w:r w:rsidR="00D82BE8">
        <w:t>second</w:t>
      </w:r>
      <w:r>
        <w:t xml:space="preserve"> </w:t>
      </w:r>
      <w:r w:rsidR="008E506F">
        <w:t>matter</w:t>
      </w:r>
      <w:r>
        <w:t xml:space="preserve">, the hearing judge found that Borne committed an act of moral turpitude because he threatened to accuse his incarcerated client of perjury and to testify negatively against him during </w:t>
      </w:r>
      <w:r w:rsidR="00067A99">
        <w:t>a</w:t>
      </w:r>
      <w:r>
        <w:t xml:space="preserve"> parole hearing unless </w:t>
      </w:r>
      <w:r w:rsidR="00067A99">
        <w:t>the client</w:t>
      </w:r>
      <w:r>
        <w:t xml:space="preserve"> withdrew his State Bar complaint</w:t>
      </w:r>
      <w:r w:rsidR="00E013C3">
        <w:t xml:space="preserve"> against Borne</w:t>
      </w:r>
      <w:r>
        <w:t xml:space="preserve">.  </w:t>
      </w:r>
      <w:r w:rsidR="008E506F">
        <w:t>T</w:t>
      </w:r>
      <w:r>
        <w:t xml:space="preserve">he hearing judge </w:t>
      </w:r>
      <w:r w:rsidR="008E506F">
        <w:t xml:space="preserve">also </w:t>
      </w:r>
      <w:r>
        <w:t xml:space="preserve">found </w:t>
      </w:r>
      <w:r w:rsidR="008D2DFA">
        <w:t xml:space="preserve">that </w:t>
      </w:r>
      <w:r>
        <w:t xml:space="preserve">Borne failed to cooperate with the State Bar </w:t>
      </w:r>
      <w:r w:rsidR="008930EE">
        <w:t xml:space="preserve">by </w:t>
      </w:r>
      <w:r w:rsidR="008E506F">
        <w:t>not</w:t>
      </w:r>
      <w:r w:rsidR="008930EE">
        <w:t xml:space="preserve"> respond</w:t>
      </w:r>
      <w:r w:rsidR="008E506F">
        <w:t>ing</w:t>
      </w:r>
      <w:r w:rsidR="008930EE">
        <w:t xml:space="preserve"> to an investigator</w:t>
      </w:r>
      <w:r w:rsidR="008E506F">
        <w:t>’</w:t>
      </w:r>
      <w:r w:rsidR="008930EE">
        <w:t>s letters re</w:t>
      </w:r>
      <w:r w:rsidR="007571CB">
        <w:t>garding the client’s complaint.</w:t>
      </w:r>
      <w:r w:rsidR="008930EE">
        <w:t xml:space="preserve"> </w:t>
      </w:r>
    </w:p>
    <w:p w:rsidR="002B2488" w:rsidRDefault="008930EE" w:rsidP="004A7992">
      <w:pPr>
        <w:ind w:firstLine="720"/>
      </w:pPr>
      <w:r>
        <w:t xml:space="preserve">Borne </w:t>
      </w:r>
      <w:r w:rsidR="002B2488">
        <w:t>disputes the hearing judge’s culpability findings</w:t>
      </w:r>
      <w:r w:rsidR="0068767E">
        <w:t xml:space="preserve"> and </w:t>
      </w:r>
      <w:r w:rsidR="00ED0797">
        <w:t xml:space="preserve">contends that </w:t>
      </w:r>
      <w:r w:rsidR="00890AAE">
        <w:t xml:space="preserve">the hearing judge wrongfully denied </w:t>
      </w:r>
      <w:r w:rsidR="00C22394">
        <w:t xml:space="preserve">the admission of </w:t>
      </w:r>
      <w:r w:rsidR="00890AAE">
        <w:t>evidence</w:t>
      </w:r>
      <w:r w:rsidR="00C22394">
        <w:t xml:space="preserve"> </w:t>
      </w:r>
      <w:r w:rsidR="00067A99">
        <w:t>about</w:t>
      </w:r>
      <w:r w:rsidR="00D82BE8">
        <w:t xml:space="preserve"> his</w:t>
      </w:r>
      <w:r w:rsidR="00C22394">
        <w:t xml:space="preserve"> </w:t>
      </w:r>
      <w:r w:rsidR="007571CB">
        <w:t>rehabilitati</w:t>
      </w:r>
      <w:r w:rsidR="002D6663">
        <w:t>on</w:t>
      </w:r>
      <w:r w:rsidR="00A366C1">
        <w:t xml:space="preserve">.  </w:t>
      </w:r>
      <w:r w:rsidR="00C22394">
        <w:t>Borne</w:t>
      </w:r>
      <w:r w:rsidR="00ED0797">
        <w:t xml:space="preserve"> </w:t>
      </w:r>
      <w:r w:rsidR="00067A99">
        <w:t>also asserts</w:t>
      </w:r>
      <w:r w:rsidR="00ED0797">
        <w:t xml:space="preserve"> that </w:t>
      </w:r>
      <w:r w:rsidR="004440BA">
        <w:t xml:space="preserve">the hearing judge’s </w:t>
      </w:r>
      <w:r w:rsidR="00C22394">
        <w:t xml:space="preserve">disbarment </w:t>
      </w:r>
      <w:r w:rsidR="004440BA">
        <w:t xml:space="preserve">recommendation </w:t>
      </w:r>
      <w:r w:rsidR="00C22394">
        <w:t xml:space="preserve">is excessive and that </w:t>
      </w:r>
      <w:r w:rsidR="007571CB">
        <w:t>two</w:t>
      </w:r>
      <w:r w:rsidR="00234258">
        <w:t xml:space="preserve"> </w:t>
      </w:r>
      <w:r w:rsidR="007571CB">
        <w:t>year</w:t>
      </w:r>
      <w:r w:rsidR="00234258">
        <w:t>s</w:t>
      </w:r>
      <w:r w:rsidR="00C22394">
        <w:t>’</w:t>
      </w:r>
      <w:r w:rsidR="00ED0797">
        <w:t xml:space="preserve"> actual</w:t>
      </w:r>
      <w:r w:rsidR="007571CB">
        <w:t xml:space="preserve"> suspension</w:t>
      </w:r>
      <w:r w:rsidR="00ED0797">
        <w:t xml:space="preserve"> is the appropriate discipline.  </w:t>
      </w:r>
      <w:r w:rsidR="002B2488">
        <w:t>The Office of</w:t>
      </w:r>
      <w:r w:rsidR="008D2DFA">
        <w:t xml:space="preserve"> the</w:t>
      </w:r>
      <w:r w:rsidR="002B2488">
        <w:t xml:space="preserve"> Chief Trial Counsel </w:t>
      </w:r>
      <w:r w:rsidR="008E506F">
        <w:t>of the State Bar</w:t>
      </w:r>
      <w:r w:rsidR="008D2DFA">
        <w:t xml:space="preserve"> (State Bar)</w:t>
      </w:r>
      <w:r w:rsidR="008E506F">
        <w:t xml:space="preserve"> </w:t>
      </w:r>
      <w:r w:rsidR="006A51A2">
        <w:t>ask</w:t>
      </w:r>
      <w:r w:rsidR="002B2488">
        <w:t>s that</w:t>
      </w:r>
      <w:r w:rsidR="006A51A2">
        <w:t xml:space="preserve"> we affirm</w:t>
      </w:r>
      <w:r w:rsidR="002B2488">
        <w:t xml:space="preserve"> the hearing judge’s</w:t>
      </w:r>
      <w:r w:rsidR="006A51A2">
        <w:t xml:space="preserve"> culpability</w:t>
      </w:r>
      <w:r w:rsidR="002B2488">
        <w:t xml:space="preserve"> findings and recommended discipline. </w:t>
      </w:r>
    </w:p>
    <w:p w:rsidR="00391047" w:rsidRDefault="002B2488" w:rsidP="00391047">
      <w:r>
        <w:lastRenderedPageBreak/>
        <w:tab/>
      </w:r>
      <w:r w:rsidR="00D56A0B">
        <w:t>Upon our</w:t>
      </w:r>
      <w:r>
        <w:t xml:space="preserve"> independent review</w:t>
      </w:r>
      <w:r w:rsidR="00D56A0B">
        <w:t xml:space="preserve"> of</w:t>
      </w:r>
      <w:r>
        <w:t xml:space="preserve"> the record (</w:t>
      </w:r>
      <w:r w:rsidRPr="007571CB">
        <w:rPr>
          <w:i/>
        </w:rPr>
        <w:t xml:space="preserve">In re Morse </w:t>
      </w:r>
      <w:r>
        <w:t xml:space="preserve">(1995) 11 </w:t>
      </w:r>
      <w:proofErr w:type="spellStart"/>
      <w:r>
        <w:t>Cal.4th</w:t>
      </w:r>
      <w:proofErr w:type="spellEnd"/>
      <w:r>
        <w:t xml:space="preserve"> 184, 207), </w:t>
      </w:r>
      <w:r w:rsidR="00D56A0B">
        <w:t>we</w:t>
      </w:r>
      <w:r w:rsidR="008E506F">
        <w:t xml:space="preserve"> </w:t>
      </w:r>
      <w:r w:rsidR="00562A3B">
        <w:t xml:space="preserve">modify </w:t>
      </w:r>
      <w:r w:rsidR="008D2DFA">
        <w:t>certain</w:t>
      </w:r>
      <w:r w:rsidR="00562A3B">
        <w:t xml:space="preserve"> </w:t>
      </w:r>
      <w:r w:rsidR="00067A99">
        <w:t xml:space="preserve">culpability determinations and aggravation </w:t>
      </w:r>
      <w:r w:rsidR="00562A3B">
        <w:t xml:space="preserve">findings, </w:t>
      </w:r>
      <w:r w:rsidR="00D56A0B">
        <w:t xml:space="preserve">but </w:t>
      </w:r>
      <w:r w:rsidR="007D4318">
        <w:t xml:space="preserve">ultimately conclude </w:t>
      </w:r>
      <w:r w:rsidR="00562A3B">
        <w:t xml:space="preserve">that </w:t>
      </w:r>
      <w:r w:rsidR="00886FA7">
        <w:t xml:space="preserve">the hearing judge’s </w:t>
      </w:r>
      <w:r w:rsidR="008D2DFA">
        <w:t xml:space="preserve">disbarment </w:t>
      </w:r>
      <w:r w:rsidR="002D6663">
        <w:t xml:space="preserve">recommendation </w:t>
      </w:r>
      <w:r w:rsidR="00562A3B">
        <w:t xml:space="preserve">is </w:t>
      </w:r>
      <w:r>
        <w:t>clearly and convincingly supported by the record</w:t>
      </w:r>
      <w:r w:rsidR="00562A3B">
        <w:t xml:space="preserve">, the </w:t>
      </w:r>
      <w:r w:rsidR="007D4318">
        <w:t>Standards for Attorney Sanctions for Professional Misconduct</w:t>
      </w:r>
      <w:r w:rsidR="007D4318">
        <w:rPr>
          <w:rStyle w:val="FootnoteReference"/>
        </w:rPr>
        <w:footnoteReference w:id="2"/>
      </w:r>
      <w:r w:rsidR="007D4318">
        <w:t xml:space="preserve"> and </w:t>
      </w:r>
      <w:r w:rsidR="00562A3B">
        <w:t>the decisional law</w:t>
      </w:r>
      <w:r>
        <w:t xml:space="preserve">.  </w:t>
      </w:r>
    </w:p>
    <w:p w:rsidR="002B2488" w:rsidRDefault="00391047" w:rsidP="00391047">
      <w:pPr>
        <w:jc w:val="center"/>
        <w:rPr>
          <w:b/>
        </w:rPr>
      </w:pPr>
      <w:r w:rsidRPr="00F52B3D">
        <w:rPr>
          <w:b/>
        </w:rPr>
        <w:t>I.</w:t>
      </w:r>
      <w:r w:rsidR="008D2DFA">
        <w:rPr>
          <w:b/>
        </w:rPr>
        <w:t xml:space="preserve"> </w:t>
      </w:r>
      <w:r w:rsidRPr="00F52B3D">
        <w:rPr>
          <w:b/>
        </w:rPr>
        <w:t xml:space="preserve"> </w:t>
      </w:r>
      <w:r w:rsidR="00F52B3D" w:rsidRPr="00F52B3D">
        <w:rPr>
          <w:b/>
        </w:rPr>
        <w:t>FINDINGS OF FACT AND CONCLUSIONS OF LAW</w:t>
      </w:r>
    </w:p>
    <w:p w:rsidR="008B2C8C" w:rsidRDefault="00F52B3D" w:rsidP="00F52B3D">
      <w:r>
        <w:tab/>
        <w:t>Borne was admitted to practice law in 1979</w:t>
      </w:r>
      <w:r w:rsidR="001E5A99">
        <w:t>, and</w:t>
      </w:r>
      <w:r w:rsidR="001E5A99" w:rsidRPr="001E5A99">
        <w:t xml:space="preserve"> </w:t>
      </w:r>
      <w:r w:rsidR="001E5A99">
        <w:t>he practiced criminal, civil, family</w:t>
      </w:r>
      <w:r w:rsidR="008D2DFA">
        <w:t>,</w:t>
      </w:r>
      <w:r w:rsidR="001E5A99">
        <w:t xml:space="preserve"> personal injury and probate law</w:t>
      </w:r>
      <w:r>
        <w:t>.</w:t>
      </w:r>
      <w:r w:rsidR="004A7992">
        <w:t xml:space="preserve">  </w:t>
      </w:r>
      <w:r w:rsidR="001E5A99">
        <w:t xml:space="preserve">These proceedings commenced </w:t>
      </w:r>
      <w:r w:rsidR="00EF7C43">
        <w:t>on May 18, 2005,</w:t>
      </w:r>
      <w:r w:rsidR="001E5A99">
        <w:t xml:space="preserve"> when the State Bar filed a Notice of Disciplinary</w:t>
      </w:r>
      <w:r w:rsidR="008D2DFA">
        <w:t xml:space="preserve"> Charges</w:t>
      </w:r>
      <w:r w:rsidR="001E5A99">
        <w:t xml:space="preserve"> </w:t>
      </w:r>
      <w:r w:rsidR="00EF7C43">
        <w:t>(</w:t>
      </w:r>
      <w:proofErr w:type="spellStart"/>
      <w:r w:rsidR="00EF7C43">
        <w:t>NDC</w:t>
      </w:r>
      <w:proofErr w:type="spellEnd"/>
      <w:r w:rsidR="00EF7C43">
        <w:t xml:space="preserve">) in </w:t>
      </w:r>
      <w:r w:rsidR="008D2DFA">
        <w:t>c</w:t>
      </w:r>
      <w:r w:rsidR="001E5A99">
        <w:t xml:space="preserve">ase </w:t>
      </w:r>
      <w:r w:rsidR="00EF7C43">
        <w:t xml:space="preserve">number </w:t>
      </w:r>
      <w:r w:rsidR="00EF7C43" w:rsidRPr="00EF7C43">
        <w:t>04-O-14219</w:t>
      </w:r>
      <w:r w:rsidR="00EF7C43">
        <w:rPr>
          <w:b/>
        </w:rPr>
        <w:t xml:space="preserve">.  </w:t>
      </w:r>
      <w:r w:rsidR="001E5A99">
        <w:t xml:space="preserve">A second </w:t>
      </w:r>
      <w:proofErr w:type="spellStart"/>
      <w:r w:rsidR="001E5A99">
        <w:t>NDC</w:t>
      </w:r>
      <w:proofErr w:type="spellEnd"/>
      <w:r w:rsidR="001E5A99">
        <w:t xml:space="preserve"> was filed </w:t>
      </w:r>
      <w:r w:rsidR="00EF7C43">
        <w:t xml:space="preserve">on July 28, 2005, </w:t>
      </w:r>
      <w:r w:rsidR="001E5A99">
        <w:t xml:space="preserve">in case </w:t>
      </w:r>
      <w:r w:rsidR="008D2DFA">
        <w:t xml:space="preserve">number </w:t>
      </w:r>
      <w:r w:rsidR="00EF7C43" w:rsidRPr="00EF7C43">
        <w:t>04-O-11970</w:t>
      </w:r>
      <w:r w:rsidR="00EF7C43">
        <w:t>, a</w:t>
      </w:r>
      <w:r w:rsidR="001E5A99">
        <w:t>nd the two matters were consolidated.</w:t>
      </w:r>
      <w:r w:rsidR="00B63D5F">
        <w:t xml:space="preserve">  After a three</w:t>
      </w:r>
      <w:r w:rsidR="008D2DFA">
        <w:t>-</w:t>
      </w:r>
      <w:r w:rsidR="00B63D5F">
        <w:t>day trial, the hearing judge filed his decision and order of inactive enrollment on September 9, 2009.</w:t>
      </w:r>
      <w:r w:rsidR="005B3E0A">
        <w:rPr>
          <w:rStyle w:val="FootnoteReference"/>
        </w:rPr>
        <w:footnoteReference w:id="3"/>
      </w:r>
    </w:p>
    <w:p w:rsidR="00F52B3D" w:rsidRPr="00F52B3D" w:rsidRDefault="00F52B3D" w:rsidP="00F52B3D">
      <w:pPr>
        <w:rPr>
          <w:b/>
        </w:rPr>
      </w:pPr>
      <w:r w:rsidRPr="00F52B3D">
        <w:rPr>
          <w:b/>
        </w:rPr>
        <w:t>A.</w:t>
      </w:r>
      <w:r w:rsidR="008D2DFA">
        <w:rPr>
          <w:b/>
        </w:rPr>
        <w:tab/>
      </w:r>
      <w:r w:rsidR="00B454CC">
        <w:rPr>
          <w:b/>
        </w:rPr>
        <w:t>THE GLASS MATTER</w:t>
      </w:r>
      <w:r w:rsidR="00786610">
        <w:rPr>
          <w:b/>
        </w:rPr>
        <w:t xml:space="preserve"> (Case </w:t>
      </w:r>
      <w:r w:rsidR="00786610" w:rsidRPr="00786610">
        <w:rPr>
          <w:b/>
        </w:rPr>
        <w:t>N</w:t>
      </w:r>
      <w:r w:rsidR="00786610">
        <w:rPr>
          <w:b/>
        </w:rPr>
        <w:t>o.</w:t>
      </w:r>
      <w:r w:rsidR="00786610" w:rsidRPr="00786610">
        <w:rPr>
          <w:b/>
        </w:rPr>
        <w:t xml:space="preserve"> 04-O-11970</w:t>
      </w:r>
      <w:r w:rsidR="00786610">
        <w:rPr>
          <w:b/>
        </w:rPr>
        <w:t>)</w:t>
      </w:r>
    </w:p>
    <w:p w:rsidR="00F52B3D" w:rsidRPr="00F52B3D" w:rsidRDefault="00F52B3D" w:rsidP="00F52B3D">
      <w:pPr>
        <w:rPr>
          <w:b/>
        </w:rPr>
      </w:pPr>
      <w:r>
        <w:tab/>
      </w:r>
      <w:r w:rsidRPr="00F52B3D">
        <w:rPr>
          <w:b/>
        </w:rPr>
        <w:t>1.</w:t>
      </w:r>
      <w:r w:rsidR="00B64036">
        <w:rPr>
          <w:b/>
        </w:rPr>
        <w:t xml:space="preserve">  </w:t>
      </w:r>
      <w:r w:rsidRPr="00F52B3D">
        <w:rPr>
          <w:b/>
        </w:rPr>
        <w:t xml:space="preserve">Findings of Fact </w:t>
      </w:r>
    </w:p>
    <w:p w:rsidR="00241B48" w:rsidRDefault="00A626A8" w:rsidP="00C11CC8">
      <w:r>
        <w:tab/>
      </w:r>
      <w:r w:rsidR="00996518">
        <w:t xml:space="preserve">In 2003, </w:t>
      </w:r>
      <w:r>
        <w:t xml:space="preserve">Wanda Glass filed an action in </w:t>
      </w:r>
      <w:r w:rsidR="008E506F">
        <w:t xml:space="preserve">the </w:t>
      </w:r>
      <w:r w:rsidR="00490007">
        <w:t xml:space="preserve">South Central District of the </w:t>
      </w:r>
      <w:r>
        <w:t>Los Angeles Superior Court</w:t>
      </w:r>
      <w:r w:rsidR="00490007">
        <w:t xml:space="preserve"> </w:t>
      </w:r>
      <w:r w:rsidR="006E2673" w:rsidRPr="00490007">
        <w:t>(</w:t>
      </w:r>
      <w:r w:rsidR="000F673D">
        <w:t>South Central District</w:t>
      </w:r>
      <w:r w:rsidR="006E2673" w:rsidRPr="00490007">
        <w:t xml:space="preserve">) </w:t>
      </w:r>
      <w:r>
        <w:t xml:space="preserve">seeking a restraining order against her husband, </w:t>
      </w:r>
      <w:proofErr w:type="spellStart"/>
      <w:r>
        <w:t>Earde</w:t>
      </w:r>
      <w:r w:rsidR="0043575B">
        <w:t>a</w:t>
      </w:r>
      <w:r>
        <w:t>l</w:t>
      </w:r>
      <w:proofErr w:type="spellEnd"/>
      <w:r>
        <w:t xml:space="preserve"> Glass</w:t>
      </w:r>
      <w:r w:rsidR="004A7992">
        <w:t xml:space="preserve">.  </w:t>
      </w:r>
      <w:r>
        <w:t>V</w:t>
      </w:r>
      <w:r w:rsidR="0043575B">
        <w:t>alerie</w:t>
      </w:r>
      <w:r>
        <w:t xml:space="preserve"> Whitworth represent</w:t>
      </w:r>
      <w:r w:rsidR="004A5C55">
        <w:t>ed</w:t>
      </w:r>
      <w:r>
        <w:t xml:space="preserve"> </w:t>
      </w:r>
      <w:r w:rsidR="00996518">
        <w:t>her</w:t>
      </w:r>
      <w:r w:rsidR="004A5C55">
        <w:t xml:space="preserve"> in th</w:t>
      </w:r>
      <w:r w:rsidR="00234258">
        <w:t>at</w:t>
      </w:r>
      <w:r w:rsidR="004A5C55">
        <w:t xml:space="preserve"> matter</w:t>
      </w:r>
      <w:r w:rsidR="00996518">
        <w:t xml:space="preserve">.  </w:t>
      </w:r>
      <w:r w:rsidR="004A5C55">
        <w:t xml:space="preserve">While </w:t>
      </w:r>
      <w:r w:rsidR="001B2775">
        <w:t>this case</w:t>
      </w:r>
      <w:r w:rsidR="004A5C55">
        <w:t xml:space="preserve"> was pending, </w:t>
      </w:r>
      <w:proofErr w:type="spellStart"/>
      <w:r w:rsidR="004A5C55">
        <w:t>Eardeal</w:t>
      </w:r>
      <w:proofErr w:type="spellEnd"/>
      <w:r w:rsidR="004A5C55">
        <w:t xml:space="preserve"> filed a petition for dissolution in the Central District of the Los Angeles Superior Court (Central </w:t>
      </w:r>
      <w:r w:rsidR="004A5C55">
        <w:lastRenderedPageBreak/>
        <w:t xml:space="preserve">District).  </w:t>
      </w:r>
      <w:r w:rsidR="004F6913">
        <w:t>On September 12, 2003, t</w:t>
      </w:r>
      <w:r w:rsidR="00996518">
        <w:t xml:space="preserve">he </w:t>
      </w:r>
      <w:r w:rsidR="00241B48">
        <w:t xml:space="preserve">South Central District </w:t>
      </w:r>
      <w:r w:rsidR="00267B00">
        <w:t>C</w:t>
      </w:r>
      <w:r w:rsidR="00996518">
        <w:t>ourt granted Wanda’s request for a restraining</w:t>
      </w:r>
      <w:r w:rsidR="004F6913" w:rsidRPr="004F6913">
        <w:t xml:space="preserve"> </w:t>
      </w:r>
      <w:r w:rsidR="004F6913">
        <w:t>order</w:t>
      </w:r>
      <w:r w:rsidR="00996518">
        <w:t xml:space="preserve"> and ordered </w:t>
      </w:r>
      <w:proofErr w:type="spellStart"/>
      <w:r w:rsidR="00996518">
        <w:t>Eardeal</w:t>
      </w:r>
      <w:proofErr w:type="spellEnd"/>
      <w:r w:rsidR="00996518">
        <w:t xml:space="preserve"> to </w:t>
      </w:r>
      <w:r w:rsidR="00164B73">
        <w:t>bring the mortga</w:t>
      </w:r>
      <w:r w:rsidR="00736C08">
        <w:t xml:space="preserve">ge current </w:t>
      </w:r>
      <w:r w:rsidR="00483F3A">
        <w:t xml:space="preserve">on the family </w:t>
      </w:r>
      <w:r w:rsidR="00241B48">
        <w:t xml:space="preserve">home or </w:t>
      </w:r>
      <w:r w:rsidR="00234258">
        <w:t>it would</w:t>
      </w:r>
      <w:r w:rsidR="00736C08">
        <w:t xml:space="preserve"> ha</w:t>
      </w:r>
      <w:r w:rsidR="00234258">
        <w:t>ve</w:t>
      </w:r>
      <w:r w:rsidR="00736C08">
        <w:t xml:space="preserve"> to be sold</w:t>
      </w:r>
      <w:r w:rsidR="00164B73">
        <w:t>.</w:t>
      </w:r>
    </w:p>
    <w:p w:rsidR="00FB6A54" w:rsidRDefault="00CE58D9" w:rsidP="00C11CC8">
      <w:r>
        <w:t xml:space="preserve">  </w:t>
      </w:r>
      <w:r w:rsidR="003574EE">
        <w:tab/>
      </w:r>
      <w:r w:rsidR="00C14538">
        <w:t>Upon</w:t>
      </w:r>
      <w:r w:rsidR="009D20F2">
        <w:t xml:space="preserve"> </w:t>
      </w:r>
      <w:r w:rsidR="00ED3CF2">
        <w:t>the</w:t>
      </w:r>
      <w:r w:rsidR="009D20F2">
        <w:t xml:space="preserve"> recommendation of a </w:t>
      </w:r>
      <w:r w:rsidR="00ED3553">
        <w:t xml:space="preserve">mutual </w:t>
      </w:r>
      <w:r w:rsidR="009D20F2">
        <w:t>friend, Carolyn Daniels</w:t>
      </w:r>
      <w:r w:rsidR="00CE5CFB">
        <w:t>,</w:t>
      </w:r>
      <w:r w:rsidR="009D20F2">
        <w:t xml:space="preserve"> </w:t>
      </w:r>
      <w:r w:rsidR="0017083A">
        <w:t xml:space="preserve">Wanda hired Borne to </w:t>
      </w:r>
      <w:r w:rsidR="00241B48">
        <w:t xml:space="preserve">represent her in the South Central District matter to </w:t>
      </w:r>
      <w:r w:rsidR="00ED3553">
        <w:t>prevent the</w:t>
      </w:r>
      <w:r w:rsidR="0017083A">
        <w:t xml:space="preserve"> forced</w:t>
      </w:r>
      <w:r w:rsidR="00234258">
        <w:t xml:space="preserve"> </w:t>
      </w:r>
      <w:r w:rsidR="0017083A">
        <w:t>sale of her home</w:t>
      </w:r>
      <w:r w:rsidR="00241B48">
        <w:t xml:space="preserve">.  She </w:t>
      </w:r>
      <w:r w:rsidR="0017083A">
        <w:t>paid him $2,500 in advance</w:t>
      </w:r>
      <w:r w:rsidR="008B2C8C">
        <w:t>d</w:t>
      </w:r>
      <w:r w:rsidR="0017083A">
        <w:t xml:space="preserve"> fees.</w:t>
      </w:r>
      <w:r w:rsidR="00CE5CFB">
        <w:t xml:space="preserve">  </w:t>
      </w:r>
      <w:r w:rsidR="005F1A52">
        <w:t xml:space="preserve">Borne prepared </w:t>
      </w:r>
      <w:r w:rsidR="00FB6A54">
        <w:t xml:space="preserve">a substitution of attorney that he and Wanda </w:t>
      </w:r>
      <w:r w:rsidR="00111258">
        <w:t>signed on October 4, 2003</w:t>
      </w:r>
      <w:r w:rsidR="00EB7250">
        <w:t>.</w:t>
      </w:r>
      <w:r w:rsidR="00111258">
        <w:t xml:space="preserve"> </w:t>
      </w:r>
      <w:r w:rsidR="00EB7250">
        <w:t xml:space="preserve"> H</w:t>
      </w:r>
      <w:r w:rsidR="00614F56">
        <w:t>e</w:t>
      </w:r>
      <w:r w:rsidR="00FB6A54">
        <w:t xml:space="preserve"> </w:t>
      </w:r>
      <w:r w:rsidR="00EB7250">
        <w:t xml:space="preserve">then </w:t>
      </w:r>
      <w:r w:rsidR="00FB6A54">
        <w:t xml:space="preserve">sent it to Whitworth, but she </w:t>
      </w:r>
      <w:r w:rsidR="008A436B">
        <w:t xml:space="preserve">never </w:t>
      </w:r>
      <w:r w:rsidR="00614F56">
        <w:t>return</w:t>
      </w:r>
      <w:r w:rsidR="008A436B">
        <w:t>ed</w:t>
      </w:r>
      <w:r w:rsidR="00614F56">
        <w:t xml:space="preserve"> it </w:t>
      </w:r>
      <w:r w:rsidR="00EB7250">
        <w:t>n</w:t>
      </w:r>
      <w:r w:rsidR="00614F56">
        <w:t>or file</w:t>
      </w:r>
      <w:r w:rsidR="008A436B">
        <w:t>d</w:t>
      </w:r>
      <w:r w:rsidR="00614F56">
        <w:t xml:space="preserve"> it</w:t>
      </w:r>
      <w:r w:rsidR="00ED3553">
        <w:t xml:space="preserve"> with the court</w:t>
      </w:r>
      <w:r w:rsidR="00CE5CFB">
        <w:t xml:space="preserve">.  </w:t>
      </w:r>
      <w:proofErr w:type="spellStart"/>
      <w:r w:rsidR="00CE5CFB">
        <w:t>Eardeal</w:t>
      </w:r>
      <w:proofErr w:type="spellEnd"/>
      <w:r w:rsidR="00CE5CFB">
        <w:t xml:space="preserve"> did not bring the mortgage current</w:t>
      </w:r>
      <w:r w:rsidR="00111258">
        <w:t xml:space="preserve">, and </w:t>
      </w:r>
      <w:r w:rsidR="00EB7250">
        <w:t>foreclosure was imminent</w:t>
      </w:r>
      <w:r w:rsidR="00C8262F">
        <w:t xml:space="preserve">.  </w:t>
      </w:r>
      <w:r w:rsidR="00C6342C">
        <w:t xml:space="preserve">Given the situation, </w:t>
      </w:r>
      <w:r w:rsidR="00FB6A54">
        <w:t>Borne de</w:t>
      </w:r>
      <w:r w:rsidR="00EB7250">
        <w:t>cided</w:t>
      </w:r>
      <w:r w:rsidR="00E36B26">
        <w:t xml:space="preserve"> that</w:t>
      </w:r>
      <w:r w:rsidR="00C8262F">
        <w:t xml:space="preserve"> </w:t>
      </w:r>
      <w:r w:rsidR="00FB6A54">
        <w:t xml:space="preserve">the best way to protect </w:t>
      </w:r>
      <w:r w:rsidR="00111258">
        <w:t>Wanda’s</w:t>
      </w:r>
      <w:r w:rsidR="001129C1">
        <w:t xml:space="preserve"> home</w:t>
      </w:r>
      <w:r w:rsidR="00111258">
        <w:t xml:space="preserve"> was to file a bankruptcy petition.  </w:t>
      </w:r>
      <w:r w:rsidR="001129C1">
        <w:t xml:space="preserve">Wanda </w:t>
      </w:r>
      <w:r w:rsidR="00D62416">
        <w:t xml:space="preserve">initially </w:t>
      </w:r>
      <w:r w:rsidR="001129C1">
        <w:t xml:space="preserve">agreed </w:t>
      </w:r>
      <w:r w:rsidR="00111258">
        <w:t>and</w:t>
      </w:r>
      <w:r w:rsidR="001129C1">
        <w:t xml:space="preserve"> Borne prepared </w:t>
      </w:r>
      <w:r w:rsidR="00111258">
        <w:t>the p</w:t>
      </w:r>
      <w:r w:rsidR="001129C1">
        <w:t>etition</w:t>
      </w:r>
      <w:r w:rsidR="00111258">
        <w:t xml:space="preserve">.  However, </w:t>
      </w:r>
      <w:r w:rsidR="00C740B8">
        <w:t xml:space="preserve">Wanda </w:t>
      </w:r>
      <w:r w:rsidR="00EB7250">
        <w:t xml:space="preserve">then </w:t>
      </w:r>
      <w:r w:rsidR="00C740B8">
        <w:t xml:space="preserve">changed her mind </w:t>
      </w:r>
      <w:r w:rsidR="00EB7250">
        <w:t>as</w:t>
      </w:r>
      <w:r w:rsidR="00F55598">
        <w:t xml:space="preserve"> she “didn’t feel </w:t>
      </w:r>
      <w:r w:rsidR="00D62416">
        <w:t xml:space="preserve">that </w:t>
      </w:r>
      <w:r w:rsidR="008F4B1D">
        <w:t>it was the right thing to do.”</w:t>
      </w:r>
    </w:p>
    <w:p w:rsidR="00AB1E0A" w:rsidRDefault="00F55598" w:rsidP="00C11CC8">
      <w:r>
        <w:tab/>
        <w:t xml:space="preserve">Wanda </w:t>
      </w:r>
      <w:r w:rsidR="00C6342C">
        <w:t>did</w:t>
      </w:r>
      <w:r w:rsidR="00C8262F">
        <w:t xml:space="preserve"> not cooperate </w:t>
      </w:r>
      <w:r w:rsidR="00EB7250">
        <w:t>in selling</w:t>
      </w:r>
      <w:r w:rsidR="00875A2E">
        <w:t xml:space="preserve"> the house,</w:t>
      </w:r>
      <w:r w:rsidR="00C6342C">
        <w:t xml:space="preserve"> so </w:t>
      </w:r>
      <w:proofErr w:type="spellStart"/>
      <w:r w:rsidR="00875A2E">
        <w:t>Eardeal’s</w:t>
      </w:r>
      <w:proofErr w:type="spellEnd"/>
      <w:r w:rsidR="00875A2E">
        <w:t xml:space="preserve"> </w:t>
      </w:r>
      <w:r w:rsidR="00C4535A">
        <w:t>attorney</w:t>
      </w:r>
      <w:r w:rsidR="00111258">
        <w:t xml:space="preserve"> sought </w:t>
      </w:r>
      <w:r w:rsidR="00FB2068">
        <w:t>an</w:t>
      </w:r>
      <w:r w:rsidR="007F43D7">
        <w:t xml:space="preserve"> ex parte</w:t>
      </w:r>
      <w:r w:rsidR="00FB2068">
        <w:t xml:space="preserve"> order to enforce the court’s </w:t>
      </w:r>
      <w:r w:rsidR="00875A2E">
        <w:t>September 12, 2003</w:t>
      </w:r>
      <w:r w:rsidR="00C6342C">
        <w:t xml:space="preserve"> </w:t>
      </w:r>
      <w:r w:rsidR="00111258">
        <w:t>order</w:t>
      </w:r>
      <w:r w:rsidR="00C4535A">
        <w:t>.</w:t>
      </w:r>
      <w:r w:rsidR="000A5D05">
        <w:t xml:space="preserve">  </w:t>
      </w:r>
      <w:r w:rsidR="00FF604D">
        <w:t>Borne attended the</w:t>
      </w:r>
      <w:r w:rsidR="007F43D7">
        <w:t xml:space="preserve"> ex parte </w:t>
      </w:r>
      <w:r w:rsidR="00111258">
        <w:t>hearing</w:t>
      </w:r>
      <w:r w:rsidR="00FB2068">
        <w:t xml:space="preserve"> on October 10, 2003, </w:t>
      </w:r>
      <w:r w:rsidR="00FF604D">
        <w:t xml:space="preserve">but </w:t>
      </w:r>
      <w:r w:rsidR="00E50D8A">
        <w:t xml:space="preserve">the court would not allow him to appear </w:t>
      </w:r>
      <w:r w:rsidR="00111258">
        <w:t xml:space="preserve">because </w:t>
      </w:r>
      <w:r w:rsidR="00FF604D">
        <w:t>Whitworth was still the attorney of record</w:t>
      </w:r>
      <w:r w:rsidR="00ED3CF2">
        <w:t>.</w:t>
      </w:r>
      <w:r w:rsidR="008E506F">
        <w:t xml:space="preserve">  </w:t>
      </w:r>
      <w:r w:rsidR="00017727">
        <w:t>Following</w:t>
      </w:r>
      <w:r w:rsidR="00965C09">
        <w:t xml:space="preserve"> the hearing, </w:t>
      </w:r>
      <w:r w:rsidR="00EB7250">
        <w:t>Borne</w:t>
      </w:r>
      <w:r w:rsidR="00965C09">
        <w:t xml:space="preserve"> spoke with </w:t>
      </w:r>
      <w:r w:rsidR="00AB1E0A">
        <w:t>Wanda</w:t>
      </w:r>
      <w:r w:rsidR="00965C09">
        <w:t xml:space="preserve"> about the order to sell the house.</w:t>
      </w:r>
      <w:r w:rsidR="00FD40D3">
        <w:t xml:space="preserve">  </w:t>
      </w:r>
      <w:r w:rsidR="005D77D6">
        <w:t>After that</w:t>
      </w:r>
      <w:r w:rsidR="00C6342C">
        <w:t>,</w:t>
      </w:r>
      <w:r w:rsidR="005D77D6">
        <w:t xml:space="preserve"> Wanda moved </w:t>
      </w:r>
      <w:r w:rsidR="00EB7250">
        <w:t>without</w:t>
      </w:r>
      <w:r w:rsidR="005D77D6">
        <w:t xml:space="preserve"> </w:t>
      </w:r>
      <w:r w:rsidR="00EB7250">
        <w:t>informing</w:t>
      </w:r>
      <w:r w:rsidR="005D77D6">
        <w:t xml:space="preserve"> </w:t>
      </w:r>
      <w:r w:rsidR="00FD40D3">
        <w:t>Borne</w:t>
      </w:r>
      <w:r w:rsidR="005D77D6">
        <w:t xml:space="preserve"> of her</w:t>
      </w:r>
      <w:r w:rsidR="004D4D70">
        <w:t xml:space="preserve"> new address or phone number</w:t>
      </w:r>
      <w:r w:rsidR="005D77D6">
        <w:t xml:space="preserve">. </w:t>
      </w:r>
      <w:r w:rsidR="00AB1E0A">
        <w:t xml:space="preserve">  </w:t>
      </w:r>
    </w:p>
    <w:p w:rsidR="007E49F3" w:rsidRDefault="005D77D6" w:rsidP="00FB2068">
      <w:pPr>
        <w:ind w:firstLine="720"/>
      </w:pPr>
      <w:r>
        <w:t>I</w:t>
      </w:r>
      <w:r w:rsidR="004941C9">
        <w:t>n January 2004</w:t>
      </w:r>
      <w:r w:rsidR="00017727">
        <w:t>,</w:t>
      </w:r>
      <w:r w:rsidR="004941C9">
        <w:t xml:space="preserve"> </w:t>
      </w:r>
      <w:r w:rsidR="00AB1E0A">
        <w:t>Borne</w:t>
      </w:r>
      <w:r w:rsidR="004941C9">
        <w:t xml:space="preserve"> received a letter</w:t>
      </w:r>
      <w:r w:rsidR="00AB1E0A">
        <w:t xml:space="preserve"> </w:t>
      </w:r>
      <w:r w:rsidR="004941C9">
        <w:t xml:space="preserve">from </w:t>
      </w:r>
      <w:r w:rsidR="00FB2068">
        <w:t xml:space="preserve">Arthur Goldberg, </w:t>
      </w:r>
      <w:r w:rsidR="00C6342C">
        <w:t xml:space="preserve">an attorney representing </w:t>
      </w:r>
      <w:proofErr w:type="spellStart"/>
      <w:r w:rsidR="00C6342C">
        <w:t>Eardeal</w:t>
      </w:r>
      <w:proofErr w:type="spellEnd"/>
      <w:r w:rsidR="00FB2068">
        <w:t>,</w:t>
      </w:r>
      <w:r w:rsidR="00AB1E0A">
        <w:t xml:space="preserve"> </w:t>
      </w:r>
      <w:r w:rsidR="003574EE">
        <w:t>advis</w:t>
      </w:r>
      <w:r w:rsidR="00FB2068">
        <w:t xml:space="preserve">ing </w:t>
      </w:r>
      <w:r w:rsidR="003574EE">
        <w:t xml:space="preserve">that he had not received a response to the </w:t>
      </w:r>
      <w:r w:rsidR="00363A46">
        <w:t>dissolution</w:t>
      </w:r>
      <w:r w:rsidR="003574EE">
        <w:t xml:space="preserve"> petition, and he intended to take Wanda’s default if she did not file </w:t>
      </w:r>
      <w:r w:rsidR="00EB7250">
        <w:t>one</w:t>
      </w:r>
      <w:r w:rsidR="003574EE">
        <w:t xml:space="preserve"> within 15 days</w:t>
      </w:r>
      <w:r w:rsidR="00FB2068">
        <w:t>.  Al</w:t>
      </w:r>
      <w:r w:rsidR="007E49F3">
        <w:t xml:space="preserve">though Wanda had not retained </w:t>
      </w:r>
      <w:r w:rsidR="00534B85">
        <w:t>him</w:t>
      </w:r>
      <w:r w:rsidR="007E49F3">
        <w:t xml:space="preserve"> for </w:t>
      </w:r>
      <w:r w:rsidR="009E1502">
        <w:t>the</w:t>
      </w:r>
      <w:r w:rsidR="00FB2068">
        <w:t xml:space="preserve"> dissolution</w:t>
      </w:r>
      <w:r w:rsidR="009E1502">
        <w:t xml:space="preserve"> </w:t>
      </w:r>
      <w:r w:rsidR="00FB2068">
        <w:t>matter</w:t>
      </w:r>
      <w:r w:rsidR="007E49F3">
        <w:t xml:space="preserve">, </w:t>
      </w:r>
      <w:r w:rsidR="00534B85">
        <w:t>Born</w:t>
      </w:r>
      <w:r w:rsidR="009E1502">
        <w:t>e</w:t>
      </w:r>
      <w:r w:rsidR="00FB2068">
        <w:t xml:space="preserve"> wrote to Goldberg, </w:t>
      </w:r>
      <w:r w:rsidR="001B2775">
        <w:t>advising</w:t>
      </w:r>
      <w:r w:rsidR="00FB2068">
        <w:t xml:space="preserve"> that</w:t>
      </w:r>
      <w:r w:rsidR="00076FB6">
        <w:t xml:space="preserve"> he was in the process of substituting into</w:t>
      </w:r>
      <w:r w:rsidR="00FB2068">
        <w:t xml:space="preserve"> the case and asking for additional time to respond to the dissolution petition</w:t>
      </w:r>
      <w:r w:rsidR="004D4D70">
        <w:t xml:space="preserve">.  </w:t>
      </w:r>
      <w:r w:rsidR="002D6663">
        <w:t xml:space="preserve">Goldberg never </w:t>
      </w:r>
      <w:r w:rsidR="001B2775">
        <w:t>responded to Borne</w:t>
      </w:r>
      <w:r w:rsidR="00EB7250">
        <w:t>.</w:t>
      </w:r>
      <w:r w:rsidR="004D4D70">
        <w:t xml:space="preserve">  </w:t>
      </w:r>
      <w:r w:rsidR="0014665A">
        <w:t>In the meantime</w:t>
      </w:r>
      <w:r w:rsidR="004D4D70">
        <w:t xml:space="preserve">, </w:t>
      </w:r>
      <w:r w:rsidR="007E49F3">
        <w:t xml:space="preserve">Borne attempted to contact </w:t>
      </w:r>
      <w:r w:rsidR="004D4D70">
        <w:t xml:space="preserve">Wanda through </w:t>
      </w:r>
      <w:r w:rsidR="00751B1E">
        <w:t>Daniels</w:t>
      </w:r>
      <w:r w:rsidR="007E49F3">
        <w:t xml:space="preserve">, but she did not </w:t>
      </w:r>
      <w:r w:rsidR="004D4D70">
        <w:t>know</w:t>
      </w:r>
      <w:r w:rsidR="00875A2E">
        <w:t xml:space="preserve"> </w:t>
      </w:r>
      <w:r w:rsidR="007E49F3">
        <w:t>Wanda’s</w:t>
      </w:r>
      <w:r w:rsidR="004D4D70">
        <w:t xml:space="preserve"> whereabouts</w:t>
      </w:r>
      <w:r w:rsidR="007E49F3">
        <w:t>.</w:t>
      </w:r>
      <w:r w:rsidR="004D4D70">
        <w:t xml:space="preserve">  </w:t>
      </w:r>
    </w:p>
    <w:p w:rsidR="008D343F" w:rsidRDefault="004D4D70" w:rsidP="004D4D70">
      <w:pPr>
        <w:ind w:firstLine="720"/>
      </w:pPr>
      <w:r>
        <w:lastRenderedPageBreak/>
        <w:t>Born</w:t>
      </w:r>
      <w:r w:rsidR="00267B00">
        <w:t>e</w:t>
      </w:r>
      <w:r>
        <w:t xml:space="preserve"> did not hear from Wanda until March 2004, after she </w:t>
      </w:r>
      <w:r w:rsidR="00EB51D4">
        <w:t xml:space="preserve">received </w:t>
      </w:r>
      <w:r w:rsidR="0014665A">
        <w:t xml:space="preserve">a copy of </w:t>
      </w:r>
      <w:r w:rsidR="00EB51D4">
        <w:t>the request to enter default</w:t>
      </w:r>
      <w:r w:rsidR="0014665A">
        <w:t xml:space="preserve"> filed in the dissolution proceeding</w:t>
      </w:r>
      <w:r w:rsidR="00EB51D4">
        <w:t xml:space="preserve">.  </w:t>
      </w:r>
      <w:r w:rsidR="00EB7250">
        <w:t>He</w:t>
      </w:r>
      <w:r w:rsidR="00EB51D4">
        <w:t xml:space="preserve"> told </w:t>
      </w:r>
      <w:r w:rsidR="00EB7250">
        <w:t>her</w:t>
      </w:r>
      <w:r w:rsidR="00EB51D4">
        <w:t xml:space="preserve"> that he would need an additional $2,000</w:t>
      </w:r>
      <w:r w:rsidR="007406CE">
        <w:t xml:space="preserve"> to represent her in </w:t>
      </w:r>
      <w:r w:rsidR="00875A2E">
        <w:t xml:space="preserve">that </w:t>
      </w:r>
      <w:r w:rsidR="007406CE">
        <w:t>matter</w:t>
      </w:r>
      <w:r w:rsidR="0014665A">
        <w:t>, but</w:t>
      </w:r>
      <w:r w:rsidR="00EB51D4">
        <w:t xml:space="preserve"> Wanda </w:t>
      </w:r>
      <w:r>
        <w:t xml:space="preserve">refused to pay </w:t>
      </w:r>
      <w:r w:rsidR="00267B00">
        <w:t>as</w:t>
      </w:r>
      <w:r w:rsidR="007406CE">
        <w:t xml:space="preserve"> she believed </w:t>
      </w:r>
      <w:r w:rsidR="0008529F">
        <w:t>Borne had not earned the $2,500</w:t>
      </w:r>
      <w:r w:rsidR="004C405B">
        <w:t xml:space="preserve"> </w:t>
      </w:r>
      <w:r>
        <w:t xml:space="preserve">she previously </w:t>
      </w:r>
      <w:r w:rsidR="00990AA7">
        <w:t>advanced</w:t>
      </w:r>
      <w:r>
        <w:t xml:space="preserve"> to him</w:t>
      </w:r>
      <w:r w:rsidR="00990AA7">
        <w:t>.</w:t>
      </w:r>
      <w:r w:rsidR="004C405B">
        <w:t xml:space="preserve">  On March 23, 2004, s</w:t>
      </w:r>
      <w:r w:rsidR="00FD040E">
        <w:t xml:space="preserve">he </w:t>
      </w:r>
      <w:r w:rsidR="0008529F">
        <w:t xml:space="preserve">sent </w:t>
      </w:r>
      <w:r w:rsidR="00990AA7">
        <w:t>him</w:t>
      </w:r>
      <w:r w:rsidR="0008529F">
        <w:t xml:space="preserve"> a letter requesting a refund</w:t>
      </w:r>
      <w:r>
        <w:t xml:space="preserve"> of the $2,500, but </w:t>
      </w:r>
      <w:r w:rsidR="00C13EEF">
        <w:t xml:space="preserve">Borne </w:t>
      </w:r>
      <w:r>
        <w:t>refused</w:t>
      </w:r>
      <w:r w:rsidR="008A436B">
        <w:t xml:space="preserve"> because he had provided </w:t>
      </w:r>
      <w:r w:rsidR="001B2775">
        <w:t xml:space="preserve">substantial </w:t>
      </w:r>
      <w:r w:rsidR="008A436B">
        <w:t xml:space="preserve">legal services </w:t>
      </w:r>
      <w:r w:rsidR="001B2775">
        <w:t xml:space="preserve">for </w:t>
      </w:r>
      <w:r w:rsidR="008A436B">
        <w:t xml:space="preserve">her </w:t>
      </w:r>
      <w:r w:rsidR="001B2775">
        <w:t>under</w:t>
      </w:r>
      <w:r w:rsidR="008A436B">
        <w:t xml:space="preserve"> </w:t>
      </w:r>
      <w:r w:rsidR="00EB7250">
        <w:t>their original agreement</w:t>
      </w:r>
      <w:r w:rsidR="008A436B">
        <w:t>.</w:t>
      </w:r>
      <w:r w:rsidR="008A436B">
        <w:rPr>
          <w:rStyle w:val="FootnoteReference"/>
        </w:rPr>
        <w:footnoteReference w:id="4"/>
      </w:r>
    </w:p>
    <w:p w:rsidR="00A75112" w:rsidRPr="00175263" w:rsidRDefault="00175263" w:rsidP="00C11CC8">
      <w:pPr>
        <w:rPr>
          <w:b/>
        </w:rPr>
      </w:pPr>
      <w:r>
        <w:tab/>
      </w:r>
      <w:r w:rsidRPr="00175263">
        <w:rPr>
          <w:b/>
        </w:rPr>
        <w:t>2.  Conclusions of Law</w:t>
      </w:r>
      <w:r w:rsidR="00C13EEF" w:rsidRPr="00175263">
        <w:rPr>
          <w:b/>
        </w:rPr>
        <w:t xml:space="preserve"> </w:t>
      </w:r>
    </w:p>
    <w:p w:rsidR="002C7E40" w:rsidRDefault="002C7E40" w:rsidP="00175263">
      <w:pPr>
        <w:spacing w:line="240" w:lineRule="auto"/>
        <w:rPr>
          <w:b/>
        </w:rPr>
      </w:pPr>
      <w:r>
        <w:tab/>
      </w:r>
      <w:r w:rsidRPr="00175263">
        <w:rPr>
          <w:b/>
        </w:rPr>
        <w:t>Count 1</w:t>
      </w:r>
      <w:r w:rsidR="00F52B3D" w:rsidRPr="00175263">
        <w:rPr>
          <w:b/>
        </w:rPr>
        <w:t xml:space="preserve"> </w:t>
      </w:r>
      <w:r w:rsidR="00175263" w:rsidRPr="00175263">
        <w:rPr>
          <w:b/>
        </w:rPr>
        <w:t>–</w:t>
      </w:r>
      <w:r w:rsidR="00F52B3D" w:rsidRPr="00175263">
        <w:rPr>
          <w:b/>
        </w:rPr>
        <w:t xml:space="preserve"> </w:t>
      </w:r>
      <w:r w:rsidR="00175263" w:rsidRPr="00175263">
        <w:rPr>
          <w:b/>
        </w:rPr>
        <w:t xml:space="preserve">Failure to Perform with Competence </w:t>
      </w:r>
      <w:r w:rsidRPr="00175263">
        <w:rPr>
          <w:b/>
        </w:rPr>
        <w:t xml:space="preserve"> </w:t>
      </w:r>
    </w:p>
    <w:p w:rsidR="00175263" w:rsidRPr="00175263" w:rsidRDefault="00175263" w:rsidP="00175263">
      <w:pPr>
        <w:spacing w:line="240" w:lineRule="auto"/>
        <w:rPr>
          <w:b/>
        </w:rPr>
      </w:pPr>
    </w:p>
    <w:p w:rsidR="008B2C8C" w:rsidRDefault="00B4786E" w:rsidP="00C11CC8">
      <w:r>
        <w:tab/>
      </w:r>
      <w:r w:rsidR="004D25C9">
        <w:t xml:space="preserve">We find there is </w:t>
      </w:r>
      <w:r w:rsidR="0014665A">
        <w:t>insufficient</w:t>
      </w:r>
      <w:r w:rsidR="004D25C9">
        <w:t xml:space="preserve"> evidence to support t</w:t>
      </w:r>
      <w:r w:rsidR="00615BF9">
        <w:t>he State Bar</w:t>
      </w:r>
      <w:r w:rsidR="004D25C9">
        <w:t>’s</w:t>
      </w:r>
      <w:r w:rsidR="00615BF9">
        <w:t xml:space="preserve"> alleg</w:t>
      </w:r>
      <w:r w:rsidR="004D25C9">
        <w:t>ations</w:t>
      </w:r>
      <w:r w:rsidR="00615BF9">
        <w:t xml:space="preserve"> in Count 1 that Borne </w:t>
      </w:r>
      <w:r w:rsidR="00C34D9E">
        <w:t>violated Rules of Professional Conduct, rule 3-110(A)</w:t>
      </w:r>
      <w:r w:rsidR="00C34D9E">
        <w:rPr>
          <w:rStyle w:val="FootnoteReference"/>
        </w:rPr>
        <w:footnoteReference w:id="5"/>
      </w:r>
      <w:r w:rsidR="00C34D9E">
        <w:t xml:space="preserve"> by </w:t>
      </w:r>
      <w:r w:rsidR="00615BF9">
        <w:t>intention</w:t>
      </w:r>
      <w:r w:rsidR="00345265">
        <w:t xml:space="preserve">ally, recklessly or repeatedly </w:t>
      </w:r>
      <w:r w:rsidR="00A13123">
        <w:t>fail</w:t>
      </w:r>
      <w:r w:rsidR="00C34D9E">
        <w:t xml:space="preserve">ing </w:t>
      </w:r>
      <w:r w:rsidR="00A13123">
        <w:t>to</w:t>
      </w:r>
      <w:r w:rsidR="00345265">
        <w:t xml:space="preserve"> </w:t>
      </w:r>
      <w:r w:rsidR="00615BF9">
        <w:t>perform competently</w:t>
      </w:r>
      <w:r w:rsidR="004D25C9">
        <w:t xml:space="preserve"> in the Glass matter</w:t>
      </w:r>
      <w:r w:rsidR="00C34D9E">
        <w:t>.</w:t>
      </w:r>
      <w:r w:rsidR="00CD618D">
        <w:t xml:space="preserve"> </w:t>
      </w:r>
      <w:r w:rsidR="00C34D9E">
        <w:t xml:space="preserve"> Borne</w:t>
      </w:r>
      <w:r w:rsidR="0022741D">
        <w:t xml:space="preserve"> attempted to par</w:t>
      </w:r>
      <w:r w:rsidR="001B2775">
        <w:t xml:space="preserve">ticipate in the October </w:t>
      </w:r>
      <w:r w:rsidR="0022741D">
        <w:t>2003</w:t>
      </w:r>
      <w:r w:rsidR="001B2775">
        <w:t xml:space="preserve"> ex parte</w:t>
      </w:r>
      <w:r w:rsidR="0022741D">
        <w:t xml:space="preserve"> </w:t>
      </w:r>
      <w:r w:rsidR="003C71F4">
        <w:t>hearing</w:t>
      </w:r>
      <w:r w:rsidR="00BD4E91">
        <w:t xml:space="preserve"> regarding the sale of the home</w:t>
      </w:r>
      <w:r w:rsidR="003C71F4">
        <w:t>, but</w:t>
      </w:r>
      <w:r w:rsidR="00636F4B">
        <w:t>, through no fault of his own,</w:t>
      </w:r>
      <w:r w:rsidR="003C71F4">
        <w:t xml:space="preserve"> </w:t>
      </w:r>
      <w:r w:rsidR="00A13123">
        <w:t>the court would not allow him to appear</w:t>
      </w:r>
      <w:r w:rsidR="007F43D7">
        <w:t xml:space="preserve">.  </w:t>
      </w:r>
      <w:r w:rsidR="00E7513D">
        <w:t xml:space="preserve">Moreover, </w:t>
      </w:r>
      <w:r w:rsidR="007F43D7">
        <w:t xml:space="preserve">Borne </w:t>
      </w:r>
      <w:r w:rsidR="00BD4E91">
        <w:t xml:space="preserve">made a reasonable </w:t>
      </w:r>
      <w:r w:rsidR="007F43D7">
        <w:t xml:space="preserve">attempt to forestall Goldberg’s effort to obtain a default </w:t>
      </w:r>
      <w:r w:rsidR="00BD4E91">
        <w:t xml:space="preserve">judgment in the dissolution case by </w:t>
      </w:r>
      <w:r w:rsidR="00636F4B">
        <w:t>seeking</w:t>
      </w:r>
      <w:r w:rsidR="00BD4E91">
        <w:t xml:space="preserve"> more time </w:t>
      </w:r>
      <w:r w:rsidR="00636F4B">
        <w:t>to</w:t>
      </w:r>
      <w:r w:rsidR="0014665A">
        <w:t xml:space="preserve"> </w:t>
      </w:r>
      <w:r w:rsidR="00BD4E91">
        <w:t>substitut</w:t>
      </w:r>
      <w:r w:rsidR="0014665A">
        <w:t>e</w:t>
      </w:r>
      <w:r w:rsidR="00BD4E91">
        <w:t xml:space="preserve"> into the case.  </w:t>
      </w:r>
      <w:proofErr w:type="spellStart"/>
      <w:r w:rsidR="00783140">
        <w:t>Borne</w:t>
      </w:r>
      <w:r w:rsidR="00BD4E91">
        <w:t>’s</w:t>
      </w:r>
      <w:proofErr w:type="spellEnd"/>
      <w:r w:rsidR="00BD4E91">
        <w:t xml:space="preserve"> efforts to locate Wanda were unsuccessful, again through no fault of his own.</w:t>
      </w:r>
      <w:r w:rsidR="00365EE1">
        <w:t xml:space="preserve">  </w:t>
      </w:r>
      <w:r w:rsidR="00636F4B">
        <w:t>Without</w:t>
      </w:r>
      <w:r w:rsidR="00365EE1">
        <w:t xml:space="preserve"> knowing her whereabouts</w:t>
      </w:r>
      <w:r w:rsidR="00636F4B">
        <w:t xml:space="preserve"> or having her</w:t>
      </w:r>
      <w:r w:rsidR="001F4481">
        <w:t xml:space="preserve"> </w:t>
      </w:r>
      <w:r w:rsidR="00BD4E91">
        <w:t>authorization</w:t>
      </w:r>
      <w:r w:rsidR="00365EE1">
        <w:t xml:space="preserve">, Borne could not file a response to the dissolution petition or object to the entry of default.  Accordingly, </w:t>
      </w:r>
      <w:r w:rsidR="00BD4E91">
        <w:t xml:space="preserve">we do not </w:t>
      </w:r>
      <w:r w:rsidR="00636F4B">
        <w:t>consider</w:t>
      </w:r>
      <w:r w:rsidR="00BD4E91">
        <w:t xml:space="preserve"> </w:t>
      </w:r>
      <w:proofErr w:type="spellStart"/>
      <w:r w:rsidR="00BD4E91">
        <w:t>Borne’s</w:t>
      </w:r>
      <w:proofErr w:type="spellEnd"/>
      <w:r w:rsidR="00BD4E91">
        <w:t xml:space="preserve"> actions or inaction </w:t>
      </w:r>
      <w:r w:rsidR="00636F4B">
        <w:t xml:space="preserve">to </w:t>
      </w:r>
      <w:r w:rsidR="00BD4E91">
        <w:t>const</w:t>
      </w:r>
      <w:r w:rsidR="00365EE1">
        <w:t>itute an intentional, reckless</w:t>
      </w:r>
      <w:r w:rsidR="00BD4E91">
        <w:t xml:space="preserve"> or repeated failure to perform competently.</w:t>
      </w:r>
    </w:p>
    <w:p w:rsidR="008B2C8C" w:rsidRDefault="008B2C8C">
      <w:pPr>
        <w:spacing w:line="240" w:lineRule="auto"/>
      </w:pPr>
      <w:r>
        <w:br w:type="page"/>
      </w:r>
    </w:p>
    <w:p w:rsidR="002F588F" w:rsidRDefault="00E7513D" w:rsidP="00C11CC8">
      <w:r>
        <w:lastRenderedPageBreak/>
        <w:tab/>
      </w:r>
      <w:r w:rsidR="002F588F" w:rsidRPr="00175263">
        <w:rPr>
          <w:b/>
        </w:rPr>
        <w:t>Count 2 – Failure to Refund Unearned Fees (Rule 3-700(D)(2))</w:t>
      </w:r>
    </w:p>
    <w:p w:rsidR="002F588F" w:rsidRDefault="002F588F" w:rsidP="00C11CC8">
      <w:r>
        <w:tab/>
        <w:t>The hearing judge dismissed</w:t>
      </w:r>
      <w:r w:rsidR="001A68FF">
        <w:t xml:space="preserve"> the allegations in</w:t>
      </w:r>
      <w:r>
        <w:t xml:space="preserve"> Count 2 </w:t>
      </w:r>
      <w:r w:rsidR="001A68FF">
        <w:t xml:space="preserve">that Borne violated rule 3-700(D)(2) by failing to promptly return any unearned advance fees </w:t>
      </w:r>
      <w:r>
        <w:t>with prejudice</w:t>
      </w:r>
      <w:r w:rsidR="001A68FF">
        <w:t xml:space="preserve">, </w:t>
      </w:r>
      <w:r w:rsidR="00456B3F">
        <w:t xml:space="preserve">which we adopt.  </w:t>
      </w:r>
      <w:r w:rsidR="001A68FF">
        <w:t>The record establishes that b</w:t>
      </w:r>
      <w:r>
        <w:t xml:space="preserve">etween September 2003 and </w:t>
      </w:r>
      <w:r w:rsidR="00B8305A">
        <w:t>March</w:t>
      </w:r>
      <w:r>
        <w:t xml:space="preserve"> 200</w:t>
      </w:r>
      <w:r w:rsidR="00B8305A">
        <w:t>4</w:t>
      </w:r>
      <w:r>
        <w:t xml:space="preserve">, Borne performed </w:t>
      </w:r>
      <w:r w:rsidR="00456B3F">
        <w:t>significant</w:t>
      </w:r>
      <w:r>
        <w:t xml:space="preserve"> legal services for Wanda</w:t>
      </w:r>
      <w:r w:rsidR="00B8305A">
        <w:t xml:space="preserve"> justifying his retention of the advance</w:t>
      </w:r>
      <w:r w:rsidR="008B2C8C">
        <w:t>d</w:t>
      </w:r>
      <w:r w:rsidR="00B8305A">
        <w:t xml:space="preserve"> fee.  </w:t>
      </w:r>
      <w:r w:rsidR="00456B3F">
        <w:t xml:space="preserve">  </w:t>
      </w:r>
      <w:r>
        <w:t xml:space="preserve">  </w:t>
      </w:r>
    </w:p>
    <w:p w:rsidR="00857984" w:rsidRPr="00175263" w:rsidRDefault="00175263" w:rsidP="00C11CC8">
      <w:pPr>
        <w:rPr>
          <w:b/>
        </w:rPr>
      </w:pPr>
      <w:r>
        <w:tab/>
      </w:r>
      <w:r w:rsidR="00857984" w:rsidRPr="00175263">
        <w:rPr>
          <w:b/>
        </w:rPr>
        <w:t xml:space="preserve">Count 3 – Moral </w:t>
      </w:r>
      <w:r w:rsidR="005E59C6" w:rsidRPr="00175263">
        <w:rPr>
          <w:b/>
        </w:rPr>
        <w:t xml:space="preserve">Turpitude </w:t>
      </w:r>
      <w:r w:rsidR="00857984" w:rsidRPr="00175263">
        <w:rPr>
          <w:b/>
        </w:rPr>
        <w:t>(Bus. &amp; Prof. Code</w:t>
      </w:r>
      <w:r w:rsidR="00D55C23">
        <w:rPr>
          <w:b/>
        </w:rPr>
        <w:t>,</w:t>
      </w:r>
      <w:r w:rsidR="00857984" w:rsidRPr="00175263">
        <w:rPr>
          <w:b/>
        </w:rPr>
        <w:t xml:space="preserve"> </w:t>
      </w:r>
      <w:r w:rsidR="005E59C6" w:rsidRPr="00175263">
        <w:rPr>
          <w:b/>
        </w:rPr>
        <w:t>§ 6106</w:t>
      </w:r>
      <w:r>
        <w:rPr>
          <w:rStyle w:val="FootnoteReference"/>
          <w:b/>
        </w:rPr>
        <w:footnoteReference w:id="6"/>
      </w:r>
      <w:r w:rsidR="005E59C6" w:rsidRPr="00175263">
        <w:rPr>
          <w:b/>
        </w:rPr>
        <w:t>)</w:t>
      </w:r>
    </w:p>
    <w:p w:rsidR="005E59C6" w:rsidRDefault="005E59C6" w:rsidP="00C11CC8">
      <w:r>
        <w:tab/>
        <w:t xml:space="preserve">The State Bar alleged that Borne violated section 6106 by misrepresenting to Wanda that he had filed a substitution of attorney form.  The hearing judge </w:t>
      </w:r>
      <w:r w:rsidR="00000F5A">
        <w:t xml:space="preserve">dismissed Count 3 with prejudice, </w:t>
      </w:r>
      <w:r w:rsidR="00AE14C1">
        <w:t>finding</w:t>
      </w:r>
      <w:r>
        <w:t xml:space="preserve"> no credible evidence that </w:t>
      </w:r>
      <w:r w:rsidR="00000F5A">
        <w:t xml:space="preserve">Borne </w:t>
      </w:r>
      <w:r w:rsidR="004E7234">
        <w:t xml:space="preserve">had </w:t>
      </w:r>
      <w:r w:rsidR="00267B00">
        <w:t>made such a misrepresentation</w:t>
      </w:r>
      <w:r w:rsidR="00000F5A">
        <w:t xml:space="preserve">.  </w:t>
      </w:r>
      <w:r w:rsidR="009275AD">
        <w:t>We agree and adopt his finding.</w:t>
      </w:r>
      <w:r w:rsidR="00000F5A">
        <w:t xml:space="preserve">  </w:t>
      </w:r>
      <w:r w:rsidR="008B2C8C">
        <w:t>Accordingly, we find no culpability in case number 04-O-11970.</w:t>
      </w:r>
    </w:p>
    <w:p w:rsidR="00A75112" w:rsidRDefault="009B6EFA" w:rsidP="00C11CC8">
      <w:pPr>
        <w:rPr>
          <w:b/>
        </w:rPr>
      </w:pPr>
      <w:r>
        <w:rPr>
          <w:b/>
        </w:rPr>
        <w:t>B.</w:t>
      </w:r>
      <w:r>
        <w:rPr>
          <w:b/>
        </w:rPr>
        <w:tab/>
      </w:r>
      <w:r w:rsidR="00B454CC" w:rsidRPr="003614A0">
        <w:rPr>
          <w:b/>
        </w:rPr>
        <w:t xml:space="preserve">THE </w:t>
      </w:r>
      <w:proofErr w:type="spellStart"/>
      <w:r w:rsidR="00B454CC" w:rsidRPr="003614A0">
        <w:rPr>
          <w:b/>
        </w:rPr>
        <w:t>TIATIA</w:t>
      </w:r>
      <w:proofErr w:type="spellEnd"/>
      <w:r w:rsidR="00B454CC" w:rsidRPr="003614A0">
        <w:rPr>
          <w:b/>
        </w:rPr>
        <w:t xml:space="preserve"> MATTER</w:t>
      </w:r>
      <w:r w:rsidR="00302861">
        <w:rPr>
          <w:b/>
        </w:rPr>
        <w:t xml:space="preserve"> </w:t>
      </w:r>
      <w:r w:rsidR="00567936">
        <w:rPr>
          <w:b/>
        </w:rPr>
        <w:t>(</w:t>
      </w:r>
      <w:r w:rsidR="00567936" w:rsidRPr="00567936">
        <w:rPr>
          <w:b/>
        </w:rPr>
        <w:t>Case N</w:t>
      </w:r>
      <w:r w:rsidR="00567936">
        <w:rPr>
          <w:b/>
        </w:rPr>
        <w:t>o.</w:t>
      </w:r>
      <w:r w:rsidR="00567936" w:rsidRPr="00567936">
        <w:rPr>
          <w:b/>
        </w:rPr>
        <w:t xml:space="preserve"> 04-O-14219</w:t>
      </w:r>
      <w:r w:rsidR="00567936">
        <w:rPr>
          <w:b/>
        </w:rPr>
        <w:t>)</w:t>
      </w:r>
      <w:r w:rsidR="00983DD3">
        <w:rPr>
          <w:b/>
        </w:rPr>
        <w:t xml:space="preserve">  </w:t>
      </w:r>
    </w:p>
    <w:p w:rsidR="00175263" w:rsidRDefault="00175263" w:rsidP="00C11CC8">
      <w:pPr>
        <w:rPr>
          <w:b/>
        </w:rPr>
      </w:pPr>
      <w:r>
        <w:rPr>
          <w:b/>
        </w:rPr>
        <w:tab/>
        <w:t>1.  Findings of Fact</w:t>
      </w:r>
    </w:p>
    <w:p w:rsidR="00871A55" w:rsidRDefault="00175263" w:rsidP="00C11CC8">
      <w:r>
        <w:rPr>
          <w:b/>
        </w:rPr>
        <w:tab/>
      </w:r>
      <w:r w:rsidR="00C610C1">
        <w:t xml:space="preserve">In August 2002, </w:t>
      </w:r>
      <w:proofErr w:type="spellStart"/>
      <w:r w:rsidR="00883626">
        <w:t>Tuafono</w:t>
      </w:r>
      <w:proofErr w:type="spellEnd"/>
      <w:r w:rsidR="00883626">
        <w:t xml:space="preserve"> </w:t>
      </w:r>
      <w:proofErr w:type="spellStart"/>
      <w:r w:rsidR="00883626">
        <w:t>Tiatia</w:t>
      </w:r>
      <w:proofErr w:type="spellEnd"/>
      <w:r w:rsidR="00883626">
        <w:t xml:space="preserve">, who was incarcerated, </w:t>
      </w:r>
      <w:r w:rsidR="00BD1756">
        <w:t>complained to</w:t>
      </w:r>
      <w:r w:rsidR="00C610C1">
        <w:t xml:space="preserve"> the State Bar about </w:t>
      </w:r>
      <w:proofErr w:type="spellStart"/>
      <w:r w:rsidR="00C610C1">
        <w:t>Borne’s</w:t>
      </w:r>
      <w:proofErr w:type="spellEnd"/>
      <w:r w:rsidR="00C610C1">
        <w:t xml:space="preserve"> representation of him in a criminal matter</w:t>
      </w:r>
      <w:r w:rsidR="00BE143A">
        <w:t>.</w:t>
      </w:r>
      <w:r w:rsidR="00BD1756">
        <w:t xml:space="preserve">  </w:t>
      </w:r>
      <w:r w:rsidR="00032DB5">
        <w:t>T</w:t>
      </w:r>
      <w:r w:rsidR="00F11EAD">
        <w:t xml:space="preserve">he State Bar learned </w:t>
      </w:r>
      <w:r w:rsidR="00032DB5">
        <w:t xml:space="preserve">from this complaint </w:t>
      </w:r>
      <w:r w:rsidR="00F11EAD">
        <w:t>that</w:t>
      </w:r>
      <w:r w:rsidR="002F08F9">
        <w:t xml:space="preserve"> </w:t>
      </w:r>
      <w:r w:rsidR="00B8305A">
        <w:t>in October and November of 1999</w:t>
      </w:r>
      <w:r w:rsidR="004E7234">
        <w:t>,</w:t>
      </w:r>
      <w:r w:rsidR="00F11EAD">
        <w:t xml:space="preserve"> </w:t>
      </w:r>
      <w:r w:rsidR="00BD1756">
        <w:t xml:space="preserve">Borne </w:t>
      </w:r>
      <w:r w:rsidR="00F11EAD">
        <w:t xml:space="preserve">had </w:t>
      </w:r>
      <w:r w:rsidR="00BD1756">
        <w:t xml:space="preserve">appeared on </w:t>
      </w:r>
      <w:proofErr w:type="spellStart"/>
      <w:r w:rsidR="00AE14C1">
        <w:t>Tiatia’s</w:t>
      </w:r>
      <w:proofErr w:type="spellEnd"/>
      <w:r w:rsidR="00AE14C1">
        <w:t xml:space="preserve"> </w:t>
      </w:r>
      <w:r w:rsidR="00BD1756">
        <w:t>behalf</w:t>
      </w:r>
      <w:r w:rsidR="00F11EAD">
        <w:t xml:space="preserve"> at an </w:t>
      </w:r>
      <w:r w:rsidR="00BD1756">
        <w:t>eight-day trial</w:t>
      </w:r>
      <w:r w:rsidR="00F11EAD" w:rsidRPr="00F11EAD">
        <w:t xml:space="preserve"> </w:t>
      </w:r>
      <w:r w:rsidR="00F11EAD">
        <w:t xml:space="preserve">in Los Angeles Superior Court </w:t>
      </w:r>
      <w:r w:rsidR="00983DD3">
        <w:t xml:space="preserve">while </w:t>
      </w:r>
      <w:r w:rsidR="00AE14C1">
        <w:t>he</w:t>
      </w:r>
      <w:r w:rsidR="00983DD3">
        <w:t xml:space="preserve"> was suspen</w:t>
      </w:r>
      <w:r w:rsidR="00AE14C1">
        <w:t>ded</w:t>
      </w:r>
      <w:r w:rsidR="00983DD3">
        <w:t xml:space="preserve"> </w:t>
      </w:r>
      <w:r w:rsidR="00983DD3" w:rsidRPr="00BD1756">
        <w:t>for</w:t>
      </w:r>
      <w:r w:rsidR="00BD1756">
        <w:t xml:space="preserve"> </w:t>
      </w:r>
      <w:r w:rsidR="00983DD3" w:rsidRPr="00BD1756">
        <w:t xml:space="preserve">failure to pay his </w:t>
      </w:r>
      <w:r w:rsidR="005F6E10" w:rsidRPr="00BD1756">
        <w:t xml:space="preserve">State Bar </w:t>
      </w:r>
      <w:r w:rsidR="00AE14C1">
        <w:t>dues</w:t>
      </w:r>
      <w:r w:rsidR="00F11EAD">
        <w:t xml:space="preserve">. </w:t>
      </w:r>
      <w:r w:rsidR="00F11EAD" w:rsidRPr="00F11EAD">
        <w:t xml:space="preserve"> </w:t>
      </w:r>
      <w:r w:rsidR="00F11EAD">
        <w:t>Borne stipulated to holding himself out as entitled to practice</w:t>
      </w:r>
      <w:r w:rsidR="00AE14C1">
        <w:t>,</w:t>
      </w:r>
      <w:r w:rsidR="00F11EAD">
        <w:t xml:space="preserve"> in </w:t>
      </w:r>
      <w:r w:rsidR="009C55D9">
        <w:t>v</w:t>
      </w:r>
      <w:r w:rsidR="00F11EAD">
        <w:t>iolat</w:t>
      </w:r>
      <w:r w:rsidR="009C55D9">
        <w:t>i</w:t>
      </w:r>
      <w:r w:rsidR="00F11EAD">
        <w:t>on of sections 6125 and 6126</w:t>
      </w:r>
      <w:r w:rsidR="004E7234">
        <w:t>.</w:t>
      </w:r>
      <w:r w:rsidR="00883626">
        <w:t xml:space="preserve">  </w:t>
      </w:r>
      <w:r w:rsidR="004E7234">
        <w:t>O</w:t>
      </w:r>
      <w:r w:rsidR="00EF574C">
        <w:t>n</w:t>
      </w:r>
      <w:r w:rsidR="000D6165" w:rsidRPr="000D6165">
        <w:t xml:space="preserve"> </w:t>
      </w:r>
      <w:r w:rsidR="000D6165">
        <w:t>July 22, 2004,</w:t>
      </w:r>
      <w:r w:rsidR="00EF574C">
        <w:t xml:space="preserve"> the Supreme Court ordered that </w:t>
      </w:r>
      <w:r w:rsidR="00983DD3">
        <w:t xml:space="preserve">Borne </w:t>
      </w:r>
      <w:r w:rsidR="00EF574C">
        <w:t xml:space="preserve">be suspended for </w:t>
      </w:r>
      <w:r w:rsidR="00983DD3">
        <w:t>two years</w:t>
      </w:r>
      <w:r w:rsidR="00AE14C1">
        <w:t>,</w:t>
      </w:r>
      <w:r w:rsidR="00983DD3">
        <w:t xml:space="preserve"> stayed</w:t>
      </w:r>
      <w:r w:rsidR="00EF574C">
        <w:t xml:space="preserve">, with </w:t>
      </w:r>
      <w:r w:rsidR="00983DD3">
        <w:t>three years’ probation and</w:t>
      </w:r>
      <w:r w:rsidR="00C610C1">
        <w:t xml:space="preserve"> </w:t>
      </w:r>
      <w:r w:rsidR="00AE14C1">
        <w:t>90</w:t>
      </w:r>
      <w:r w:rsidR="00983DD3">
        <w:t xml:space="preserve"> days’ actual</w:t>
      </w:r>
      <w:r w:rsidR="00C610C1">
        <w:t xml:space="preserve"> </w:t>
      </w:r>
      <w:r w:rsidR="00983DD3">
        <w:t>suspension</w:t>
      </w:r>
      <w:r w:rsidR="00883626" w:rsidRPr="00883626">
        <w:t xml:space="preserve"> </w:t>
      </w:r>
      <w:r w:rsidR="00883626">
        <w:t>in Case Number 02-O-13903</w:t>
      </w:r>
      <w:r w:rsidR="00883626" w:rsidRPr="00BD1756">
        <w:t>.</w:t>
      </w:r>
      <w:r w:rsidR="00883626">
        <w:t xml:space="preserve">  </w:t>
      </w:r>
      <w:r w:rsidR="008B2C8C">
        <w:t>Just before the court entered its discipline</w:t>
      </w:r>
      <w:r w:rsidR="00883626">
        <w:t xml:space="preserve"> </w:t>
      </w:r>
      <w:r w:rsidR="000D6165">
        <w:t xml:space="preserve">order, </w:t>
      </w:r>
      <w:r w:rsidR="00871A55">
        <w:t xml:space="preserve">Borne sent </w:t>
      </w:r>
      <w:proofErr w:type="spellStart"/>
      <w:r w:rsidR="00871A55">
        <w:t>Tiatia</w:t>
      </w:r>
      <w:proofErr w:type="spellEnd"/>
      <w:r w:rsidR="005F6E10">
        <w:t xml:space="preserve"> the following</w:t>
      </w:r>
      <w:r w:rsidR="00871A55">
        <w:t xml:space="preserve"> letter </w:t>
      </w:r>
      <w:r w:rsidR="000D6165">
        <w:t>on July 1, 2004</w:t>
      </w:r>
      <w:r w:rsidR="00B8305A">
        <w:t xml:space="preserve">: </w:t>
      </w:r>
    </w:p>
    <w:p w:rsidR="00E013C3" w:rsidRDefault="008B2C8C" w:rsidP="008B2C8C">
      <w:pPr>
        <w:tabs>
          <w:tab w:val="left" w:pos="720"/>
        </w:tabs>
        <w:spacing w:line="240" w:lineRule="auto"/>
        <w:ind w:left="720" w:right="720"/>
      </w:pPr>
      <w:r>
        <w:tab/>
      </w:r>
      <w:r w:rsidR="00871A55">
        <w:t xml:space="preserve">You have really messed up this time!  You think I messed up your life?  Well, you really did a number on mine.  You should have taken the deal, now, </w:t>
      </w:r>
      <w:r w:rsidR="00871A55">
        <w:lastRenderedPageBreak/>
        <w:t>you may never get out of prison.  In addition, I will accuse you of perjury if you continue to accuse me of wrongdoing.</w:t>
      </w:r>
    </w:p>
    <w:p w:rsidR="00D256CC" w:rsidRDefault="00D256CC" w:rsidP="008B2C8C">
      <w:pPr>
        <w:tabs>
          <w:tab w:val="left" w:pos="720"/>
        </w:tabs>
        <w:spacing w:line="240" w:lineRule="auto"/>
        <w:ind w:left="720" w:right="720"/>
      </w:pPr>
    </w:p>
    <w:p w:rsidR="00E013C3" w:rsidRDefault="00871A55">
      <w:pPr>
        <w:spacing w:line="240" w:lineRule="auto"/>
        <w:ind w:left="720" w:right="720" w:firstLine="720"/>
      </w:pPr>
      <w:r>
        <w:t xml:space="preserve">The State Bar dismissed all of your allegations (lies), and your papers are woefully ill-written.  The mercenary discipline imposed upon me by the Bar has </w:t>
      </w:r>
      <w:r>
        <w:rPr>
          <w:u w:val="single"/>
        </w:rPr>
        <w:t>nothing</w:t>
      </w:r>
      <w:r>
        <w:t xml:space="preserve"> to do with the merits of your case.  They don’t give a damn about you.  When are you going to wake up and realize that you need me?  You are blowing your chances of parole.  Guess what, they call the trial attorney for input at your parole hearings!  If you want me to talk good for you, I’ll have to really pray hard on it.  I’ll do that, but my prayers are often unanswered.  It is going to take every Christian bone in my body </w:t>
      </w:r>
      <w:r>
        <w:rPr>
          <w:b/>
          <w:i/>
          <w:u w:val="single"/>
        </w:rPr>
        <w:t>not</w:t>
      </w:r>
      <w:r>
        <w:t xml:space="preserve"> to speak ill of you!  Dismiss this bull---</w:t>
      </w:r>
      <w:r w:rsidR="00584460">
        <w:t>-</w:t>
      </w:r>
      <w:r>
        <w:t xml:space="preserve"> now or I will fight back against you!  You </w:t>
      </w:r>
      <w:r>
        <w:rPr>
          <w:u w:val="single"/>
        </w:rPr>
        <w:t>will</w:t>
      </w:r>
      <w:r>
        <w:t xml:space="preserve"> lose!</w:t>
      </w:r>
    </w:p>
    <w:p w:rsidR="00A5565A" w:rsidRDefault="00A5565A" w:rsidP="00871A55">
      <w:pPr>
        <w:spacing w:line="240" w:lineRule="auto"/>
        <w:ind w:left="1440" w:right="720"/>
      </w:pPr>
    </w:p>
    <w:p w:rsidR="00E013C3" w:rsidRDefault="00871A55">
      <w:pPr>
        <w:spacing w:line="240" w:lineRule="auto"/>
        <w:ind w:left="720" w:right="720" w:firstLine="720"/>
      </w:pPr>
      <w:r>
        <w:t xml:space="preserve">Your actions have negatively impacted my family and I am very upset about it.  </w:t>
      </w:r>
      <w:r>
        <w:rPr>
          <w:u w:val="single"/>
        </w:rPr>
        <w:t>You should have taken the deal!</w:t>
      </w:r>
      <w:r>
        <w:t xml:space="preserve">  I wish you no harm, but you are just sinking your own ship!!  (Emphasis in original.) </w:t>
      </w:r>
    </w:p>
    <w:p w:rsidR="00871A55" w:rsidRDefault="00871A55" w:rsidP="00871A55">
      <w:pPr>
        <w:spacing w:line="240" w:lineRule="auto"/>
        <w:ind w:left="1440" w:right="720"/>
      </w:pPr>
    </w:p>
    <w:p w:rsidR="00871A55" w:rsidRDefault="003C1054" w:rsidP="0057449C">
      <w:pPr>
        <w:ind w:right="720" w:firstLine="720"/>
      </w:pPr>
      <w:r>
        <w:t xml:space="preserve">Borne </w:t>
      </w:r>
      <w:r w:rsidR="00A37FDF">
        <w:t>testified</w:t>
      </w:r>
      <w:r>
        <w:t xml:space="preserve"> that he w</w:t>
      </w:r>
      <w:r w:rsidR="004B58A7">
        <w:t xml:space="preserve">as angry </w:t>
      </w:r>
      <w:r w:rsidR="00883626">
        <w:t xml:space="preserve">when he sent the letter </w:t>
      </w:r>
      <w:r w:rsidR="004B58A7">
        <w:t xml:space="preserve">because </w:t>
      </w:r>
      <w:proofErr w:type="spellStart"/>
      <w:r>
        <w:t>Tiatia’s</w:t>
      </w:r>
      <w:proofErr w:type="spellEnd"/>
      <w:r>
        <w:t xml:space="preserve"> </w:t>
      </w:r>
      <w:r w:rsidR="004B58A7">
        <w:t xml:space="preserve">complaint to the State Bar </w:t>
      </w:r>
      <w:r w:rsidR="00123C10">
        <w:t>resulted in</w:t>
      </w:r>
      <w:r w:rsidR="004E7234">
        <w:t xml:space="preserve"> </w:t>
      </w:r>
      <w:proofErr w:type="spellStart"/>
      <w:r w:rsidR="004E7234">
        <w:t>Borne’s</w:t>
      </w:r>
      <w:proofErr w:type="spellEnd"/>
      <w:r w:rsidR="004E7234">
        <w:t xml:space="preserve"> 90-day suspension</w:t>
      </w:r>
      <w:r w:rsidR="004B58A7">
        <w:t>.</w:t>
      </w:r>
      <w:r>
        <w:t xml:space="preserve">  </w:t>
      </w:r>
      <w:r w:rsidR="00883626">
        <w:t xml:space="preserve">When </w:t>
      </w:r>
      <w:r w:rsidR="004E7234">
        <w:t>he</w:t>
      </w:r>
      <w:r w:rsidR="00883626">
        <w:t xml:space="preserve"> was </w:t>
      </w:r>
      <w:r>
        <w:t xml:space="preserve">asked </w:t>
      </w:r>
      <w:r w:rsidR="00D70E57">
        <w:t xml:space="preserve">at the trial </w:t>
      </w:r>
      <w:r>
        <w:t xml:space="preserve">if </w:t>
      </w:r>
      <w:r w:rsidR="00D70E57">
        <w:t xml:space="preserve">he </w:t>
      </w:r>
      <w:r>
        <w:t xml:space="preserve">thought </w:t>
      </w:r>
      <w:r w:rsidR="004E7234">
        <w:t>his</w:t>
      </w:r>
      <w:r>
        <w:t xml:space="preserve"> letter was threatening, </w:t>
      </w:r>
      <w:r w:rsidR="00883626">
        <w:t xml:space="preserve">he </w:t>
      </w:r>
      <w:r>
        <w:t>stated:  “This is not a threat. . .This is my attempt at legal advice.”</w:t>
      </w:r>
      <w:r w:rsidR="00D70E57">
        <w:t xml:space="preserve">  When further questioned whether it was wrong to send such a letter, </w:t>
      </w:r>
      <w:r w:rsidR="0057449C">
        <w:t>Borne</w:t>
      </w:r>
      <w:r w:rsidR="00D70E57">
        <w:t xml:space="preserve"> </w:t>
      </w:r>
      <w:r w:rsidR="00B8305A">
        <w:t xml:space="preserve">stated </w:t>
      </w:r>
      <w:r w:rsidR="00D70E57">
        <w:t>that he was “intensely remorseful” about the wording, which he described as “unfortunate” and “rude</w:t>
      </w:r>
      <w:r w:rsidR="0057449C">
        <w:t>,</w:t>
      </w:r>
      <w:r w:rsidR="00D70E57">
        <w:t xml:space="preserve">” but </w:t>
      </w:r>
      <w:r w:rsidR="004E7234">
        <w:t xml:space="preserve">not </w:t>
      </w:r>
      <w:r w:rsidR="00D70E57">
        <w:t>about the substance</w:t>
      </w:r>
      <w:r w:rsidR="0057449C">
        <w:t xml:space="preserve"> </w:t>
      </w:r>
      <w:r w:rsidR="00D70E57">
        <w:t>because he thought the letter “was in [</w:t>
      </w:r>
      <w:proofErr w:type="spellStart"/>
      <w:r w:rsidR="00D70E57">
        <w:t>Tiatia’s</w:t>
      </w:r>
      <w:proofErr w:type="spellEnd"/>
      <w:r w:rsidR="00D70E57">
        <w:t xml:space="preserve">] best interests.” </w:t>
      </w:r>
    </w:p>
    <w:p w:rsidR="009B6EFA" w:rsidRDefault="00F06B2E" w:rsidP="002166D4">
      <w:r>
        <w:tab/>
      </w:r>
      <w:proofErr w:type="spellStart"/>
      <w:r>
        <w:t>Tiatia</w:t>
      </w:r>
      <w:proofErr w:type="spellEnd"/>
      <w:r w:rsidR="00DA6526">
        <w:t xml:space="preserve"> forwarded </w:t>
      </w:r>
      <w:proofErr w:type="spellStart"/>
      <w:r w:rsidR="003E2BBB">
        <w:t>Borne’s</w:t>
      </w:r>
      <w:proofErr w:type="spellEnd"/>
      <w:r w:rsidR="00DA6526">
        <w:t xml:space="preserve"> letter to the State Bar,</w:t>
      </w:r>
      <w:r w:rsidR="00032DB5">
        <w:t xml:space="preserve"> </w:t>
      </w:r>
      <w:r w:rsidR="002C3DC9">
        <w:t xml:space="preserve">prompting </w:t>
      </w:r>
      <w:r w:rsidR="003E2BBB">
        <w:t xml:space="preserve">an investigation.  </w:t>
      </w:r>
      <w:r w:rsidR="002C3DC9">
        <w:t>On March 7 and March 25, 2005</w:t>
      </w:r>
      <w:r w:rsidR="000D6165">
        <w:t xml:space="preserve">, </w:t>
      </w:r>
      <w:r w:rsidR="002C3DC9">
        <w:t>the assigned</w:t>
      </w:r>
      <w:r w:rsidR="003E3815">
        <w:t xml:space="preserve"> State Bar</w:t>
      </w:r>
      <w:r>
        <w:t xml:space="preserve"> investigator </w:t>
      </w:r>
      <w:r w:rsidR="00875A2E">
        <w:t>wrote</w:t>
      </w:r>
      <w:r w:rsidR="003E3815">
        <w:t xml:space="preserve"> </w:t>
      </w:r>
      <w:r w:rsidR="00DA6526">
        <w:t xml:space="preserve">to Borne </w:t>
      </w:r>
      <w:r w:rsidR="00BB64A4">
        <w:t>for a</w:t>
      </w:r>
      <w:r w:rsidR="002C3DC9">
        <w:t>n</w:t>
      </w:r>
      <w:r w:rsidR="00BB64A4">
        <w:t xml:space="preserve"> </w:t>
      </w:r>
      <w:r w:rsidR="00F93D91">
        <w:t>expla</w:t>
      </w:r>
      <w:r w:rsidR="002C3DC9">
        <w:t>nation</w:t>
      </w:r>
      <w:r w:rsidR="00BB64A4">
        <w:t xml:space="preserve"> </w:t>
      </w:r>
      <w:r w:rsidR="002C3DC9">
        <w:t>for</w:t>
      </w:r>
      <w:r w:rsidR="00BB64A4">
        <w:t xml:space="preserve"> </w:t>
      </w:r>
      <w:r w:rsidR="00123C10">
        <w:t>the</w:t>
      </w:r>
      <w:r w:rsidR="00F93D91">
        <w:t xml:space="preserve"> letter</w:t>
      </w:r>
      <w:r w:rsidR="001B2775">
        <w:t xml:space="preserve"> to </w:t>
      </w:r>
      <w:proofErr w:type="spellStart"/>
      <w:r w:rsidR="001B2775">
        <w:t>Tiatia</w:t>
      </w:r>
      <w:proofErr w:type="spellEnd"/>
      <w:r w:rsidR="00F93D91">
        <w:t xml:space="preserve">.  </w:t>
      </w:r>
      <w:r w:rsidR="00E5186E">
        <w:t xml:space="preserve">The </w:t>
      </w:r>
      <w:r w:rsidR="00875A2E">
        <w:t xml:space="preserve">investigator </w:t>
      </w:r>
      <w:r w:rsidR="00E5186E">
        <w:t xml:space="preserve">advised Borne that his failure to respond could result in </w:t>
      </w:r>
      <w:r w:rsidR="00BB64A4">
        <w:t xml:space="preserve">a </w:t>
      </w:r>
      <w:r w:rsidR="00E5186E">
        <w:t>violation of section 6068</w:t>
      </w:r>
      <w:r w:rsidR="002C3DC9">
        <w:t xml:space="preserve">, subdivision </w:t>
      </w:r>
      <w:r w:rsidR="00E5186E">
        <w:t>(</w:t>
      </w:r>
      <w:proofErr w:type="spellStart"/>
      <w:r w:rsidR="00E5186E">
        <w:t>i</w:t>
      </w:r>
      <w:proofErr w:type="spellEnd"/>
      <w:r w:rsidR="00E5186E">
        <w:t xml:space="preserve">).  </w:t>
      </w:r>
      <w:r w:rsidR="003E3815">
        <w:t xml:space="preserve">Borne left </w:t>
      </w:r>
      <w:r w:rsidR="00123C10">
        <w:t xml:space="preserve">the investigator </w:t>
      </w:r>
      <w:r w:rsidR="003E3815">
        <w:t xml:space="preserve">a voicemail </w:t>
      </w:r>
      <w:r w:rsidR="002C3DC9">
        <w:t xml:space="preserve">message </w:t>
      </w:r>
      <w:r w:rsidR="003E3815">
        <w:t xml:space="preserve">requesting a faxed copy of </w:t>
      </w:r>
      <w:r w:rsidR="00C6758B">
        <w:t>t</w:t>
      </w:r>
      <w:r w:rsidR="00DA6526">
        <w:t>h</w:t>
      </w:r>
      <w:r w:rsidR="00C6758B">
        <w:t>e</w:t>
      </w:r>
      <w:r w:rsidR="003E3815">
        <w:t xml:space="preserve"> letter </w:t>
      </w:r>
      <w:r w:rsidR="000111C6">
        <w:t xml:space="preserve">to </w:t>
      </w:r>
      <w:proofErr w:type="spellStart"/>
      <w:r w:rsidR="000111C6">
        <w:t>Tiatia</w:t>
      </w:r>
      <w:proofErr w:type="spellEnd"/>
      <w:r w:rsidR="002C3DC9">
        <w:t>.  T</w:t>
      </w:r>
      <w:r w:rsidR="00C6758B">
        <w:t xml:space="preserve">he investigator </w:t>
      </w:r>
      <w:r w:rsidR="000111C6">
        <w:t>fax</w:t>
      </w:r>
      <w:r w:rsidR="00F93D91">
        <w:t>ed</w:t>
      </w:r>
      <w:r w:rsidR="000111C6">
        <w:t xml:space="preserve"> a copy of </w:t>
      </w:r>
      <w:r w:rsidR="00DD53FF">
        <w:t xml:space="preserve">that </w:t>
      </w:r>
      <w:r w:rsidR="000111C6">
        <w:t xml:space="preserve">letter </w:t>
      </w:r>
      <w:r w:rsidR="00F93D91">
        <w:t>a</w:t>
      </w:r>
      <w:r w:rsidR="002C3DC9">
        <w:t>long with</w:t>
      </w:r>
      <w:r w:rsidR="000111C6">
        <w:t xml:space="preserve"> </w:t>
      </w:r>
      <w:r w:rsidR="003E2BBB">
        <w:t>copies of he</w:t>
      </w:r>
      <w:r w:rsidR="00123C10">
        <w:t>r</w:t>
      </w:r>
      <w:r w:rsidR="000111C6">
        <w:t xml:space="preserve"> March 7 and March 25, 2005</w:t>
      </w:r>
      <w:r w:rsidR="003E2BBB">
        <w:t>,</w:t>
      </w:r>
      <w:r w:rsidR="000111C6">
        <w:t xml:space="preserve"> letters</w:t>
      </w:r>
      <w:r w:rsidR="00DD53FF">
        <w:t xml:space="preserve"> to Borne</w:t>
      </w:r>
      <w:r w:rsidR="000111C6">
        <w:t>.</w:t>
      </w:r>
      <w:r w:rsidR="00A5565A">
        <w:t xml:space="preserve">  </w:t>
      </w:r>
      <w:r w:rsidR="00D256CC">
        <w:t>Born</w:t>
      </w:r>
      <w:r w:rsidR="00123C10">
        <w:t>e</w:t>
      </w:r>
      <w:r w:rsidR="00427E13">
        <w:t xml:space="preserve"> </w:t>
      </w:r>
      <w:r w:rsidR="00B8305A">
        <w:t>did not</w:t>
      </w:r>
      <w:r w:rsidR="00427E13">
        <w:t xml:space="preserve"> respond</w:t>
      </w:r>
      <w:r w:rsidR="00D256CC">
        <w:t>.</w:t>
      </w:r>
      <w:r w:rsidR="000111C6">
        <w:t xml:space="preserve"> </w:t>
      </w:r>
    </w:p>
    <w:p w:rsidR="002166D4" w:rsidRDefault="00465FDF" w:rsidP="009B2BD1">
      <w:pPr>
        <w:ind w:firstLine="720"/>
        <w:rPr>
          <w:b/>
        </w:rPr>
      </w:pPr>
      <w:r w:rsidRPr="00175263">
        <w:rPr>
          <w:b/>
        </w:rPr>
        <w:t>Count 1</w:t>
      </w:r>
      <w:r w:rsidR="00175263" w:rsidRPr="00175263">
        <w:rPr>
          <w:b/>
        </w:rPr>
        <w:t xml:space="preserve"> – Seeking Agreement to Withdraw State Bar Complaint (</w:t>
      </w:r>
      <w:r w:rsidR="00175263">
        <w:rPr>
          <w:b/>
        </w:rPr>
        <w:t>§ 609</w:t>
      </w:r>
      <w:r w:rsidR="00D55C23">
        <w:rPr>
          <w:b/>
        </w:rPr>
        <w:t>0</w:t>
      </w:r>
      <w:r w:rsidR="00175263">
        <w:rPr>
          <w:b/>
        </w:rPr>
        <w:t xml:space="preserve">.5 </w:t>
      </w:r>
      <w:r w:rsidR="002166D4" w:rsidRPr="00175263">
        <w:rPr>
          <w:b/>
        </w:rPr>
        <w:t>(a)(2)</w:t>
      </w:r>
      <w:r w:rsidR="002166D4">
        <w:rPr>
          <w:b/>
        </w:rPr>
        <w:t>)</w:t>
      </w:r>
    </w:p>
    <w:p w:rsidR="0083641D" w:rsidRDefault="00776B4C" w:rsidP="00901006">
      <w:pPr>
        <w:ind w:firstLine="720"/>
      </w:pPr>
      <w:r>
        <w:t xml:space="preserve">The hearing judge </w:t>
      </w:r>
      <w:r w:rsidR="00901006">
        <w:t xml:space="preserve">correctly </w:t>
      </w:r>
      <w:r>
        <w:t xml:space="preserve">found that </w:t>
      </w:r>
      <w:proofErr w:type="spellStart"/>
      <w:r w:rsidR="00C3681B">
        <w:t>Borne</w:t>
      </w:r>
      <w:r>
        <w:t>’s</w:t>
      </w:r>
      <w:proofErr w:type="spellEnd"/>
      <w:r>
        <w:t xml:space="preserve"> </w:t>
      </w:r>
      <w:r w:rsidR="00123C10">
        <w:t>attempt</w:t>
      </w:r>
      <w:r>
        <w:t xml:space="preserve"> to </w:t>
      </w:r>
      <w:r w:rsidR="00123C10">
        <w:t>convince</w:t>
      </w:r>
      <w:r w:rsidR="00C3681B">
        <w:t xml:space="preserve"> </w:t>
      </w:r>
      <w:proofErr w:type="spellStart"/>
      <w:r w:rsidR="00C3681B">
        <w:t>Tiatia</w:t>
      </w:r>
      <w:proofErr w:type="spellEnd"/>
      <w:r>
        <w:t xml:space="preserve"> </w:t>
      </w:r>
      <w:r w:rsidR="00123C10">
        <w:t xml:space="preserve">to </w:t>
      </w:r>
      <w:r>
        <w:t>withdraw</w:t>
      </w:r>
      <w:r w:rsidR="00C3681B">
        <w:t xml:space="preserve"> his </w:t>
      </w:r>
      <w:r w:rsidR="00901006">
        <w:t xml:space="preserve">State Bar </w:t>
      </w:r>
      <w:r w:rsidR="00C3681B">
        <w:t>complaint</w:t>
      </w:r>
      <w:r w:rsidR="00901006">
        <w:t xml:space="preserve"> was</w:t>
      </w:r>
      <w:r w:rsidR="0041227E">
        <w:t xml:space="preserve"> not in connection with </w:t>
      </w:r>
      <w:r w:rsidR="00C3681B">
        <w:t xml:space="preserve">settlement of a </w:t>
      </w:r>
      <w:r w:rsidR="00C3681B" w:rsidRPr="00C3681B">
        <w:rPr>
          <w:i/>
        </w:rPr>
        <w:t xml:space="preserve">civil </w:t>
      </w:r>
      <w:r w:rsidR="00D55C23">
        <w:rPr>
          <w:i/>
        </w:rPr>
        <w:t>matter</w:t>
      </w:r>
      <w:r w:rsidR="00C3681B">
        <w:t xml:space="preserve">, </w:t>
      </w:r>
      <w:r w:rsidR="0041227E">
        <w:t>as</w:t>
      </w:r>
      <w:r w:rsidR="00C3681B">
        <w:t xml:space="preserve"> required by </w:t>
      </w:r>
      <w:r w:rsidR="007A359C">
        <w:lastRenderedPageBreak/>
        <w:t>section 6090.5</w:t>
      </w:r>
      <w:r w:rsidR="001F6AC7">
        <w:t xml:space="preserve">, subdivision </w:t>
      </w:r>
      <w:r w:rsidR="000728EF">
        <w:t>(a)(2)</w:t>
      </w:r>
      <w:r w:rsidR="00C3681B">
        <w:t xml:space="preserve">.  </w:t>
      </w:r>
      <w:r w:rsidR="007A359C">
        <w:t>(</w:t>
      </w:r>
      <w:r w:rsidR="007A359C">
        <w:rPr>
          <w:i/>
        </w:rPr>
        <w:t>In the Matter of Blum</w:t>
      </w:r>
      <w:r w:rsidR="007A359C">
        <w:t xml:space="preserve"> (Review Dept. 1994) 3 Cal. State Bar Ct. </w:t>
      </w:r>
      <w:proofErr w:type="spellStart"/>
      <w:r w:rsidR="007A359C">
        <w:t>Rptr</w:t>
      </w:r>
      <w:proofErr w:type="spellEnd"/>
      <w:r w:rsidR="007A359C">
        <w:t xml:space="preserve">. 170, 175-176; </w:t>
      </w:r>
      <w:r w:rsidR="007A359C">
        <w:rPr>
          <w:i/>
        </w:rPr>
        <w:t>In the Matter of Lane</w:t>
      </w:r>
      <w:r w:rsidR="007A359C">
        <w:t xml:space="preserve"> (Review Dept. 1994) 2 Cal. Stat</w:t>
      </w:r>
      <w:r w:rsidR="006D0F79">
        <w:t xml:space="preserve">e Bar Ct. </w:t>
      </w:r>
      <w:proofErr w:type="spellStart"/>
      <w:r w:rsidR="006D0F79">
        <w:t>Rptr</w:t>
      </w:r>
      <w:proofErr w:type="spellEnd"/>
      <w:r w:rsidR="006D0F79">
        <w:t xml:space="preserve">. 735, 748-749.)  </w:t>
      </w:r>
      <w:r w:rsidR="00C3681B">
        <w:t xml:space="preserve">The </w:t>
      </w:r>
      <w:r w:rsidR="004262D5">
        <w:t xml:space="preserve">State </w:t>
      </w:r>
      <w:r w:rsidR="00C3681B">
        <w:t xml:space="preserve">Bar </w:t>
      </w:r>
      <w:r w:rsidR="002166D4">
        <w:t>does not challenge the</w:t>
      </w:r>
      <w:r w:rsidR="00C3681B">
        <w:t xml:space="preserve"> hearing judge’s</w:t>
      </w:r>
      <w:r w:rsidR="002166D4">
        <w:t xml:space="preserve"> </w:t>
      </w:r>
      <w:r w:rsidR="00901006">
        <w:t>finding.  Therefore,</w:t>
      </w:r>
      <w:r w:rsidR="002166D4">
        <w:t xml:space="preserve"> Count 1</w:t>
      </w:r>
      <w:r w:rsidR="00901006">
        <w:t xml:space="preserve"> is dismissed with prejudice.  </w:t>
      </w:r>
      <w:r w:rsidR="00C3681B">
        <w:t>However,</w:t>
      </w:r>
      <w:r w:rsidR="00901006">
        <w:t xml:space="preserve"> our </w:t>
      </w:r>
      <w:r w:rsidR="00805BFD">
        <w:t xml:space="preserve">dismissal </w:t>
      </w:r>
      <w:r w:rsidR="00D256CC">
        <w:t xml:space="preserve">of Count 1 does not </w:t>
      </w:r>
      <w:r w:rsidR="00805BFD">
        <w:t>absolve Borne</w:t>
      </w:r>
      <w:r w:rsidR="00901006">
        <w:t xml:space="preserve"> of </w:t>
      </w:r>
      <w:r w:rsidR="0045690B">
        <w:t xml:space="preserve">his </w:t>
      </w:r>
      <w:r w:rsidR="00901006">
        <w:t xml:space="preserve">misconduct </w:t>
      </w:r>
      <w:r w:rsidR="00C3681B">
        <w:t xml:space="preserve">because </w:t>
      </w:r>
      <w:r w:rsidR="008B3BC2">
        <w:t xml:space="preserve">the same </w:t>
      </w:r>
      <w:r w:rsidR="00805BFD">
        <w:t>acts alleged</w:t>
      </w:r>
      <w:r w:rsidR="006328F3">
        <w:t xml:space="preserve"> </w:t>
      </w:r>
      <w:r w:rsidR="00901006">
        <w:t xml:space="preserve">in Count 1 are also alleged in Count 2 </w:t>
      </w:r>
      <w:r w:rsidR="00805BFD">
        <w:t>as constituting moral turpitude.</w:t>
      </w:r>
      <w:r w:rsidR="008B3BC2">
        <w:t xml:space="preserve">  The appropriate resolution of this case does not depend on </w:t>
      </w:r>
      <w:r w:rsidR="004262D5">
        <w:t xml:space="preserve">the number of </w:t>
      </w:r>
      <w:r w:rsidR="008B3BC2">
        <w:t xml:space="preserve">rules of professional conduct or statutes </w:t>
      </w:r>
      <w:r w:rsidR="004262D5">
        <w:t xml:space="preserve">that </w:t>
      </w:r>
      <w:r w:rsidR="008B3BC2">
        <w:t xml:space="preserve">proscribe the </w:t>
      </w:r>
      <w:r w:rsidR="004262D5">
        <w:t>mis</w:t>
      </w:r>
      <w:r w:rsidR="008B3BC2">
        <w:t>conduct.  (</w:t>
      </w:r>
      <w:r w:rsidR="008B3BC2">
        <w:rPr>
          <w:i/>
          <w:iCs/>
        </w:rPr>
        <w:t>In the Matter of Torres</w:t>
      </w:r>
      <w:r w:rsidR="008B3BC2">
        <w:t xml:space="preserve"> (Review Dept. 2000) 4 Cal. State Bar Ct. </w:t>
      </w:r>
      <w:proofErr w:type="spellStart"/>
      <w:r w:rsidR="008B3BC2">
        <w:t>Rptr</w:t>
      </w:r>
      <w:proofErr w:type="spellEnd"/>
      <w:r w:rsidR="008B3BC2">
        <w:t xml:space="preserve">. 138, 148.)  </w:t>
      </w:r>
      <w:r w:rsidR="00E66F66">
        <w:t xml:space="preserve"> </w:t>
      </w:r>
      <w:r w:rsidR="000728EF">
        <w:t xml:space="preserve"> </w:t>
      </w:r>
    </w:p>
    <w:p w:rsidR="0083641D" w:rsidRPr="00BB2761" w:rsidRDefault="0083641D" w:rsidP="00226FED">
      <w:pPr>
        <w:rPr>
          <w:b/>
        </w:rPr>
      </w:pPr>
      <w:r>
        <w:tab/>
      </w:r>
      <w:r w:rsidRPr="00BB2761">
        <w:rPr>
          <w:b/>
        </w:rPr>
        <w:t>Count 2</w:t>
      </w:r>
      <w:r w:rsidR="00BB2761" w:rsidRPr="00BB2761">
        <w:rPr>
          <w:b/>
        </w:rPr>
        <w:t xml:space="preserve"> – Moral Turpitude (§ 6106)</w:t>
      </w:r>
    </w:p>
    <w:p w:rsidR="009B6EFA" w:rsidRDefault="0083641D" w:rsidP="00226FED">
      <w:r>
        <w:tab/>
      </w:r>
      <w:r w:rsidR="007B4C4A">
        <w:t>T</w:t>
      </w:r>
      <w:r>
        <w:t>he State Bar charged</w:t>
      </w:r>
      <w:r w:rsidR="007B4C4A" w:rsidRPr="007B4C4A">
        <w:t xml:space="preserve"> </w:t>
      </w:r>
      <w:r w:rsidR="007B4C4A">
        <w:t xml:space="preserve">in Count </w:t>
      </w:r>
      <w:r w:rsidR="00FF6510">
        <w:t>2</w:t>
      </w:r>
      <w:r w:rsidR="007B4C4A">
        <w:t xml:space="preserve"> that </w:t>
      </w:r>
      <w:r>
        <w:t>Borne</w:t>
      </w:r>
      <w:r w:rsidR="00C327A8">
        <w:t xml:space="preserve"> </w:t>
      </w:r>
      <w:r w:rsidR="00802874">
        <w:t>committ</w:t>
      </w:r>
      <w:r w:rsidR="007B4C4A">
        <w:t>ed</w:t>
      </w:r>
      <w:r w:rsidR="00802874">
        <w:t xml:space="preserve"> acts of moral turpitude</w:t>
      </w:r>
      <w:r w:rsidR="007B4C4A">
        <w:t xml:space="preserve"> when </w:t>
      </w:r>
      <w:r w:rsidR="00C327A8">
        <w:t xml:space="preserve">he threatened to accuse </w:t>
      </w:r>
      <w:proofErr w:type="spellStart"/>
      <w:r w:rsidR="00C327A8">
        <w:t>Tiatia</w:t>
      </w:r>
      <w:proofErr w:type="spellEnd"/>
      <w:r w:rsidR="00C327A8">
        <w:t xml:space="preserve"> of perjury and </w:t>
      </w:r>
      <w:r w:rsidR="007B4C4A">
        <w:t xml:space="preserve">to </w:t>
      </w:r>
      <w:r w:rsidR="00C327A8">
        <w:t xml:space="preserve">negatively influence </w:t>
      </w:r>
      <w:r w:rsidR="004262D5">
        <w:t>his</w:t>
      </w:r>
      <w:r w:rsidR="00C327A8">
        <w:t xml:space="preserve"> </w:t>
      </w:r>
      <w:r w:rsidR="004262D5">
        <w:t>chance</w:t>
      </w:r>
      <w:r w:rsidR="00C327A8">
        <w:t xml:space="preserve"> f</w:t>
      </w:r>
      <w:r w:rsidR="004262D5">
        <w:t>or</w:t>
      </w:r>
      <w:r w:rsidR="00C327A8">
        <w:t xml:space="preserve"> parole</w:t>
      </w:r>
      <w:r w:rsidR="0045690B">
        <w:t xml:space="preserve"> if </w:t>
      </w:r>
      <w:proofErr w:type="spellStart"/>
      <w:r w:rsidR="004262D5">
        <w:t>Tiatia</w:t>
      </w:r>
      <w:proofErr w:type="spellEnd"/>
      <w:r w:rsidR="0045690B">
        <w:t xml:space="preserve"> continue</w:t>
      </w:r>
      <w:r w:rsidR="004262D5">
        <w:t>d</w:t>
      </w:r>
      <w:r w:rsidR="0045690B">
        <w:t xml:space="preserve"> his accusations of wrongdoing</w:t>
      </w:r>
      <w:r w:rsidR="00802874">
        <w:t xml:space="preserve">.  </w:t>
      </w:r>
      <w:r w:rsidR="005B785F">
        <w:t xml:space="preserve">In writing the threatening letter, </w:t>
      </w:r>
      <w:r w:rsidR="0045690B">
        <w:t xml:space="preserve">Borne abused his position of trust with </w:t>
      </w:r>
      <w:proofErr w:type="spellStart"/>
      <w:r w:rsidR="0045690B">
        <w:t>T</w:t>
      </w:r>
      <w:r w:rsidR="004262D5">
        <w:t>i</w:t>
      </w:r>
      <w:r w:rsidR="0045690B">
        <w:t>atia</w:t>
      </w:r>
      <w:proofErr w:type="spellEnd"/>
      <w:r w:rsidR="0045690B">
        <w:t>, who</w:t>
      </w:r>
      <w:r w:rsidR="004262D5">
        <w:t>se incarceration made him</w:t>
      </w:r>
      <w:r w:rsidR="000C6D46">
        <w:t xml:space="preserve"> vulnerable</w:t>
      </w:r>
      <w:r w:rsidR="0045690B">
        <w:t xml:space="preserve">.  </w:t>
      </w:r>
      <w:r w:rsidR="00EC65B3">
        <w:t xml:space="preserve">“The essence of a fiduciary or confidential relationship is that the parties do not deal on equal terms, because the person in whom trust and confidence is reposed . . . is in a superior position to exert unique influence over the dependent party.  [Citation.]”  </w:t>
      </w:r>
      <w:r w:rsidR="004262D5">
        <w:t>(</w:t>
      </w:r>
      <w:r w:rsidR="00EC65B3">
        <w:rPr>
          <w:i/>
        </w:rPr>
        <w:t>In the Matter of Brockway</w:t>
      </w:r>
      <w:r w:rsidR="00EC65B3">
        <w:t xml:space="preserve"> (Review Dept. 2006) 4 Cal. Stat</w:t>
      </w:r>
      <w:r w:rsidR="0052302C">
        <w:t xml:space="preserve">e Bar Ct. </w:t>
      </w:r>
      <w:proofErr w:type="spellStart"/>
      <w:r w:rsidR="0052302C">
        <w:t>Rptr</w:t>
      </w:r>
      <w:proofErr w:type="spellEnd"/>
      <w:r w:rsidR="0052302C">
        <w:t xml:space="preserve">. 944, 959.)  </w:t>
      </w:r>
      <w:proofErr w:type="spellStart"/>
      <w:r w:rsidR="00F45680">
        <w:t>Borne’s</w:t>
      </w:r>
      <w:proofErr w:type="spellEnd"/>
      <w:r w:rsidR="00F45680">
        <w:t xml:space="preserve"> threats </w:t>
      </w:r>
      <w:r w:rsidR="008A0BEA">
        <w:t xml:space="preserve">constituted overreaching and </w:t>
      </w:r>
      <w:r w:rsidR="00AA6AD2">
        <w:t xml:space="preserve">acts of </w:t>
      </w:r>
      <w:r w:rsidR="0052302C">
        <w:t>moral turpitude with</w:t>
      </w:r>
      <w:r w:rsidR="008A0BEA">
        <w:t>in the meaning of section 6106.</w:t>
      </w:r>
      <w:r w:rsidR="0052302C">
        <w:t xml:space="preserve">  (</w:t>
      </w:r>
      <w:r w:rsidR="0052302C" w:rsidRPr="0052302C">
        <w:rPr>
          <w:i/>
        </w:rPr>
        <w:t>Id</w:t>
      </w:r>
      <w:r w:rsidR="008A0BEA">
        <w:t>. at pp. 959-960.)</w:t>
      </w:r>
      <w:r w:rsidR="0045690B">
        <w:t xml:space="preserve"> </w:t>
      </w:r>
    </w:p>
    <w:p w:rsidR="00816E13" w:rsidRPr="00B454CC" w:rsidRDefault="0052302C" w:rsidP="00226FED">
      <w:pPr>
        <w:rPr>
          <w:b/>
        </w:rPr>
      </w:pPr>
      <w:r>
        <w:tab/>
      </w:r>
      <w:r w:rsidR="00816E13" w:rsidRPr="00B454CC">
        <w:rPr>
          <w:b/>
        </w:rPr>
        <w:t>Count 3</w:t>
      </w:r>
      <w:r w:rsidR="00BB2761" w:rsidRPr="00B454CC">
        <w:rPr>
          <w:b/>
        </w:rPr>
        <w:t xml:space="preserve"> </w:t>
      </w:r>
      <w:r w:rsidR="00B454CC" w:rsidRPr="00B454CC">
        <w:rPr>
          <w:b/>
        </w:rPr>
        <w:t>–</w:t>
      </w:r>
      <w:r w:rsidR="00BB2761" w:rsidRPr="00B454CC">
        <w:rPr>
          <w:b/>
        </w:rPr>
        <w:t xml:space="preserve"> </w:t>
      </w:r>
      <w:r w:rsidR="00B454CC" w:rsidRPr="00B454CC">
        <w:rPr>
          <w:b/>
        </w:rPr>
        <w:t xml:space="preserve">Failure to Cooperate (§ 6068, </w:t>
      </w:r>
      <w:proofErr w:type="spellStart"/>
      <w:r w:rsidR="00B454CC" w:rsidRPr="00B454CC">
        <w:rPr>
          <w:b/>
        </w:rPr>
        <w:t>subd</w:t>
      </w:r>
      <w:proofErr w:type="spellEnd"/>
      <w:r w:rsidR="00B454CC" w:rsidRPr="00B454CC">
        <w:rPr>
          <w:b/>
        </w:rPr>
        <w:t>. (</w:t>
      </w:r>
      <w:proofErr w:type="spellStart"/>
      <w:r w:rsidR="00B454CC" w:rsidRPr="00B454CC">
        <w:rPr>
          <w:b/>
        </w:rPr>
        <w:t>i</w:t>
      </w:r>
      <w:proofErr w:type="spellEnd"/>
      <w:r w:rsidR="00B454CC" w:rsidRPr="00B454CC">
        <w:rPr>
          <w:b/>
        </w:rPr>
        <w:t>))</w:t>
      </w:r>
    </w:p>
    <w:p w:rsidR="00FA77F1" w:rsidRDefault="00816E13" w:rsidP="00833885">
      <w:r>
        <w:tab/>
      </w:r>
      <w:r w:rsidR="00F00F7D">
        <w:t xml:space="preserve">The State Bar alleged that Borne failed to cooperate with </w:t>
      </w:r>
      <w:r w:rsidR="00E25A48">
        <w:t>its</w:t>
      </w:r>
      <w:r w:rsidR="005B785F">
        <w:t xml:space="preserve"> </w:t>
      </w:r>
      <w:r w:rsidR="00E25A48">
        <w:t>investigation</w:t>
      </w:r>
      <w:r w:rsidR="00F00F7D">
        <w:t>, in violation of section 6068, subdivision (</w:t>
      </w:r>
      <w:proofErr w:type="spellStart"/>
      <w:r w:rsidR="00F00F7D">
        <w:t>i</w:t>
      </w:r>
      <w:proofErr w:type="spellEnd"/>
      <w:r w:rsidR="00F00F7D">
        <w:t>)</w:t>
      </w:r>
      <w:r w:rsidR="00E25A48">
        <w:t xml:space="preserve">.  </w:t>
      </w:r>
      <w:r w:rsidR="009211D8">
        <w:t xml:space="preserve">We find Borne culpable because </w:t>
      </w:r>
      <w:r w:rsidR="00AB1D86">
        <w:t>he</w:t>
      </w:r>
      <w:r w:rsidR="009211D8">
        <w:t xml:space="preserve"> did not respond in writing to the State Bar’s March 7 and March 25, 2005</w:t>
      </w:r>
      <w:r w:rsidR="002D798B">
        <w:t>,</w:t>
      </w:r>
      <w:r w:rsidR="009211D8">
        <w:t xml:space="preserve"> letters</w:t>
      </w:r>
      <w:r w:rsidR="00AB1D86">
        <w:t xml:space="preserve">, even though he was expressly warned that </w:t>
      </w:r>
      <w:r w:rsidR="001525B3">
        <w:lastRenderedPageBreak/>
        <w:t>failure to do so</w:t>
      </w:r>
      <w:r w:rsidR="00FF6510">
        <w:t xml:space="preserve"> </w:t>
      </w:r>
      <w:r w:rsidR="001525B3">
        <w:t>could</w:t>
      </w:r>
      <w:r w:rsidR="00AB1D86">
        <w:t xml:space="preserve"> result in additional disciplinary action by the State Bar.</w:t>
      </w:r>
      <w:r w:rsidR="00E25A48">
        <w:rPr>
          <w:rStyle w:val="FootnoteReference"/>
        </w:rPr>
        <w:footnoteReference w:id="7"/>
      </w:r>
      <w:r w:rsidR="00AB1D86">
        <w:t xml:space="preserve">  </w:t>
      </w:r>
      <w:r w:rsidR="009211D8" w:rsidRPr="006B67B2">
        <w:t>(</w:t>
      </w:r>
      <w:r w:rsidR="006B67B2" w:rsidRPr="006B67B2">
        <w:rPr>
          <w:i/>
        </w:rPr>
        <w:t xml:space="preserve">In the Matter of Bach </w:t>
      </w:r>
      <w:r w:rsidR="006B67B2" w:rsidRPr="006B67B2">
        <w:t xml:space="preserve">(Review Dept. 1991) 1 Cal. State Bar Ct. </w:t>
      </w:r>
      <w:proofErr w:type="spellStart"/>
      <w:r w:rsidR="006B67B2" w:rsidRPr="006B67B2">
        <w:t>Rptr</w:t>
      </w:r>
      <w:proofErr w:type="spellEnd"/>
      <w:r w:rsidR="006B67B2" w:rsidRPr="006B67B2">
        <w:t>.</w:t>
      </w:r>
      <w:r w:rsidR="006B67B2" w:rsidRPr="006B67B2">
        <w:rPr>
          <w:i/>
        </w:rPr>
        <w:t xml:space="preserve"> </w:t>
      </w:r>
      <w:r w:rsidR="006B67B2" w:rsidRPr="006B67B2">
        <w:t>631</w:t>
      </w:r>
      <w:r w:rsidR="006B67B2">
        <w:t xml:space="preserve">, 644 </w:t>
      </w:r>
      <w:r w:rsidR="006B67B2" w:rsidRPr="006B67B2">
        <w:t>[</w:t>
      </w:r>
      <w:r w:rsidR="009211D8" w:rsidRPr="006B67B2">
        <w:t xml:space="preserve">attorney may be found culpable of violating </w:t>
      </w:r>
      <w:r w:rsidR="001525B3">
        <w:t>§</w:t>
      </w:r>
      <w:r w:rsidR="009211D8" w:rsidRPr="006B67B2">
        <w:t xml:space="preserve"> 6068, </w:t>
      </w:r>
      <w:proofErr w:type="spellStart"/>
      <w:r w:rsidR="009211D8" w:rsidRPr="006B67B2">
        <w:t>subd</w:t>
      </w:r>
      <w:proofErr w:type="spellEnd"/>
      <w:r w:rsidR="001525B3">
        <w:t>.</w:t>
      </w:r>
      <w:r w:rsidR="009211D8" w:rsidRPr="006B67B2">
        <w:t xml:space="preserve"> (</w:t>
      </w:r>
      <w:proofErr w:type="spellStart"/>
      <w:r w:rsidR="009211D8" w:rsidRPr="006B67B2">
        <w:t>i</w:t>
      </w:r>
      <w:proofErr w:type="spellEnd"/>
      <w:r w:rsidR="009211D8" w:rsidRPr="006B67B2">
        <w:t xml:space="preserve">), </w:t>
      </w:r>
      <w:r w:rsidR="004262D5">
        <w:t>for</w:t>
      </w:r>
      <w:r w:rsidR="009211D8" w:rsidRPr="006B67B2">
        <w:t xml:space="preserve"> failing to respond to State Bar investigator’s letter, even if attorney later appears and fully participates in formal disciplinary proceeding].)</w:t>
      </w:r>
    </w:p>
    <w:p w:rsidR="00B454CC" w:rsidRDefault="009B6EFA" w:rsidP="00226FED">
      <w:pPr>
        <w:rPr>
          <w:b/>
        </w:rPr>
      </w:pPr>
      <w:r>
        <w:rPr>
          <w:b/>
        </w:rPr>
        <w:t>C.</w:t>
      </w:r>
      <w:r w:rsidR="001525B3">
        <w:rPr>
          <w:b/>
        </w:rPr>
        <w:tab/>
      </w:r>
      <w:r w:rsidR="00B454CC" w:rsidRPr="00B454CC">
        <w:rPr>
          <w:b/>
        </w:rPr>
        <w:t>AGGRAVATION AND MITIGATION</w:t>
      </w:r>
    </w:p>
    <w:p w:rsidR="006B67B2" w:rsidRPr="006B67B2" w:rsidRDefault="006B67B2" w:rsidP="00226FED">
      <w:r>
        <w:rPr>
          <w:b/>
        </w:rPr>
        <w:tab/>
      </w:r>
      <w:r w:rsidRPr="006B67B2">
        <w:t>We determine the appropriate discipline in light of all relevant circumstances, including</w:t>
      </w:r>
      <w:r w:rsidR="00156F3D" w:rsidRPr="00156F3D">
        <w:t xml:space="preserve"> </w:t>
      </w:r>
      <w:r w:rsidR="00156F3D" w:rsidRPr="006B67B2">
        <w:t>aggravat</w:t>
      </w:r>
      <w:r w:rsidR="006D2897">
        <w:t>ion</w:t>
      </w:r>
      <w:r w:rsidR="00156F3D">
        <w:t xml:space="preserve"> and</w:t>
      </w:r>
      <w:r w:rsidRPr="006B67B2">
        <w:t xml:space="preserve"> mitigati</w:t>
      </w:r>
      <w:r w:rsidR="006D2897">
        <w:t xml:space="preserve">on.  </w:t>
      </w:r>
      <w:r w:rsidRPr="006B67B2">
        <w:t>(</w:t>
      </w:r>
      <w:r w:rsidRPr="006B67B2">
        <w:rPr>
          <w:i/>
        </w:rPr>
        <w:t>Gary v. State Bar</w:t>
      </w:r>
      <w:r w:rsidRPr="006B67B2">
        <w:t xml:space="preserve"> (1988) 44 </w:t>
      </w:r>
      <w:proofErr w:type="spellStart"/>
      <w:r w:rsidRPr="006B67B2">
        <w:t>Cal.3d</w:t>
      </w:r>
      <w:proofErr w:type="spellEnd"/>
      <w:r w:rsidRPr="006B67B2">
        <w:t xml:space="preserve"> 820, 828.)  </w:t>
      </w:r>
      <w:r w:rsidR="006D2897">
        <w:t>T</w:t>
      </w:r>
      <w:r w:rsidR="00ED0797" w:rsidRPr="006B67B2">
        <w:t xml:space="preserve">he State Bar </w:t>
      </w:r>
      <w:r w:rsidRPr="006B67B2">
        <w:t>must establish</w:t>
      </w:r>
      <w:r w:rsidR="00156F3D" w:rsidRPr="00156F3D">
        <w:t xml:space="preserve"> </w:t>
      </w:r>
      <w:r w:rsidR="00156F3D">
        <w:t>aggravation</w:t>
      </w:r>
      <w:r w:rsidRPr="006B67B2">
        <w:t xml:space="preserve"> by clear and convincing evidence (</w:t>
      </w:r>
      <w:r w:rsidR="00D55C23">
        <w:t>std. 1.2(b</w:t>
      </w:r>
      <w:r w:rsidR="00B37832">
        <w:t>))</w:t>
      </w:r>
      <w:r w:rsidRPr="006B67B2">
        <w:t>, while</w:t>
      </w:r>
      <w:r w:rsidR="00ED0797" w:rsidRPr="00ED0797">
        <w:t xml:space="preserve"> </w:t>
      </w:r>
      <w:r w:rsidR="00ED0797">
        <w:t>Borne</w:t>
      </w:r>
      <w:r w:rsidRPr="006B67B2">
        <w:t xml:space="preserve"> has the same burden of proof for </w:t>
      </w:r>
      <w:r w:rsidR="00ED0797" w:rsidRPr="006B67B2">
        <w:t>mitigati</w:t>
      </w:r>
      <w:r w:rsidR="00156F3D">
        <w:t>ng</w:t>
      </w:r>
      <w:r w:rsidR="00ED0797" w:rsidRPr="006B67B2">
        <w:t xml:space="preserve"> </w:t>
      </w:r>
      <w:r w:rsidR="00D55C23">
        <w:t>circumstances.  (Std. 1.2(e</w:t>
      </w:r>
      <w:r w:rsidRPr="006B67B2">
        <w:t>).)</w:t>
      </w:r>
    </w:p>
    <w:p w:rsidR="00B454CC" w:rsidRPr="00B454CC" w:rsidRDefault="00B454CC" w:rsidP="00226FED">
      <w:pPr>
        <w:rPr>
          <w:b/>
        </w:rPr>
      </w:pPr>
      <w:r>
        <w:rPr>
          <w:b/>
        </w:rPr>
        <w:tab/>
        <w:t>1.  Aggravation</w:t>
      </w:r>
    </w:p>
    <w:p w:rsidR="003614A0" w:rsidRDefault="0002372E" w:rsidP="00226FED">
      <w:r>
        <w:tab/>
      </w:r>
      <w:r w:rsidR="005C50D9">
        <w:t xml:space="preserve">The hearing judge </w:t>
      </w:r>
      <w:r w:rsidR="00593727">
        <w:t xml:space="preserve">found </w:t>
      </w:r>
      <w:r w:rsidR="00123E06">
        <w:t>that</w:t>
      </w:r>
      <w:r w:rsidR="00AB1D86">
        <w:t xml:space="preserve"> </w:t>
      </w:r>
      <w:r w:rsidR="004262D5">
        <w:t>Borne</w:t>
      </w:r>
      <w:r w:rsidR="00123E06">
        <w:t xml:space="preserve"> committed</w:t>
      </w:r>
      <w:r w:rsidR="004262D5">
        <w:t xml:space="preserve"> </w:t>
      </w:r>
      <w:r w:rsidR="00AB1D86">
        <w:t>multiple acts of misconduct (</w:t>
      </w:r>
      <w:r w:rsidR="00B241E0">
        <w:t>s</w:t>
      </w:r>
      <w:r w:rsidR="00AB1D86">
        <w:t>td. 1.2(b)(ii)</w:t>
      </w:r>
      <w:r w:rsidR="00B241E0">
        <w:t>)</w:t>
      </w:r>
      <w:r w:rsidR="00123E06">
        <w:t xml:space="preserve"> </w:t>
      </w:r>
      <w:r w:rsidR="00AB1D86">
        <w:t xml:space="preserve">and </w:t>
      </w:r>
      <w:r w:rsidR="00123E06">
        <w:t>he has a</w:t>
      </w:r>
      <w:r w:rsidR="007C6D8C">
        <w:t xml:space="preserve"> </w:t>
      </w:r>
      <w:r w:rsidR="00AB1D86">
        <w:t>prior record of discipline</w:t>
      </w:r>
      <w:r w:rsidR="00123E06">
        <w:t>, which were considered aggravating factors</w:t>
      </w:r>
      <w:r w:rsidR="00AB1D86">
        <w:t>.  (Std. 1.2(b)(</w:t>
      </w:r>
      <w:proofErr w:type="spellStart"/>
      <w:r w:rsidR="00AB1D86">
        <w:t>i</w:t>
      </w:r>
      <w:proofErr w:type="spellEnd"/>
      <w:r w:rsidR="00AB1D86">
        <w:t xml:space="preserve">).)  </w:t>
      </w:r>
      <w:r w:rsidR="00593727">
        <w:t>We do not</w:t>
      </w:r>
      <w:r w:rsidR="00AB1D86">
        <w:t xml:space="preserve"> adopt the fi</w:t>
      </w:r>
      <w:r w:rsidR="00282068">
        <w:t xml:space="preserve">nding in aggravation under standard 1.2(b)(ii) </w:t>
      </w:r>
      <w:r w:rsidR="00AB1D86">
        <w:t>because</w:t>
      </w:r>
      <w:r w:rsidR="003614A0">
        <w:t xml:space="preserve"> the </w:t>
      </w:r>
      <w:r w:rsidR="00AB1D86">
        <w:t>t</w:t>
      </w:r>
      <w:r w:rsidR="001D6880">
        <w:t>wo</w:t>
      </w:r>
      <w:r w:rsidR="003614A0">
        <w:t xml:space="preserve"> instances</w:t>
      </w:r>
      <w:r w:rsidR="001D6880">
        <w:t xml:space="preserve"> of misconduct </w:t>
      </w:r>
      <w:r w:rsidR="007C6D8C">
        <w:t xml:space="preserve">do </w:t>
      </w:r>
      <w:r w:rsidR="003614A0">
        <w:t xml:space="preserve">not </w:t>
      </w:r>
      <w:r w:rsidR="00F61BD0">
        <w:t>necessarily</w:t>
      </w:r>
      <w:r w:rsidR="007C6D8C">
        <w:t xml:space="preserve"> constitute </w:t>
      </w:r>
      <w:r w:rsidR="00F61BD0">
        <w:t>multiple acts.  (</w:t>
      </w:r>
      <w:r w:rsidR="00F61BD0">
        <w:rPr>
          <w:i/>
        </w:rPr>
        <w:t>In the Matter of Bac</w:t>
      </w:r>
      <w:r w:rsidR="006B67B2">
        <w:rPr>
          <w:i/>
        </w:rPr>
        <w:t>h</w:t>
      </w:r>
      <w:r w:rsidR="006B67B2" w:rsidRPr="006B67B2">
        <w:t>,</w:t>
      </w:r>
      <w:r w:rsidR="006B67B2">
        <w:rPr>
          <w:i/>
        </w:rPr>
        <w:t xml:space="preserve"> supra</w:t>
      </w:r>
      <w:r w:rsidR="006B67B2" w:rsidRPr="006B67B2">
        <w:t>,</w:t>
      </w:r>
      <w:r w:rsidR="006B67B2">
        <w:rPr>
          <w:i/>
        </w:rPr>
        <w:t xml:space="preserve"> </w:t>
      </w:r>
      <w:r w:rsidR="006B67B2">
        <w:t xml:space="preserve">1 Cal. State Bar Ct. </w:t>
      </w:r>
      <w:proofErr w:type="spellStart"/>
      <w:r w:rsidR="006B67B2">
        <w:t>Rptr</w:t>
      </w:r>
      <w:proofErr w:type="spellEnd"/>
      <w:r w:rsidR="006B67B2">
        <w:t>. at p. 646.)</w:t>
      </w:r>
    </w:p>
    <w:p w:rsidR="0002372E" w:rsidRDefault="006B67B2" w:rsidP="00282068">
      <w:r>
        <w:t xml:space="preserve">  </w:t>
      </w:r>
      <w:r w:rsidR="0025722A">
        <w:tab/>
      </w:r>
      <w:r w:rsidR="00282068">
        <w:t xml:space="preserve">However, we adopt the factor involving </w:t>
      </w:r>
      <w:proofErr w:type="spellStart"/>
      <w:r w:rsidR="0025722A">
        <w:t>Borne’s</w:t>
      </w:r>
      <w:proofErr w:type="spellEnd"/>
      <w:r w:rsidR="0025722A">
        <w:t xml:space="preserve"> fo</w:t>
      </w:r>
      <w:r w:rsidR="002D6663">
        <w:t>ur prior records of discipline a</w:t>
      </w:r>
      <w:r w:rsidR="00282068">
        <w:t>s</w:t>
      </w:r>
      <w:r w:rsidR="002D6663">
        <w:t xml:space="preserve"> </w:t>
      </w:r>
      <w:r w:rsidR="00EA5AF8">
        <w:t xml:space="preserve">very </w:t>
      </w:r>
      <w:r w:rsidR="0025722A">
        <w:t>serious aggravati</w:t>
      </w:r>
      <w:r w:rsidR="00282068">
        <w:t>o</w:t>
      </w:r>
      <w:r w:rsidR="0025722A">
        <w:t xml:space="preserve">n.  </w:t>
      </w:r>
      <w:r w:rsidR="002F70A6">
        <w:t>(Std. 1.2(b)(</w:t>
      </w:r>
      <w:proofErr w:type="spellStart"/>
      <w:r w:rsidR="002F70A6">
        <w:t>i</w:t>
      </w:r>
      <w:proofErr w:type="spellEnd"/>
      <w:r w:rsidR="002F70A6">
        <w:t xml:space="preserve">).)  In </w:t>
      </w:r>
      <w:r w:rsidR="009C4470">
        <w:t>his</w:t>
      </w:r>
      <w:r w:rsidR="002F70A6">
        <w:t xml:space="preserve"> first disciplinary proceeding, </w:t>
      </w:r>
      <w:r w:rsidR="00C65499">
        <w:t>his</w:t>
      </w:r>
      <w:r w:rsidR="00587FC9">
        <w:t xml:space="preserve"> misconduct occurred in 1986 and 1989</w:t>
      </w:r>
      <w:r w:rsidR="00A02BA5">
        <w:t>.  Borne stipulated to</w:t>
      </w:r>
      <w:r w:rsidR="000A7D70">
        <w:t xml:space="preserve"> the following misconduct in four matters involving six clients and several medical providers</w:t>
      </w:r>
      <w:r w:rsidR="00CF5E57">
        <w:t>:</w:t>
      </w:r>
      <w:r w:rsidR="00A962E0">
        <w:t xml:space="preserve"> </w:t>
      </w:r>
      <w:r w:rsidR="00CF5E57">
        <w:t xml:space="preserve"> </w:t>
      </w:r>
      <w:r w:rsidR="00A962E0">
        <w:t>(</w:t>
      </w:r>
      <w:r w:rsidR="00CF5E57">
        <w:t>1)</w:t>
      </w:r>
      <w:r w:rsidR="002F70A6">
        <w:t xml:space="preserve"> failing to perform competently,</w:t>
      </w:r>
      <w:r w:rsidR="00CF5E57">
        <w:t xml:space="preserve"> </w:t>
      </w:r>
      <w:r w:rsidR="00A962E0">
        <w:t>(</w:t>
      </w:r>
      <w:r w:rsidR="00CF5E57">
        <w:t xml:space="preserve">2) moral turpitude </w:t>
      </w:r>
      <w:r w:rsidR="00A962E0">
        <w:t>for</w:t>
      </w:r>
      <w:r w:rsidR="00DA4760">
        <w:t xml:space="preserve"> </w:t>
      </w:r>
      <w:r w:rsidR="00CF5E57">
        <w:t xml:space="preserve">endorsing a medical provider’s name on settlement drafts without authorization; </w:t>
      </w:r>
      <w:r w:rsidR="00A962E0">
        <w:t>(</w:t>
      </w:r>
      <w:r w:rsidR="00CF5E57">
        <w:t>3) failing to provide</w:t>
      </w:r>
      <w:r w:rsidR="00D83B1F">
        <w:t xml:space="preserve"> an accounting to his clients; </w:t>
      </w:r>
      <w:r w:rsidR="00CF5E57">
        <w:t xml:space="preserve">and </w:t>
      </w:r>
      <w:r w:rsidR="00A962E0">
        <w:t>(</w:t>
      </w:r>
      <w:r w:rsidR="00CF5E57">
        <w:t xml:space="preserve">4) failing to promptly pay funds to a client upon request.  The Supreme Court </w:t>
      </w:r>
      <w:r w:rsidR="00587FC9" w:rsidRPr="00B45D60">
        <w:t>order dated June 10, 1994</w:t>
      </w:r>
      <w:r w:rsidR="00F06ACB" w:rsidRPr="00B45D60">
        <w:t xml:space="preserve">, </w:t>
      </w:r>
      <w:r w:rsidR="00224D81">
        <w:t xml:space="preserve">placed Borne on </w:t>
      </w:r>
      <w:r w:rsidR="00224D81">
        <w:lastRenderedPageBreak/>
        <w:t xml:space="preserve">one year’s stayed suspension and two years’ probation, with conditions including </w:t>
      </w:r>
      <w:r w:rsidR="00587FC9">
        <w:t>a suspension for the first 30 days of probation</w:t>
      </w:r>
      <w:r w:rsidR="00224D81">
        <w:t>.</w:t>
      </w:r>
    </w:p>
    <w:p w:rsidR="00FC762D" w:rsidRDefault="00224D81" w:rsidP="00226FED">
      <w:r>
        <w:tab/>
        <w:t xml:space="preserve">In </w:t>
      </w:r>
      <w:proofErr w:type="spellStart"/>
      <w:r>
        <w:t>Borne’s</w:t>
      </w:r>
      <w:proofErr w:type="spellEnd"/>
      <w:r>
        <w:t xml:space="preserve"> second disciplinary proceeding, </w:t>
      </w:r>
      <w:r w:rsidR="009C4470">
        <w:t>by</w:t>
      </w:r>
      <w:r w:rsidR="00587FC9">
        <w:t xml:space="preserve"> order dated </w:t>
      </w:r>
      <w:r w:rsidR="00587FC9" w:rsidRPr="00B45D60">
        <w:t>July 7, 1994</w:t>
      </w:r>
      <w:r w:rsidR="00B45D60">
        <w:t xml:space="preserve">, </w:t>
      </w:r>
      <w:r>
        <w:t>the Su</w:t>
      </w:r>
      <w:r w:rsidR="00587FC9">
        <w:t xml:space="preserve">preme Court suspended </w:t>
      </w:r>
      <w:r w:rsidR="009C4470">
        <w:t>him</w:t>
      </w:r>
      <w:r w:rsidR="00587FC9">
        <w:t xml:space="preserve"> for two years, stayed, and placed him on two years’ probation with conditions, including a suspension for the first 45 days of probation.  </w:t>
      </w:r>
      <w:r w:rsidR="008468F4">
        <w:t>Borne was disciplined f</w:t>
      </w:r>
      <w:r w:rsidR="00A2668A">
        <w:t>or misconduct i</w:t>
      </w:r>
      <w:r w:rsidR="00B45D60">
        <w:t>n five matters involving six clients (including two minors)</w:t>
      </w:r>
      <w:r w:rsidR="00A2668A">
        <w:t>,</w:t>
      </w:r>
      <w:r w:rsidR="008468F4">
        <w:t xml:space="preserve"> which occurred in 198</w:t>
      </w:r>
      <w:r w:rsidR="00587FC9">
        <w:t>9</w:t>
      </w:r>
      <w:r w:rsidR="002D6663">
        <w:t xml:space="preserve">, 1992 and </w:t>
      </w:r>
      <w:r w:rsidR="00FC762D">
        <w:t>1993</w:t>
      </w:r>
      <w:r w:rsidR="00A2668A">
        <w:t>.  His misconduct</w:t>
      </w:r>
      <w:r w:rsidR="00DA4760">
        <w:t xml:space="preserve"> </w:t>
      </w:r>
      <w:r w:rsidR="00FC762D">
        <w:t>consisted of</w:t>
      </w:r>
      <w:r w:rsidR="00A2668A">
        <w:t xml:space="preserve">: </w:t>
      </w:r>
      <w:r w:rsidR="00072950">
        <w:t xml:space="preserve"> </w:t>
      </w:r>
      <w:r w:rsidR="00A2668A">
        <w:t>(</w:t>
      </w:r>
      <w:r w:rsidR="00FC762D">
        <w:t xml:space="preserve">1) two counts of failing to communicate; </w:t>
      </w:r>
      <w:r w:rsidR="00A2668A">
        <w:t>(</w:t>
      </w:r>
      <w:r w:rsidR="00FC762D">
        <w:t xml:space="preserve">2) failing to perform competently; </w:t>
      </w:r>
      <w:r w:rsidR="00A2668A">
        <w:t>(</w:t>
      </w:r>
      <w:r w:rsidR="00FC762D">
        <w:t>3)</w:t>
      </w:r>
      <w:r w:rsidR="00DA4760">
        <w:t xml:space="preserve"> failing to</w:t>
      </w:r>
      <w:r w:rsidR="00FC762D">
        <w:t xml:space="preserve"> provide an accounting; </w:t>
      </w:r>
      <w:r w:rsidR="00A2668A">
        <w:t>(</w:t>
      </w:r>
      <w:r w:rsidR="00FC762D">
        <w:t>4) retain</w:t>
      </w:r>
      <w:r w:rsidR="00DF065D">
        <w:t>ing disputed fees;</w:t>
      </w:r>
      <w:r w:rsidR="00267B00">
        <w:t xml:space="preserve"> </w:t>
      </w:r>
      <w:r w:rsidR="00A2668A">
        <w:t>(</w:t>
      </w:r>
      <w:r w:rsidR="00FC762D">
        <w:t xml:space="preserve">5) signing a release on </w:t>
      </w:r>
      <w:r w:rsidR="00A2668A">
        <w:t xml:space="preserve">a client’s </w:t>
      </w:r>
      <w:r w:rsidR="00FC762D">
        <w:t>behalf w</w:t>
      </w:r>
      <w:r w:rsidR="00DE52F8">
        <w:t xml:space="preserve">ithout notifying the defendants; and </w:t>
      </w:r>
      <w:r w:rsidR="00A2668A">
        <w:t>(</w:t>
      </w:r>
      <w:r w:rsidR="00DE52F8">
        <w:t xml:space="preserve">6) failing to update his membership address.  </w:t>
      </w:r>
    </w:p>
    <w:p w:rsidR="00DE52F8" w:rsidRDefault="00FC762D" w:rsidP="00226FED">
      <w:r>
        <w:tab/>
        <w:t xml:space="preserve">Borne was disciplined a third time for misconduct occurring </w:t>
      </w:r>
      <w:r w:rsidR="005C01BF">
        <w:t>in February 1</w:t>
      </w:r>
      <w:r>
        <w:t>995</w:t>
      </w:r>
      <w:r w:rsidR="005C01BF">
        <w:t xml:space="preserve">, when he was stopped </w:t>
      </w:r>
      <w:r w:rsidR="009909DC">
        <w:t xml:space="preserve">by a police officer </w:t>
      </w:r>
      <w:r w:rsidR="005C01BF">
        <w:t>for driving under the influence</w:t>
      </w:r>
      <w:r w:rsidR="009909DC">
        <w:t xml:space="preserve"> of alcohol.  </w:t>
      </w:r>
      <w:r w:rsidR="00DA4760">
        <w:t>He</w:t>
      </w:r>
      <w:r>
        <w:t xml:space="preserve"> was </w:t>
      </w:r>
      <w:r w:rsidR="009909DC">
        <w:t xml:space="preserve">ultimately </w:t>
      </w:r>
      <w:r>
        <w:t xml:space="preserve">convicted of violating Vehicle Code section 23152, subdivision (b) (driving with a blood alcohol level above .08%).  Based on this </w:t>
      </w:r>
      <w:r w:rsidR="00DE52F8">
        <w:t xml:space="preserve">conviction, by order dated June 5, 1997, the Supreme Court suspended </w:t>
      </w:r>
      <w:r w:rsidR="009C4470">
        <w:t>him</w:t>
      </w:r>
      <w:r w:rsidR="00DE52F8">
        <w:t xml:space="preserve"> for 90 days, stayed, and placed him on probation for one year.  </w:t>
      </w:r>
    </w:p>
    <w:p w:rsidR="00EA78A7" w:rsidRDefault="00DE52F8" w:rsidP="00226FED">
      <w:r>
        <w:tab/>
      </w:r>
      <w:r w:rsidR="00BC4C0A">
        <w:t>As discussed</w:t>
      </w:r>
      <w:r w:rsidR="00282068">
        <w:t xml:space="preserve"> above</w:t>
      </w:r>
      <w:r w:rsidR="00BC4C0A">
        <w:t xml:space="preserve">, </w:t>
      </w:r>
      <w:proofErr w:type="spellStart"/>
      <w:r w:rsidR="00183794">
        <w:t>Borne</w:t>
      </w:r>
      <w:r w:rsidR="00BC4C0A">
        <w:t>’s</w:t>
      </w:r>
      <w:proofErr w:type="spellEnd"/>
      <w:r w:rsidR="00BC4C0A">
        <w:t xml:space="preserve"> fourth </w:t>
      </w:r>
      <w:r w:rsidR="00183794">
        <w:t>discipline</w:t>
      </w:r>
      <w:r w:rsidR="00BC4C0A">
        <w:t xml:space="preserve"> occurred </w:t>
      </w:r>
      <w:r w:rsidR="00183794">
        <w:t>in 2004</w:t>
      </w:r>
      <w:r w:rsidR="00DA4760">
        <w:t xml:space="preserve"> </w:t>
      </w:r>
      <w:r w:rsidR="00BC4C0A">
        <w:t xml:space="preserve">after he </w:t>
      </w:r>
      <w:r w:rsidR="00A2668A">
        <w:t>represented</w:t>
      </w:r>
      <w:r w:rsidR="00BC4C0A">
        <w:t xml:space="preserve"> </w:t>
      </w:r>
      <w:proofErr w:type="spellStart"/>
      <w:r w:rsidR="00BC4C0A">
        <w:t>Tiatia</w:t>
      </w:r>
      <w:proofErr w:type="spellEnd"/>
      <w:r w:rsidR="00A2668A">
        <w:t xml:space="preserve"> during an</w:t>
      </w:r>
      <w:r w:rsidR="00BC4C0A">
        <w:t xml:space="preserve"> </w:t>
      </w:r>
      <w:r w:rsidR="009C4470">
        <w:t>eight</w:t>
      </w:r>
      <w:r w:rsidR="002642F7">
        <w:t xml:space="preserve">-day </w:t>
      </w:r>
      <w:r w:rsidR="00BC4C0A">
        <w:t xml:space="preserve">trial </w:t>
      </w:r>
      <w:r w:rsidR="00DA4760">
        <w:t xml:space="preserve">while </w:t>
      </w:r>
      <w:r w:rsidR="00377933">
        <w:t>he</w:t>
      </w:r>
      <w:r w:rsidR="00DA4760">
        <w:t xml:space="preserve"> was on suspension for nonpayment of his</w:t>
      </w:r>
      <w:r w:rsidR="009C4470">
        <w:t xml:space="preserve"> State Bar</w:t>
      </w:r>
      <w:r w:rsidR="00DA4760">
        <w:t xml:space="preserve"> membership fees</w:t>
      </w:r>
      <w:r w:rsidR="00BC4C0A">
        <w:t xml:space="preserve">.  </w:t>
      </w:r>
      <w:r w:rsidR="00377933">
        <w:t xml:space="preserve">On July 22, 2004, the </w:t>
      </w:r>
      <w:r w:rsidR="002642F7">
        <w:t xml:space="preserve">Supreme Court ordered </w:t>
      </w:r>
      <w:r w:rsidR="009D08BA">
        <w:t xml:space="preserve">that </w:t>
      </w:r>
      <w:r w:rsidR="002642F7">
        <w:t>Borne</w:t>
      </w:r>
      <w:r w:rsidR="009D08BA">
        <w:t xml:space="preserve"> be </w:t>
      </w:r>
      <w:r w:rsidR="002642F7">
        <w:t>suspen</w:t>
      </w:r>
      <w:r w:rsidR="009D08BA">
        <w:t>ded</w:t>
      </w:r>
      <w:r w:rsidR="00FF6510">
        <w:t xml:space="preserve"> for two years, stayed, </w:t>
      </w:r>
      <w:r w:rsidR="002642F7">
        <w:t xml:space="preserve">with three years’ probation and </w:t>
      </w:r>
      <w:r w:rsidR="00DA4760">
        <w:t>90 days</w:t>
      </w:r>
      <w:r w:rsidR="002642F7">
        <w:t>’</w:t>
      </w:r>
      <w:r w:rsidR="00DA4760">
        <w:t xml:space="preserve"> actual suspension.</w:t>
      </w:r>
      <w:r w:rsidR="003614A0">
        <w:t xml:space="preserve">  </w:t>
      </w:r>
    </w:p>
    <w:p w:rsidR="00282068" w:rsidRDefault="00282068" w:rsidP="00226FED">
      <w:r>
        <w:tab/>
        <w:t xml:space="preserve">We find an additional aggravating factor in that Borne fails to appreciate the serious consequences of his misconduct.  (Std. 1.2(b)(v).)  Although he is remorseful about the wording of his letter to </w:t>
      </w:r>
      <w:proofErr w:type="spellStart"/>
      <w:r>
        <w:t>Tiatia</w:t>
      </w:r>
      <w:proofErr w:type="spellEnd"/>
      <w:r>
        <w:t>, he does not view it as threatening and still asserts that “[</w:t>
      </w:r>
      <w:proofErr w:type="spellStart"/>
      <w:r>
        <w:t>i</w:t>
      </w:r>
      <w:proofErr w:type="spellEnd"/>
      <w:r>
        <w:t xml:space="preserve">]t is sound legal advice.”  But, as the hearing judge correctly explained:  “[T]he things that you said in that letter </w:t>
      </w:r>
      <w:r>
        <w:lastRenderedPageBreak/>
        <w:t xml:space="preserve">go to the core of what a lawyer should not say to their client.  They’re just not something that can be written off as inflammatory language.”   </w:t>
      </w:r>
    </w:p>
    <w:p w:rsidR="008B3BC2" w:rsidRDefault="00751692" w:rsidP="00226FED">
      <w:pPr>
        <w:rPr>
          <w:b/>
        </w:rPr>
      </w:pPr>
      <w:r>
        <w:tab/>
      </w:r>
      <w:r w:rsidR="00B454CC" w:rsidRPr="00E43BC7">
        <w:rPr>
          <w:b/>
        </w:rPr>
        <w:t>2.  Mitigation</w:t>
      </w:r>
      <w:r w:rsidR="00E43BC7">
        <w:rPr>
          <w:b/>
        </w:rPr>
        <w:t xml:space="preserve"> </w:t>
      </w:r>
    </w:p>
    <w:p w:rsidR="00BA6719" w:rsidRDefault="00751692" w:rsidP="00BA6719">
      <w:r>
        <w:tab/>
      </w:r>
      <w:r w:rsidR="001957AF">
        <w:t xml:space="preserve">The record supports </w:t>
      </w:r>
      <w:r w:rsidR="00630DF3">
        <w:t>two</w:t>
      </w:r>
      <w:r w:rsidR="001957AF">
        <w:t xml:space="preserve"> </w:t>
      </w:r>
      <w:r w:rsidR="00D83B1F">
        <w:t>mitigating factors</w:t>
      </w:r>
      <w:r w:rsidR="00863E3C">
        <w:t xml:space="preserve">.  </w:t>
      </w:r>
      <w:r w:rsidR="00347170">
        <w:t xml:space="preserve">Five </w:t>
      </w:r>
      <w:r w:rsidR="00756566">
        <w:t xml:space="preserve">character witnesses </w:t>
      </w:r>
      <w:r w:rsidR="00347170">
        <w:t>testified</w:t>
      </w:r>
      <w:r w:rsidR="00F939DA">
        <w:t xml:space="preserve"> on </w:t>
      </w:r>
      <w:proofErr w:type="spellStart"/>
      <w:r w:rsidR="00F939DA">
        <w:t>Borne’s</w:t>
      </w:r>
      <w:proofErr w:type="spellEnd"/>
      <w:r w:rsidR="00F939DA">
        <w:t xml:space="preserve"> behalf</w:t>
      </w:r>
      <w:r w:rsidR="00247AF0">
        <w:t xml:space="preserve"> to establish his good character in accordance with standard 1.2(e)(vi)</w:t>
      </w:r>
      <w:r w:rsidR="00347170">
        <w:t xml:space="preserve">, including </w:t>
      </w:r>
      <w:r w:rsidR="00A2668A">
        <w:t xml:space="preserve">a judge, three attorneys, and </w:t>
      </w:r>
      <w:proofErr w:type="spellStart"/>
      <w:r w:rsidR="00A2668A">
        <w:t>Borne’s</w:t>
      </w:r>
      <w:proofErr w:type="spellEnd"/>
      <w:r w:rsidR="00347170">
        <w:t xml:space="preserve"> wife</w:t>
      </w:r>
      <w:r w:rsidR="00E23282">
        <w:t xml:space="preserve"> from whom he was separated</w:t>
      </w:r>
      <w:r w:rsidR="00785AF4">
        <w:t>.</w:t>
      </w:r>
      <w:r w:rsidR="00F939DA">
        <w:t xml:space="preserve">  </w:t>
      </w:r>
      <w:r w:rsidR="002D6663">
        <w:t xml:space="preserve">The Honorable John T. Doyle </w:t>
      </w:r>
      <w:r w:rsidR="00785AF4">
        <w:t xml:space="preserve">has known Borne </w:t>
      </w:r>
      <w:r w:rsidR="00A2668A">
        <w:t xml:space="preserve">for </w:t>
      </w:r>
      <w:r w:rsidR="00785AF4">
        <w:t xml:space="preserve">about 37 years and testified that he has “never heard anyone to complain that [Borne] was dishonest or untruthful, or was a person of distasteful character, or an individual that could not be trusted.  Actually, quite the contrary.”  </w:t>
      </w:r>
      <w:r w:rsidR="00A2668A">
        <w:t>A</w:t>
      </w:r>
      <w:r w:rsidR="002104B9">
        <w:t xml:space="preserve">ttorney Mark H. </w:t>
      </w:r>
      <w:proofErr w:type="spellStart"/>
      <w:r w:rsidR="002104B9">
        <w:t>Rademacher</w:t>
      </w:r>
      <w:proofErr w:type="spellEnd"/>
      <w:r w:rsidR="002104B9">
        <w:t xml:space="preserve"> has known Borne </w:t>
      </w:r>
      <w:r w:rsidR="00A2668A">
        <w:t xml:space="preserve">for </w:t>
      </w:r>
      <w:r w:rsidR="002104B9">
        <w:t xml:space="preserve">approximately 38 years and </w:t>
      </w:r>
      <w:r w:rsidR="00A37D79">
        <w:t>Borne “has never spoken to [him] about anything that suggested he has a dishonest bone in his body.”  Borne is “someone who did his best for his clients.”  Finally, Borne served as a mento</w:t>
      </w:r>
      <w:r w:rsidR="00347170">
        <w:t xml:space="preserve">r to Monica Ariel </w:t>
      </w:r>
      <w:proofErr w:type="spellStart"/>
      <w:r w:rsidR="00347170">
        <w:t>Mihell</w:t>
      </w:r>
      <w:proofErr w:type="spellEnd"/>
      <w:r w:rsidR="00347170">
        <w:t xml:space="preserve">, </w:t>
      </w:r>
      <w:r w:rsidR="008B65BD">
        <w:t>who</w:t>
      </w:r>
      <w:r w:rsidR="00A37D79">
        <w:t xml:space="preserve"> noted that </w:t>
      </w:r>
      <w:r w:rsidR="008B65BD">
        <w:t>he</w:t>
      </w:r>
      <w:r w:rsidR="00A37D79">
        <w:t xml:space="preserve"> was “calm, professional, tried to stay on target with the case itself and give the client appropriate advice.”  </w:t>
      </w:r>
      <w:r w:rsidR="00347170">
        <w:t xml:space="preserve">She testified that </w:t>
      </w:r>
      <w:r w:rsidR="00A37D79">
        <w:t>Borne is treated with “courtesy and respect” by the ju</w:t>
      </w:r>
      <w:r w:rsidR="00901FE1">
        <w:t xml:space="preserve">dges and clients he represents.  </w:t>
      </w:r>
      <w:r w:rsidR="005F3F5A">
        <w:t xml:space="preserve">We give serious </w:t>
      </w:r>
      <w:r w:rsidR="00EB7490" w:rsidRPr="001226B8">
        <w:t>consideration</w:t>
      </w:r>
      <w:r w:rsidR="005F3F5A">
        <w:t xml:space="preserve"> to the testimony of these </w:t>
      </w:r>
      <w:r w:rsidR="00EB6073">
        <w:t>witnesses</w:t>
      </w:r>
      <w:r w:rsidR="00EB7490" w:rsidRPr="001226B8">
        <w:t xml:space="preserve"> because judges and attorneys have </w:t>
      </w:r>
      <w:r w:rsidR="00EB7490">
        <w:t xml:space="preserve">a </w:t>
      </w:r>
      <w:r w:rsidR="00EB7490" w:rsidRPr="001226B8">
        <w:t>“strong interest i</w:t>
      </w:r>
      <w:r w:rsidR="00EB7490">
        <w:t xml:space="preserve">n maintaining </w:t>
      </w:r>
      <w:r w:rsidR="00D55C23">
        <w:t xml:space="preserve">the honest </w:t>
      </w:r>
      <w:r w:rsidR="00EB7490" w:rsidRPr="001226B8">
        <w:t>administration of justice.”</w:t>
      </w:r>
      <w:r w:rsidR="00EB7490">
        <w:t xml:space="preserve">  </w:t>
      </w:r>
      <w:r w:rsidR="00EB7490" w:rsidRPr="001226B8">
        <w:t>(</w:t>
      </w:r>
      <w:r w:rsidR="00EB7490" w:rsidRPr="0045427C">
        <w:rPr>
          <w:i/>
        </w:rPr>
        <w:t>In the Matter of Brown</w:t>
      </w:r>
      <w:r w:rsidR="00EB7490" w:rsidRPr="001226B8">
        <w:t xml:space="preserve"> (Review Dept. 1993) 2 Cal. State Bar Ct. </w:t>
      </w:r>
      <w:proofErr w:type="spellStart"/>
      <w:r w:rsidR="00EB7490" w:rsidRPr="001226B8">
        <w:t>Rptr</w:t>
      </w:r>
      <w:proofErr w:type="spellEnd"/>
      <w:r w:rsidR="00EB7490" w:rsidRPr="001226B8">
        <w:t>. 309, 319</w:t>
      </w:r>
      <w:r w:rsidR="00EB7490">
        <w:t>.)</w:t>
      </w:r>
      <w:r w:rsidR="00BA6719">
        <w:t xml:space="preserve">  </w:t>
      </w:r>
    </w:p>
    <w:p w:rsidR="00247AF0" w:rsidRDefault="00247AF0" w:rsidP="00BA6719">
      <w:r>
        <w:tab/>
        <w:t xml:space="preserve">In addition to this testimony, declarations from four business associates were admitted at trial, all of whom attested to </w:t>
      </w:r>
      <w:proofErr w:type="spellStart"/>
      <w:r>
        <w:t>Borne’s</w:t>
      </w:r>
      <w:proofErr w:type="spellEnd"/>
      <w:r>
        <w:t xml:space="preserve"> “kindness” and “generosity.”  The </w:t>
      </w:r>
      <w:proofErr w:type="spellStart"/>
      <w:r>
        <w:t>declarants</w:t>
      </w:r>
      <w:proofErr w:type="spellEnd"/>
      <w:r>
        <w:t xml:space="preserve"> also attested to his</w:t>
      </w:r>
      <w:r w:rsidRPr="00E23282">
        <w:t xml:space="preserve"> </w:t>
      </w:r>
      <w:r>
        <w:t xml:space="preserve">even temperament and his honesty.  As one </w:t>
      </w:r>
      <w:proofErr w:type="spellStart"/>
      <w:r>
        <w:t>declarant</w:t>
      </w:r>
      <w:proofErr w:type="spellEnd"/>
      <w:r>
        <w:t xml:space="preserve"> stated:  “My opinion of his reputation for honesty is above reproach or suspicion.  He is virtually impossible to anger or push toward unreasonable acts.”  </w:t>
      </w:r>
    </w:p>
    <w:p w:rsidR="0002372E" w:rsidRDefault="005B785F" w:rsidP="00BA6719">
      <w:pPr>
        <w:ind w:firstLine="720"/>
      </w:pPr>
      <w:r>
        <w:t>While t</w:t>
      </w:r>
      <w:r w:rsidR="00247AF0">
        <w:t xml:space="preserve">he evidence of </w:t>
      </w:r>
      <w:proofErr w:type="spellStart"/>
      <w:r w:rsidR="00247AF0">
        <w:t>Borne’s</w:t>
      </w:r>
      <w:proofErr w:type="spellEnd"/>
      <w:r w:rsidR="00247AF0">
        <w:t xml:space="preserve"> </w:t>
      </w:r>
      <w:r>
        <w:t xml:space="preserve">good </w:t>
      </w:r>
      <w:r w:rsidR="00247AF0">
        <w:t>character was s</w:t>
      </w:r>
      <w:r>
        <w:t>ignificant</w:t>
      </w:r>
      <w:r w:rsidR="00247AF0">
        <w:t>, most of his</w:t>
      </w:r>
      <w:r w:rsidR="00901FE1">
        <w:t xml:space="preserve"> witnesses were </w:t>
      </w:r>
      <w:r w:rsidR="00A736B4">
        <w:t xml:space="preserve">not familiar </w:t>
      </w:r>
      <w:r w:rsidR="00901FE1">
        <w:t>with the</w:t>
      </w:r>
      <w:r w:rsidR="00A736B4">
        <w:t xml:space="preserve"> nature or </w:t>
      </w:r>
      <w:r w:rsidR="00901FE1">
        <w:t>full extent of his misconduct</w:t>
      </w:r>
      <w:r w:rsidR="00FE4683">
        <w:t>,</w:t>
      </w:r>
      <w:r w:rsidR="00901FE1">
        <w:t xml:space="preserve"> as required by standard</w:t>
      </w:r>
      <w:r w:rsidR="00B41B38">
        <w:t xml:space="preserve"> </w:t>
      </w:r>
      <w:r w:rsidR="00901FE1">
        <w:t>1.2(e)(vi).</w:t>
      </w:r>
      <w:r w:rsidR="00321E43">
        <w:t xml:space="preserve">  </w:t>
      </w:r>
      <w:r w:rsidR="00321E43">
        <w:lastRenderedPageBreak/>
        <w:t>Thus, the</w:t>
      </w:r>
      <w:r w:rsidR="008666A2">
        <w:t>ir</w:t>
      </w:r>
      <w:r w:rsidR="00321E43">
        <w:t xml:space="preserve"> </w:t>
      </w:r>
      <w:r w:rsidR="00863E3C">
        <w:t xml:space="preserve">testimony </w:t>
      </w:r>
      <w:r w:rsidR="00A736B4">
        <w:t xml:space="preserve">and declarations </w:t>
      </w:r>
      <w:r w:rsidR="00C21AC5">
        <w:t>must be discounted</w:t>
      </w:r>
      <w:r w:rsidR="007C6D8C">
        <w:t xml:space="preserve">, and we </w:t>
      </w:r>
      <w:r w:rsidR="00282068">
        <w:t>assign</w:t>
      </w:r>
      <w:r w:rsidR="007C6D8C">
        <w:t xml:space="preserve"> modest mitigation credit for </w:t>
      </w:r>
      <w:proofErr w:type="spellStart"/>
      <w:r w:rsidR="008666A2">
        <w:t>Borne’s</w:t>
      </w:r>
      <w:proofErr w:type="spellEnd"/>
      <w:r w:rsidR="007C6D8C">
        <w:t xml:space="preserve"> demonstration of good character. </w:t>
      </w:r>
      <w:r w:rsidR="00863E3C">
        <w:t xml:space="preserve"> </w:t>
      </w:r>
    </w:p>
    <w:p w:rsidR="00B8305A" w:rsidRDefault="003D5174" w:rsidP="002F0453">
      <w:pPr>
        <w:ind w:firstLine="720"/>
      </w:pPr>
      <w:r>
        <w:t>We agree with the hearing judge</w:t>
      </w:r>
      <w:r w:rsidR="008666A2">
        <w:t>’s finding</w:t>
      </w:r>
      <w:r>
        <w:t xml:space="preserve"> that Borne presented credible evidence of his alcohol abuse and </w:t>
      </w:r>
      <w:r w:rsidR="00167857">
        <w:t xml:space="preserve">his </w:t>
      </w:r>
      <w:r w:rsidR="003423F2">
        <w:t>steps</w:t>
      </w:r>
      <w:r>
        <w:t xml:space="preserve"> toward sobriety.  </w:t>
      </w:r>
      <w:r w:rsidR="00167857">
        <w:t xml:space="preserve">(Std. 1.2(e)(iv).)  </w:t>
      </w:r>
      <w:r w:rsidR="00745439">
        <w:t>At trial,</w:t>
      </w:r>
      <w:r w:rsidR="00B43416">
        <w:t xml:space="preserve"> </w:t>
      </w:r>
      <w:r w:rsidR="00173274">
        <w:t xml:space="preserve">several witnesses, including </w:t>
      </w:r>
      <w:proofErr w:type="spellStart"/>
      <w:r w:rsidR="00173274">
        <w:t>Borne’s</w:t>
      </w:r>
      <w:proofErr w:type="spellEnd"/>
      <w:r w:rsidR="00173274">
        <w:t xml:space="preserve"> wife, testified about his </w:t>
      </w:r>
      <w:r w:rsidR="008D343F">
        <w:t>emotional and physical problems</w:t>
      </w:r>
      <w:r w:rsidR="008666A2">
        <w:t>,</w:t>
      </w:r>
      <w:r w:rsidR="008D343F">
        <w:t xml:space="preserve"> which exacerbated his</w:t>
      </w:r>
      <w:r w:rsidR="001F45C0">
        <w:t xml:space="preserve"> </w:t>
      </w:r>
      <w:r w:rsidR="007B2505">
        <w:t>long-term</w:t>
      </w:r>
      <w:r w:rsidR="008D343F">
        <w:t xml:space="preserve"> </w:t>
      </w:r>
      <w:r w:rsidR="00173274">
        <w:t>struggle with alcohol addiction</w:t>
      </w:r>
      <w:r w:rsidR="006D2897">
        <w:t xml:space="preserve">.  </w:t>
      </w:r>
      <w:r w:rsidR="00FE653F" w:rsidRPr="00123C69">
        <w:t xml:space="preserve">Borne </w:t>
      </w:r>
      <w:r w:rsidR="00E54C72">
        <w:t xml:space="preserve">also </w:t>
      </w:r>
      <w:r w:rsidR="00FE653F" w:rsidRPr="00123C69">
        <w:t>submit</w:t>
      </w:r>
      <w:r w:rsidR="005F1DA2">
        <w:t>ted</w:t>
      </w:r>
      <w:r w:rsidR="00E54C72">
        <w:t xml:space="preserve"> </w:t>
      </w:r>
      <w:r w:rsidR="005F1DA2">
        <w:t>evidence</w:t>
      </w:r>
      <w:r w:rsidR="00033398">
        <w:t xml:space="preserve"> of: </w:t>
      </w:r>
      <w:r w:rsidR="008666A2">
        <w:t xml:space="preserve"> (</w:t>
      </w:r>
      <w:r w:rsidR="00033398">
        <w:t>1) his admission</w:t>
      </w:r>
      <w:r w:rsidR="00FE653F" w:rsidRPr="00123C69">
        <w:t xml:space="preserve"> to a Kaiser Permanente Facility</w:t>
      </w:r>
      <w:r w:rsidR="0018618C" w:rsidRPr="0018618C">
        <w:t xml:space="preserve"> </w:t>
      </w:r>
      <w:r w:rsidR="0018618C">
        <w:t>for a four-day stay</w:t>
      </w:r>
      <w:r w:rsidR="00033398">
        <w:t xml:space="preserve"> in S</w:t>
      </w:r>
      <w:r w:rsidR="00FE653F" w:rsidRPr="00123C69">
        <w:t>eptember</w:t>
      </w:r>
      <w:r w:rsidR="00033398">
        <w:t xml:space="preserve"> </w:t>
      </w:r>
      <w:r w:rsidR="00FE653F" w:rsidRPr="00123C69">
        <w:t>2003</w:t>
      </w:r>
      <w:r w:rsidR="00033398">
        <w:t xml:space="preserve">; </w:t>
      </w:r>
      <w:r w:rsidR="008666A2">
        <w:t>(</w:t>
      </w:r>
      <w:r w:rsidR="00033398">
        <w:t xml:space="preserve">2) </w:t>
      </w:r>
      <w:r w:rsidR="00752D5F">
        <w:t xml:space="preserve">a treatment plan from </w:t>
      </w:r>
      <w:r w:rsidR="00FE653F" w:rsidRPr="00123C69">
        <w:t>the Betty Ford Center</w:t>
      </w:r>
      <w:r w:rsidR="00752D5F">
        <w:t xml:space="preserve"> </w:t>
      </w:r>
      <w:r w:rsidR="006E34A3">
        <w:t>for</w:t>
      </w:r>
      <w:r w:rsidR="00752D5F">
        <w:t xml:space="preserve"> </w:t>
      </w:r>
      <w:r w:rsidR="008666A2">
        <w:t>a 10-</w:t>
      </w:r>
      <w:r w:rsidR="00752D5F">
        <w:t>day</w:t>
      </w:r>
      <w:r w:rsidR="006E34A3">
        <w:t xml:space="preserve"> </w:t>
      </w:r>
      <w:r w:rsidR="00752D5F">
        <w:t xml:space="preserve">period </w:t>
      </w:r>
      <w:r w:rsidR="00033398">
        <w:t xml:space="preserve">in </w:t>
      </w:r>
      <w:r w:rsidR="00FE653F" w:rsidRPr="00123C69">
        <w:t>December</w:t>
      </w:r>
      <w:r w:rsidR="00033398">
        <w:t xml:space="preserve"> 2005; </w:t>
      </w:r>
      <w:r w:rsidR="008666A2">
        <w:t>(</w:t>
      </w:r>
      <w:r w:rsidR="00033398">
        <w:t xml:space="preserve">3) </w:t>
      </w:r>
      <w:r w:rsidR="006D4A26">
        <w:t>an Evaluation Plan</w:t>
      </w:r>
      <w:r w:rsidR="004F6359">
        <w:t xml:space="preserve"> </w:t>
      </w:r>
      <w:r w:rsidR="006D4A26">
        <w:t xml:space="preserve">from </w:t>
      </w:r>
      <w:r w:rsidR="00745439">
        <w:t>the Lawyer Assistance Program</w:t>
      </w:r>
      <w:r w:rsidR="005B4377">
        <w:t xml:space="preserve"> (LAP)</w:t>
      </w:r>
      <w:r w:rsidR="004F6359">
        <w:t xml:space="preserve"> showing </w:t>
      </w:r>
      <w:r w:rsidR="008666A2">
        <w:t xml:space="preserve">that </w:t>
      </w:r>
      <w:r w:rsidR="004F6359">
        <w:t xml:space="preserve">Borne </w:t>
      </w:r>
      <w:r w:rsidR="0018618C">
        <w:t>had</w:t>
      </w:r>
      <w:r w:rsidR="004F6359">
        <w:t xml:space="preserve"> appl</w:t>
      </w:r>
      <w:r w:rsidR="0018618C">
        <w:t>ied</w:t>
      </w:r>
      <w:r w:rsidR="004F6359">
        <w:t xml:space="preserve"> to the program </w:t>
      </w:r>
      <w:r w:rsidR="008666A2">
        <w:t>on</w:t>
      </w:r>
      <w:r w:rsidR="001F4481">
        <w:t xml:space="preserve"> </w:t>
      </w:r>
      <w:r w:rsidR="004F6359">
        <w:t>August 4, 2005</w:t>
      </w:r>
      <w:r w:rsidR="005B4377">
        <w:t xml:space="preserve">; and </w:t>
      </w:r>
      <w:r w:rsidR="008666A2">
        <w:t>(</w:t>
      </w:r>
      <w:r w:rsidR="005B4377">
        <w:t xml:space="preserve">4) logs from </w:t>
      </w:r>
      <w:r w:rsidR="006C7A40">
        <w:t xml:space="preserve">June 2006 through May 2008 </w:t>
      </w:r>
      <w:r w:rsidR="005B4377">
        <w:t>showing his attendance at meetings of The Other Bar, LAP, church and Alcoholics Anonymous.</w:t>
      </w:r>
    </w:p>
    <w:p w:rsidR="009316B1" w:rsidRDefault="00267B00" w:rsidP="002F0453">
      <w:pPr>
        <w:ind w:firstLine="720"/>
      </w:pPr>
      <w:r>
        <w:t>However, n</w:t>
      </w:r>
      <w:r w:rsidR="00033398">
        <w:t xml:space="preserve">one of these </w:t>
      </w:r>
      <w:r w:rsidR="0036338B">
        <w:t xml:space="preserve">records </w:t>
      </w:r>
      <w:r w:rsidR="00E54C72">
        <w:t xml:space="preserve">provided </w:t>
      </w:r>
      <w:r w:rsidR="00173274" w:rsidRPr="00123C69">
        <w:t xml:space="preserve">an evaluation </w:t>
      </w:r>
      <w:r w:rsidR="00173274">
        <w:t>of</w:t>
      </w:r>
      <w:r w:rsidR="00173274" w:rsidRPr="00123C69">
        <w:t xml:space="preserve"> the extent of </w:t>
      </w:r>
      <w:proofErr w:type="spellStart"/>
      <w:r w:rsidR="00173274" w:rsidRPr="00123C69">
        <w:t>Borne’s</w:t>
      </w:r>
      <w:proofErr w:type="spellEnd"/>
      <w:r w:rsidR="00173274" w:rsidRPr="00123C69">
        <w:t xml:space="preserve"> alcohol</w:t>
      </w:r>
      <w:r w:rsidR="00173274">
        <w:t xml:space="preserve"> addiction</w:t>
      </w:r>
      <w:r w:rsidR="00102C3D">
        <w:t xml:space="preserve"> </w:t>
      </w:r>
      <w:r w:rsidR="00173274">
        <w:t>or</w:t>
      </w:r>
      <w:r w:rsidR="00102C3D">
        <w:t xml:space="preserve"> gave</w:t>
      </w:r>
      <w:r w:rsidR="00173274">
        <w:t xml:space="preserve"> any indication of the status of his </w:t>
      </w:r>
      <w:r w:rsidR="00173274" w:rsidRPr="00123C69">
        <w:t>recovery</w:t>
      </w:r>
      <w:r w:rsidR="00173274">
        <w:t xml:space="preserve">.  </w:t>
      </w:r>
      <w:r w:rsidR="00102C3D">
        <w:t xml:space="preserve">Also </w:t>
      </w:r>
      <w:r w:rsidR="00745439">
        <w:t>missing from the</w:t>
      </w:r>
      <w:r w:rsidR="00993E0B">
        <w:t>se</w:t>
      </w:r>
      <w:r w:rsidR="00745439">
        <w:t xml:space="preserve"> record</w:t>
      </w:r>
      <w:r w:rsidR="00993E0B">
        <w:t>s</w:t>
      </w:r>
      <w:r w:rsidR="00745439">
        <w:t xml:space="preserve"> is </w:t>
      </w:r>
      <w:r w:rsidR="00173274">
        <w:t xml:space="preserve">evidence </w:t>
      </w:r>
      <w:r w:rsidR="00745439">
        <w:t>establishing the relationship</w:t>
      </w:r>
      <w:r w:rsidR="00E54C72">
        <w:t xml:space="preserve"> </w:t>
      </w:r>
      <w:r w:rsidR="00745439">
        <w:t xml:space="preserve">between his alcohol problems and his misconduct.  As we observed in </w:t>
      </w:r>
      <w:proofErr w:type="spellStart"/>
      <w:r w:rsidR="00745439">
        <w:rPr>
          <w:i/>
        </w:rPr>
        <w:t>In</w:t>
      </w:r>
      <w:proofErr w:type="spellEnd"/>
      <w:r w:rsidR="00745439">
        <w:rPr>
          <w:i/>
        </w:rPr>
        <w:t xml:space="preserve"> the Matter of </w:t>
      </w:r>
      <w:proofErr w:type="spellStart"/>
      <w:r w:rsidR="00745439" w:rsidRPr="00E414CE">
        <w:rPr>
          <w:i/>
        </w:rPr>
        <w:t>Deierling</w:t>
      </w:r>
      <w:proofErr w:type="spellEnd"/>
      <w:r w:rsidR="00745439">
        <w:t xml:space="preserve"> (Review Dept. 1991) 1 Cal. State Bar Ct. </w:t>
      </w:r>
      <w:proofErr w:type="spellStart"/>
      <w:r w:rsidR="00745439">
        <w:t>Rptr</w:t>
      </w:r>
      <w:proofErr w:type="spellEnd"/>
      <w:r w:rsidR="00745439">
        <w:t>. 552, 560, “our Supreme Court does require lawyers’ claims in mitigation based on substance abuse to show adequate evidence of a causal connection between the abuse and misconduct and a meaningful and sustained rehabilitative period</w:t>
      </w:r>
      <w:r w:rsidR="00D55C23">
        <w:t xml:space="preserve"> [citations] </w:t>
      </w:r>
      <w:r w:rsidR="00745439">
        <w:t>.</w:t>
      </w:r>
      <w:r w:rsidR="00D55C23">
        <w:t xml:space="preserve"> . . .</w:t>
      </w:r>
      <w:r w:rsidR="00745439">
        <w:t xml:space="preserve">” </w:t>
      </w:r>
      <w:r w:rsidR="00993E0B">
        <w:t xml:space="preserve"> </w:t>
      </w:r>
      <w:r w:rsidR="005F3D0E">
        <w:t xml:space="preserve">Furthermore, </w:t>
      </w:r>
      <w:r w:rsidR="00283B9C">
        <w:t xml:space="preserve">Borne </w:t>
      </w:r>
      <w:r w:rsidR="002C3555">
        <w:t>offered</w:t>
      </w:r>
      <w:r w:rsidR="00283B9C">
        <w:t xml:space="preserve"> no expert testimony </w:t>
      </w:r>
      <w:r w:rsidR="00094E89">
        <w:t>to establish</w:t>
      </w:r>
      <w:r w:rsidR="00993E0B" w:rsidRPr="00993E0B">
        <w:t xml:space="preserve"> </w:t>
      </w:r>
      <w:r w:rsidR="008666A2">
        <w:t xml:space="preserve">that </w:t>
      </w:r>
      <w:r w:rsidR="00283B9C">
        <w:t>his</w:t>
      </w:r>
      <w:r w:rsidR="00BA4FC1">
        <w:t xml:space="preserve"> disability</w:t>
      </w:r>
      <w:r w:rsidR="00094E89">
        <w:t xml:space="preserve"> is </w:t>
      </w:r>
      <w:r w:rsidR="00BA4FC1">
        <w:t xml:space="preserve">directly responsible for </w:t>
      </w:r>
      <w:r w:rsidR="00283B9C">
        <w:t>his</w:t>
      </w:r>
      <w:r w:rsidR="00BA4FC1">
        <w:t xml:space="preserve"> misconduct.</w:t>
      </w:r>
      <w:r w:rsidR="00094E89">
        <w:t xml:space="preserve">  </w:t>
      </w:r>
      <w:r w:rsidR="005F3D0E">
        <w:t xml:space="preserve">(Std. 1.2(e)(iv).)  </w:t>
      </w:r>
    </w:p>
    <w:p w:rsidR="009316B1" w:rsidRDefault="005F3D0E" w:rsidP="002F0453">
      <w:pPr>
        <w:ind w:firstLine="720"/>
      </w:pPr>
      <w:r>
        <w:t xml:space="preserve">Borne maintains that the hearing judge wrongfully excluded the testimony of his expert, </w:t>
      </w:r>
      <w:r w:rsidRPr="00123C69">
        <w:t xml:space="preserve">Richard S. </w:t>
      </w:r>
      <w:proofErr w:type="spellStart"/>
      <w:r w:rsidRPr="00123C69">
        <w:t>Sandor</w:t>
      </w:r>
      <w:proofErr w:type="spellEnd"/>
      <w:r w:rsidRPr="00123C69">
        <w:t>, M.D</w:t>
      </w:r>
      <w:r>
        <w:t>.</w:t>
      </w:r>
      <w:r w:rsidR="009120A5">
        <w:t xml:space="preserve">  We find that the hearing judge did not abuse his discretion in excluding Dr. </w:t>
      </w:r>
      <w:proofErr w:type="spellStart"/>
      <w:r w:rsidR="009120A5">
        <w:t>Sandor’s</w:t>
      </w:r>
      <w:proofErr w:type="spellEnd"/>
      <w:r w:rsidR="009120A5">
        <w:t xml:space="preserve"> testimony because Borne failed to timely identify his expert and failed to </w:t>
      </w:r>
      <w:r w:rsidR="008468F4">
        <w:lastRenderedPageBreak/>
        <w:t>t</w:t>
      </w:r>
      <w:r w:rsidR="009120A5">
        <w:t xml:space="preserve">imely provide the State Bar with information about Dr. </w:t>
      </w:r>
      <w:proofErr w:type="spellStart"/>
      <w:r w:rsidR="009120A5">
        <w:t>Sandor</w:t>
      </w:r>
      <w:proofErr w:type="spellEnd"/>
      <w:r w:rsidR="003D4F6E">
        <w:t xml:space="preserve"> necessary for its</w:t>
      </w:r>
      <w:r w:rsidR="009120A5">
        <w:t xml:space="preserve"> preparation for trial.</w:t>
      </w:r>
      <w:r w:rsidR="009120A5">
        <w:rPr>
          <w:rStyle w:val="FootnoteReference"/>
        </w:rPr>
        <w:footnoteReference w:id="8"/>
      </w:r>
      <w:r w:rsidR="009120A5">
        <w:t xml:space="preserve">  </w:t>
      </w:r>
    </w:p>
    <w:p w:rsidR="00283B9C" w:rsidRPr="00123C69" w:rsidRDefault="009316B1" w:rsidP="00283B9C">
      <w:pPr>
        <w:ind w:firstLine="720"/>
      </w:pPr>
      <w:r>
        <w:t>In order to remedy the lack of e</w:t>
      </w:r>
      <w:r w:rsidR="00BA4FC1">
        <w:t>xpert testimony</w:t>
      </w:r>
      <w:r w:rsidR="00A81621">
        <w:t xml:space="preserve"> </w:t>
      </w:r>
      <w:r w:rsidR="00102C3D">
        <w:t>a</w:t>
      </w:r>
      <w:r w:rsidR="003C36B2">
        <w:t>bout</w:t>
      </w:r>
      <w:r w:rsidR="00102C3D">
        <w:t xml:space="preserve"> the causal connection between </w:t>
      </w:r>
      <w:proofErr w:type="spellStart"/>
      <w:r w:rsidR="00102C3D">
        <w:t>Borne’s</w:t>
      </w:r>
      <w:proofErr w:type="spellEnd"/>
      <w:r w:rsidR="00102C3D">
        <w:t xml:space="preserve"> alcohol addiction and his misconduct</w:t>
      </w:r>
      <w:r w:rsidR="00A81621">
        <w:t xml:space="preserve">, </w:t>
      </w:r>
      <w:r w:rsidR="00CE0DC9">
        <w:t>Borne filed</w:t>
      </w:r>
      <w:r w:rsidR="00634E20">
        <w:t xml:space="preserve"> in this court</w:t>
      </w:r>
      <w:r w:rsidR="00CE0DC9">
        <w:t xml:space="preserve"> a Motion to Augment the Record</w:t>
      </w:r>
      <w:r w:rsidR="00102C3D">
        <w:t xml:space="preserve">; for Remand to Re-Open the </w:t>
      </w:r>
      <w:r w:rsidR="00634E20">
        <w:t>Hearing, etc</w:t>
      </w:r>
      <w:r>
        <w:t xml:space="preserve">.  </w:t>
      </w:r>
      <w:r w:rsidR="00975B26" w:rsidRPr="00123C69">
        <w:t>The evidence Borne</w:t>
      </w:r>
      <w:r w:rsidR="00CE0DC9" w:rsidRPr="00123C69">
        <w:t xml:space="preserve"> sought to </w:t>
      </w:r>
      <w:r w:rsidR="00975B26" w:rsidRPr="00123C69">
        <w:t xml:space="preserve">present </w:t>
      </w:r>
      <w:r>
        <w:t>on</w:t>
      </w:r>
      <w:r w:rsidR="00634E20">
        <w:t xml:space="preserve"> appeal </w:t>
      </w:r>
      <w:r w:rsidR="00975B26" w:rsidRPr="00123C69">
        <w:t>was a March 26, 2009</w:t>
      </w:r>
      <w:r w:rsidR="00CE0DC9" w:rsidRPr="00123C69">
        <w:t xml:space="preserve">, </w:t>
      </w:r>
      <w:r w:rsidR="00975B26" w:rsidRPr="00123C69">
        <w:t xml:space="preserve">“Addiction Medicine/Psychiatric Evaluation” and a February 10, 2010 “Addendum” report from </w:t>
      </w:r>
      <w:r w:rsidR="00A9461F">
        <w:t xml:space="preserve">Dr. </w:t>
      </w:r>
      <w:proofErr w:type="spellStart"/>
      <w:r w:rsidR="00975B26" w:rsidRPr="00A9461F">
        <w:t>Sandor</w:t>
      </w:r>
      <w:proofErr w:type="spellEnd"/>
      <w:r w:rsidR="00A9461F">
        <w:t xml:space="preserve">, </w:t>
      </w:r>
      <w:r w:rsidR="00CE0DC9" w:rsidRPr="00123C69">
        <w:t xml:space="preserve">who conducted </w:t>
      </w:r>
      <w:r w:rsidR="00975B26" w:rsidRPr="00123C69">
        <w:t xml:space="preserve">a 90-minute </w:t>
      </w:r>
      <w:r w:rsidR="008B65BD">
        <w:t>initial</w:t>
      </w:r>
      <w:r w:rsidR="00FE4683">
        <w:t xml:space="preserve"> interview</w:t>
      </w:r>
      <w:r w:rsidR="008B65BD">
        <w:t xml:space="preserve"> </w:t>
      </w:r>
      <w:r w:rsidR="00975B26" w:rsidRPr="00123C69">
        <w:t xml:space="preserve">and </w:t>
      </w:r>
      <w:r w:rsidR="003C36B2">
        <w:t xml:space="preserve">a </w:t>
      </w:r>
      <w:r w:rsidR="00372C84">
        <w:t xml:space="preserve">50-minute </w:t>
      </w:r>
      <w:r w:rsidR="00975B26" w:rsidRPr="00123C69">
        <w:t xml:space="preserve">subsequent interview with Borne.  </w:t>
      </w:r>
      <w:r w:rsidR="00283B9C" w:rsidRPr="00123C69">
        <w:t xml:space="preserve">Dr. </w:t>
      </w:r>
      <w:proofErr w:type="spellStart"/>
      <w:r w:rsidR="00283B9C" w:rsidRPr="00123C69">
        <w:t>Sandor</w:t>
      </w:r>
      <w:proofErr w:type="spellEnd"/>
      <w:r w:rsidR="00283B9C" w:rsidRPr="00123C69">
        <w:t xml:space="preserve"> was not </w:t>
      </w:r>
      <w:proofErr w:type="spellStart"/>
      <w:r w:rsidR="00283B9C" w:rsidRPr="00123C69">
        <w:t>Borne’s</w:t>
      </w:r>
      <w:proofErr w:type="spellEnd"/>
      <w:r w:rsidR="00283B9C" w:rsidRPr="00123C69">
        <w:t xml:space="preserve"> treating physician</w:t>
      </w:r>
      <w:r w:rsidR="00283B9C">
        <w:t xml:space="preserve"> and he offered</w:t>
      </w:r>
      <w:r w:rsidR="00283B9C" w:rsidRPr="00123C69">
        <w:t xml:space="preserve"> </w:t>
      </w:r>
      <w:r w:rsidR="00283B9C">
        <w:t xml:space="preserve">no medical or </w:t>
      </w:r>
      <w:r w:rsidR="00283B9C" w:rsidRPr="00123C69">
        <w:t>factual basis</w:t>
      </w:r>
      <w:r w:rsidR="00283B9C">
        <w:t xml:space="preserve"> specifically addressing </w:t>
      </w:r>
      <w:proofErr w:type="spellStart"/>
      <w:r w:rsidR="00283B9C">
        <w:t>Borne’s</w:t>
      </w:r>
      <w:proofErr w:type="spellEnd"/>
      <w:r w:rsidR="00283B9C" w:rsidRPr="00123C69">
        <w:t xml:space="preserve"> “demonstrated fitness to practice law.”  (</w:t>
      </w:r>
      <w:r w:rsidR="00283B9C" w:rsidRPr="00123C69">
        <w:rPr>
          <w:i/>
        </w:rPr>
        <w:t xml:space="preserve">In re </w:t>
      </w:r>
      <w:proofErr w:type="spellStart"/>
      <w:r w:rsidR="00283B9C" w:rsidRPr="00123C69">
        <w:rPr>
          <w:i/>
        </w:rPr>
        <w:t>Possino</w:t>
      </w:r>
      <w:proofErr w:type="spellEnd"/>
      <w:r w:rsidR="00283B9C" w:rsidRPr="00123C69">
        <w:t xml:space="preserve"> (1984) 37 </w:t>
      </w:r>
      <w:proofErr w:type="spellStart"/>
      <w:r w:rsidR="00283B9C" w:rsidRPr="00123C69">
        <w:t>Cal.3d</w:t>
      </w:r>
      <w:proofErr w:type="spellEnd"/>
      <w:r w:rsidR="00283B9C" w:rsidRPr="00123C69">
        <w:t xml:space="preserve"> 163, 172</w:t>
      </w:r>
      <w:r w:rsidR="00283B9C">
        <w:t xml:space="preserve">.)  Rather, the doctor’s opinion was based on his assessment of the typical behavior of alcoholics in general.  Moreover, in his report, Dr. </w:t>
      </w:r>
      <w:proofErr w:type="spellStart"/>
      <w:r w:rsidR="00283B9C">
        <w:t>Sandor</w:t>
      </w:r>
      <w:proofErr w:type="spellEnd"/>
      <w:r w:rsidR="00283B9C">
        <w:t xml:space="preserve"> relied on </w:t>
      </w:r>
      <w:proofErr w:type="spellStart"/>
      <w:r w:rsidR="00283B9C">
        <w:t>Borne’s</w:t>
      </w:r>
      <w:proofErr w:type="spellEnd"/>
      <w:r w:rsidR="00283B9C">
        <w:t xml:space="preserve"> “own account” of his addiction and recovery to conclude that his misconduct “was in all likelihood exacerbated by his alcoholism.”  </w:t>
      </w:r>
    </w:p>
    <w:p w:rsidR="004F6FA9" w:rsidRPr="00123C69" w:rsidRDefault="00123C69" w:rsidP="004F6FA9">
      <w:pPr>
        <w:ind w:firstLine="720"/>
      </w:pPr>
      <w:r>
        <w:t xml:space="preserve">On April 9, 2010, we denied </w:t>
      </w:r>
      <w:proofErr w:type="spellStart"/>
      <w:r>
        <w:t>Borne’s</w:t>
      </w:r>
      <w:proofErr w:type="spellEnd"/>
      <w:r>
        <w:t xml:space="preserve"> </w:t>
      </w:r>
      <w:r w:rsidR="008B65BD">
        <w:t>m</w:t>
      </w:r>
      <w:r>
        <w:t>otion</w:t>
      </w:r>
      <w:r w:rsidR="008B65BD">
        <w:t>,</w:t>
      </w:r>
      <w:r w:rsidRPr="00CE0DC9">
        <w:t xml:space="preserve"> </w:t>
      </w:r>
      <w:r>
        <w:t>finding no good cause shown.</w:t>
      </w:r>
      <w:r w:rsidR="009316B1">
        <w:t xml:space="preserve">  But e</w:t>
      </w:r>
      <w:r>
        <w:t xml:space="preserve">ven if, </w:t>
      </w:r>
      <w:proofErr w:type="spellStart"/>
      <w:r>
        <w:t>arguendo</w:t>
      </w:r>
      <w:proofErr w:type="spellEnd"/>
      <w:r>
        <w:t xml:space="preserve">, </w:t>
      </w:r>
      <w:r w:rsidR="00573130">
        <w:t xml:space="preserve">we were to consider </w:t>
      </w:r>
      <w:r w:rsidR="004F13F1">
        <w:t xml:space="preserve">Dr. </w:t>
      </w:r>
      <w:proofErr w:type="spellStart"/>
      <w:r w:rsidR="004F13F1">
        <w:t>Sandor’s</w:t>
      </w:r>
      <w:proofErr w:type="spellEnd"/>
      <w:r w:rsidR="004F13F1">
        <w:t xml:space="preserve"> evaluation reports</w:t>
      </w:r>
      <w:r w:rsidR="00573130">
        <w:t xml:space="preserve">, </w:t>
      </w:r>
      <w:r w:rsidR="00B94E7B">
        <w:t xml:space="preserve">they would not constitute </w:t>
      </w:r>
      <w:r w:rsidR="003C36B2">
        <w:t xml:space="preserve">such </w:t>
      </w:r>
      <w:r w:rsidR="00B94E7B">
        <w:t>clear and convincing evidence</w:t>
      </w:r>
      <w:r w:rsidR="00573130">
        <w:t xml:space="preserve"> in</w:t>
      </w:r>
      <w:r w:rsidR="00573130" w:rsidRPr="00573130">
        <w:t xml:space="preserve"> </w:t>
      </w:r>
      <w:r w:rsidR="00573130">
        <w:t xml:space="preserve">mitigation as to compel a lesser discipline.  </w:t>
      </w:r>
      <w:r w:rsidR="00B94E7B">
        <w:t xml:space="preserve">The Supreme Court </w:t>
      </w:r>
      <w:r w:rsidR="009316B1">
        <w:t>h</w:t>
      </w:r>
      <w:r w:rsidR="00B94E7B">
        <w:t xml:space="preserve">as </w:t>
      </w:r>
      <w:r w:rsidR="00CF11EB">
        <w:t>cautioned</w:t>
      </w:r>
      <w:r w:rsidR="00B94E7B">
        <w:t xml:space="preserve"> that </w:t>
      </w:r>
      <w:r w:rsidR="00E668F3">
        <w:t>psychiatric evaluations</w:t>
      </w:r>
      <w:r w:rsidR="00B94E7B">
        <w:t xml:space="preserve"> are </w:t>
      </w:r>
      <w:r w:rsidR="00B94E7B" w:rsidRPr="00123C69">
        <w:t>“inherently unreliable”</w:t>
      </w:r>
      <w:r w:rsidR="00B94E7B">
        <w:t xml:space="preserve"> </w:t>
      </w:r>
      <w:r w:rsidR="00D70A44">
        <w:t>when they</w:t>
      </w:r>
      <w:r w:rsidR="00F536D3">
        <w:t xml:space="preserve"> </w:t>
      </w:r>
      <w:r w:rsidR="00F536D3" w:rsidRPr="00123C69">
        <w:t xml:space="preserve">“merely reflect personal beliefs in </w:t>
      </w:r>
      <w:r w:rsidR="00F536D3" w:rsidRPr="00F536D3">
        <w:t>[</w:t>
      </w:r>
      <w:r w:rsidR="00E668F3">
        <w:t>a</w:t>
      </w:r>
      <w:r w:rsidR="00F536D3" w:rsidRPr="00F536D3">
        <w:t xml:space="preserve"> respondent’s</w:t>
      </w:r>
      <w:r w:rsidR="00F536D3" w:rsidRPr="00123C69">
        <w:t xml:space="preserve">] continued recovery, and are based exclusively upon </w:t>
      </w:r>
      <w:r w:rsidR="004F6FA9">
        <w:lastRenderedPageBreak/>
        <w:t>co</w:t>
      </w:r>
      <w:r w:rsidR="00441428">
        <w:t>nv</w:t>
      </w:r>
      <w:r w:rsidR="00F536D3" w:rsidRPr="00123C69">
        <w:t>ersations or interviews with him.”  (</w:t>
      </w:r>
      <w:r w:rsidR="00E054F5">
        <w:rPr>
          <w:i/>
        </w:rPr>
        <w:t>Rosenthal v. State Bar</w:t>
      </w:r>
      <w:r w:rsidR="00E054F5">
        <w:t xml:space="preserve"> (1987) 43 </w:t>
      </w:r>
      <w:proofErr w:type="spellStart"/>
      <w:r w:rsidR="00E054F5">
        <w:t>Cal.3d</w:t>
      </w:r>
      <w:proofErr w:type="spellEnd"/>
      <w:r w:rsidR="00E054F5">
        <w:t xml:space="preserve"> 658, 663.</w:t>
      </w:r>
      <w:r w:rsidR="00F536D3" w:rsidRPr="00123C69">
        <w:t>)</w:t>
      </w:r>
      <w:r w:rsidR="00F536D3">
        <w:t xml:space="preserve">  </w:t>
      </w:r>
      <w:r w:rsidR="004F6FA9">
        <w:t xml:space="preserve">We accordingly assign only slight </w:t>
      </w:r>
      <w:proofErr w:type="spellStart"/>
      <w:r w:rsidR="004F6FA9">
        <w:t>mitigative</w:t>
      </w:r>
      <w:proofErr w:type="spellEnd"/>
      <w:r w:rsidR="004F6FA9">
        <w:t xml:space="preserve"> weight to </w:t>
      </w:r>
      <w:proofErr w:type="spellStart"/>
      <w:r w:rsidR="004F6FA9">
        <w:t>Borne’s</w:t>
      </w:r>
      <w:proofErr w:type="spellEnd"/>
      <w:r w:rsidR="004F6FA9">
        <w:t xml:space="preserve"> evidence of rehabilitation.     </w:t>
      </w:r>
      <w:r w:rsidR="004F6FA9" w:rsidRPr="00123C69">
        <w:t xml:space="preserve">     </w:t>
      </w:r>
    </w:p>
    <w:p w:rsidR="00C2242E" w:rsidRPr="00B454CC" w:rsidRDefault="00975B26" w:rsidP="00156F3D">
      <w:pPr>
        <w:rPr>
          <w:b/>
        </w:rPr>
      </w:pPr>
      <w:r w:rsidRPr="00123C69">
        <w:tab/>
      </w:r>
      <w:r w:rsidR="003739BD">
        <w:tab/>
      </w:r>
      <w:r w:rsidR="003739BD">
        <w:tab/>
      </w:r>
      <w:r w:rsidR="003739BD">
        <w:tab/>
      </w:r>
      <w:r w:rsidR="00B454CC">
        <w:rPr>
          <w:b/>
        </w:rPr>
        <w:t>II</w:t>
      </w:r>
      <w:r w:rsidR="00B454CC" w:rsidRPr="00B454CC">
        <w:rPr>
          <w:b/>
        </w:rPr>
        <w:t>.  DISCIPLINE DISCUSSION</w:t>
      </w:r>
    </w:p>
    <w:p w:rsidR="004F6FA9" w:rsidRPr="00123C69" w:rsidRDefault="00C2242E" w:rsidP="004F6FA9">
      <w:pPr>
        <w:ind w:firstLine="720"/>
      </w:pPr>
      <w:r w:rsidRPr="006A6435">
        <w:t xml:space="preserve">In determining the appropriate level of discipline, we look to the applicable standards for attorney misconduct </w:t>
      </w:r>
      <w:r w:rsidR="00A9461F">
        <w:t xml:space="preserve">as well as the </w:t>
      </w:r>
      <w:r w:rsidRPr="006A6435">
        <w:t>case law for guidance.  (</w:t>
      </w:r>
      <w:r w:rsidRPr="006A6435">
        <w:rPr>
          <w:i/>
        </w:rPr>
        <w:t>In re Young</w:t>
      </w:r>
      <w:r w:rsidRPr="006A6435">
        <w:t xml:space="preserve"> (1989) 49 </w:t>
      </w:r>
      <w:proofErr w:type="spellStart"/>
      <w:r w:rsidRPr="006A6435">
        <w:t>Cal.3d</w:t>
      </w:r>
      <w:proofErr w:type="spellEnd"/>
      <w:r w:rsidRPr="006A6435">
        <w:t xml:space="preserve"> 257, 267</w:t>
      </w:r>
      <w:r w:rsidR="00003727">
        <w:t>,</w:t>
      </w:r>
      <w:r w:rsidRPr="006A6435">
        <w:t xml:space="preserve"> fn. 11.)  While the standards are merely guidelines and do not mandate the discipline to be imposed (</w:t>
      </w:r>
      <w:r w:rsidRPr="006A6435">
        <w:rPr>
          <w:i/>
        </w:rPr>
        <w:t xml:space="preserve">Blair v. State Bar </w:t>
      </w:r>
      <w:r w:rsidRPr="006A6435">
        <w:t xml:space="preserve">(1989) 49 </w:t>
      </w:r>
      <w:proofErr w:type="spellStart"/>
      <w:r w:rsidRPr="006A6435">
        <w:t>Cal.3d</w:t>
      </w:r>
      <w:proofErr w:type="spellEnd"/>
      <w:r w:rsidRPr="006A6435">
        <w:t xml:space="preserve"> 762, 776, fn. 5), we afford them great weight to further the uniform application of disciplinary measures.  (</w:t>
      </w:r>
      <w:r w:rsidRPr="006A6435">
        <w:rPr>
          <w:i/>
        </w:rPr>
        <w:t>In re Silverton</w:t>
      </w:r>
      <w:r>
        <w:t xml:space="preserve"> (2005) 36 </w:t>
      </w:r>
      <w:proofErr w:type="spellStart"/>
      <w:r>
        <w:t>Cal.4th</w:t>
      </w:r>
      <w:proofErr w:type="spellEnd"/>
      <w:r>
        <w:t xml:space="preserve"> 81, 91.)  </w:t>
      </w:r>
    </w:p>
    <w:p w:rsidR="002C3555" w:rsidRDefault="00AF1BA2" w:rsidP="00770BDD">
      <w:pPr>
        <w:ind w:firstLine="720"/>
      </w:pPr>
      <w:r>
        <w:t>The s</w:t>
      </w:r>
      <w:r w:rsidR="00B260DC">
        <w:t>tandards</w:t>
      </w:r>
      <w:r w:rsidR="006600A3" w:rsidRPr="006600A3">
        <w:t xml:space="preserve"> </w:t>
      </w:r>
      <w:r w:rsidR="006600A3">
        <w:t>applicable to</w:t>
      </w:r>
      <w:r w:rsidR="00B260DC">
        <w:t xml:space="preserve"> </w:t>
      </w:r>
      <w:r w:rsidR="006600A3">
        <w:t xml:space="preserve">acts of moral turpitude and failure to cooperate </w:t>
      </w:r>
      <w:r>
        <w:t xml:space="preserve">are </w:t>
      </w:r>
      <w:r w:rsidR="00B260DC">
        <w:t>2.3 and 2.6(a)</w:t>
      </w:r>
      <w:r>
        <w:t xml:space="preserve">, </w:t>
      </w:r>
      <w:r w:rsidR="006600A3">
        <w:t xml:space="preserve">both of </w:t>
      </w:r>
      <w:r>
        <w:t>which</w:t>
      </w:r>
      <w:r w:rsidR="00B260DC">
        <w:t xml:space="preserve"> provide for suspension or disbarment depending on the gravity of the misconduct</w:t>
      </w:r>
      <w:r w:rsidR="005070DC">
        <w:t xml:space="preserve">.  However, </w:t>
      </w:r>
      <w:r w:rsidR="00E373B0">
        <w:t xml:space="preserve">most </w:t>
      </w:r>
      <w:r w:rsidR="006600A3">
        <w:t>relevant is standard 1.7(b)</w:t>
      </w:r>
      <w:r w:rsidR="002C3555">
        <w:t>, which provides for disbarment when an attorney has two or more prior disciplines.</w:t>
      </w:r>
    </w:p>
    <w:p w:rsidR="002C3555" w:rsidRDefault="002C3555" w:rsidP="002C3555">
      <w:pPr>
        <w:ind w:firstLine="720"/>
      </w:pPr>
      <w:r>
        <w:t>Borne suggests that his 23-year disciplinary record does not reflect a common thread or a pattern of serious misconduct warranting disbarment under standard 1.7(b).  A common thread or pattern of misconduct are factors that have been considered by the Supreme Court in applying standard 1.7(b).  (</w:t>
      </w:r>
      <w:r w:rsidRPr="00330727">
        <w:rPr>
          <w:i/>
        </w:rPr>
        <w:t>Morgan v. State Bar</w:t>
      </w:r>
      <w:r>
        <w:t xml:space="preserve"> </w:t>
      </w:r>
      <w:r w:rsidR="00003727">
        <w:t xml:space="preserve">(1990) 51 </w:t>
      </w:r>
      <w:proofErr w:type="spellStart"/>
      <w:r w:rsidR="00003727">
        <w:t>Cal.3d</w:t>
      </w:r>
      <w:proofErr w:type="spellEnd"/>
      <w:r w:rsidR="00003727">
        <w:t xml:space="preserve"> 598, 607 </w:t>
      </w:r>
      <w:r>
        <w:t xml:space="preserve">[std. 1.7(b) applied where prior discipline showed pattern of misconduct and indifference to court’s disciplinary orders]; </w:t>
      </w:r>
      <w:r>
        <w:rPr>
          <w:i/>
        </w:rPr>
        <w:t>Gary v. State Bar</w:t>
      </w:r>
      <w:r w:rsidR="00003727">
        <w:rPr>
          <w:i/>
        </w:rPr>
        <w:t>, supra,</w:t>
      </w:r>
      <w:r>
        <w:t xml:space="preserve"> 44 </w:t>
      </w:r>
      <w:proofErr w:type="spellStart"/>
      <w:r>
        <w:t>Cal.3d</w:t>
      </w:r>
      <w:proofErr w:type="spellEnd"/>
      <w:r>
        <w:t xml:space="preserve"> </w:t>
      </w:r>
      <w:r w:rsidR="00003727">
        <w:t xml:space="preserve">at p. </w:t>
      </w:r>
      <w:r>
        <w:t xml:space="preserve">829 [disbarment warranted for “pattern” of misconduct].)  But, these factors are not </w:t>
      </w:r>
      <w:r w:rsidRPr="00400C34">
        <w:rPr>
          <w:i/>
        </w:rPr>
        <w:t>requirements</w:t>
      </w:r>
      <w:r>
        <w:t xml:space="preserve"> for disbarment.  In fact, the Supreme Court has considered factors other than a pattern of misconduct in deciding whether to apply standard 1.7(b).  (See</w:t>
      </w:r>
      <w:r w:rsidR="00003727">
        <w:t>,</w:t>
      </w:r>
      <w:r>
        <w:t xml:space="preserve"> e.g.</w:t>
      </w:r>
      <w:r w:rsidR="00003727">
        <w:t>,</w:t>
      </w:r>
      <w:r>
        <w:t xml:space="preserve"> </w:t>
      </w:r>
      <w:r w:rsidRPr="008B0E7F">
        <w:rPr>
          <w:i/>
        </w:rPr>
        <w:t>Morales v. State Bar</w:t>
      </w:r>
      <w:r>
        <w:t xml:space="preserve"> (1988) 44 </w:t>
      </w:r>
      <w:proofErr w:type="spellStart"/>
      <w:r>
        <w:t>Cal.3d</w:t>
      </w:r>
      <w:proofErr w:type="spellEnd"/>
      <w:r>
        <w:t xml:space="preserve"> 1037, 1048 [std. 1.7(b) applied where no common thread but attorney showed no remorse and no compelling mitigation].)   </w:t>
      </w:r>
    </w:p>
    <w:p w:rsidR="002C3555" w:rsidRDefault="002C3555" w:rsidP="002C3555">
      <w:pPr>
        <w:ind w:firstLine="720"/>
      </w:pPr>
      <w:r>
        <w:lastRenderedPageBreak/>
        <w:t xml:space="preserve">Standard 1.7(b) expressly provides that the critical issue in deciding whether to deviate from the severe sanction of disbarment is </w:t>
      </w:r>
      <w:r w:rsidR="00BC5AA6">
        <w:t>if</w:t>
      </w:r>
      <w:r>
        <w:t xml:space="preserve"> “the most compelling mitigating circumstances clearly predominate.”  (</w:t>
      </w:r>
      <w:r w:rsidRPr="00330727">
        <w:rPr>
          <w:i/>
        </w:rPr>
        <w:t>Barnum v. State Bar</w:t>
      </w:r>
      <w:r>
        <w:t xml:space="preserve"> (1990) 52 </w:t>
      </w:r>
      <w:proofErr w:type="spellStart"/>
      <w:r>
        <w:t>Cal.3d</w:t>
      </w:r>
      <w:proofErr w:type="spellEnd"/>
      <w:r>
        <w:t xml:space="preserve"> 104</w:t>
      </w:r>
      <w:r w:rsidR="00003727">
        <w:t>, 113</w:t>
      </w:r>
      <w:r>
        <w:t xml:space="preserve"> [disbarment under std. 1.7(b) imposed wh</w:t>
      </w:r>
      <w:r w:rsidR="00BC5AA6">
        <w:t>ere no compelling mitigation]; c</w:t>
      </w:r>
      <w:r>
        <w:t xml:space="preserve">ompare, </w:t>
      </w:r>
      <w:r w:rsidRPr="00330727">
        <w:rPr>
          <w:i/>
        </w:rPr>
        <w:t>Arm v. State Bar</w:t>
      </w:r>
      <w:r>
        <w:t xml:space="preserve"> (1990) 50 </w:t>
      </w:r>
      <w:proofErr w:type="spellStart"/>
      <w:r>
        <w:t>Cal.3d</w:t>
      </w:r>
      <w:proofErr w:type="spellEnd"/>
      <w:r>
        <w:t xml:space="preserve"> 763, 778-779, 781 [disbarment under std. 1.7(b) not imposed where compelling mitigation included lack of harm and no bad faith].)  However, even in the absence of compelling mitigation, the Supreme Court has not in every instance ordered disbarment pursuant to </w:t>
      </w:r>
      <w:r w:rsidR="00BC5AA6">
        <w:t xml:space="preserve">section </w:t>
      </w:r>
      <w:r>
        <w:t>1.7(b).  (</w:t>
      </w:r>
      <w:r>
        <w:rPr>
          <w:i/>
        </w:rPr>
        <w:t>Conroy v</w:t>
      </w:r>
      <w:r w:rsidRPr="00A51172">
        <w:t xml:space="preserve">. </w:t>
      </w:r>
      <w:r w:rsidRPr="00A51172">
        <w:rPr>
          <w:i/>
        </w:rPr>
        <w:t>State Bar</w:t>
      </w:r>
      <w:r w:rsidR="00BC5AA6">
        <w:t xml:space="preserve"> (1991) 53 </w:t>
      </w:r>
      <w:proofErr w:type="spellStart"/>
      <w:r w:rsidR="00BC5AA6">
        <w:t>Cal.3d</w:t>
      </w:r>
      <w:proofErr w:type="spellEnd"/>
      <w:r w:rsidR="00BC5AA6">
        <w:t xml:space="preserve"> 495 [one-</w:t>
      </w:r>
      <w:r>
        <w:t xml:space="preserve">year actual suspension </w:t>
      </w:r>
      <w:r w:rsidR="00BC5AA6">
        <w:t xml:space="preserve">despite lack of </w:t>
      </w:r>
      <w:r>
        <w:t>compelling mitigation].)  Ultimately</w:t>
      </w:r>
      <w:r w:rsidR="00BC5AA6">
        <w:t>,</w:t>
      </w:r>
      <w:r>
        <w:t xml:space="preserve"> we are guided by the Supreme Court, which does not apply standard 1.7(b) in a rote fashion.  Rather, we “examine the nature and chronology of respondent’s record of discipline. </w:t>
      </w:r>
      <w:r w:rsidR="00645A92">
        <w:t xml:space="preserve"> </w:t>
      </w:r>
      <w:r>
        <w:t>[Citation.]  Merely declaring that an attorney has [two prior] impositions of discipline</w:t>
      </w:r>
      <w:r w:rsidR="00003727">
        <w:t>,</w:t>
      </w:r>
      <w:r>
        <w:t xml:space="preserve"> without more analysis, may not adequately justify disbarment in every case.”  (</w:t>
      </w:r>
      <w:r>
        <w:rPr>
          <w:i/>
        </w:rPr>
        <w:t xml:space="preserve">In the Matter of </w:t>
      </w:r>
      <w:r w:rsidRPr="006E63C8">
        <w:rPr>
          <w:i/>
        </w:rPr>
        <w:t>Miller</w:t>
      </w:r>
      <w:r w:rsidR="00645A92">
        <w:t xml:space="preserve"> (Review</w:t>
      </w:r>
      <w:r>
        <w:t xml:space="preserve"> Dept. 1990) 1 Cal. State Bar Ct. </w:t>
      </w:r>
      <w:proofErr w:type="spellStart"/>
      <w:r>
        <w:t>Rptr</w:t>
      </w:r>
      <w:proofErr w:type="spellEnd"/>
      <w:r>
        <w:t xml:space="preserve">. 131, 136.)  </w:t>
      </w:r>
    </w:p>
    <w:p w:rsidR="000A21FD" w:rsidRDefault="002C3555" w:rsidP="002A3618">
      <w:pPr>
        <w:ind w:firstLine="720"/>
      </w:pPr>
      <w:r>
        <w:t xml:space="preserve">In considering the facts and circumstances unique to this case, we conclude that disbarment is both warranted and necessary to protect the public, the courts and the profession.  Despite </w:t>
      </w:r>
      <w:proofErr w:type="spellStart"/>
      <w:r>
        <w:t>Borne’s</w:t>
      </w:r>
      <w:proofErr w:type="spellEnd"/>
      <w:r>
        <w:t xml:space="preserve"> evidence of commendable progress toward rehabilitation from alcohol addiction, his mitigation evidence is not compelling nor does it clearly predominate over the strong evidence in aggravation.  Given his extensive experience with the discipline system, Borne should have taken the utmost care in meeting his professional obligations and responding to the State Bar investigator.  Instead, he wrote an excoriating and threatening letter to an incarcerated client while his previous disciplinary matter was still pending in the Supreme Court.  Borne also failed to cooperate with the State Bar investigator even after she warned him of the consequences if he did not respond to her two letters.  “Each of [the prior] disciplinary orders provided him an opportunity to reform his conduct to the ethical strictures of the profession.”  </w:t>
      </w:r>
    </w:p>
    <w:p w:rsidR="002A3618" w:rsidRDefault="002A3618" w:rsidP="002A3618">
      <w:r>
        <w:lastRenderedPageBreak/>
        <w:t>(</w:t>
      </w:r>
      <w:r>
        <w:rPr>
          <w:i/>
        </w:rPr>
        <w:t>Arden v. State Bar</w:t>
      </w:r>
      <w:r>
        <w:t xml:space="preserve"> (1987) 43 </w:t>
      </w:r>
      <w:proofErr w:type="spellStart"/>
      <w:r>
        <w:t>Cal.3d</w:t>
      </w:r>
      <w:proofErr w:type="spellEnd"/>
      <w:r>
        <w:t xml:space="preserve"> 713, 728.)  Unfortunately, </w:t>
      </w:r>
      <w:proofErr w:type="spellStart"/>
      <w:r>
        <w:t>Borne’s</w:t>
      </w:r>
      <w:proofErr w:type="spellEnd"/>
      <w:r>
        <w:t xml:space="preserve"> disciplinary history demonstrates that he “appears unwilling or unable to learn from past professional mistakes.”  (</w:t>
      </w:r>
      <w:r>
        <w:rPr>
          <w:i/>
        </w:rPr>
        <w:t xml:space="preserve">Barnum v. State Bar, supra, </w:t>
      </w:r>
      <w:r>
        <w:t xml:space="preserve">52 </w:t>
      </w:r>
      <w:proofErr w:type="spellStart"/>
      <w:r>
        <w:t>Cal.3d</w:t>
      </w:r>
      <w:proofErr w:type="spellEnd"/>
      <w:r>
        <w:t xml:space="preserve"> at p. 111.)</w:t>
      </w:r>
    </w:p>
    <w:p w:rsidR="002A3618" w:rsidRDefault="002A3618" w:rsidP="002A3618">
      <w:r>
        <w:tab/>
        <w:t xml:space="preserve">Borne contends that a two-year suspension is appropriate, particularly if he is subjected to an evidentiary hearing of his fitness to practice under standard 1.4(c)(ii).  Given his extensive discipline history and his present lack of cooperation, we believe that a reinstatement proceeding after disbarment is the appropriate means for Borne to demonstrate his fitness to practice law.   </w:t>
      </w:r>
    </w:p>
    <w:p w:rsidR="002A3618" w:rsidRPr="00E92FF5" w:rsidRDefault="002A3618" w:rsidP="002A3618">
      <w:pPr>
        <w:jc w:val="center"/>
        <w:rPr>
          <w:b/>
        </w:rPr>
      </w:pPr>
      <w:r w:rsidRPr="00E92FF5">
        <w:rPr>
          <w:b/>
        </w:rPr>
        <w:t>III.  RECOMMENDATION</w:t>
      </w:r>
    </w:p>
    <w:p w:rsidR="002A3618" w:rsidRDefault="002A3618" w:rsidP="002A3618">
      <w:r>
        <w:tab/>
      </w:r>
      <w:r w:rsidRPr="00DB1EEF">
        <w:t xml:space="preserve">We recommend that </w:t>
      </w:r>
      <w:r>
        <w:t>Edgar Louis Borne III, State Bar number 87315</w:t>
      </w:r>
      <w:r w:rsidRPr="00DB1EEF">
        <w:t xml:space="preserve">, be disbarred from the practice of law in California and that his name be stricken from the roll of attorneys licensed to practice.  </w:t>
      </w:r>
    </w:p>
    <w:p w:rsidR="002A3618" w:rsidRDefault="002A3618" w:rsidP="002A3618">
      <w:pPr>
        <w:ind w:firstLine="720"/>
      </w:pPr>
      <w:r w:rsidRPr="00DB1EEF">
        <w:t>We further recommend that he be ordered to comply with the provisions of California Rules of Court, rule 9.20 and</w:t>
      </w:r>
      <w:r>
        <w:t xml:space="preserve"> to</w:t>
      </w:r>
      <w:r w:rsidRPr="00DB1EEF">
        <w:t xml:space="preserve"> perform the acts specified in subdivisions (a) and (c) of that rule within 30 and 40 days, respectively, after the effective date of the Supreme Court’s order in this matter.  </w:t>
      </w:r>
    </w:p>
    <w:p w:rsidR="002A3618" w:rsidRDefault="002A3618" w:rsidP="002A3618">
      <w:pPr>
        <w:ind w:firstLine="720"/>
      </w:pPr>
      <w:r w:rsidRPr="00DB1EEF">
        <w:t>We further recommend that the State Bar be awarded costs in accordance with section 6086.10, which are enforceable both as provided in section 6140.7 and as a money judgment</w:t>
      </w:r>
      <w:r>
        <w:t>.</w:t>
      </w:r>
    </w:p>
    <w:p w:rsidR="002A3618" w:rsidRPr="00D056FA" w:rsidRDefault="002A3618" w:rsidP="002A3618">
      <w:pPr>
        <w:jc w:val="center"/>
        <w:rPr>
          <w:b/>
        </w:rPr>
      </w:pPr>
      <w:r>
        <w:rPr>
          <w:b/>
        </w:rPr>
        <w:t>IV.  ORDER</w:t>
      </w:r>
    </w:p>
    <w:p w:rsidR="002A3618" w:rsidRDefault="002A3618" w:rsidP="002A3618">
      <w:r>
        <w:tab/>
        <w:t xml:space="preserve">The order of the hearing judge below that Edgar Louis Borne III be enrolled as an inactive member of the State Bar pursuant to Business and Professions Code section 6007, </w:t>
      </w:r>
    </w:p>
    <w:p w:rsidR="002A3618" w:rsidRDefault="002A3618" w:rsidP="002A3618"/>
    <w:p w:rsidR="002A3618" w:rsidRDefault="002A3618" w:rsidP="002A3618"/>
    <w:p w:rsidR="002A3618" w:rsidRDefault="002A3618" w:rsidP="002A3618"/>
    <w:p w:rsidR="002A3618" w:rsidRDefault="002A3618" w:rsidP="002A3618">
      <w:r>
        <w:lastRenderedPageBreak/>
        <w:t>subdivision (c)(4), shall continue in effect pending the consideration and decision of the Supreme Court on this recommendation.</w:t>
      </w:r>
    </w:p>
    <w:p w:rsidR="002A3618" w:rsidRDefault="002A3618" w:rsidP="002A3618"/>
    <w:p w:rsidR="002A3618" w:rsidRDefault="002A3618" w:rsidP="002A3618">
      <w:r>
        <w:tab/>
      </w:r>
      <w:r>
        <w:tab/>
      </w:r>
      <w:r>
        <w:tab/>
      </w:r>
      <w:r>
        <w:tab/>
      </w:r>
      <w:r>
        <w:tab/>
      </w:r>
      <w:r>
        <w:tab/>
      </w:r>
      <w:r>
        <w:tab/>
        <w:t>EPSTEIN, J.</w:t>
      </w:r>
    </w:p>
    <w:p w:rsidR="002A3618" w:rsidRDefault="002A3618" w:rsidP="002A3618">
      <w:r>
        <w:t>We concur:</w:t>
      </w:r>
    </w:p>
    <w:p w:rsidR="002A3618" w:rsidRDefault="002A3618" w:rsidP="002A3618">
      <w:r>
        <w:t>REMKE, P. J.</w:t>
      </w:r>
    </w:p>
    <w:p w:rsidR="002A3618" w:rsidRDefault="002A3618" w:rsidP="002A3618">
      <w:r>
        <w:t>PURCELL, J.</w:t>
      </w:r>
    </w:p>
    <w:p w:rsidR="00123C10" w:rsidRPr="008A154E" w:rsidRDefault="00123C10" w:rsidP="00522D60">
      <w:pPr>
        <w:tabs>
          <w:tab w:val="left" w:pos="720"/>
        </w:tabs>
      </w:pPr>
    </w:p>
    <w:sectPr w:rsidR="00123C10" w:rsidRPr="008A154E" w:rsidSect="008B2C8C">
      <w:footerReference w:type="default" r:id="rId8"/>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FA9" w:rsidRDefault="004F6FA9" w:rsidP="00783AF1">
      <w:pPr>
        <w:spacing w:line="240" w:lineRule="auto"/>
      </w:pPr>
      <w:r>
        <w:separator/>
      </w:r>
    </w:p>
  </w:endnote>
  <w:endnote w:type="continuationSeparator" w:id="0">
    <w:p w:rsidR="004F6FA9" w:rsidRDefault="004F6FA9" w:rsidP="00783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A9" w:rsidRDefault="004F6FA9" w:rsidP="00783AF1">
    <w:pPr>
      <w:pStyle w:val="Footer"/>
      <w:spacing w:before="120" w:line="240" w:lineRule="auto"/>
      <w:jc w:val="center"/>
    </w:pPr>
    <w:r>
      <w:t>-</w:t>
    </w:r>
    <w:fldSimple w:instr=" PAGE   \* MERGEFORMAT ">
      <w:r w:rsidR="00A47402">
        <w:rPr>
          <w:noProof/>
        </w:rPr>
        <w:t>16</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FA9" w:rsidRDefault="004F6FA9" w:rsidP="00783AF1">
      <w:pPr>
        <w:spacing w:line="240" w:lineRule="auto"/>
      </w:pPr>
      <w:r>
        <w:separator/>
      </w:r>
    </w:p>
  </w:footnote>
  <w:footnote w:type="continuationSeparator" w:id="0">
    <w:p w:rsidR="004F6FA9" w:rsidRDefault="004F6FA9" w:rsidP="00783AF1">
      <w:pPr>
        <w:spacing w:line="240" w:lineRule="auto"/>
      </w:pPr>
      <w:r>
        <w:continuationSeparator/>
      </w:r>
    </w:p>
  </w:footnote>
  <w:footnote w:type="continuationNotice" w:id="1">
    <w:p w:rsidR="004F6FA9" w:rsidRDefault="004F6FA9">
      <w:pPr>
        <w:spacing w:line="240" w:lineRule="auto"/>
      </w:pPr>
    </w:p>
  </w:footnote>
  <w:footnote w:id="2">
    <w:p w:rsidR="004F6FA9" w:rsidRDefault="004F6FA9" w:rsidP="008B2C8C">
      <w:pPr>
        <w:pStyle w:val="FootnoteText"/>
        <w:spacing w:after="120"/>
      </w:pPr>
      <w:r>
        <w:rPr>
          <w:rStyle w:val="FootnoteReference"/>
        </w:rPr>
        <w:footnoteRef/>
      </w:r>
      <w:r>
        <w:t xml:space="preserve">Unless otherwise noted, all further references to “standard(s)” are to </w:t>
      </w:r>
      <w:r w:rsidRPr="00CB6E0B">
        <w:t>the Rules of Procedure of the State Bar, title IV, Standards for Attorney Sanctions for Professional Misconduct.</w:t>
      </w:r>
    </w:p>
  </w:footnote>
  <w:footnote w:id="3">
    <w:p w:rsidR="004F6FA9" w:rsidRDefault="004F6FA9">
      <w:pPr>
        <w:pStyle w:val="FootnoteText"/>
      </w:pPr>
      <w:r>
        <w:rPr>
          <w:rStyle w:val="FootnoteReference"/>
        </w:rPr>
        <w:footnoteRef/>
      </w:r>
      <w:r w:rsidRPr="00DF065D">
        <w:t>The procedural history in this case spans five years and illustrates an unfortunate inefficiency in the State Bar discipline system.  Case numbers 04-O-</w:t>
      </w:r>
      <w:r>
        <w:t>14219</w:t>
      </w:r>
      <w:r w:rsidRPr="00DF065D">
        <w:t xml:space="preserve"> and 04-O-11970 were commenced in May and Ju</w:t>
      </w:r>
      <w:r>
        <w:t>ly</w:t>
      </w:r>
      <w:r w:rsidRPr="00DF065D">
        <w:t xml:space="preserve">, respectively, of 2005.  Borne filed his responses to the </w:t>
      </w:r>
      <w:proofErr w:type="spellStart"/>
      <w:r w:rsidRPr="00DF065D">
        <w:t>NDCs</w:t>
      </w:r>
      <w:proofErr w:type="spellEnd"/>
      <w:r w:rsidRPr="00DF065D">
        <w:t xml:space="preserve"> in June and August of 2005, and the matters were consolidated.  Three years later, on October 15, 2008, the parties filed a Joint Stipulation of Facts.  Trial began on October 22 and 23, 2008, but was continued for five months, concluding on March 27, 2009.  The parties then filed </w:t>
      </w:r>
      <w:proofErr w:type="spellStart"/>
      <w:r w:rsidRPr="00DF065D">
        <w:t>posttrial</w:t>
      </w:r>
      <w:proofErr w:type="spellEnd"/>
      <w:r w:rsidRPr="00DF065D">
        <w:t xml:space="preserve"> briefs on April 20 and April 23, 2009.  The hearing judge filed his decision on September 9, 2009, and Borne filed his request for review in October 2009.</w:t>
      </w:r>
    </w:p>
  </w:footnote>
  <w:footnote w:id="4">
    <w:p w:rsidR="004F6FA9" w:rsidRDefault="004F6FA9" w:rsidP="008B2C8C">
      <w:pPr>
        <w:pStyle w:val="FootnoteText"/>
        <w:spacing w:after="120"/>
      </w:pPr>
      <w:r>
        <w:rPr>
          <w:rStyle w:val="FootnoteReference"/>
        </w:rPr>
        <w:footnoteRef/>
      </w:r>
      <w:r>
        <w:t xml:space="preserve">At trial, Borne submitted a timesheet that he reconstructed from Wanda’s file, showing $7,075 in legal services rendered between September 2003 and March 2004.  </w:t>
      </w:r>
    </w:p>
  </w:footnote>
  <w:footnote w:id="5">
    <w:p w:rsidR="004F6FA9" w:rsidRDefault="004F6FA9" w:rsidP="008B2C8C">
      <w:pPr>
        <w:pStyle w:val="FootnoteText"/>
      </w:pPr>
      <w:r>
        <w:rPr>
          <w:rStyle w:val="FootnoteReference"/>
        </w:rPr>
        <w:footnoteRef/>
      </w:r>
      <w:r w:rsidRPr="00BC7192">
        <w:t>Unless otherwise noted, all further references to “rule</w:t>
      </w:r>
      <w:r>
        <w:t>(</w:t>
      </w:r>
      <w:r w:rsidRPr="00BC7192">
        <w:t>s</w:t>
      </w:r>
      <w:r>
        <w:t>)</w:t>
      </w:r>
      <w:r w:rsidRPr="00BC7192">
        <w:t>” are to th</w:t>
      </w:r>
      <w:r>
        <w:t>e Rules of Professional Conduct.</w:t>
      </w:r>
    </w:p>
  </w:footnote>
  <w:footnote w:id="6">
    <w:p w:rsidR="004F6FA9" w:rsidRDefault="004F6FA9" w:rsidP="008B2C8C">
      <w:pPr>
        <w:pStyle w:val="FootnoteText"/>
      </w:pPr>
      <w:r>
        <w:rPr>
          <w:rStyle w:val="FootnoteReference"/>
        </w:rPr>
        <w:footnoteRef/>
      </w:r>
      <w:r w:rsidRPr="00BC7192">
        <w:t>Unless otherwise noted, all further references to “section(s)” are to the Business and Professions Code.</w:t>
      </w:r>
    </w:p>
  </w:footnote>
  <w:footnote w:id="7">
    <w:p w:rsidR="004F6FA9" w:rsidRDefault="004F6FA9" w:rsidP="008B2C8C">
      <w:pPr>
        <w:pStyle w:val="FootnoteText"/>
      </w:pPr>
      <w:r>
        <w:rPr>
          <w:rStyle w:val="FootnoteReference"/>
        </w:rPr>
        <w:footnoteRef/>
      </w:r>
      <w:r>
        <w:t xml:space="preserve">Borne claims that he did in fact send a responsive letter to the investigator, but he could not produce it at trial and the State Bar had no record of it.  </w:t>
      </w:r>
    </w:p>
  </w:footnote>
  <w:footnote w:id="8">
    <w:p w:rsidR="004F6FA9" w:rsidRDefault="004F6FA9" w:rsidP="008B2C8C">
      <w:pPr>
        <w:pStyle w:val="FootnoteText"/>
      </w:pPr>
      <w:r>
        <w:rPr>
          <w:rStyle w:val="FootnoteReference"/>
        </w:rPr>
        <w:footnoteRef/>
      </w:r>
      <w:r>
        <w:t xml:space="preserve">On October 23, 2008, the hearing judge continued the trial until March 27, 2009.  On February 23, 2009,  Borne filed a Motion to Augment or Amend his Expert Witness List so that he could call Dr. Richard </w:t>
      </w:r>
      <w:proofErr w:type="spellStart"/>
      <w:r>
        <w:t>Sandor</w:t>
      </w:r>
      <w:proofErr w:type="spellEnd"/>
      <w:r>
        <w:t xml:space="preserve"> as an expert.  The State Bar opposed the motion on the grounds that</w:t>
      </w:r>
      <w:r w:rsidRPr="00135B7F">
        <w:t xml:space="preserve"> </w:t>
      </w:r>
      <w:proofErr w:type="spellStart"/>
      <w:r>
        <w:t>Sandor</w:t>
      </w:r>
      <w:proofErr w:type="spellEnd"/>
      <w:r>
        <w:t xml:space="preserve"> had not been identified as a witness in </w:t>
      </w:r>
      <w:proofErr w:type="spellStart"/>
      <w:r>
        <w:t>Borne’s</w:t>
      </w:r>
      <w:proofErr w:type="spellEnd"/>
      <w:r>
        <w:t xml:space="preserve"> Pretrial Statement in accordance with rule 1223(g) of the Rules of Practice of the State Bar Court.  The State Bar further opposed the Motion to Augment because Borne did not provide it with a description of the substance of Dr. </w:t>
      </w:r>
      <w:proofErr w:type="spellStart"/>
      <w:r>
        <w:t>Sandor’s</w:t>
      </w:r>
      <w:proofErr w:type="spellEnd"/>
      <w:r>
        <w:t xml:space="preserve"> testimony or with any written reports prepared by Dr. </w:t>
      </w:r>
      <w:proofErr w:type="spellStart"/>
      <w:r>
        <w:t>Sandor</w:t>
      </w:r>
      <w:proofErr w:type="spellEnd"/>
      <w:r>
        <w:t xml:space="preserve">, which the State Bar had requested.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E39"/>
    <w:multiLevelType w:val="hybridMultilevel"/>
    <w:tmpl w:val="34040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04639"/>
    <w:multiLevelType w:val="hybridMultilevel"/>
    <w:tmpl w:val="54A4950C"/>
    <w:lvl w:ilvl="0" w:tplc="0C961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F64CB"/>
    <w:multiLevelType w:val="hybridMultilevel"/>
    <w:tmpl w:val="9E20B1B8"/>
    <w:lvl w:ilvl="0" w:tplc="4F1408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43D0D"/>
    <w:multiLevelType w:val="hybridMultilevel"/>
    <w:tmpl w:val="96D02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D26D74"/>
    <w:multiLevelType w:val="hybridMultilevel"/>
    <w:tmpl w:val="7CBCB642"/>
    <w:lvl w:ilvl="0" w:tplc="EA2AE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660299"/>
    <w:multiLevelType w:val="hybridMultilevel"/>
    <w:tmpl w:val="D7068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 w:id="1"/>
  </w:footnotePr>
  <w:endnotePr>
    <w:endnote w:id="-1"/>
    <w:endnote w:id="0"/>
  </w:endnotePr>
  <w:compat/>
  <w:rsids>
    <w:rsidRoot w:val="0027088A"/>
    <w:rsid w:val="00000176"/>
    <w:rsid w:val="00000F5A"/>
    <w:rsid w:val="00001B48"/>
    <w:rsid w:val="00003727"/>
    <w:rsid w:val="000111C6"/>
    <w:rsid w:val="00012DCB"/>
    <w:rsid w:val="00015E9D"/>
    <w:rsid w:val="00017727"/>
    <w:rsid w:val="0002372E"/>
    <w:rsid w:val="00032DB5"/>
    <w:rsid w:val="00033398"/>
    <w:rsid w:val="000367FE"/>
    <w:rsid w:val="00055A55"/>
    <w:rsid w:val="000619DF"/>
    <w:rsid w:val="00063BDB"/>
    <w:rsid w:val="00067A99"/>
    <w:rsid w:val="000728EF"/>
    <w:rsid w:val="00072950"/>
    <w:rsid w:val="00076FB6"/>
    <w:rsid w:val="00081F6A"/>
    <w:rsid w:val="0008298D"/>
    <w:rsid w:val="0008529F"/>
    <w:rsid w:val="00090BB9"/>
    <w:rsid w:val="00094E89"/>
    <w:rsid w:val="00095324"/>
    <w:rsid w:val="000A0D89"/>
    <w:rsid w:val="000A21FD"/>
    <w:rsid w:val="000A3B5B"/>
    <w:rsid w:val="000A5D05"/>
    <w:rsid w:val="000A7039"/>
    <w:rsid w:val="000A7D70"/>
    <w:rsid w:val="000B45F1"/>
    <w:rsid w:val="000B79EB"/>
    <w:rsid w:val="000C0B37"/>
    <w:rsid w:val="000C2748"/>
    <w:rsid w:val="000C427E"/>
    <w:rsid w:val="000C6D46"/>
    <w:rsid w:val="000D3BEB"/>
    <w:rsid w:val="000D4596"/>
    <w:rsid w:val="000D5096"/>
    <w:rsid w:val="000D6165"/>
    <w:rsid w:val="000E4D6F"/>
    <w:rsid w:val="000F0F74"/>
    <w:rsid w:val="000F18F8"/>
    <w:rsid w:val="000F3FAF"/>
    <w:rsid w:val="000F673D"/>
    <w:rsid w:val="001013D0"/>
    <w:rsid w:val="00101911"/>
    <w:rsid w:val="00102B15"/>
    <w:rsid w:val="00102C3D"/>
    <w:rsid w:val="00106A7F"/>
    <w:rsid w:val="00107F23"/>
    <w:rsid w:val="00111258"/>
    <w:rsid w:val="001129C1"/>
    <w:rsid w:val="00114EA1"/>
    <w:rsid w:val="00116B84"/>
    <w:rsid w:val="001203F8"/>
    <w:rsid w:val="00122CC7"/>
    <w:rsid w:val="00123C10"/>
    <w:rsid w:val="00123C69"/>
    <w:rsid w:val="00123E06"/>
    <w:rsid w:val="00126A30"/>
    <w:rsid w:val="00127B24"/>
    <w:rsid w:val="00135947"/>
    <w:rsid w:val="00135B7F"/>
    <w:rsid w:val="00142ADD"/>
    <w:rsid w:val="001450CE"/>
    <w:rsid w:val="0014665A"/>
    <w:rsid w:val="0015083B"/>
    <w:rsid w:val="001525B3"/>
    <w:rsid w:val="001530FB"/>
    <w:rsid w:val="00153709"/>
    <w:rsid w:val="00153988"/>
    <w:rsid w:val="0015693F"/>
    <w:rsid w:val="00156F3D"/>
    <w:rsid w:val="00164B73"/>
    <w:rsid w:val="00167857"/>
    <w:rsid w:val="0017083A"/>
    <w:rsid w:val="00171481"/>
    <w:rsid w:val="00173274"/>
    <w:rsid w:val="00175263"/>
    <w:rsid w:val="001754AB"/>
    <w:rsid w:val="00183794"/>
    <w:rsid w:val="001857E5"/>
    <w:rsid w:val="00185B5B"/>
    <w:rsid w:val="0018618C"/>
    <w:rsid w:val="00186F24"/>
    <w:rsid w:val="0018793E"/>
    <w:rsid w:val="001957AF"/>
    <w:rsid w:val="00196133"/>
    <w:rsid w:val="00196287"/>
    <w:rsid w:val="001A5214"/>
    <w:rsid w:val="001A588B"/>
    <w:rsid w:val="001A68FF"/>
    <w:rsid w:val="001B0003"/>
    <w:rsid w:val="001B2775"/>
    <w:rsid w:val="001B2B11"/>
    <w:rsid w:val="001B3BA6"/>
    <w:rsid w:val="001C170A"/>
    <w:rsid w:val="001C5319"/>
    <w:rsid w:val="001D5BEC"/>
    <w:rsid w:val="001D6733"/>
    <w:rsid w:val="001D6880"/>
    <w:rsid w:val="001D6B5F"/>
    <w:rsid w:val="001E0EDA"/>
    <w:rsid w:val="001E5A99"/>
    <w:rsid w:val="001F02C0"/>
    <w:rsid w:val="001F4481"/>
    <w:rsid w:val="001F45C0"/>
    <w:rsid w:val="001F6AC7"/>
    <w:rsid w:val="00200B0B"/>
    <w:rsid w:val="002047E4"/>
    <w:rsid w:val="00205C60"/>
    <w:rsid w:val="002078A0"/>
    <w:rsid w:val="00207FCE"/>
    <w:rsid w:val="002104B9"/>
    <w:rsid w:val="002166D4"/>
    <w:rsid w:val="0021767B"/>
    <w:rsid w:val="00224D81"/>
    <w:rsid w:val="00226FED"/>
    <w:rsid w:val="0022741D"/>
    <w:rsid w:val="00234258"/>
    <w:rsid w:val="00241B48"/>
    <w:rsid w:val="00242A71"/>
    <w:rsid w:val="00242E93"/>
    <w:rsid w:val="00247AF0"/>
    <w:rsid w:val="002539EC"/>
    <w:rsid w:val="00256CA5"/>
    <w:rsid w:val="0025722A"/>
    <w:rsid w:val="00261651"/>
    <w:rsid w:val="002642F7"/>
    <w:rsid w:val="00267B00"/>
    <w:rsid w:val="0027088A"/>
    <w:rsid w:val="00270FFD"/>
    <w:rsid w:val="00274FBA"/>
    <w:rsid w:val="00282068"/>
    <w:rsid w:val="00283B9C"/>
    <w:rsid w:val="0029641D"/>
    <w:rsid w:val="00297287"/>
    <w:rsid w:val="002A173B"/>
    <w:rsid w:val="002A25D7"/>
    <w:rsid w:val="002A267C"/>
    <w:rsid w:val="002A3618"/>
    <w:rsid w:val="002A3756"/>
    <w:rsid w:val="002A388F"/>
    <w:rsid w:val="002A67B5"/>
    <w:rsid w:val="002A6EBE"/>
    <w:rsid w:val="002B1A39"/>
    <w:rsid w:val="002B1B57"/>
    <w:rsid w:val="002B2488"/>
    <w:rsid w:val="002B48FB"/>
    <w:rsid w:val="002B79A7"/>
    <w:rsid w:val="002C3555"/>
    <w:rsid w:val="002C3942"/>
    <w:rsid w:val="002C3DC9"/>
    <w:rsid w:val="002C7E40"/>
    <w:rsid w:val="002D2256"/>
    <w:rsid w:val="002D4C50"/>
    <w:rsid w:val="002D6663"/>
    <w:rsid w:val="002D798B"/>
    <w:rsid w:val="002E3918"/>
    <w:rsid w:val="002E55D3"/>
    <w:rsid w:val="002E5921"/>
    <w:rsid w:val="002E7623"/>
    <w:rsid w:val="002F0453"/>
    <w:rsid w:val="002F08F9"/>
    <w:rsid w:val="002F2948"/>
    <w:rsid w:val="002F3535"/>
    <w:rsid w:val="002F35AE"/>
    <w:rsid w:val="002F588F"/>
    <w:rsid w:val="002F70A6"/>
    <w:rsid w:val="002F73BB"/>
    <w:rsid w:val="00302861"/>
    <w:rsid w:val="003046EE"/>
    <w:rsid w:val="0030492B"/>
    <w:rsid w:val="0031343A"/>
    <w:rsid w:val="00314A2A"/>
    <w:rsid w:val="0031794E"/>
    <w:rsid w:val="00321E43"/>
    <w:rsid w:val="00325F07"/>
    <w:rsid w:val="0032641F"/>
    <w:rsid w:val="00327059"/>
    <w:rsid w:val="00334DA4"/>
    <w:rsid w:val="003423F2"/>
    <w:rsid w:val="00345265"/>
    <w:rsid w:val="00347170"/>
    <w:rsid w:val="003511AF"/>
    <w:rsid w:val="003574EE"/>
    <w:rsid w:val="0035786F"/>
    <w:rsid w:val="00357B2B"/>
    <w:rsid w:val="003614A0"/>
    <w:rsid w:val="0036338B"/>
    <w:rsid w:val="00363A46"/>
    <w:rsid w:val="00365EE1"/>
    <w:rsid w:val="00372C84"/>
    <w:rsid w:val="003739BD"/>
    <w:rsid w:val="00374F5D"/>
    <w:rsid w:val="00377933"/>
    <w:rsid w:val="00380954"/>
    <w:rsid w:val="0038366E"/>
    <w:rsid w:val="00383F4E"/>
    <w:rsid w:val="00390F1F"/>
    <w:rsid w:val="00391047"/>
    <w:rsid w:val="00393174"/>
    <w:rsid w:val="00393577"/>
    <w:rsid w:val="003A1264"/>
    <w:rsid w:val="003B46EE"/>
    <w:rsid w:val="003B6F55"/>
    <w:rsid w:val="003B7A83"/>
    <w:rsid w:val="003C1054"/>
    <w:rsid w:val="003C181E"/>
    <w:rsid w:val="003C2364"/>
    <w:rsid w:val="003C36B2"/>
    <w:rsid w:val="003C71F4"/>
    <w:rsid w:val="003D1580"/>
    <w:rsid w:val="003D4F6E"/>
    <w:rsid w:val="003D5174"/>
    <w:rsid w:val="003E2BBB"/>
    <w:rsid w:val="003E3815"/>
    <w:rsid w:val="003E4315"/>
    <w:rsid w:val="003E75FE"/>
    <w:rsid w:val="003F5A49"/>
    <w:rsid w:val="00403EF4"/>
    <w:rsid w:val="00404CB9"/>
    <w:rsid w:val="0041227E"/>
    <w:rsid w:val="00425299"/>
    <w:rsid w:val="004262D5"/>
    <w:rsid w:val="00427E13"/>
    <w:rsid w:val="004309D8"/>
    <w:rsid w:val="004310E7"/>
    <w:rsid w:val="00433D8C"/>
    <w:rsid w:val="0043575B"/>
    <w:rsid w:val="00441428"/>
    <w:rsid w:val="004440BA"/>
    <w:rsid w:val="00446DC7"/>
    <w:rsid w:val="0045079F"/>
    <w:rsid w:val="00455DAA"/>
    <w:rsid w:val="0045690B"/>
    <w:rsid w:val="00456B3F"/>
    <w:rsid w:val="004611CA"/>
    <w:rsid w:val="00462851"/>
    <w:rsid w:val="00462C08"/>
    <w:rsid w:val="0046482E"/>
    <w:rsid w:val="00465FDF"/>
    <w:rsid w:val="00483F3A"/>
    <w:rsid w:val="00490007"/>
    <w:rsid w:val="004927C6"/>
    <w:rsid w:val="004941C9"/>
    <w:rsid w:val="00495595"/>
    <w:rsid w:val="00497A94"/>
    <w:rsid w:val="004A5C55"/>
    <w:rsid w:val="004A7992"/>
    <w:rsid w:val="004B58A7"/>
    <w:rsid w:val="004C405B"/>
    <w:rsid w:val="004C6248"/>
    <w:rsid w:val="004D25C9"/>
    <w:rsid w:val="004D4245"/>
    <w:rsid w:val="004D4D70"/>
    <w:rsid w:val="004E50C2"/>
    <w:rsid w:val="004E7234"/>
    <w:rsid w:val="004F13F1"/>
    <w:rsid w:val="004F6359"/>
    <w:rsid w:val="004F6391"/>
    <w:rsid w:val="004F6913"/>
    <w:rsid w:val="004F6FA9"/>
    <w:rsid w:val="005006F4"/>
    <w:rsid w:val="005038C3"/>
    <w:rsid w:val="00505128"/>
    <w:rsid w:val="005070DC"/>
    <w:rsid w:val="00510A51"/>
    <w:rsid w:val="00513391"/>
    <w:rsid w:val="005212E3"/>
    <w:rsid w:val="00522D60"/>
    <w:rsid w:val="0052302C"/>
    <w:rsid w:val="00523B5C"/>
    <w:rsid w:val="005264F8"/>
    <w:rsid w:val="00532E2A"/>
    <w:rsid w:val="00534B85"/>
    <w:rsid w:val="00535167"/>
    <w:rsid w:val="00540265"/>
    <w:rsid w:val="00540C2F"/>
    <w:rsid w:val="00554014"/>
    <w:rsid w:val="00562A3B"/>
    <w:rsid w:val="00567936"/>
    <w:rsid w:val="00573130"/>
    <w:rsid w:val="0057449C"/>
    <w:rsid w:val="005770F3"/>
    <w:rsid w:val="00577DDB"/>
    <w:rsid w:val="005802B3"/>
    <w:rsid w:val="00584460"/>
    <w:rsid w:val="00587FC9"/>
    <w:rsid w:val="00593727"/>
    <w:rsid w:val="005956F9"/>
    <w:rsid w:val="005B0159"/>
    <w:rsid w:val="005B02ED"/>
    <w:rsid w:val="005B3E0A"/>
    <w:rsid w:val="005B4377"/>
    <w:rsid w:val="005B731C"/>
    <w:rsid w:val="005B785F"/>
    <w:rsid w:val="005C01BF"/>
    <w:rsid w:val="005C39FC"/>
    <w:rsid w:val="005C4FDF"/>
    <w:rsid w:val="005C50D9"/>
    <w:rsid w:val="005C5AE7"/>
    <w:rsid w:val="005D77D6"/>
    <w:rsid w:val="005E2351"/>
    <w:rsid w:val="005E59C6"/>
    <w:rsid w:val="005F1A52"/>
    <w:rsid w:val="005F1A58"/>
    <w:rsid w:val="005F1DA2"/>
    <w:rsid w:val="005F34BD"/>
    <w:rsid w:val="005F3D0E"/>
    <w:rsid w:val="005F3F5A"/>
    <w:rsid w:val="005F6E10"/>
    <w:rsid w:val="005F77E7"/>
    <w:rsid w:val="00614A9E"/>
    <w:rsid w:val="00614F56"/>
    <w:rsid w:val="006152E2"/>
    <w:rsid w:val="00615BF9"/>
    <w:rsid w:val="00620DCC"/>
    <w:rsid w:val="006307C0"/>
    <w:rsid w:val="00630DF3"/>
    <w:rsid w:val="006328F3"/>
    <w:rsid w:val="00634E20"/>
    <w:rsid w:val="00636765"/>
    <w:rsid w:val="00636F4B"/>
    <w:rsid w:val="00637340"/>
    <w:rsid w:val="006437AF"/>
    <w:rsid w:val="006447D4"/>
    <w:rsid w:val="00645A92"/>
    <w:rsid w:val="006524FB"/>
    <w:rsid w:val="00657E04"/>
    <w:rsid w:val="006600A3"/>
    <w:rsid w:val="00663970"/>
    <w:rsid w:val="00667026"/>
    <w:rsid w:val="00673F26"/>
    <w:rsid w:val="00674561"/>
    <w:rsid w:val="0067575E"/>
    <w:rsid w:val="0068263D"/>
    <w:rsid w:val="0068767E"/>
    <w:rsid w:val="00691D9B"/>
    <w:rsid w:val="006935D4"/>
    <w:rsid w:val="006A51A2"/>
    <w:rsid w:val="006B311F"/>
    <w:rsid w:val="006B474E"/>
    <w:rsid w:val="006B67B2"/>
    <w:rsid w:val="006C296F"/>
    <w:rsid w:val="006C3E01"/>
    <w:rsid w:val="006C7A40"/>
    <w:rsid w:val="006D0F79"/>
    <w:rsid w:val="006D255D"/>
    <w:rsid w:val="006D2897"/>
    <w:rsid w:val="006D4A26"/>
    <w:rsid w:val="006E0DD5"/>
    <w:rsid w:val="006E2673"/>
    <w:rsid w:val="006E34A3"/>
    <w:rsid w:val="006E3AEF"/>
    <w:rsid w:val="007054AB"/>
    <w:rsid w:val="007131BA"/>
    <w:rsid w:val="00717392"/>
    <w:rsid w:val="00725872"/>
    <w:rsid w:val="00726078"/>
    <w:rsid w:val="00726D60"/>
    <w:rsid w:val="00726E56"/>
    <w:rsid w:val="00734248"/>
    <w:rsid w:val="00734E57"/>
    <w:rsid w:val="00736C08"/>
    <w:rsid w:val="007406CE"/>
    <w:rsid w:val="00745439"/>
    <w:rsid w:val="0075141D"/>
    <w:rsid w:val="00751692"/>
    <w:rsid w:val="00751B1E"/>
    <w:rsid w:val="00752D5F"/>
    <w:rsid w:val="00753956"/>
    <w:rsid w:val="0075432A"/>
    <w:rsid w:val="00755DE5"/>
    <w:rsid w:val="00756566"/>
    <w:rsid w:val="007571CB"/>
    <w:rsid w:val="007623D7"/>
    <w:rsid w:val="00762D35"/>
    <w:rsid w:val="00770BDD"/>
    <w:rsid w:val="00773C35"/>
    <w:rsid w:val="00774B59"/>
    <w:rsid w:val="007768C9"/>
    <w:rsid w:val="00776B4C"/>
    <w:rsid w:val="00782BFA"/>
    <w:rsid w:val="00783140"/>
    <w:rsid w:val="00783AF1"/>
    <w:rsid w:val="00785AF4"/>
    <w:rsid w:val="00786610"/>
    <w:rsid w:val="0079618D"/>
    <w:rsid w:val="007A359C"/>
    <w:rsid w:val="007B2505"/>
    <w:rsid w:val="007B4C4A"/>
    <w:rsid w:val="007B69EB"/>
    <w:rsid w:val="007C6B43"/>
    <w:rsid w:val="007C6D8C"/>
    <w:rsid w:val="007D4318"/>
    <w:rsid w:val="007D73F5"/>
    <w:rsid w:val="007E49F3"/>
    <w:rsid w:val="007F247F"/>
    <w:rsid w:val="007F43D7"/>
    <w:rsid w:val="007F537A"/>
    <w:rsid w:val="0080100A"/>
    <w:rsid w:val="008013A3"/>
    <w:rsid w:val="008017FC"/>
    <w:rsid w:val="00802874"/>
    <w:rsid w:val="00802B89"/>
    <w:rsid w:val="00805BFD"/>
    <w:rsid w:val="00814DC1"/>
    <w:rsid w:val="008156A1"/>
    <w:rsid w:val="00816AB1"/>
    <w:rsid w:val="00816E13"/>
    <w:rsid w:val="008231F1"/>
    <w:rsid w:val="00833885"/>
    <w:rsid w:val="00834310"/>
    <w:rsid w:val="00834750"/>
    <w:rsid w:val="00835F54"/>
    <w:rsid w:val="0083612B"/>
    <w:rsid w:val="0083641D"/>
    <w:rsid w:val="00840DFE"/>
    <w:rsid w:val="008468F4"/>
    <w:rsid w:val="00850E91"/>
    <w:rsid w:val="00852137"/>
    <w:rsid w:val="00856C49"/>
    <w:rsid w:val="00857984"/>
    <w:rsid w:val="0086219D"/>
    <w:rsid w:val="00863E3C"/>
    <w:rsid w:val="00864855"/>
    <w:rsid w:val="008666A2"/>
    <w:rsid w:val="008669FF"/>
    <w:rsid w:val="00871A55"/>
    <w:rsid w:val="00872D40"/>
    <w:rsid w:val="00875A2E"/>
    <w:rsid w:val="00883626"/>
    <w:rsid w:val="00883EB9"/>
    <w:rsid w:val="00884961"/>
    <w:rsid w:val="00886FA7"/>
    <w:rsid w:val="008905C0"/>
    <w:rsid w:val="00890AAE"/>
    <w:rsid w:val="0089191F"/>
    <w:rsid w:val="008930EE"/>
    <w:rsid w:val="00894329"/>
    <w:rsid w:val="00895473"/>
    <w:rsid w:val="008A0BEA"/>
    <w:rsid w:val="008A154E"/>
    <w:rsid w:val="008A3327"/>
    <w:rsid w:val="008A436B"/>
    <w:rsid w:val="008B043F"/>
    <w:rsid w:val="008B1231"/>
    <w:rsid w:val="008B2C8C"/>
    <w:rsid w:val="008B3BC2"/>
    <w:rsid w:val="008B594E"/>
    <w:rsid w:val="008B65BD"/>
    <w:rsid w:val="008B708F"/>
    <w:rsid w:val="008C4CA5"/>
    <w:rsid w:val="008C51CE"/>
    <w:rsid w:val="008D2DFA"/>
    <w:rsid w:val="008D343F"/>
    <w:rsid w:val="008E3541"/>
    <w:rsid w:val="008E4725"/>
    <w:rsid w:val="008E506F"/>
    <w:rsid w:val="008E7A7D"/>
    <w:rsid w:val="008F149B"/>
    <w:rsid w:val="008F1877"/>
    <w:rsid w:val="008F4B1D"/>
    <w:rsid w:val="00901006"/>
    <w:rsid w:val="00901FE1"/>
    <w:rsid w:val="00904A71"/>
    <w:rsid w:val="009120A5"/>
    <w:rsid w:val="0091573E"/>
    <w:rsid w:val="00915CD2"/>
    <w:rsid w:val="0092010F"/>
    <w:rsid w:val="009211D8"/>
    <w:rsid w:val="009216E0"/>
    <w:rsid w:val="00922F83"/>
    <w:rsid w:val="00924F8A"/>
    <w:rsid w:val="009275AD"/>
    <w:rsid w:val="009316B1"/>
    <w:rsid w:val="0093412D"/>
    <w:rsid w:val="009355A7"/>
    <w:rsid w:val="00935A6F"/>
    <w:rsid w:val="00935A8D"/>
    <w:rsid w:val="00936938"/>
    <w:rsid w:val="00940C31"/>
    <w:rsid w:val="009413A3"/>
    <w:rsid w:val="00943692"/>
    <w:rsid w:val="00961436"/>
    <w:rsid w:val="00962E9C"/>
    <w:rsid w:val="00964583"/>
    <w:rsid w:val="00964E4A"/>
    <w:rsid w:val="00965C09"/>
    <w:rsid w:val="009703F1"/>
    <w:rsid w:val="009719B6"/>
    <w:rsid w:val="00974CB3"/>
    <w:rsid w:val="00975B26"/>
    <w:rsid w:val="00982977"/>
    <w:rsid w:val="00983DD3"/>
    <w:rsid w:val="009909DC"/>
    <w:rsid w:val="00990AA7"/>
    <w:rsid w:val="00993E0B"/>
    <w:rsid w:val="00996518"/>
    <w:rsid w:val="0099773C"/>
    <w:rsid w:val="009A3827"/>
    <w:rsid w:val="009B2226"/>
    <w:rsid w:val="009B2BD1"/>
    <w:rsid w:val="009B6537"/>
    <w:rsid w:val="009B6EFA"/>
    <w:rsid w:val="009C4470"/>
    <w:rsid w:val="009C55D9"/>
    <w:rsid w:val="009C7380"/>
    <w:rsid w:val="009D08BA"/>
    <w:rsid w:val="009D20F2"/>
    <w:rsid w:val="009D3C43"/>
    <w:rsid w:val="009D781A"/>
    <w:rsid w:val="009E1502"/>
    <w:rsid w:val="009E3081"/>
    <w:rsid w:val="009E60E7"/>
    <w:rsid w:val="009F26AC"/>
    <w:rsid w:val="00A02BA5"/>
    <w:rsid w:val="00A052A6"/>
    <w:rsid w:val="00A07497"/>
    <w:rsid w:val="00A13123"/>
    <w:rsid w:val="00A133E1"/>
    <w:rsid w:val="00A169EE"/>
    <w:rsid w:val="00A22648"/>
    <w:rsid w:val="00A23760"/>
    <w:rsid w:val="00A2431F"/>
    <w:rsid w:val="00A2668A"/>
    <w:rsid w:val="00A3383D"/>
    <w:rsid w:val="00A366C1"/>
    <w:rsid w:val="00A37D79"/>
    <w:rsid w:val="00A37FDF"/>
    <w:rsid w:val="00A41F4E"/>
    <w:rsid w:val="00A47402"/>
    <w:rsid w:val="00A47A0A"/>
    <w:rsid w:val="00A5565A"/>
    <w:rsid w:val="00A626A8"/>
    <w:rsid w:val="00A6571C"/>
    <w:rsid w:val="00A70446"/>
    <w:rsid w:val="00A736B4"/>
    <w:rsid w:val="00A75112"/>
    <w:rsid w:val="00A81621"/>
    <w:rsid w:val="00A82F7E"/>
    <w:rsid w:val="00A836CE"/>
    <w:rsid w:val="00A84C97"/>
    <w:rsid w:val="00A92024"/>
    <w:rsid w:val="00A9461F"/>
    <w:rsid w:val="00A9517B"/>
    <w:rsid w:val="00A955F7"/>
    <w:rsid w:val="00A962E0"/>
    <w:rsid w:val="00A97263"/>
    <w:rsid w:val="00A97CBA"/>
    <w:rsid w:val="00AA6AD2"/>
    <w:rsid w:val="00AB1D86"/>
    <w:rsid w:val="00AB1E0A"/>
    <w:rsid w:val="00AB64AA"/>
    <w:rsid w:val="00AC3C7A"/>
    <w:rsid w:val="00AD0EF1"/>
    <w:rsid w:val="00AD137C"/>
    <w:rsid w:val="00AD3D4A"/>
    <w:rsid w:val="00AE076B"/>
    <w:rsid w:val="00AE14C1"/>
    <w:rsid w:val="00AF1BA2"/>
    <w:rsid w:val="00B06B36"/>
    <w:rsid w:val="00B106CA"/>
    <w:rsid w:val="00B11FFE"/>
    <w:rsid w:val="00B1288A"/>
    <w:rsid w:val="00B171FF"/>
    <w:rsid w:val="00B176B4"/>
    <w:rsid w:val="00B20581"/>
    <w:rsid w:val="00B20A20"/>
    <w:rsid w:val="00B23703"/>
    <w:rsid w:val="00B241E0"/>
    <w:rsid w:val="00B260DC"/>
    <w:rsid w:val="00B32B26"/>
    <w:rsid w:val="00B37832"/>
    <w:rsid w:val="00B411AA"/>
    <w:rsid w:val="00B41B38"/>
    <w:rsid w:val="00B421AC"/>
    <w:rsid w:val="00B43416"/>
    <w:rsid w:val="00B454CC"/>
    <w:rsid w:val="00B45D60"/>
    <w:rsid w:val="00B4786E"/>
    <w:rsid w:val="00B5715E"/>
    <w:rsid w:val="00B60C7E"/>
    <w:rsid w:val="00B62C95"/>
    <w:rsid w:val="00B63D5F"/>
    <w:rsid w:val="00B64036"/>
    <w:rsid w:val="00B72FCF"/>
    <w:rsid w:val="00B8305A"/>
    <w:rsid w:val="00B831C0"/>
    <w:rsid w:val="00B8367E"/>
    <w:rsid w:val="00B87AC5"/>
    <w:rsid w:val="00B92689"/>
    <w:rsid w:val="00B9422F"/>
    <w:rsid w:val="00B94E7B"/>
    <w:rsid w:val="00B96ECA"/>
    <w:rsid w:val="00BA4FC1"/>
    <w:rsid w:val="00BA6719"/>
    <w:rsid w:val="00BB2761"/>
    <w:rsid w:val="00BB64A4"/>
    <w:rsid w:val="00BC4C0A"/>
    <w:rsid w:val="00BC5AA6"/>
    <w:rsid w:val="00BC6439"/>
    <w:rsid w:val="00BD1756"/>
    <w:rsid w:val="00BD1A77"/>
    <w:rsid w:val="00BD423F"/>
    <w:rsid w:val="00BD4E91"/>
    <w:rsid w:val="00BE143A"/>
    <w:rsid w:val="00BE4816"/>
    <w:rsid w:val="00BF3569"/>
    <w:rsid w:val="00C05E93"/>
    <w:rsid w:val="00C11CC8"/>
    <w:rsid w:val="00C13714"/>
    <w:rsid w:val="00C13EEF"/>
    <w:rsid w:val="00C14538"/>
    <w:rsid w:val="00C171EC"/>
    <w:rsid w:val="00C21AC5"/>
    <w:rsid w:val="00C22394"/>
    <w:rsid w:val="00C2242E"/>
    <w:rsid w:val="00C234B3"/>
    <w:rsid w:val="00C2402F"/>
    <w:rsid w:val="00C3044F"/>
    <w:rsid w:val="00C327A8"/>
    <w:rsid w:val="00C34D9E"/>
    <w:rsid w:val="00C353D7"/>
    <w:rsid w:val="00C3681B"/>
    <w:rsid w:val="00C40CA7"/>
    <w:rsid w:val="00C4380C"/>
    <w:rsid w:val="00C44368"/>
    <w:rsid w:val="00C4535A"/>
    <w:rsid w:val="00C509E2"/>
    <w:rsid w:val="00C57EDF"/>
    <w:rsid w:val="00C610C1"/>
    <w:rsid w:val="00C6147C"/>
    <w:rsid w:val="00C614A8"/>
    <w:rsid w:val="00C63197"/>
    <w:rsid w:val="00C6342C"/>
    <w:rsid w:val="00C63F9C"/>
    <w:rsid w:val="00C64E68"/>
    <w:rsid w:val="00C65499"/>
    <w:rsid w:val="00C6758B"/>
    <w:rsid w:val="00C740B8"/>
    <w:rsid w:val="00C7439E"/>
    <w:rsid w:val="00C75822"/>
    <w:rsid w:val="00C805B4"/>
    <w:rsid w:val="00C8262F"/>
    <w:rsid w:val="00C82EDA"/>
    <w:rsid w:val="00C83A84"/>
    <w:rsid w:val="00C87253"/>
    <w:rsid w:val="00C9408E"/>
    <w:rsid w:val="00CB6E0B"/>
    <w:rsid w:val="00CC3DC4"/>
    <w:rsid w:val="00CD4941"/>
    <w:rsid w:val="00CD618D"/>
    <w:rsid w:val="00CD7F3B"/>
    <w:rsid w:val="00CE0603"/>
    <w:rsid w:val="00CE0DC9"/>
    <w:rsid w:val="00CE58D9"/>
    <w:rsid w:val="00CE5CFB"/>
    <w:rsid w:val="00CE7EAE"/>
    <w:rsid w:val="00CF11EB"/>
    <w:rsid w:val="00CF5D6C"/>
    <w:rsid w:val="00CF5E57"/>
    <w:rsid w:val="00CF63ED"/>
    <w:rsid w:val="00CF65F0"/>
    <w:rsid w:val="00D003EF"/>
    <w:rsid w:val="00D0539B"/>
    <w:rsid w:val="00D05EAB"/>
    <w:rsid w:val="00D1166D"/>
    <w:rsid w:val="00D138C5"/>
    <w:rsid w:val="00D20288"/>
    <w:rsid w:val="00D21FF2"/>
    <w:rsid w:val="00D256CC"/>
    <w:rsid w:val="00D36BDC"/>
    <w:rsid w:val="00D50E19"/>
    <w:rsid w:val="00D55C23"/>
    <w:rsid w:val="00D56A0B"/>
    <w:rsid w:val="00D57AD0"/>
    <w:rsid w:val="00D62416"/>
    <w:rsid w:val="00D651BE"/>
    <w:rsid w:val="00D70A44"/>
    <w:rsid w:val="00D70E57"/>
    <w:rsid w:val="00D7673F"/>
    <w:rsid w:val="00D767BC"/>
    <w:rsid w:val="00D82BE8"/>
    <w:rsid w:val="00D83B1F"/>
    <w:rsid w:val="00D841C4"/>
    <w:rsid w:val="00D84636"/>
    <w:rsid w:val="00D91225"/>
    <w:rsid w:val="00D97E55"/>
    <w:rsid w:val="00DA1631"/>
    <w:rsid w:val="00DA4760"/>
    <w:rsid w:val="00DA55B1"/>
    <w:rsid w:val="00DA6526"/>
    <w:rsid w:val="00DB1D6E"/>
    <w:rsid w:val="00DB1EEF"/>
    <w:rsid w:val="00DB3C31"/>
    <w:rsid w:val="00DC0D07"/>
    <w:rsid w:val="00DC64B6"/>
    <w:rsid w:val="00DD53FF"/>
    <w:rsid w:val="00DE52F8"/>
    <w:rsid w:val="00DF065D"/>
    <w:rsid w:val="00DF0BFF"/>
    <w:rsid w:val="00DF22BE"/>
    <w:rsid w:val="00DF68D1"/>
    <w:rsid w:val="00DF75FC"/>
    <w:rsid w:val="00E013C3"/>
    <w:rsid w:val="00E03262"/>
    <w:rsid w:val="00E054F5"/>
    <w:rsid w:val="00E13DFC"/>
    <w:rsid w:val="00E20835"/>
    <w:rsid w:val="00E23282"/>
    <w:rsid w:val="00E25A48"/>
    <w:rsid w:val="00E36B26"/>
    <w:rsid w:val="00E373B0"/>
    <w:rsid w:val="00E414CE"/>
    <w:rsid w:val="00E43BC7"/>
    <w:rsid w:val="00E46375"/>
    <w:rsid w:val="00E50D8A"/>
    <w:rsid w:val="00E5186E"/>
    <w:rsid w:val="00E5282A"/>
    <w:rsid w:val="00E54A14"/>
    <w:rsid w:val="00E54C72"/>
    <w:rsid w:val="00E54CFA"/>
    <w:rsid w:val="00E56171"/>
    <w:rsid w:val="00E572CB"/>
    <w:rsid w:val="00E668F3"/>
    <w:rsid w:val="00E66F66"/>
    <w:rsid w:val="00E7513D"/>
    <w:rsid w:val="00E775F0"/>
    <w:rsid w:val="00E80090"/>
    <w:rsid w:val="00E81D6C"/>
    <w:rsid w:val="00E83E0B"/>
    <w:rsid w:val="00E8691B"/>
    <w:rsid w:val="00E92C2C"/>
    <w:rsid w:val="00E92E34"/>
    <w:rsid w:val="00E92FF5"/>
    <w:rsid w:val="00E94349"/>
    <w:rsid w:val="00E97BCE"/>
    <w:rsid w:val="00EA0DD4"/>
    <w:rsid w:val="00EA28B0"/>
    <w:rsid w:val="00EA5AF8"/>
    <w:rsid w:val="00EA78A7"/>
    <w:rsid w:val="00EB2724"/>
    <w:rsid w:val="00EB51D4"/>
    <w:rsid w:val="00EB6073"/>
    <w:rsid w:val="00EB7250"/>
    <w:rsid w:val="00EB7490"/>
    <w:rsid w:val="00EC01E4"/>
    <w:rsid w:val="00EC4A1B"/>
    <w:rsid w:val="00EC65B3"/>
    <w:rsid w:val="00EC7B6F"/>
    <w:rsid w:val="00ED0797"/>
    <w:rsid w:val="00ED3553"/>
    <w:rsid w:val="00ED3CF2"/>
    <w:rsid w:val="00EE4452"/>
    <w:rsid w:val="00EE725B"/>
    <w:rsid w:val="00EF574C"/>
    <w:rsid w:val="00EF71FE"/>
    <w:rsid w:val="00EF7260"/>
    <w:rsid w:val="00EF7B59"/>
    <w:rsid w:val="00EF7C43"/>
    <w:rsid w:val="00F00F7D"/>
    <w:rsid w:val="00F06ACB"/>
    <w:rsid w:val="00F06B2E"/>
    <w:rsid w:val="00F11EAD"/>
    <w:rsid w:val="00F20FA7"/>
    <w:rsid w:val="00F227C9"/>
    <w:rsid w:val="00F31B5A"/>
    <w:rsid w:val="00F45680"/>
    <w:rsid w:val="00F4679F"/>
    <w:rsid w:val="00F46D99"/>
    <w:rsid w:val="00F47B74"/>
    <w:rsid w:val="00F506BB"/>
    <w:rsid w:val="00F50C5B"/>
    <w:rsid w:val="00F52B3D"/>
    <w:rsid w:val="00F536D3"/>
    <w:rsid w:val="00F53C30"/>
    <w:rsid w:val="00F55343"/>
    <w:rsid w:val="00F55598"/>
    <w:rsid w:val="00F613FE"/>
    <w:rsid w:val="00F61BD0"/>
    <w:rsid w:val="00F627FB"/>
    <w:rsid w:val="00F63C6C"/>
    <w:rsid w:val="00F640D6"/>
    <w:rsid w:val="00F939DA"/>
    <w:rsid w:val="00F93D91"/>
    <w:rsid w:val="00F97691"/>
    <w:rsid w:val="00FA77F1"/>
    <w:rsid w:val="00FB2068"/>
    <w:rsid w:val="00FB3113"/>
    <w:rsid w:val="00FB3648"/>
    <w:rsid w:val="00FB5CB3"/>
    <w:rsid w:val="00FB6A54"/>
    <w:rsid w:val="00FC0EBE"/>
    <w:rsid w:val="00FC762D"/>
    <w:rsid w:val="00FD040E"/>
    <w:rsid w:val="00FD2FB9"/>
    <w:rsid w:val="00FD40D3"/>
    <w:rsid w:val="00FD5CE4"/>
    <w:rsid w:val="00FE4683"/>
    <w:rsid w:val="00FE653F"/>
    <w:rsid w:val="00FE6AFA"/>
    <w:rsid w:val="00FF06AE"/>
    <w:rsid w:val="00FF59A5"/>
    <w:rsid w:val="00FF604D"/>
    <w:rsid w:val="00FF6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5"/>
    <w:pPr>
      <w:spacing w:line="480" w:lineRule="auto"/>
    </w:pPr>
    <w:rPr>
      <w:sz w:val="24"/>
      <w:szCs w:val="24"/>
    </w:rPr>
  </w:style>
  <w:style w:type="paragraph" w:styleId="Heading1">
    <w:name w:val="heading 1"/>
    <w:basedOn w:val="Normal"/>
    <w:next w:val="Normal"/>
    <w:link w:val="Heading1Char"/>
    <w:qFormat/>
    <w:rsid w:val="008E4725"/>
    <w:pPr>
      <w:keepNext/>
      <w:jc w:val="center"/>
      <w:outlineLvl w:val="0"/>
    </w:pPr>
    <w:rPr>
      <w:b/>
      <w:bCs/>
      <w:caps/>
    </w:rPr>
  </w:style>
  <w:style w:type="paragraph" w:styleId="Heading2">
    <w:name w:val="heading 2"/>
    <w:basedOn w:val="Normal"/>
    <w:next w:val="Normal"/>
    <w:link w:val="Heading2Char"/>
    <w:uiPriority w:val="9"/>
    <w:unhideWhenUsed/>
    <w:qFormat/>
    <w:rsid w:val="008156A1"/>
    <w:pPr>
      <w:keepNext/>
      <w:keepLines/>
      <w:outlineLvl w:val="1"/>
    </w:pPr>
    <w:rPr>
      <w:rFonts w:ascii="Calibri" w:hAnsi="Calibri"/>
      <w:b/>
      <w:bCs/>
      <w:szCs w:val="26"/>
    </w:rPr>
  </w:style>
  <w:style w:type="paragraph" w:styleId="Heading3">
    <w:name w:val="heading 3"/>
    <w:basedOn w:val="Normal"/>
    <w:next w:val="Normal"/>
    <w:link w:val="Heading3Char"/>
    <w:uiPriority w:val="9"/>
    <w:unhideWhenUsed/>
    <w:qFormat/>
    <w:rsid w:val="008E4725"/>
    <w:pPr>
      <w:keepNext/>
      <w:keepLines/>
      <w:outlineLvl w:val="2"/>
    </w:pPr>
    <w:rPr>
      <w:rFonts w:ascii="Calibri" w:hAnsi="Calibr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headings">
    <w:name w:val="Multiple headings"/>
    <w:basedOn w:val="Normal"/>
    <w:link w:val="MultipleheadingsChar"/>
    <w:qFormat/>
    <w:rsid w:val="008156A1"/>
    <w:pPr>
      <w:keepNext/>
      <w:jc w:val="center"/>
    </w:pPr>
    <w:rPr>
      <w:b/>
      <w:bCs/>
    </w:rPr>
  </w:style>
  <w:style w:type="character" w:customStyle="1" w:styleId="MultipleheadingsChar">
    <w:name w:val="Multiple headings Char"/>
    <w:basedOn w:val="DefaultParagraphFont"/>
    <w:link w:val="Multipleheadings"/>
    <w:rsid w:val="008156A1"/>
    <w:rPr>
      <w:rFonts w:ascii="Times New Roman" w:eastAsia="Times New Roman" w:hAnsi="Times New Roman" w:cs="Times New Roman"/>
      <w:b/>
      <w:bCs/>
      <w:sz w:val="24"/>
      <w:szCs w:val="24"/>
    </w:rPr>
  </w:style>
  <w:style w:type="paragraph" w:customStyle="1" w:styleId="Mainheading">
    <w:name w:val="Main heading"/>
    <w:basedOn w:val="Normal"/>
    <w:link w:val="MainheadingChar"/>
    <w:qFormat/>
    <w:rsid w:val="008156A1"/>
    <w:pPr>
      <w:keepNext/>
      <w:jc w:val="center"/>
    </w:pPr>
    <w:rPr>
      <w:b/>
      <w:bCs/>
    </w:rPr>
  </w:style>
  <w:style w:type="character" w:customStyle="1" w:styleId="MainheadingChar">
    <w:name w:val="Main heading Char"/>
    <w:basedOn w:val="DefaultParagraphFont"/>
    <w:link w:val="Mainheading"/>
    <w:rsid w:val="008156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156A1"/>
    <w:rPr>
      <w:rFonts w:eastAsia="Times New Roman" w:cs="Times New Roman"/>
      <w:b/>
      <w:bCs/>
      <w:sz w:val="24"/>
      <w:szCs w:val="26"/>
    </w:rPr>
  </w:style>
  <w:style w:type="character" w:customStyle="1" w:styleId="Heading3Char">
    <w:name w:val="Heading 3 Char"/>
    <w:basedOn w:val="DefaultParagraphFont"/>
    <w:link w:val="Heading3"/>
    <w:uiPriority w:val="9"/>
    <w:rsid w:val="008E4725"/>
    <w:rPr>
      <w:rFonts w:eastAsia="Times New Roman" w:cs="Times New Roman"/>
      <w:bCs/>
      <w:sz w:val="24"/>
      <w:szCs w:val="24"/>
      <w:u w:val="single"/>
    </w:rPr>
  </w:style>
  <w:style w:type="character" w:customStyle="1" w:styleId="Heading1Char">
    <w:name w:val="Heading 1 Char"/>
    <w:basedOn w:val="DefaultParagraphFont"/>
    <w:link w:val="Heading1"/>
    <w:rsid w:val="008E4725"/>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qFormat/>
    <w:rsid w:val="008B2C8C"/>
    <w:pPr>
      <w:keepLines/>
      <w:spacing w:line="240" w:lineRule="auto"/>
      <w:ind w:firstLine="720"/>
    </w:pPr>
  </w:style>
  <w:style w:type="character" w:customStyle="1" w:styleId="FootnoteTextChar">
    <w:name w:val="Footnote Text Char"/>
    <w:basedOn w:val="DefaultParagraphFont"/>
    <w:link w:val="FootnoteText"/>
    <w:rsid w:val="008B2C8C"/>
    <w:rPr>
      <w:sz w:val="24"/>
      <w:szCs w:val="24"/>
    </w:rPr>
  </w:style>
  <w:style w:type="paragraph" w:customStyle="1" w:styleId="Footnote">
    <w:name w:val="Footnote"/>
    <w:basedOn w:val="Normal"/>
    <w:link w:val="FootnoteChar"/>
    <w:autoRedefine/>
    <w:qFormat/>
    <w:rsid w:val="00497A94"/>
    <w:pPr>
      <w:spacing w:after="120" w:line="240" w:lineRule="auto"/>
    </w:pPr>
    <w:rPr>
      <w:b/>
    </w:rPr>
  </w:style>
  <w:style w:type="character" w:customStyle="1" w:styleId="FootnoteChar">
    <w:name w:val="Footnote Char"/>
    <w:basedOn w:val="DefaultParagraphFont"/>
    <w:link w:val="Footnote"/>
    <w:rsid w:val="00497A94"/>
    <w:rPr>
      <w:rFonts w:cs="Times New Roman"/>
      <w:b/>
    </w:rPr>
  </w:style>
  <w:style w:type="table" w:styleId="TableGrid">
    <w:name w:val="Table Grid"/>
    <w:basedOn w:val="TableNormal"/>
    <w:uiPriority w:val="59"/>
    <w:rsid w:val="00C11C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83AF1"/>
    <w:rPr>
      <w:vertAlign w:val="superscript"/>
    </w:rPr>
  </w:style>
  <w:style w:type="paragraph" w:styleId="Header">
    <w:name w:val="header"/>
    <w:basedOn w:val="Normal"/>
    <w:link w:val="HeaderChar"/>
    <w:uiPriority w:val="99"/>
    <w:semiHidden/>
    <w:unhideWhenUsed/>
    <w:rsid w:val="00783AF1"/>
    <w:pPr>
      <w:tabs>
        <w:tab w:val="center" w:pos="4680"/>
        <w:tab w:val="right" w:pos="9360"/>
      </w:tabs>
    </w:pPr>
  </w:style>
  <w:style w:type="character" w:customStyle="1" w:styleId="HeaderChar">
    <w:name w:val="Header Char"/>
    <w:basedOn w:val="DefaultParagraphFont"/>
    <w:link w:val="Header"/>
    <w:uiPriority w:val="99"/>
    <w:semiHidden/>
    <w:rsid w:val="00783AF1"/>
  </w:style>
  <w:style w:type="paragraph" w:styleId="Footer">
    <w:name w:val="footer"/>
    <w:basedOn w:val="Normal"/>
    <w:link w:val="FooterChar"/>
    <w:uiPriority w:val="99"/>
    <w:unhideWhenUsed/>
    <w:rsid w:val="00783AF1"/>
    <w:pPr>
      <w:tabs>
        <w:tab w:val="center" w:pos="4680"/>
        <w:tab w:val="right" w:pos="9360"/>
      </w:tabs>
    </w:pPr>
  </w:style>
  <w:style w:type="character" w:customStyle="1" w:styleId="FooterChar">
    <w:name w:val="Footer Char"/>
    <w:basedOn w:val="DefaultParagraphFont"/>
    <w:link w:val="Footer"/>
    <w:uiPriority w:val="99"/>
    <w:rsid w:val="00783AF1"/>
  </w:style>
  <w:style w:type="paragraph" w:styleId="ListParagraph">
    <w:name w:val="List Paragraph"/>
    <w:basedOn w:val="Normal"/>
    <w:uiPriority w:val="34"/>
    <w:qFormat/>
    <w:rsid w:val="00391047"/>
    <w:pPr>
      <w:ind w:left="720"/>
      <w:contextualSpacing/>
    </w:pPr>
  </w:style>
  <w:style w:type="paragraph" w:styleId="BalloonText">
    <w:name w:val="Balloon Text"/>
    <w:basedOn w:val="Normal"/>
    <w:link w:val="BalloonTextChar"/>
    <w:uiPriority w:val="99"/>
    <w:semiHidden/>
    <w:unhideWhenUsed/>
    <w:rsid w:val="00CD61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1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7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Opin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A17C-60DF-4883-AB8D-F96DB489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Opinion_Form.dotm</Template>
  <TotalTime>0</TotalTime>
  <Pages>16</Pages>
  <Words>4187</Words>
  <Characters>23866</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Mina Ruiz</cp:lastModifiedBy>
  <cp:revision>2</cp:revision>
  <cp:lastPrinted>2010-08-10T22:31:00Z</cp:lastPrinted>
  <dcterms:created xsi:type="dcterms:W3CDTF">2011-01-13T21:20:00Z</dcterms:created>
  <dcterms:modified xsi:type="dcterms:W3CDTF">2011-01-13T21:20:00Z</dcterms:modified>
</cp:coreProperties>
</file>