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32" w:rsidRPr="00591107" w:rsidRDefault="00591107" w:rsidP="00591107">
      <w:pPr>
        <w:jc w:val="right"/>
        <w:rPr>
          <w:b/>
          <w:sz w:val="36"/>
        </w:rPr>
      </w:pPr>
      <w:r w:rsidRPr="00591107">
        <w:rPr>
          <w:b/>
        </w:rPr>
        <w:t>FILED JANUARY 2</w:t>
      </w:r>
      <w:r>
        <w:rPr>
          <w:b/>
        </w:rPr>
        <w:t>1</w:t>
      </w:r>
      <w:r w:rsidRPr="00591107">
        <w:rPr>
          <w:b/>
        </w:rPr>
        <w:t>, 2010</w:t>
      </w:r>
    </w:p>
    <w:p w:rsidR="00467432" w:rsidRDefault="0046743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C1CF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5315C">
            <w:pPr>
              <w:rPr>
                <w:b/>
                <w:bCs/>
              </w:rPr>
            </w:pPr>
            <w:bookmarkStart w:id="1" w:name="resp"/>
            <w:bookmarkEnd w:id="1"/>
            <w:r>
              <w:rPr>
                <w:b/>
                <w:bCs/>
              </w:rPr>
              <w:t>ALAN IRVING MOSS</w:t>
            </w:r>
          </w:p>
          <w:p w:rsidR="003D3B12" w:rsidRDefault="003D3B12">
            <w:pPr>
              <w:rPr>
                <w:b/>
                <w:bCs/>
              </w:rPr>
            </w:pPr>
          </w:p>
          <w:p w:rsidR="003D3B12" w:rsidRDefault="003D3B12">
            <w:pPr>
              <w:rPr>
                <w:b/>
                <w:bCs/>
              </w:rPr>
            </w:pPr>
            <w:r>
              <w:rPr>
                <w:b/>
                <w:bCs/>
              </w:rPr>
              <w:t xml:space="preserve">Member No.  </w:t>
            </w:r>
            <w:bookmarkStart w:id="2" w:name="member"/>
            <w:bookmarkEnd w:id="2"/>
            <w:r w:rsidR="0035315C">
              <w:rPr>
                <w:b/>
                <w:bCs/>
              </w:rPr>
              <w:t>68369</w:t>
            </w:r>
          </w:p>
          <w:p w:rsidR="003D3B12" w:rsidRDefault="003D3B12">
            <w:pPr>
              <w:rPr>
                <w:b/>
                <w:bCs/>
              </w:rPr>
            </w:pPr>
          </w:p>
          <w:p w:rsidR="003D3B12" w:rsidRDefault="00B31A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35315C">
              <w:t>s</w:t>
            </w:r>
            <w:r>
              <w:t>.:</w:t>
            </w:r>
          </w:p>
        </w:tc>
        <w:tc>
          <w:tcPr>
            <w:tcW w:w="3468" w:type="dxa"/>
          </w:tcPr>
          <w:p w:rsidR="003D3B12" w:rsidRDefault="0035315C">
            <w:pPr>
              <w:rPr>
                <w:b/>
                <w:bCs/>
              </w:rPr>
            </w:pPr>
            <w:bookmarkStart w:id="4" w:name="caseno"/>
            <w:bookmarkEnd w:id="4"/>
            <w:r>
              <w:rPr>
                <w:b/>
                <w:bCs/>
              </w:rPr>
              <w:t>05-O-01947-PEM</w:t>
            </w:r>
          </w:p>
          <w:p w:rsidR="0035315C" w:rsidRDefault="0035315C">
            <w:pPr>
              <w:rPr>
                <w:bCs/>
              </w:rPr>
            </w:pPr>
            <w:r>
              <w:rPr>
                <w:bCs/>
              </w:rPr>
              <w:t>(06-O-11380; 07-O-10438)</w:t>
            </w:r>
          </w:p>
          <w:p w:rsidR="0035315C" w:rsidRPr="0035315C" w:rsidRDefault="0035315C">
            <w:pPr>
              <w:rPr>
                <w:bCs/>
              </w:rPr>
            </w:pPr>
          </w:p>
        </w:tc>
      </w:tr>
      <w:tr w:rsidR="003D3B12" w:rsidTr="0035315C">
        <w:trPr>
          <w:cantSplit/>
          <w:trHeight w:val="1179"/>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31AB1">
            <w:pPr>
              <w:rPr>
                <w:b/>
                <w:bCs/>
              </w:rPr>
            </w:pPr>
            <w:bookmarkStart w:id="5" w:name="title"/>
            <w:bookmarkEnd w:id="5"/>
            <w:r>
              <w:rPr>
                <w:b/>
                <w:bCs/>
              </w:rPr>
              <w:t>DECISION AND ORDER OF INVOLUNTARY INACTIVE ENROLLMENT</w:t>
            </w:r>
          </w:p>
        </w:tc>
      </w:tr>
    </w:tbl>
    <w:p w:rsidR="003D3B12" w:rsidRDefault="003D3B12">
      <w:pPr>
        <w:spacing w:line="480" w:lineRule="auto"/>
      </w:pPr>
    </w:p>
    <w:p w:rsidR="00B31AB1" w:rsidRPr="00097646" w:rsidRDefault="00097646" w:rsidP="005E28F8">
      <w:pPr>
        <w:tabs>
          <w:tab w:val="center" w:pos="4680"/>
        </w:tabs>
        <w:spacing w:line="480" w:lineRule="auto"/>
        <w:ind w:firstLine="720"/>
        <w:jc w:val="center"/>
      </w:pPr>
      <w:r w:rsidRPr="00097646">
        <w:rPr>
          <w:b/>
        </w:rPr>
        <w:t xml:space="preserve">I.  </w:t>
      </w:r>
      <w:r w:rsidR="00B31AB1" w:rsidRPr="00097646">
        <w:rPr>
          <w:b/>
          <w:bCs/>
        </w:rPr>
        <w:t>I</w:t>
      </w:r>
      <w:r w:rsidRPr="00097646">
        <w:rPr>
          <w:b/>
          <w:bCs/>
        </w:rPr>
        <w:t xml:space="preserve">ntroduction and </w:t>
      </w:r>
      <w:r w:rsidR="00B31AB1" w:rsidRPr="00097646">
        <w:rPr>
          <w:b/>
          <w:bCs/>
        </w:rPr>
        <w:t>P</w:t>
      </w:r>
      <w:r w:rsidRPr="00097646">
        <w:rPr>
          <w:b/>
          <w:bCs/>
        </w:rPr>
        <w:t>ertinent</w:t>
      </w:r>
      <w:r w:rsidR="00B31AB1" w:rsidRPr="00097646">
        <w:rPr>
          <w:b/>
          <w:bCs/>
        </w:rPr>
        <w:t xml:space="preserve"> P</w:t>
      </w:r>
      <w:r w:rsidRPr="00097646">
        <w:rPr>
          <w:b/>
          <w:bCs/>
        </w:rPr>
        <w:t>rocedural</w:t>
      </w:r>
      <w:r w:rsidR="00B31AB1" w:rsidRPr="00097646">
        <w:rPr>
          <w:b/>
          <w:bCs/>
        </w:rPr>
        <w:t xml:space="preserve"> H</w:t>
      </w:r>
      <w:r w:rsidRPr="00097646">
        <w:rPr>
          <w:b/>
          <w:bCs/>
        </w:rPr>
        <w:t>istory</w:t>
      </w:r>
    </w:p>
    <w:p w:rsidR="00B31AB1" w:rsidRDefault="00B31AB1" w:rsidP="005E28F8">
      <w:pPr>
        <w:spacing w:line="480" w:lineRule="auto"/>
        <w:ind w:firstLine="720"/>
      </w:pPr>
      <w:r>
        <w:t xml:space="preserve">This default matter was submitted for decision on </w:t>
      </w:r>
      <w:r w:rsidR="0035315C">
        <w:t xml:space="preserve">November </w:t>
      </w:r>
      <w:r w:rsidR="009A4ED2">
        <w:t>4</w:t>
      </w:r>
      <w:r w:rsidR="0035315C">
        <w:t>, 2009</w:t>
      </w:r>
      <w:r>
        <w:t xml:space="preserve">.  </w:t>
      </w:r>
      <w:r w:rsidR="002D0D3A">
        <w:t xml:space="preserve">Respondent </w:t>
      </w:r>
      <w:r w:rsidR="0035315C">
        <w:rPr>
          <w:b/>
        </w:rPr>
        <w:t>Alan Irving Moss</w:t>
      </w:r>
      <w:r w:rsidR="00B43E36">
        <w:t xml:space="preserve"> </w:t>
      </w:r>
      <w:r w:rsidR="002D0D3A">
        <w:t xml:space="preserve">is charged with </w:t>
      </w:r>
      <w:r w:rsidR="0035315C">
        <w:t>12</w:t>
      </w:r>
      <w:r w:rsidR="00AF288A">
        <w:t xml:space="preserve"> counts </w:t>
      </w:r>
      <w:r w:rsidR="00B43E36">
        <w:t>of misconduct including allegation</w:t>
      </w:r>
      <w:r w:rsidR="0035315C">
        <w:t>s</w:t>
      </w:r>
      <w:r w:rsidR="00B43E36">
        <w:t xml:space="preserve"> that he misappropriated</w:t>
      </w:r>
      <w:r w:rsidR="00AF288A">
        <w:t xml:space="preserve"> trust funds</w:t>
      </w:r>
      <w:r w:rsidR="0035315C">
        <w:t xml:space="preserve"> in two separate matters</w:t>
      </w:r>
      <w:r w:rsidR="002D0D3A">
        <w:t xml:space="preserve">.  </w:t>
      </w:r>
      <w:r>
        <w:t>At the time of submission, the State Bar of California (</w:t>
      </w:r>
      <w:r w:rsidR="007060B3">
        <w:t>“</w:t>
      </w:r>
      <w:r>
        <w:t>State Bar</w:t>
      </w:r>
      <w:r w:rsidR="007060B3">
        <w:t>”</w:t>
      </w:r>
      <w:r>
        <w:t xml:space="preserve">) was represented in this matter by Deputy Trial Counsel </w:t>
      </w:r>
      <w:r w:rsidR="0035315C">
        <w:t>Manuel Jimenez</w:t>
      </w:r>
      <w:r>
        <w:t xml:space="preserve">.  Respondent </w:t>
      </w:r>
      <w:r w:rsidR="0035315C">
        <w:t>represented himself, but tendered his resignation</w:t>
      </w:r>
      <w:r w:rsidR="0035315C">
        <w:rPr>
          <w:rStyle w:val="FootnoteReference"/>
        </w:rPr>
        <w:footnoteReference w:id="1"/>
      </w:r>
      <w:r w:rsidR="0035315C">
        <w:t xml:space="preserve"> and failed to appear at trial.</w:t>
      </w:r>
      <w:r w:rsidR="009D583E">
        <w:t xml:space="preserve">  </w:t>
      </w:r>
    </w:p>
    <w:p w:rsidR="00B31AB1" w:rsidRDefault="00B31AB1" w:rsidP="005E28F8">
      <w:pPr>
        <w:spacing w:line="480" w:lineRule="auto"/>
        <w:ind w:firstLine="720"/>
      </w:pPr>
      <w:r>
        <w:t>The State Bar filed a Notice of Disciplinary Charges (</w:t>
      </w:r>
      <w:r w:rsidR="007060B3">
        <w:t>“</w:t>
      </w:r>
      <w:r>
        <w:t>NDC</w:t>
      </w:r>
      <w:r w:rsidR="007060B3">
        <w:t>”</w:t>
      </w:r>
      <w:r>
        <w:t xml:space="preserve">) against respondent on </w:t>
      </w:r>
      <w:r w:rsidR="00A97E97">
        <w:t>July 11, 2008</w:t>
      </w:r>
      <w:r>
        <w:t xml:space="preserve">.  </w:t>
      </w:r>
      <w:r w:rsidR="00DD2BB5">
        <w:t>On that same day, a</w:t>
      </w:r>
      <w:r>
        <w:t xml:space="preserve"> copy of the NDC was properly served </w:t>
      </w:r>
      <w:r w:rsidR="00DD2BB5">
        <w:t>on respondent</w:t>
      </w:r>
      <w:r>
        <w:t xml:space="preserve"> in the manner set forth in rule 60 of the Rules of Procedure of the State Bar of California (</w:t>
      </w:r>
      <w:r w:rsidR="007060B3">
        <w:t>“</w:t>
      </w:r>
      <w:r>
        <w:t>Rules of Procedure</w:t>
      </w:r>
      <w:r w:rsidR="007060B3">
        <w:t>”</w:t>
      </w:r>
      <w:r>
        <w:t>).</w:t>
      </w:r>
      <w:r>
        <w:rPr>
          <w:rStyle w:val="FootnoteReference"/>
        </w:rPr>
        <w:footnoteReference w:id="2"/>
      </w:r>
      <w:r>
        <w:t xml:space="preserve">  </w:t>
      </w:r>
    </w:p>
    <w:p w:rsidR="00520A77" w:rsidRDefault="00464BAE" w:rsidP="005E28F8">
      <w:pPr>
        <w:spacing w:line="480" w:lineRule="auto"/>
        <w:ind w:firstLine="720"/>
      </w:pPr>
      <w:r>
        <w:lastRenderedPageBreak/>
        <w:t xml:space="preserve">On or about </w:t>
      </w:r>
      <w:r w:rsidR="00520A77">
        <w:t>August 5</w:t>
      </w:r>
      <w:r>
        <w:t>, 200</w:t>
      </w:r>
      <w:r w:rsidR="00520A77">
        <w:t>8</w:t>
      </w:r>
      <w:r>
        <w:t xml:space="preserve">, respondent </w:t>
      </w:r>
      <w:r w:rsidR="00520A77">
        <w:t>filed an answer to the NDC</w:t>
      </w:r>
      <w:r>
        <w:t xml:space="preserve">. </w:t>
      </w:r>
      <w:r w:rsidR="00520A77">
        <w:t xml:space="preserve"> </w:t>
      </w:r>
      <w:r w:rsidR="00266364">
        <w:t>T</w:t>
      </w:r>
      <w:r w:rsidR="00520A77">
        <w:t>rial was ultimately scheduled for January 28, 2009.</w:t>
      </w:r>
      <w:r w:rsidR="00393FB1">
        <w:rPr>
          <w:rStyle w:val="FootnoteReference"/>
        </w:rPr>
        <w:footnoteReference w:id="3"/>
      </w:r>
      <w:r w:rsidR="00520A77">
        <w:t xml:space="preserve">  </w:t>
      </w:r>
    </w:p>
    <w:p w:rsidR="00464BAE" w:rsidRDefault="00520A77" w:rsidP="005E28F8">
      <w:pPr>
        <w:spacing w:line="480" w:lineRule="auto"/>
        <w:ind w:firstLine="720"/>
      </w:pPr>
      <w:r>
        <w:t xml:space="preserve">On January 28, 2009, respondent failed to appear for trial.  That same day, he submitted his resignation </w:t>
      </w:r>
      <w:r w:rsidR="00393FB1">
        <w:t xml:space="preserve">with charges pending </w:t>
      </w:r>
      <w:r>
        <w:t xml:space="preserve">to the </w:t>
      </w:r>
      <w:r w:rsidR="00393FB1">
        <w:t>State Bar Court.</w:t>
      </w:r>
    </w:p>
    <w:p w:rsidR="00C30D45" w:rsidRDefault="00393FB1" w:rsidP="00393FB1">
      <w:pPr>
        <w:spacing w:line="480" w:lineRule="auto"/>
        <w:ind w:firstLine="720"/>
      </w:pPr>
      <w:r>
        <w:t xml:space="preserve">Due to respondent’s failure to appear for trial, the court issued </w:t>
      </w:r>
      <w:r w:rsidR="00B31AB1">
        <w:t xml:space="preserve">an </w:t>
      </w:r>
      <w:r w:rsidR="00D309D1">
        <w:t>o</w:t>
      </w:r>
      <w:r w:rsidR="00B31AB1">
        <w:t xml:space="preserve">rder of </w:t>
      </w:r>
      <w:r w:rsidR="00D309D1">
        <w:t>e</w:t>
      </w:r>
      <w:r w:rsidR="00B31AB1">
        <w:t xml:space="preserve">ntry of </w:t>
      </w:r>
      <w:r w:rsidR="00D309D1">
        <w:t>d</w:t>
      </w:r>
      <w:r w:rsidR="00B31AB1">
        <w:t xml:space="preserve">efault and </w:t>
      </w:r>
      <w:r w:rsidR="00D309D1">
        <w:t>i</w:t>
      </w:r>
      <w:r w:rsidR="00B31AB1">
        <w:t xml:space="preserve">nvoluntary </w:t>
      </w:r>
      <w:r w:rsidR="00D309D1">
        <w:t>i</w:t>
      </w:r>
      <w:r w:rsidR="00B31AB1">
        <w:t xml:space="preserve">nactive </w:t>
      </w:r>
      <w:r w:rsidR="00D309D1">
        <w:t>e</w:t>
      </w:r>
      <w:r w:rsidR="00B31AB1">
        <w:t>nrollment</w:t>
      </w:r>
      <w:r>
        <w:t xml:space="preserve"> on January 28, 2009</w:t>
      </w:r>
      <w:r w:rsidR="00B31AB1">
        <w:t>.</w:t>
      </w:r>
      <w:r w:rsidR="00B31AB1">
        <w:rPr>
          <w:rStyle w:val="FootnoteReference"/>
        </w:rPr>
        <w:footnoteReference w:id="4"/>
      </w:r>
      <w:r w:rsidR="00B31AB1">
        <w:t xml:space="preserve">  </w:t>
      </w:r>
      <w:r w:rsidR="007A3D53">
        <w:t>A copy of s</w:t>
      </w:r>
      <w:r w:rsidR="00D309D1">
        <w:t>aid</w:t>
      </w:r>
      <w:r w:rsidR="00B31AB1">
        <w:t xml:space="preserve"> order </w:t>
      </w:r>
      <w:r w:rsidR="007A3D53">
        <w:t>was properly served on respondent at his membership records address</w:t>
      </w:r>
      <w:r w:rsidR="00DD3E5A">
        <w:t xml:space="preserve">, </w:t>
      </w:r>
      <w:r w:rsidR="00DD3E5A" w:rsidRPr="00CA5FA8">
        <w:t>and</w:t>
      </w:r>
      <w:r w:rsidR="00404C0E" w:rsidRPr="00CA5FA8">
        <w:t xml:space="preserve"> was </w:t>
      </w:r>
      <w:r w:rsidR="00E67831" w:rsidRPr="00CA5FA8">
        <w:t>subsequently</w:t>
      </w:r>
      <w:r w:rsidR="00404C0E" w:rsidRPr="00CA5FA8">
        <w:t xml:space="preserve"> returned </w:t>
      </w:r>
      <w:r w:rsidR="00E67831" w:rsidRPr="00CA5FA8">
        <w:t xml:space="preserve">to the State Bar Court </w:t>
      </w:r>
      <w:r w:rsidR="00404C0E" w:rsidRPr="00CA5FA8">
        <w:t>by the U.S. Postal Service</w:t>
      </w:r>
      <w:r w:rsidR="00E67831" w:rsidRPr="00CA5FA8">
        <w:t xml:space="preserve"> marked “UNCLAIMED</w:t>
      </w:r>
      <w:r w:rsidR="00404C0E" w:rsidRPr="00CA5FA8">
        <w:t>.</w:t>
      </w:r>
      <w:r w:rsidR="00E67831">
        <w:t>”</w:t>
      </w:r>
      <w:r w:rsidR="00404C0E">
        <w:t xml:space="preserve">  </w:t>
      </w:r>
    </w:p>
    <w:p w:rsidR="004B2032" w:rsidRDefault="00421E97" w:rsidP="00393FB1">
      <w:pPr>
        <w:spacing w:line="480" w:lineRule="auto"/>
        <w:ind w:firstLine="720"/>
      </w:pPr>
      <w:r>
        <w:t>On April 2</w:t>
      </w:r>
      <w:r w:rsidR="00E13643">
        <w:t>-3</w:t>
      </w:r>
      <w:r>
        <w:t xml:space="preserve">, 2009, the State Bar </w:t>
      </w:r>
      <w:r w:rsidR="00063B9A">
        <w:t>submitted</w:t>
      </w:r>
      <w:r w:rsidR="009F1F3D">
        <w:t xml:space="preserve"> declarations</w:t>
      </w:r>
      <w:r w:rsidR="00063B9A">
        <w:t xml:space="preserve"> from Lisa Edwards, Manuel Jimenez, Melinda R. Maggiani, and Elisa Fisher</w:t>
      </w:r>
      <w:r w:rsidR="009F1F3D">
        <w:t xml:space="preserve">.  These declarations were admitted </w:t>
      </w:r>
      <w:r w:rsidR="00063B9A">
        <w:t xml:space="preserve">into evidence </w:t>
      </w:r>
      <w:r w:rsidR="009F1F3D">
        <w:t xml:space="preserve">pursuant to rule 202 of the Rules of Procedure.  </w:t>
      </w:r>
    </w:p>
    <w:p w:rsidR="00B31AB1" w:rsidRDefault="00220FF2" w:rsidP="00063B9A">
      <w:pPr>
        <w:spacing w:line="480" w:lineRule="auto"/>
        <w:ind w:firstLine="720"/>
      </w:pPr>
      <w:r>
        <w:t xml:space="preserve">On April 27, 2009, </w:t>
      </w:r>
      <w:r w:rsidR="00063B9A">
        <w:t>this matter was abated</w:t>
      </w:r>
      <w:r w:rsidRPr="00220FF2">
        <w:t xml:space="preserve"> </w:t>
      </w:r>
      <w:r w:rsidR="00C232B8">
        <w:t>based on</w:t>
      </w:r>
      <w:r>
        <w:t xml:space="preserve"> respo</w:t>
      </w:r>
      <w:r w:rsidR="00C232B8">
        <w:t>ndent’s pending resignation</w:t>
      </w:r>
      <w:r w:rsidR="00FC2E76">
        <w:t xml:space="preserve">.  </w:t>
      </w:r>
      <w:r w:rsidR="00063B9A">
        <w:t xml:space="preserve">On September 30, 2009, however, the California Supreme Court declined to accept respondent’s voluntary resignation with charges pending.  Accordingly, the present matter was removed from abated status </w:t>
      </w:r>
      <w:r w:rsidR="00B31AB1">
        <w:t>and submitted for decision</w:t>
      </w:r>
      <w:r w:rsidR="00C232B8" w:rsidRPr="00C232B8">
        <w:t xml:space="preserve"> </w:t>
      </w:r>
      <w:r w:rsidR="00C232B8">
        <w:t>on November 4, 2009</w:t>
      </w:r>
      <w:r w:rsidR="00B31AB1">
        <w:t xml:space="preserve">.  </w:t>
      </w:r>
    </w:p>
    <w:p w:rsidR="00C5636E" w:rsidRDefault="00C30D45" w:rsidP="005E28F8">
      <w:pPr>
        <w:spacing w:line="480" w:lineRule="auto"/>
        <w:ind w:firstLine="720"/>
      </w:pPr>
      <w:r w:rsidRPr="001260F4">
        <w:t>The court concludes that respondent was given sufficient notice of the pendency of this proceeding to satisfy the requirements of due process.  (</w:t>
      </w:r>
      <w:r w:rsidRPr="00D54ED4">
        <w:rPr>
          <w:i/>
        </w:rPr>
        <w:t>Jones v. Flowers, et al.</w:t>
      </w:r>
      <w:r w:rsidRPr="001260F4">
        <w:t xml:space="preserve"> (2006) 547 U.S. 220 [126 S.Ct. 1708, 164 L.Ed.2d 415].)</w:t>
      </w:r>
    </w:p>
    <w:p w:rsidR="00781D2F" w:rsidRDefault="00781D2F" w:rsidP="005E28F8">
      <w:pPr>
        <w:spacing w:line="480" w:lineRule="auto"/>
        <w:ind w:firstLine="720"/>
      </w:pPr>
    </w:p>
    <w:p w:rsidR="00781D2F" w:rsidRDefault="00781D2F" w:rsidP="005E28F8">
      <w:pPr>
        <w:spacing w:line="480" w:lineRule="auto"/>
        <w:ind w:firstLine="720"/>
      </w:pPr>
    </w:p>
    <w:p w:rsidR="00781D2F" w:rsidRDefault="00781D2F" w:rsidP="005E28F8">
      <w:pPr>
        <w:spacing w:line="480" w:lineRule="auto"/>
        <w:ind w:firstLine="720"/>
      </w:pPr>
    </w:p>
    <w:p w:rsidR="00B31AB1" w:rsidRPr="00097646" w:rsidRDefault="00097646" w:rsidP="005E28F8">
      <w:pPr>
        <w:tabs>
          <w:tab w:val="center" w:pos="4680"/>
        </w:tabs>
        <w:spacing w:line="480" w:lineRule="auto"/>
        <w:ind w:firstLine="720"/>
        <w:jc w:val="center"/>
        <w:rPr>
          <w:b/>
          <w:bCs/>
        </w:rPr>
      </w:pPr>
      <w:r w:rsidRPr="00097646">
        <w:rPr>
          <w:b/>
          <w:bCs/>
        </w:rPr>
        <w:lastRenderedPageBreak/>
        <w:t>II.  Findings of Fact</w:t>
      </w:r>
      <w:r w:rsidR="006F1DE1">
        <w:rPr>
          <w:b/>
          <w:bCs/>
        </w:rPr>
        <w:t xml:space="preserve"> and Conclusions of Law</w:t>
      </w:r>
    </w:p>
    <w:p w:rsidR="00C30D45" w:rsidRDefault="00C67D92" w:rsidP="005E28F8">
      <w:pPr>
        <w:spacing w:line="480" w:lineRule="auto"/>
      </w:pPr>
      <w:r>
        <w:rPr>
          <w:b/>
          <w:bCs/>
        </w:rPr>
        <w:t xml:space="preserve">A.  </w:t>
      </w:r>
      <w:r w:rsidR="00C30D45">
        <w:rPr>
          <w:b/>
          <w:bCs/>
        </w:rPr>
        <w:t>Jurisdiction</w:t>
      </w:r>
    </w:p>
    <w:p w:rsidR="00C30D45" w:rsidRDefault="00C30D45" w:rsidP="005E28F8">
      <w:pPr>
        <w:spacing w:line="480" w:lineRule="auto"/>
        <w:ind w:firstLine="720"/>
        <w:rPr>
          <w:highlight w:val="yellow"/>
        </w:rPr>
      </w:pPr>
      <w:r>
        <w:t xml:space="preserve">All factual allegations of the NDC are deemed admitted upon entry of respondent’s default unless otherwise ordered by the court based on contrary evidence.  (Rules Proc. of State Bar, rule 200(d)(1)(A).)  </w:t>
      </w:r>
    </w:p>
    <w:p w:rsidR="00C30D45" w:rsidRDefault="00C30D45" w:rsidP="005E28F8">
      <w:pPr>
        <w:spacing w:line="480" w:lineRule="auto"/>
        <w:ind w:firstLine="720"/>
      </w:pPr>
      <w:r>
        <w:t xml:space="preserve">Respondent was admitted to the practice of law in California on </w:t>
      </w:r>
      <w:r w:rsidR="00560328">
        <w:t>April 21, 1976</w:t>
      </w:r>
      <w:r>
        <w:t>, and has been a member of the State Bar of California at all times since that date.</w:t>
      </w:r>
    </w:p>
    <w:p w:rsidR="00C30D45" w:rsidRDefault="00C67D92" w:rsidP="005E28F8">
      <w:pPr>
        <w:spacing w:line="480" w:lineRule="auto"/>
        <w:rPr>
          <w:b/>
        </w:rPr>
      </w:pPr>
      <w:r>
        <w:rPr>
          <w:b/>
        </w:rPr>
        <w:t xml:space="preserve">B.  </w:t>
      </w:r>
      <w:r w:rsidR="00F5455B">
        <w:rPr>
          <w:b/>
        </w:rPr>
        <w:t>General Background Facts</w:t>
      </w:r>
    </w:p>
    <w:p w:rsidR="00B75A43" w:rsidRPr="00B75A43" w:rsidRDefault="00B75A43" w:rsidP="00B75A43">
      <w:pPr>
        <w:spacing w:line="480" w:lineRule="auto"/>
        <w:ind w:firstLine="720"/>
        <w:rPr>
          <w:color w:val="000000"/>
        </w:rPr>
      </w:pPr>
      <w:r w:rsidRPr="008E5130">
        <w:rPr>
          <w:color w:val="000000"/>
        </w:rPr>
        <w:t xml:space="preserve">At all relevant times, respondent maintained a client trust account, Wells Fargo Bank account number </w:t>
      </w:r>
      <w:r>
        <w:rPr>
          <w:color w:val="000000"/>
        </w:rPr>
        <w:t>XXXXXX</w:t>
      </w:r>
      <w:r w:rsidRPr="008E5130">
        <w:rPr>
          <w:color w:val="000000"/>
        </w:rPr>
        <w:t>5746 (“the trust account”).  At all relevant times, the trust account was the sole client trust account maintained by respondent.</w:t>
      </w:r>
    </w:p>
    <w:p w:rsidR="00B75A43" w:rsidRPr="008E5130" w:rsidRDefault="00B75A43" w:rsidP="00B75A43">
      <w:pPr>
        <w:spacing w:line="480" w:lineRule="auto"/>
        <w:ind w:firstLine="720"/>
      </w:pPr>
      <w:r w:rsidRPr="008E5130">
        <w:rPr>
          <w:color w:val="000000"/>
        </w:rPr>
        <w:t xml:space="preserve">At all relevant times, respondent maintained additional bank accounts, none of which were client trust accounts.  These accounts include the following:  (1) Wells Fargo Bank account number </w:t>
      </w:r>
      <w:r>
        <w:rPr>
          <w:color w:val="000000"/>
        </w:rPr>
        <w:t>XXXXXX</w:t>
      </w:r>
      <w:r w:rsidRPr="008E5130">
        <w:rPr>
          <w:color w:val="000000"/>
        </w:rPr>
        <w:t xml:space="preserve">4497 (“account 97”); and (2) Wells Fargo Bank account number </w:t>
      </w:r>
      <w:r>
        <w:rPr>
          <w:color w:val="000000"/>
        </w:rPr>
        <w:t>XXXXXX</w:t>
      </w:r>
      <w:r w:rsidRPr="008E5130">
        <w:rPr>
          <w:color w:val="000000"/>
        </w:rPr>
        <w:t>5811 (“account 11”).</w:t>
      </w:r>
    </w:p>
    <w:p w:rsidR="00F50E58" w:rsidRPr="00F5455B" w:rsidRDefault="00F5455B" w:rsidP="00F5455B">
      <w:pPr>
        <w:spacing w:line="480" w:lineRule="auto"/>
        <w:rPr>
          <w:b/>
          <w:color w:val="000000"/>
        </w:rPr>
      </w:pPr>
      <w:r w:rsidRPr="00F5455B">
        <w:rPr>
          <w:b/>
          <w:color w:val="000000"/>
        </w:rPr>
        <w:t>C.  The Fisher Matter - Case No. 05-O-01947</w:t>
      </w:r>
    </w:p>
    <w:p w:rsidR="00F50E58" w:rsidRPr="006F1DE1" w:rsidRDefault="006F1DE1" w:rsidP="00BB36E7">
      <w:pPr>
        <w:spacing w:line="480" w:lineRule="auto"/>
        <w:ind w:firstLine="720"/>
        <w:rPr>
          <w:b/>
          <w:color w:val="000000"/>
        </w:rPr>
      </w:pPr>
      <w:r w:rsidRPr="006F1DE1">
        <w:rPr>
          <w:b/>
          <w:color w:val="000000"/>
        </w:rPr>
        <w:t>1.  Findings of Fact</w:t>
      </w:r>
    </w:p>
    <w:p w:rsidR="005F5871" w:rsidRDefault="00D13E29" w:rsidP="00D13E29">
      <w:pPr>
        <w:spacing w:line="480" w:lineRule="auto"/>
        <w:ind w:firstLine="720"/>
        <w:rPr>
          <w:color w:val="000000"/>
        </w:rPr>
      </w:pPr>
      <w:r w:rsidRPr="008E5130">
        <w:rPr>
          <w:color w:val="000000"/>
        </w:rPr>
        <w:t xml:space="preserve">In or about March 19, 2002, respondent was hired by Elise Fisher (“Fisher”) on a contingent fee basis to represent her in a wrongful death action, </w:t>
      </w:r>
      <w:r w:rsidRPr="008E5130">
        <w:rPr>
          <w:i/>
          <w:color w:val="000000"/>
        </w:rPr>
        <w:t>Elise Fisher v. John Muir Medical Center, et al.</w:t>
      </w:r>
      <w:r w:rsidRPr="008E5130">
        <w:rPr>
          <w:color w:val="000000"/>
        </w:rPr>
        <w:t>, Superior Court of California, County of Alameda, case number 841341-7 (“</w:t>
      </w:r>
      <w:r w:rsidRPr="008E5130">
        <w:rPr>
          <w:i/>
          <w:color w:val="000000"/>
        </w:rPr>
        <w:t>Fisher v. John Muir</w:t>
      </w:r>
      <w:r w:rsidRPr="008E5130">
        <w:rPr>
          <w:color w:val="000000"/>
        </w:rPr>
        <w:t xml:space="preserve">”).  </w:t>
      </w:r>
    </w:p>
    <w:p w:rsidR="006A3910" w:rsidRPr="006A3910" w:rsidRDefault="006A3910" w:rsidP="00D13E29">
      <w:pPr>
        <w:spacing w:line="480" w:lineRule="auto"/>
        <w:ind w:firstLine="720"/>
        <w:rPr>
          <w:color w:val="000000"/>
        </w:rPr>
      </w:pPr>
      <w:r>
        <w:rPr>
          <w:color w:val="000000"/>
        </w:rPr>
        <w:t xml:space="preserve">Between on or about June 13, 2002 and May 2, 2003, Fisher paid respondent $73,500 as an advance to pay the costs and expenses of litigation in </w:t>
      </w:r>
      <w:r>
        <w:rPr>
          <w:i/>
          <w:color w:val="000000"/>
        </w:rPr>
        <w:t>Fisher v. John Muir</w:t>
      </w:r>
      <w:r>
        <w:rPr>
          <w:color w:val="000000"/>
        </w:rPr>
        <w:t>.  Each of these payments was deposited into the trust account,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F5871" w:rsidTr="00B37B5E">
        <w:tc>
          <w:tcPr>
            <w:tcW w:w="4788" w:type="dxa"/>
          </w:tcPr>
          <w:p w:rsidR="005F5871" w:rsidRDefault="005F5871" w:rsidP="00B37B5E">
            <w:pPr>
              <w:jc w:val="center"/>
              <w:rPr>
                <w:color w:val="000000"/>
              </w:rPr>
            </w:pPr>
            <w:r w:rsidRPr="008E5130">
              <w:rPr>
                <w:rFonts w:cs="Times New Roman"/>
                <w:color w:val="000000"/>
                <w:szCs w:val="24"/>
                <w:u w:val="single"/>
              </w:rPr>
              <w:lastRenderedPageBreak/>
              <w:t>Date</w:t>
            </w:r>
          </w:p>
        </w:tc>
        <w:tc>
          <w:tcPr>
            <w:tcW w:w="4788" w:type="dxa"/>
          </w:tcPr>
          <w:p w:rsidR="005F5871" w:rsidRDefault="005F5871" w:rsidP="00B37B5E">
            <w:pPr>
              <w:jc w:val="center"/>
              <w:rPr>
                <w:color w:val="000000"/>
              </w:rPr>
            </w:pPr>
            <w:r w:rsidRPr="008E5130">
              <w:rPr>
                <w:rFonts w:cs="Times New Roman"/>
                <w:color w:val="000000"/>
                <w:szCs w:val="24"/>
                <w:u w:val="single"/>
              </w:rPr>
              <w:t>Amount</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6/13/02</w:t>
            </w:r>
          </w:p>
        </w:tc>
        <w:tc>
          <w:tcPr>
            <w:tcW w:w="4788" w:type="dxa"/>
          </w:tcPr>
          <w:p w:rsidR="005F5871" w:rsidRDefault="005F5871" w:rsidP="00B37B5E">
            <w:pPr>
              <w:jc w:val="center"/>
              <w:rPr>
                <w:color w:val="000000"/>
              </w:rPr>
            </w:pPr>
            <w:r w:rsidRPr="008E5130">
              <w:rPr>
                <w:rFonts w:cs="Times New Roman"/>
                <w:color w:val="000000"/>
                <w:szCs w:val="24"/>
              </w:rPr>
              <w:t>$10,000.00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6/28/02</w:t>
            </w:r>
          </w:p>
        </w:tc>
        <w:tc>
          <w:tcPr>
            <w:tcW w:w="4788" w:type="dxa"/>
          </w:tcPr>
          <w:p w:rsidR="005F5871" w:rsidRDefault="005F5871" w:rsidP="00B37B5E">
            <w:pPr>
              <w:jc w:val="center"/>
              <w:rPr>
                <w:color w:val="000000"/>
              </w:rPr>
            </w:pPr>
            <w:r w:rsidRPr="008E5130">
              <w:rPr>
                <w:rFonts w:cs="Times New Roman"/>
                <w:color w:val="000000"/>
                <w:szCs w:val="24"/>
              </w:rPr>
              <w:t>$5,000.00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8/20/02</w:t>
            </w:r>
          </w:p>
        </w:tc>
        <w:tc>
          <w:tcPr>
            <w:tcW w:w="4788" w:type="dxa"/>
          </w:tcPr>
          <w:p w:rsidR="005F5871" w:rsidRDefault="005F5871" w:rsidP="00B37B5E">
            <w:pPr>
              <w:jc w:val="center"/>
              <w:rPr>
                <w:color w:val="000000"/>
              </w:rPr>
            </w:pPr>
            <w:r w:rsidRPr="008E5130">
              <w:rPr>
                <w:rFonts w:cs="Times New Roman"/>
                <w:color w:val="000000"/>
                <w:szCs w:val="24"/>
              </w:rPr>
              <w:t>$5,000.00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10/1/02</w:t>
            </w:r>
          </w:p>
        </w:tc>
        <w:tc>
          <w:tcPr>
            <w:tcW w:w="4788" w:type="dxa"/>
          </w:tcPr>
          <w:p w:rsidR="005F5871" w:rsidRDefault="005F5871" w:rsidP="00B37B5E">
            <w:pPr>
              <w:jc w:val="center"/>
              <w:rPr>
                <w:color w:val="000000"/>
              </w:rPr>
            </w:pPr>
            <w:r w:rsidRPr="008E5130">
              <w:rPr>
                <w:rFonts w:cs="Times New Roman"/>
                <w:color w:val="000000"/>
                <w:szCs w:val="24"/>
              </w:rPr>
              <w:t>$8,000.00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11/25/02</w:t>
            </w:r>
          </w:p>
        </w:tc>
        <w:tc>
          <w:tcPr>
            <w:tcW w:w="4788" w:type="dxa"/>
          </w:tcPr>
          <w:p w:rsidR="005F5871" w:rsidRDefault="005F5871" w:rsidP="00B37B5E">
            <w:pPr>
              <w:jc w:val="center"/>
              <w:rPr>
                <w:color w:val="000000"/>
              </w:rPr>
            </w:pPr>
            <w:r w:rsidRPr="008E5130">
              <w:rPr>
                <w:rFonts w:cs="Times New Roman"/>
                <w:color w:val="000000"/>
                <w:szCs w:val="24"/>
              </w:rPr>
              <w:t>$5,000.00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11/25/02</w:t>
            </w:r>
          </w:p>
        </w:tc>
        <w:tc>
          <w:tcPr>
            <w:tcW w:w="4788" w:type="dxa"/>
          </w:tcPr>
          <w:p w:rsidR="005F5871" w:rsidRDefault="005F5871" w:rsidP="00B37B5E">
            <w:pPr>
              <w:jc w:val="center"/>
              <w:rPr>
                <w:color w:val="000000"/>
              </w:rPr>
            </w:pPr>
            <w:r w:rsidRPr="008E5130">
              <w:rPr>
                <w:rFonts w:cs="Times New Roman"/>
                <w:color w:val="000000"/>
                <w:szCs w:val="24"/>
              </w:rPr>
              <w:t>$1,500.00</w:t>
            </w:r>
          </w:p>
        </w:tc>
      </w:tr>
      <w:tr w:rsidR="005F5871" w:rsidTr="00B37B5E">
        <w:tc>
          <w:tcPr>
            <w:tcW w:w="4788" w:type="dxa"/>
          </w:tcPr>
          <w:p w:rsidR="005F5871" w:rsidRDefault="005F5871" w:rsidP="00B37B5E">
            <w:pPr>
              <w:jc w:val="center"/>
              <w:rPr>
                <w:color w:val="000000"/>
              </w:rPr>
            </w:pPr>
            <w:r w:rsidRPr="008E5130">
              <w:rPr>
                <w:rFonts w:cs="Times New Roman"/>
                <w:color w:val="000000"/>
                <w:szCs w:val="24"/>
              </w:rPr>
              <w:t>2/27/03</w:t>
            </w:r>
          </w:p>
        </w:tc>
        <w:tc>
          <w:tcPr>
            <w:tcW w:w="4788" w:type="dxa"/>
          </w:tcPr>
          <w:p w:rsidR="005F5871" w:rsidRDefault="005F5871" w:rsidP="00B37B5E">
            <w:pPr>
              <w:jc w:val="center"/>
              <w:rPr>
                <w:color w:val="000000"/>
              </w:rPr>
            </w:pPr>
            <w:r w:rsidRPr="008E5130">
              <w:rPr>
                <w:rFonts w:cs="Times New Roman"/>
                <w:color w:val="000000"/>
                <w:szCs w:val="24"/>
              </w:rPr>
              <w:t>$15,000.00</w:t>
            </w:r>
          </w:p>
        </w:tc>
      </w:tr>
      <w:tr w:rsidR="005F5871" w:rsidTr="00B37B5E">
        <w:tc>
          <w:tcPr>
            <w:tcW w:w="4788" w:type="dxa"/>
          </w:tcPr>
          <w:p w:rsidR="005F5871" w:rsidRPr="008E5130" w:rsidRDefault="005F5871" w:rsidP="00B37B5E">
            <w:pPr>
              <w:jc w:val="center"/>
              <w:rPr>
                <w:color w:val="000000"/>
              </w:rPr>
            </w:pPr>
            <w:r w:rsidRPr="008E5130">
              <w:rPr>
                <w:rFonts w:cs="Times New Roman"/>
                <w:color w:val="000000"/>
                <w:szCs w:val="24"/>
              </w:rPr>
              <w:t>3/28/03</w:t>
            </w:r>
          </w:p>
        </w:tc>
        <w:tc>
          <w:tcPr>
            <w:tcW w:w="4788" w:type="dxa"/>
          </w:tcPr>
          <w:p w:rsidR="005F5871" w:rsidRDefault="005F5871" w:rsidP="00B37B5E">
            <w:pPr>
              <w:jc w:val="center"/>
              <w:rPr>
                <w:color w:val="000000"/>
              </w:rPr>
            </w:pPr>
            <w:r w:rsidRPr="008E5130">
              <w:rPr>
                <w:rFonts w:cs="Times New Roman"/>
                <w:color w:val="000000"/>
                <w:szCs w:val="24"/>
              </w:rPr>
              <w:t>$15,000.00</w:t>
            </w:r>
          </w:p>
        </w:tc>
      </w:tr>
      <w:tr w:rsidR="005F5871" w:rsidTr="00B37B5E">
        <w:tc>
          <w:tcPr>
            <w:tcW w:w="4788" w:type="dxa"/>
          </w:tcPr>
          <w:p w:rsidR="005F5871" w:rsidRPr="008E5130" w:rsidRDefault="005F5871" w:rsidP="00B37B5E">
            <w:pPr>
              <w:jc w:val="center"/>
              <w:rPr>
                <w:color w:val="000000"/>
              </w:rPr>
            </w:pPr>
            <w:r w:rsidRPr="008E5130">
              <w:rPr>
                <w:rFonts w:cs="Times New Roman"/>
                <w:color w:val="000000"/>
                <w:szCs w:val="24"/>
              </w:rPr>
              <w:t>5/2/03</w:t>
            </w:r>
          </w:p>
        </w:tc>
        <w:tc>
          <w:tcPr>
            <w:tcW w:w="4788" w:type="dxa"/>
          </w:tcPr>
          <w:p w:rsidR="005F5871" w:rsidRDefault="005F5871" w:rsidP="00B37B5E">
            <w:pPr>
              <w:jc w:val="center"/>
              <w:rPr>
                <w:color w:val="000000"/>
              </w:rPr>
            </w:pPr>
            <w:r w:rsidRPr="008E5130">
              <w:rPr>
                <w:rFonts w:cs="Times New Roman"/>
                <w:color w:val="000000"/>
                <w:szCs w:val="24"/>
              </w:rPr>
              <w:t>$9,000.00</w:t>
            </w:r>
          </w:p>
        </w:tc>
      </w:tr>
    </w:tbl>
    <w:p w:rsidR="001B7E0C" w:rsidRDefault="001B7E0C" w:rsidP="005F5871">
      <w:pPr>
        <w:spacing w:line="480" w:lineRule="auto"/>
        <w:ind w:firstLine="720"/>
        <w:rPr>
          <w:color w:val="000000"/>
        </w:rPr>
      </w:pPr>
    </w:p>
    <w:p w:rsidR="001B7E0C" w:rsidRDefault="005F5871" w:rsidP="005F5871">
      <w:pPr>
        <w:spacing w:line="480" w:lineRule="auto"/>
        <w:ind w:firstLine="720"/>
        <w:rPr>
          <w:color w:val="000000"/>
        </w:rPr>
      </w:pPr>
      <w:r w:rsidRPr="008E5130">
        <w:rPr>
          <w:color w:val="000000"/>
        </w:rPr>
        <w:t xml:space="preserve">As an advance to pay the costs and expenses of litigation, the entire sum of $73,500 should have remained in the trust account until used to pay litigation costs and expenses in </w:t>
      </w:r>
      <w:r w:rsidRPr="008E5130">
        <w:rPr>
          <w:i/>
          <w:color w:val="000000"/>
        </w:rPr>
        <w:t>Fisher v. John Muir</w:t>
      </w:r>
      <w:r w:rsidRPr="008E5130">
        <w:rPr>
          <w:color w:val="000000"/>
        </w:rPr>
        <w:t xml:space="preserve">, or otherwise disbursed for the benefit of Fisher.  </w:t>
      </w:r>
    </w:p>
    <w:p w:rsidR="00D13E29" w:rsidRPr="008E5130" w:rsidRDefault="00D13E29" w:rsidP="005F5871">
      <w:pPr>
        <w:spacing w:line="480" w:lineRule="auto"/>
        <w:ind w:firstLine="720"/>
      </w:pPr>
      <w:r w:rsidRPr="008E5130">
        <w:rPr>
          <w:color w:val="000000"/>
        </w:rPr>
        <w:t xml:space="preserve">Through on or about May 10, 2004, respondent issued the following checks from the trust account in payment of litigation costs and expenses in </w:t>
      </w:r>
      <w:r w:rsidRPr="008E5130">
        <w:rPr>
          <w:i/>
          <w:color w:val="000000"/>
        </w:rPr>
        <w:t>Fisher v. John Muir</w:t>
      </w:r>
      <w:r w:rsidRPr="008E5130">
        <w:rPr>
          <w:color w:val="000000"/>
        </w:rPr>
        <w:t xml:space="preserve"> as follows:</w:t>
      </w:r>
    </w:p>
    <w:tbl>
      <w:tblPr>
        <w:tblW w:w="0" w:type="auto"/>
        <w:tblInd w:w="5" w:type="dxa"/>
        <w:tblLayout w:type="fixed"/>
        <w:tblCellMar>
          <w:left w:w="0" w:type="dxa"/>
          <w:right w:w="0" w:type="dxa"/>
        </w:tblCellMar>
        <w:tblLook w:val="04A0"/>
      </w:tblPr>
      <w:tblGrid>
        <w:gridCol w:w="1758"/>
        <w:gridCol w:w="1493"/>
        <w:gridCol w:w="3643"/>
        <w:gridCol w:w="1826"/>
      </w:tblGrid>
      <w:tr w:rsidR="00D13E29" w:rsidRPr="00287080" w:rsidTr="005F5871">
        <w:tc>
          <w:tcPr>
            <w:tcW w:w="1758" w:type="dxa"/>
          </w:tcPr>
          <w:p w:rsidR="00D13E29" w:rsidRPr="00287080" w:rsidRDefault="00D13E29" w:rsidP="005F5871">
            <w:pPr>
              <w:ind w:firstLine="720"/>
              <w:rPr>
                <w:u w:val="single"/>
              </w:rPr>
            </w:pPr>
            <w:r w:rsidRPr="00287080">
              <w:rPr>
                <w:color w:val="000000"/>
                <w:u w:val="single"/>
              </w:rPr>
              <w:t>Date</w:t>
            </w:r>
          </w:p>
        </w:tc>
        <w:tc>
          <w:tcPr>
            <w:tcW w:w="1493" w:type="dxa"/>
          </w:tcPr>
          <w:p w:rsidR="00D13E29" w:rsidRPr="00287080" w:rsidRDefault="00D13E29" w:rsidP="005F5871">
            <w:pPr>
              <w:ind w:firstLine="312"/>
              <w:rPr>
                <w:u w:val="single"/>
              </w:rPr>
            </w:pPr>
            <w:r w:rsidRPr="00287080">
              <w:rPr>
                <w:color w:val="000000"/>
                <w:u w:val="single"/>
              </w:rPr>
              <w:t>Check No.</w:t>
            </w:r>
          </w:p>
        </w:tc>
        <w:tc>
          <w:tcPr>
            <w:tcW w:w="3643" w:type="dxa"/>
          </w:tcPr>
          <w:p w:rsidR="00D13E29" w:rsidRPr="00287080" w:rsidRDefault="00D13E29" w:rsidP="005F5871">
            <w:pPr>
              <w:ind w:firstLine="720"/>
              <w:rPr>
                <w:u w:val="single"/>
              </w:rPr>
            </w:pPr>
            <w:r w:rsidRPr="00287080">
              <w:rPr>
                <w:color w:val="000000"/>
                <w:u w:val="single"/>
              </w:rPr>
              <w:t>Payee</w:t>
            </w:r>
          </w:p>
        </w:tc>
        <w:tc>
          <w:tcPr>
            <w:tcW w:w="1826" w:type="dxa"/>
          </w:tcPr>
          <w:p w:rsidR="00D13E29" w:rsidRPr="00287080" w:rsidRDefault="00D13E29" w:rsidP="005F5871">
            <w:pPr>
              <w:ind w:firstLine="396"/>
              <w:rPr>
                <w:u w:val="single"/>
              </w:rPr>
            </w:pPr>
            <w:r w:rsidRPr="00287080">
              <w:rPr>
                <w:color w:val="000000"/>
                <w:u w:val="single"/>
              </w:rPr>
              <w:t>Amount</w:t>
            </w:r>
          </w:p>
        </w:tc>
      </w:tr>
      <w:tr w:rsidR="00D13E29" w:rsidRPr="008E5130" w:rsidTr="005F5871">
        <w:tc>
          <w:tcPr>
            <w:tcW w:w="1758" w:type="dxa"/>
          </w:tcPr>
          <w:p w:rsidR="00D13E29" w:rsidRPr="008E5130" w:rsidRDefault="00D13E29" w:rsidP="005F5871">
            <w:pPr>
              <w:ind w:firstLine="720"/>
            </w:pPr>
            <w:r w:rsidRPr="008E5130">
              <w:rPr>
                <w:color w:val="000000"/>
              </w:rPr>
              <w:t>8/28/02</w:t>
            </w:r>
          </w:p>
        </w:tc>
        <w:tc>
          <w:tcPr>
            <w:tcW w:w="1493" w:type="dxa"/>
          </w:tcPr>
          <w:p w:rsidR="00D13E29" w:rsidRPr="008E5130" w:rsidRDefault="00D13E29" w:rsidP="005F5871">
            <w:pPr>
              <w:ind w:firstLine="582"/>
            </w:pPr>
            <w:r w:rsidRPr="008E5130">
              <w:rPr>
                <w:color w:val="000000"/>
              </w:rPr>
              <w:t>3889</w:t>
            </w:r>
          </w:p>
        </w:tc>
        <w:tc>
          <w:tcPr>
            <w:tcW w:w="3643" w:type="dxa"/>
          </w:tcPr>
          <w:p w:rsidR="00D13E29" w:rsidRPr="008E5130" w:rsidRDefault="00D13E29" w:rsidP="005F5871">
            <w:pPr>
              <w:ind w:firstLine="720"/>
            </w:pPr>
            <w:r w:rsidRPr="008E5130">
              <w:rPr>
                <w:color w:val="000000"/>
              </w:rPr>
              <w:t>Jane Morton, MD</w:t>
            </w:r>
          </w:p>
        </w:tc>
        <w:tc>
          <w:tcPr>
            <w:tcW w:w="1826" w:type="dxa"/>
          </w:tcPr>
          <w:p w:rsidR="00D13E29" w:rsidRPr="008E5130" w:rsidRDefault="00D13E29" w:rsidP="005F5871">
            <w:pPr>
              <w:ind w:firstLine="396"/>
            </w:pPr>
            <w:r w:rsidRPr="008E5130">
              <w:rPr>
                <w:color w:val="000000"/>
              </w:rPr>
              <w:t>$14,437.50</w:t>
            </w:r>
          </w:p>
        </w:tc>
      </w:tr>
      <w:tr w:rsidR="00D13E29" w:rsidRPr="008E5130" w:rsidTr="005F5871">
        <w:tc>
          <w:tcPr>
            <w:tcW w:w="1758" w:type="dxa"/>
          </w:tcPr>
          <w:p w:rsidR="00D13E29" w:rsidRPr="008E5130" w:rsidRDefault="00D13E29" w:rsidP="005F5871">
            <w:pPr>
              <w:ind w:firstLine="720"/>
            </w:pPr>
            <w:r w:rsidRPr="008E5130">
              <w:rPr>
                <w:color w:val="000000"/>
              </w:rPr>
              <w:t>9/11/02</w:t>
            </w:r>
          </w:p>
        </w:tc>
        <w:tc>
          <w:tcPr>
            <w:tcW w:w="1493" w:type="dxa"/>
          </w:tcPr>
          <w:p w:rsidR="00D13E29" w:rsidRPr="008E5130" w:rsidRDefault="00D13E29" w:rsidP="005F5871">
            <w:pPr>
              <w:ind w:firstLine="582"/>
            </w:pPr>
            <w:r w:rsidRPr="008E5130">
              <w:rPr>
                <w:color w:val="000000"/>
              </w:rPr>
              <w:t>4001</w:t>
            </w:r>
          </w:p>
        </w:tc>
        <w:tc>
          <w:tcPr>
            <w:tcW w:w="3643" w:type="dxa"/>
          </w:tcPr>
          <w:p w:rsidR="00D13E29" w:rsidRPr="008E5130" w:rsidRDefault="00D13E29" w:rsidP="005F5871">
            <w:pPr>
              <w:ind w:firstLine="720"/>
            </w:pPr>
            <w:r w:rsidRPr="008E5130">
              <w:rPr>
                <w:color w:val="000000"/>
              </w:rPr>
              <w:t>Tooker and Antz</w:t>
            </w:r>
          </w:p>
        </w:tc>
        <w:tc>
          <w:tcPr>
            <w:tcW w:w="1826" w:type="dxa"/>
          </w:tcPr>
          <w:p w:rsidR="00D13E29" w:rsidRPr="008E5130" w:rsidRDefault="00D13E29" w:rsidP="005F5871">
            <w:pPr>
              <w:ind w:firstLine="396"/>
            </w:pPr>
            <w:r w:rsidRPr="008E5130">
              <w:rPr>
                <w:color w:val="000000"/>
              </w:rPr>
              <w:t>$785.18</w:t>
            </w:r>
          </w:p>
        </w:tc>
      </w:tr>
      <w:tr w:rsidR="00D13E29" w:rsidRPr="008E5130" w:rsidTr="005F5871">
        <w:tc>
          <w:tcPr>
            <w:tcW w:w="1758" w:type="dxa"/>
          </w:tcPr>
          <w:p w:rsidR="00D13E29" w:rsidRPr="008E5130" w:rsidRDefault="00D13E29" w:rsidP="005F5871">
            <w:pPr>
              <w:ind w:firstLine="720"/>
            </w:pPr>
            <w:r w:rsidRPr="008E5130">
              <w:rPr>
                <w:color w:val="000000"/>
              </w:rPr>
              <w:t>11/20/02</w:t>
            </w:r>
          </w:p>
        </w:tc>
        <w:tc>
          <w:tcPr>
            <w:tcW w:w="1493" w:type="dxa"/>
          </w:tcPr>
          <w:p w:rsidR="00D13E29" w:rsidRPr="008E5130" w:rsidRDefault="00D13E29" w:rsidP="005F5871">
            <w:pPr>
              <w:ind w:firstLine="582"/>
            </w:pPr>
            <w:r w:rsidRPr="008E5130">
              <w:rPr>
                <w:color w:val="000000"/>
              </w:rPr>
              <w:t>4033</w:t>
            </w:r>
          </w:p>
        </w:tc>
        <w:tc>
          <w:tcPr>
            <w:tcW w:w="3643" w:type="dxa"/>
          </w:tcPr>
          <w:p w:rsidR="00D13E29" w:rsidRPr="008E5130" w:rsidRDefault="00D13E29" w:rsidP="005F5871">
            <w:pPr>
              <w:ind w:firstLine="720"/>
            </w:pPr>
            <w:r w:rsidRPr="008E5130">
              <w:rPr>
                <w:color w:val="000000"/>
              </w:rPr>
              <w:t>Kendra Tanacea, Esq.</w:t>
            </w:r>
          </w:p>
        </w:tc>
        <w:tc>
          <w:tcPr>
            <w:tcW w:w="1826" w:type="dxa"/>
          </w:tcPr>
          <w:p w:rsidR="00D13E29" w:rsidRPr="008E5130" w:rsidRDefault="00D13E29" w:rsidP="005F5871">
            <w:pPr>
              <w:ind w:firstLine="396"/>
            </w:pPr>
            <w:r w:rsidRPr="008E5130">
              <w:rPr>
                <w:color w:val="000000"/>
              </w:rPr>
              <w:t>$1,000.00</w:t>
            </w:r>
          </w:p>
        </w:tc>
      </w:tr>
      <w:tr w:rsidR="00D13E29" w:rsidRPr="008E5130" w:rsidTr="005F5871">
        <w:tc>
          <w:tcPr>
            <w:tcW w:w="1758" w:type="dxa"/>
          </w:tcPr>
          <w:p w:rsidR="00D13E29" w:rsidRPr="008E5130" w:rsidRDefault="00D13E29" w:rsidP="005F5871">
            <w:pPr>
              <w:ind w:firstLine="720"/>
            </w:pPr>
            <w:r w:rsidRPr="008E5130">
              <w:rPr>
                <w:color w:val="000000"/>
              </w:rPr>
              <w:t>11/22/02</w:t>
            </w:r>
          </w:p>
        </w:tc>
        <w:tc>
          <w:tcPr>
            <w:tcW w:w="1493" w:type="dxa"/>
          </w:tcPr>
          <w:p w:rsidR="00D13E29" w:rsidRPr="008E5130" w:rsidRDefault="00D13E29" w:rsidP="005F5871">
            <w:pPr>
              <w:ind w:firstLine="582"/>
            </w:pPr>
            <w:r w:rsidRPr="008E5130">
              <w:rPr>
                <w:color w:val="000000"/>
              </w:rPr>
              <w:t>4025</w:t>
            </w:r>
          </w:p>
        </w:tc>
        <w:tc>
          <w:tcPr>
            <w:tcW w:w="3643" w:type="dxa"/>
          </w:tcPr>
          <w:p w:rsidR="00D13E29" w:rsidRPr="008E5130" w:rsidRDefault="00D13E29" w:rsidP="005F5871">
            <w:pPr>
              <w:ind w:firstLine="720"/>
            </w:pPr>
            <w:r w:rsidRPr="008E5130">
              <w:rPr>
                <w:color w:val="000000"/>
              </w:rPr>
              <w:t>Jane Morton, MD</w:t>
            </w:r>
          </w:p>
        </w:tc>
        <w:tc>
          <w:tcPr>
            <w:tcW w:w="1826" w:type="dxa"/>
          </w:tcPr>
          <w:p w:rsidR="00D13E29" w:rsidRPr="008E5130" w:rsidRDefault="00D13E29" w:rsidP="005F5871">
            <w:pPr>
              <w:ind w:firstLine="396"/>
            </w:pPr>
            <w:r w:rsidRPr="008E5130">
              <w:rPr>
                <w:color w:val="000000"/>
              </w:rPr>
              <w:t>$12,666.50</w:t>
            </w:r>
          </w:p>
        </w:tc>
      </w:tr>
      <w:tr w:rsidR="00D13E29" w:rsidRPr="008E5130" w:rsidTr="005F5871">
        <w:tc>
          <w:tcPr>
            <w:tcW w:w="1758" w:type="dxa"/>
          </w:tcPr>
          <w:p w:rsidR="00D13E29" w:rsidRPr="008E5130" w:rsidRDefault="00D13E29" w:rsidP="005F5871">
            <w:pPr>
              <w:ind w:firstLine="720"/>
            </w:pPr>
            <w:r w:rsidRPr="008E5130">
              <w:rPr>
                <w:color w:val="000000"/>
              </w:rPr>
              <w:t>11/27/02</w:t>
            </w:r>
          </w:p>
        </w:tc>
        <w:tc>
          <w:tcPr>
            <w:tcW w:w="1493" w:type="dxa"/>
          </w:tcPr>
          <w:p w:rsidR="00D13E29" w:rsidRPr="008E5130" w:rsidRDefault="00D13E29" w:rsidP="005F5871">
            <w:pPr>
              <w:ind w:firstLine="582"/>
            </w:pPr>
            <w:r w:rsidRPr="008E5130">
              <w:rPr>
                <w:color w:val="000000"/>
              </w:rPr>
              <w:t>4032</w:t>
            </w:r>
          </w:p>
        </w:tc>
        <w:tc>
          <w:tcPr>
            <w:tcW w:w="3643" w:type="dxa"/>
          </w:tcPr>
          <w:p w:rsidR="00D13E29" w:rsidRPr="008E5130" w:rsidRDefault="00D13E29" w:rsidP="005F5871">
            <w:pPr>
              <w:ind w:firstLine="720"/>
            </w:pPr>
            <w:r w:rsidRPr="008E5130">
              <w:rPr>
                <w:color w:val="000000"/>
              </w:rPr>
              <w:t>Christopher Barton, MD</w:t>
            </w:r>
          </w:p>
        </w:tc>
        <w:tc>
          <w:tcPr>
            <w:tcW w:w="1826" w:type="dxa"/>
          </w:tcPr>
          <w:p w:rsidR="00D13E29" w:rsidRPr="008E5130" w:rsidRDefault="00D13E29" w:rsidP="005F5871">
            <w:pPr>
              <w:ind w:firstLine="396"/>
            </w:pPr>
            <w:r w:rsidRPr="008E5130">
              <w:rPr>
                <w:color w:val="000000"/>
              </w:rPr>
              <w:t>$687.50</w:t>
            </w:r>
          </w:p>
        </w:tc>
      </w:tr>
      <w:tr w:rsidR="00D13E29" w:rsidRPr="008E5130" w:rsidTr="005F5871">
        <w:tc>
          <w:tcPr>
            <w:tcW w:w="1758" w:type="dxa"/>
          </w:tcPr>
          <w:p w:rsidR="00D13E29" w:rsidRPr="008E5130" w:rsidRDefault="00D13E29" w:rsidP="005F5871">
            <w:pPr>
              <w:ind w:firstLine="720"/>
            </w:pPr>
            <w:r w:rsidRPr="008E5130">
              <w:rPr>
                <w:color w:val="000000"/>
              </w:rPr>
              <w:t>6/17/03</w:t>
            </w:r>
          </w:p>
        </w:tc>
        <w:tc>
          <w:tcPr>
            <w:tcW w:w="1493" w:type="dxa"/>
          </w:tcPr>
          <w:p w:rsidR="00D13E29" w:rsidRPr="008E5130" w:rsidRDefault="00D13E29" w:rsidP="005F5871">
            <w:pPr>
              <w:ind w:firstLine="582"/>
            </w:pPr>
            <w:r w:rsidRPr="008E5130">
              <w:rPr>
                <w:color w:val="000000"/>
              </w:rPr>
              <w:t>4046</w:t>
            </w:r>
          </w:p>
        </w:tc>
        <w:tc>
          <w:tcPr>
            <w:tcW w:w="3643" w:type="dxa"/>
          </w:tcPr>
          <w:p w:rsidR="00D13E29" w:rsidRPr="008E5130" w:rsidRDefault="00D13E29" w:rsidP="005F5871">
            <w:pPr>
              <w:ind w:firstLine="720"/>
            </w:pPr>
            <w:r w:rsidRPr="008E5130">
              <w:rPr>
                <w:color w:val="000000"/>
              </w:rPr>
              <w:t>University of C</w:t>
            </w:r>
            <w:r>
              <w:rPr>
                <w:color w:val="000000"/>
              </w:rPr>
              <w:t>A</w:t>
            </w:r>
            <w:r w:rsidRPr="008E5130">
              <w:rPr>
                <w:color w:val="000000"/>
              </w:rPr>
              <w:t xml:space="preserve"> Regents</w:t>
            </w:r>
          </w:p>
        </w:tc>
        <w:tc>
          <w:tcPr>
            <w:tcW w:w="1826" w:type="dxa"/>
          </w:tcPr>
          <w:p w:rsidR="00D13E29" w:rsidRPr="008E5130" w:rsidRDefault="00D13E29" w:rsidP="005F5871">
            <w:pPr>
              <w:ind w:firstLine="396"/>
            </w:pPr>
            <w:r w:rsidRPr="008E5130">
              <w:rPr>
                <w:color w:val="000000"/>
              </w:rPr>
              <w:t>$10,500.00</w:t>
            </w:r>
          </w:p>
        </w:tc>
      </w:tr>
      <w:tr w:rsidR="00D13E29" w:rsidRPr="008E5130" w:rsidTr="005F5871">
        <w:tc>
          <w:tcPr>
            <w:tcW w:w="1758" w:type="dxa"/>
          </w:tcPr>
          <w:p w:rsidR="00D13E29" w:rsidRPr="008E5130" w:rsidRDefault="00D13E29" w:rsidP="005F5871">
            <w:pPr>
              <w:ind w:firstLine="720"/>
              <w:rPr>
                <w:color w:val="000000"/>
              </w:rPr>
            </w:pPr>
            <w:r w:rsidRPr="008E5130">
              <w:rPr>
                <w:color w:val="000000"/>
              </w:rPr>
              <w:t>5/5/04</w:t>
            </w:r>
          </w:p>
        </w:tc>
        <w:tc>
          <w:tcPr>
            <w:tcW w:w="1493" w:type="dxa"/>
          </w:tcPr>
          <w:p w:rsidR="00D13E29" w:rsidRPr="008E5130" w:rsidRDefault="00D13E29" w:rsidP="005F5871">
            <w:pPr>
              <w:ind w:firstLine="582"/>
              <w:rPr>
                <w:color w:val="000000"/>
              </w:rPr>
            </w:pPr>
            <w:r w:rsidRPr="008E5130">
              <w:rPr>
                <w:color w:val="000000"/>
              </w:rPr>
              <w:t>4057</w:t>
            </w:r>
          </w:p>
        </w:tc>
        <w:tc>
          <w:tcPr>
            <w:tcW w:w="3643" w:type="dxa"/>
          </w:tcPr>
          <w:p w:rsidR="00D13E29" w:rsidRPr="008E5130" w:rsidRDefault="00D13E29" w:rsidP="005F5871">
            <w:pPr>
              <w:ind w:firstLine="720"/>
              <w:rPr>
                <w:color w:val="000000"/>
              </w:rPr>
            </w:pPr>
            <w:r w:rsidRPr="008E5130">
              <w:rPr>
                <w:color w:val="000000"/>
              </w:rPr>
              <w:t>Donald Schreiber, MD</w:t>
            </w:r>
          </w:p>
        </w:tc>
        <w:tc>
          <w:tcPr>
            <w:tcW w:w="1826" w:type="dxa"/>
          </w:tcPr>
          <w:p w:rsidR="00D13E29" w:rsidRPr="008E5130" w:rsidRDefault="00D13E29" w:rsidP="005F5871">
            <w:pPr>
              <w:ind w:firstLine="396"/>
              <w:rPr>
                <w:color w:val="000000"/>
              </w:rPr>
            </w:pPr>
            <w:r w:rsidRPr="008E5130">
              <w:rPr>
                <w:color w:val="000000"/>
              </w:rPr>
              <w:t>$1,000.00</w:t>
            </w:r>
          </w:p>
        </w:tc>
      </w:tr>
      <w:tr w:rsidR="00D13E29" w:rsidRPr="008E5130" w:rsidTr="005F5871">
        <w:tc>
          <w:tcPr>
            <w:tcW w:w="1758" w:type="dxa"/>
          </w:tcPr>
          <w:p w:rsidR="00D13E29" w:rsidRPr="008E5130" w:rsidRDefault="00D13E29" w:rsidP="005F5871">
            <w:pPr>
              <w:ind w:firstLine="720"/>
              <w:rPr>
                <w:color w:val="000000"/>
              </w:rPr>
            </w:pPr>
            <w:r w:rsidRPr="008E5130">
              <w:rPr>
                <w:color w:val="000000"/>
              </w:rPr>
              <w:t>5/5/04</w:t>
            </w:r>
          </w:p>
        </w:tc>
        <w:tc>
          <w:tcPr>
            <w:tcW w:w="1493" w:type="dxa"/>
          </w:tcPr>
          <w:p w:rsidR="00D13E29" w:rsidRPr="008E5130" w:rsidRDefault="00D13E29" w:rsidP="005F5871">
            <w:pPr>
              <w:ind w:firstLine="582"/>
              <w:rPr>
                <w:color w:val="000000"/>
              </w:rPr>
            </w:pPr>
            <w:r w:rsidRPr="008E5130">
              <w:rPr>
                <w:color w:val="000000"/>
              </w:rPr>
              <w:t>4050</w:t>
            </w:r>
          </w:p>
        </w:tc>
        <w:tc>
          <w:tcPr>
            <w:tcW w:w="3643" w:type="dxa"/>
          </w:tcPr>
          <w:p w:rsidR="00D13E29" w:rsidRPr="008E5130" w:rsidRDefault="00D13E29" w:rsidP="005F5871">
            <w:pPr>
              <w:ind w:firstLine="720"/>
              <w:rPr>
                <w:color w:val="000000"/>
              </w:rPr>
            </w:pPr>
            <w:r w:rsidRPr="008E5130">
              <w:rPr>
                <w:color w:val="000000"/>
              </w:rPr>
              <w:t>Karen Gunson, MD</w:t>
            </w:r>
          </w:p>
        </w:tc>
        <w:tc>
          <w:tcPr>
            <w:tcW w:w="1826" w:type="dxa"/>
          </w:tcPr>
          <w:p w:rsidR="00D13E29" w:rsidRPr="008E5130" w:rsidRDefault="00D13E29" w:rsidP="005F5871">
            <w:pPr>
              <w:ind w:firstLine="396"/>
              <w:rPr>
                <w:color w:val="000000"/>
              </w:rPr>
            </w:pPr>
            <w:r w:rsidRPr="008E5130">
              <w:rPr>
                <w:color w:val="000000"/>
              </w:rPr>
              <w:t>$1,000.00</w:t>
            </w:r>
          </w:p>
        </w:tc>
      </w:tr>
      <w:tr w:rsidR="00D13E29" w:rsidRPr="008E5130" w:rsidTr="005F5871">
        <w:tc>
          <w:tcPr>
            <w:tcW w:w="1758" w:type="dxa"/>
          </w:tcPr>
          <w:p w:rsidR="00D13E29" w:rsidRPr="008E5130" w:rsidRDefault="00D13E29" w:rsidP="005F5871">
            <w:pPr>
              <w:ind w:firstLine="720"/>
              <w:rPr>
                <w:color w:val="000000"/>
              </w:rPr>
            </w:pPr>
            <w:r w:rsidRPr="008E5130">
              <w:rPr>
                <w:color w:val="000000"/>
              </w:rPr>
              <w:t>5/7/04</w:t>
            </w:r>
          </w:p>
        </w:tc>
        <w:tc>
          <w:tcPr>
            <w:tcW w:w="1493" w:type="dxa"/>
          </w:tcPr>
          <w:p w:rsidR="00D13E29" w:rsidRPr="008E5130" w:rsidRDefault="00D13E29" w:rsidP="005F5871">
            <w:pPr>
              <w:ind w:firstLine="582"/>
              <w:rPr>
                <w:color w:val="000000"/>
              </w:rPr>
            </w:pPr>
            <w:r w:rsidRPr="008E5130">
              <w:rPr>
                <w:color w:val="000000"/>
              </w:rPr>
              <w:t>4041</w:t>
            </w:r>
          </w:p>
        </w:tc>
        <w:tc>
          <w:tcPr>
            <w:tcW w:w="3643" w:type="dxa"/>
          </w:tcPr>
          <w:p w:rsidR="00D13E29" w:rsidRPr="008E5130" w:rsidRDefault="00D13E29" w:rsidP="005F5871">
            <w:pPr>
              <w:ind w:firstLine="720"/>
              <w:rPr>
                <w:color w:val="000000"/>
              </w:rPr>
            </w:pPr>
            <w:r w:rsidRPr="008E5130">
              <w:rPr>
                <w:color w:val="000000"/>
              </w:rPr>
              <w:t>Patricia Callahan &amp; Assoc</w:t>
            </w:r>
            <w:r>
              <w:rPr>
                <w:color w:val="000000"/>
              </w:rPr>
              <w:t>.</w:t>
            </w:r>
          </w:p>
        </w:tc>
        <w:tc>
          <w:tcPr>
            <w:tcW w:w="1826" w:type="dxa"/>
          </w:tcPr>
          <w:p w:rsidR="00D13E29" w:rsidRPr="008E5130" w:rsidRDefault="00D13E29" w:rsidP="005F5871">
            <w:pPr>
              <w:ind w:firstLine="396"/>
              <w:rPr>
                <w:color w:val="000000"/>
              </w:rPr>
            </w:pPr>
            <w:r w:rsidRPr="008E5130">
              <w:rPr>
                <w:color w:val="000000"/>
              </w:rPr>
              <w:t>$8,870.40</w:t>
            </w:r>
          </w:p>
        </w:tc>
      </w:tr>
      <w:tr w:rsidR="00D13E29" w:rsidRPr="008E5130" w:rsidTr="005F5871">
        <w:tc>
          <w:tcPr>
            <w:tcW w:w="1758" w:type="dxa"/>
          </w:tcPr>
          <w:p w:rsidR="00D13E29" w:rsidRPr="008E5130" w:rsidRDefault="00D13E29" w:rsidP="005F5871">
            <w:pPr>
              <w:ind w:firstLine="720"/>
              <w:rPr>
                <w:color w:val="000000"/>
              </w:rPr>
            </w:pPr>
            <w:r w:rsidRPr="008E5130">
              <w:rPr>
                <w:color w:val="000000"/>
              </w:rPr>
              <w:t>5/10/04</w:t>
            </w:r>
          </w:p>
        </w:tc>
        <w:tc>
          <w:tcPr>
            <w:tcW w:w="1493" w:type="dxa"/>
          </w:tcPr>
          <w:p w:rsidR="00D13E29" w:rsidRPr="008E5130" w:rsidRDefault="00D13E29" w:rsidP="005F5871">
            <w:pPr>
              <w:ind w:firstLine="582"/>
              <w:rPr>
                <w:color w:val="000000"/>
              </w:rPr>
            </w:pPr>
            <w:r w:rsidRPr="008E5130">
              <w:rPr>
                <w:color w:val="000000"/>
              </w:rPr>
              <w:t>4040</w:t>
            </w:r>
          </w:p>
        </w:tc>
        <w:tc>
          <w:tcPr>
            <w:tcW w:w="3643" w:type="dxa"/>
          </w:tcPr>
          <w:p w:rsidR="00D13E29" w:rsidRPr="008E5130" w:rsidRDefault="00D13E29" w:rsidP="005F5871">
            <w:pPr>
              <w:ind w:firstLine="720"/>
              <w:rPr>
                <w:color w:val="000000"/>
              </w:rPr>
            </w:pPr>
            <w:r w:rsidRPr="008E5130">
              <w:rPr>
                <w:color w:val="000000"/>
              </w:rPr>
              <w:t>Christopher Barton, MD</w:t>
            </w:r>
          </w:p>
        </w:tc>
        <w:tc>
          <w:tcPr>
            <w:tcW w:w="1826" w:type="dxa"/>
          </w:tcPr>
          <w:p w:rsidR="00D13E29" w:rsidRPr="008E5130" w:rsidRDefault="00D13E29" w:rsidP="005F5871">
            <w:pPr>
              <w:ind w:firstLine="396"/>
              <w:rPr>
                <w:color w:val="000000"/>
              </w:rPr>
            </w:pPr>
            <w:r w:rsidRPr="008E5130">
              <w:rPr>
                <w:color w:val="000000"/>
              </w:rPr>
              <w:t>$1,500.00</w:t>
            </w:r>
          </w:p>
        </w:tc>
      </w:tr>
    </w:tbl>
    <w:p w:rsidR="00D13E29" w:rsidRPr="008E5130" w:rsidRDefault="00D13E29" w:rsidP="00D13E29">
      <w:pPr>
        <w:tabs>
          <w:tab w:val="num" w:pos="504"/>
        </w:tabs>
        <w:spacing w:line="480" w:lineRule="auto"/>
        <w:ind w:firstLine="900"/>
        <w:rPr>
          <w:color w:val="000000"/>
        </w:rPr>
      </w:pPr>
    </w:p>
    <w:p w:rsidR="00D13E29" w:rsidRPr="008E5130" w:rsidRDefault="00D13E29" w:rsidP="00D13E29">
      <w:pPr>
        <w:tabs>
          <w:tab w:val="num" w:pos="504"/>
        </w:tabs>
        <w:spacing w:line="480" w:lineRule="auto"/>
        <w:ind w:firstLine="720"/>
        <w:rPr>
          <w:color w:val="000000"/>
        </w:rPr>
      </w:pPr>
      <w:r w:rsidRPr="008E5130">
        <w:rPr>
          <w:color w:val="000000"/>
        </w:rPr>
        <w:t xml:space="preserve">The aggregate amount of the payments of litigation costs and expenses from the trust account through May 10, 2004, was $52,446.68.  Through May 10, 2004, respondent made no other payments from the trust account to pay litigation costs and expenses in </w:t>
      </w:r>
      <w:r w:rsidRPr="008E5130">
        <w:rPr>
          <w:i/>
          <w:color w:val="000000"/>
        </w:rPr>
        <w:t>Fisher v. John Muir</w:t>
      </w:r>
      <w:r w:rsidRPr="008E5130">
        <w:rPr>
          <w:color w:val="000000"/>
        </w:rPr>
        <w:t xml:space="preserve">, or otherwise for the benefit of Fisher.  However, during this period respondent made many other withdrawals from the trust account not for the benefit of Fisher.  </w:t>
      </w:r>
    </w:p>
    <w:p w:rsidR="00EC6C36" w:rsidRDefault="00D13E29" w:rsidP="00D13E29">
      <w:pPr>
        <w:tabs>
          <w:tab w:val="num" w:pos="504"/>
        </w:tabs>
        <w:spacing w:line="480" w:lineRule="auto"/>
        <w:ind w:firstLine="720"/>
        <w:rPr>
          <w:color w:val="000000"/>
        </w:rPr>
      </w:pPr>
      <w:r w:rsidRPr="008E5130">
        <w:rPr>
          <w:color w:val="000000"/>
        </w:rPr>
        <w:t>On May 10, 2004, after payment of trust account check number 4040 payable to Christopher Barton, MD, the balance of the trust account was $2,722.27.</w:t>
      </w:r>
      <w:r w:rsidR="001B7E0C">
        <w:rPr>
          <w:color w:val="000000"/>
        </w:rPr>
        <w:t xml:space="preserve">  Accordingly, </w:t>
      </w:r>
      <w:r w:rsidR="001B7E0C">
        <w:rPr>
          <w:color w:val="000000"/>
        </w:rPr>
        <w:lastRenderedPageBreak/>
        <w:t>r</w:t>
      </w:r>
      <w:r w:rsidR="00EC6C36" w:rsidRPr="008E5130">
        <w:rPr>
          <w:color w:val="000000"/>
        </w:rPr>
        <w:t xml:space="preserve">espondent misappropriated for his own personal purposes unrelated to the benefit of Fisher at least $18,331.05 of the $73,500 paid to him by Fisher for litigation costs and expenses in </w:t>
      </w:r>
      <w:r w:rsidR="00EC6C36" w:rsidRPr="008E5130">
        <w:rPr>
          <w:i/>
          <w:color w:val="000000"/>
        </w:rPr>
        <w:t>Fisher v. John Muir</w:t>
      </w:r>
      <w:r w:rsidR="00EC6C36" w:rsidRPr="008E5130">
        <w:rPr>
          <w:color w:val="000000"/>
        </w:rPr>
        <w:t>.</w:t>
      </w:r>
      <w:r w:rsidR="00031393">
        <w:rPr>
          <w:rStyle w:val="FootnoteReference"/>
          <w:color w:val="000000"/>
        </w:rPr>
        <w:footnoteReference w:id="5"/>
      </w:r>
    </w:p>
    <w:p w:rsidR="00EC6C36" w:rsidRDefault="001B7E0C" w:rsidP="00EC6C36">
      <w:pPr>
        <w:spacing w:line="480" w:lineRule="auto"/>
        <w:ind w:firstLine="720"/>
        <w:rPr>
          <w:color w:val="000000"/>
        </w:rPr>
      </w:pPr>
      <w:r>
        <w:t>In addition, w</w:t>
      </w:r>
      <w:r w:rsidR="00EC6C36" w:rsidRPr="008E5130">
        <w:rPr>
          <w:color w:val="000000"/>
        </w:rPr>
        <w:t>hil</w:t>
      </w:r>
      <w:r w:rsidR="00EC6C36">
        <w:rPr>
          <w:color w:val="000000"/>
        </w:rPr>
        <w:t>e the trust account contained cl</w:t>
      </w:r>
      <w:r w:rsidR="00EC6C36" w:rsidRPr="008E5130">
        <w:rPr>
          <w:color w:val="000000"/>
        </w:rPr>
        <w:t>ient</w:t>
      </w:r>
      <w:r w:rsidR="00EC6C36">
        <w:rPr>
          <w:color w:val="000000"/>
        </w:rPr>
        <w:t xml:space="preserve"> fu</w:t>
      </w:r>
      <w:r w:rsidR="00EC6C36" w:rsidRPr="008E5130">
        <w:rPr>
          <w:color w:val="000000"/>
        </w:rPr>
        <w:t xml:space="preserve">nds, respondent commingled funds belonging to himself personally, and not necessary to pay bank charges, into the trust account, </w:t>
      </w:r>
      <w:r w:rsidR="00EC6C36">
        <w:rPr>
          <w:color w:val="000000"/>
        </w:rPr>
        <w:t>including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070"/>
        <w:gridCol w:w="4848"/>
      </w:tblGrid>
      <w:tr w:rsidR="00EC6C36" w:rsidRPr="00243552" w:rsidTr="005F5871">
        <w:tc>
          <w:tcPr>
            <w:tcW w:w="1998" w:type="dxa"/>
          </w:tcPr>
          <w:p w:rsidR="00EC6C36" w:rsidRPr="00243552" w:rsidRDefault="00EC6C36" w:rsidP="005F5871">
            <w:pPr>
              <w:jc w:val="center"/>
              <w:rPr>
                <w:rFonts w:cs="Times New Roman"/>
                <w:color w:val="000000"/>
                <w:szCs w:val="24"/>
                <w:u w:val="single"/>
              </w:rPr>
            </w:pPr>
            <w:r w:rsidRPr="00243552">
              <w:rPr>
                <w:rFonts w:cs="Times New Roman"/>
                <w:color w:val="000000"/>
                <w:szCs w:val="24"/>
                <w:u w:val="single"/>
              </w:rPr>
              <w:t>Date</w:t>
            </w:r>
          </w:p>
        </w:tc>
        <w:tc>
          <w:tcPr>
            <w:tcW w:w="2070" w:type="dxa"/>
          </w:tcPr>
          <w:p w:rsidR="00EC6C36" w:rsidRPr="00243552" w:rsidRDefault="00EC6C36" w:rsidP="005F5871">
            <w:pPr>
              <w:jc w:val="center"/>
              <w:rPr>
                <w:rFonts w:cs="Times New Roman"/>
                <w:color w:val="000000"/>
                <w:szCs w:val="24"/>
                <w:u w:val="single"/>
              </w:rPr>
            </w:pPr>
            <w:r w:rsidRPr="00243552">
              <w:rPr>
                <w:rFonts w:cs="Times New Roman"/>
                <w:color w:val="000000"/>
                <w:szCs w:val="24"/>
                <w:u w:val="single"/>
              </w:rPr>
              <w:t>Amount</w:t>
            </w:r>
          </w:p>
        </w:tc>
        <w:tc>
          <w:tcPr>
            <w:tcW w:w="4848" w:type="dxa"/>
          </w:tcPr>
          <w:p w:rsidR="00EC6C36" w:rsidRPr="00243552" w:rsidRDefault="00EC6C36" w:rsidP="005F5871">
            <w:pPr>
              <w:jc w:val="center"/>
              <w:rPr>
                <w:rFonts w:cs="Times New Roman"/>
                <w:color w:val="000000"/>
                <w:szCs w:val="24"/>
                <w:u w:val="single"/>
              </w:rPr>
            </w:pPr>
            <w:r w:rsidRPr="00243552">
              <w:rPr>
                <w:rFonts w:cs="Times New Roman"/>
                <w:color w:val="000000"/>
                <w:szCs w:val="24"/>
                <w:u w:val="single"/>
              </w:rPr>
              <w:t>Method of deposit</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6/19/02</w:t>
            </w:r>
          </w:p>
        </w:tc>
        <w:tc>
          <w:tcPr>
            <w:tcW w:w="2070" w:type="dxa"/>
          </w:tcPr>
          <w:p w:rsidR="00EC6C36" w:rsidRDefault="00EC6C36" w:rsidP="005F5871">
            <w:pPr>
              <w:jc w:val="center"/>
              <w:rPr>
                <w:rFonts w:cs="Times New Roman"/>
                <w:color w:val="000000"/>
                <w:szCs w:val="24"/>
              </w:rPr>
            </w:pPr>
            <w:r>
              <w:rPr>
                <w:rFonts w:cs="Times New Roman"/>
                <w:color w:val="000000"/>
                <w:szCs w:val="24"/>
              </w:rPr>
              <w:t>$6,000.00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97</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8/7/03</w:t>
            </w:r>
          </w:p>
        </w:tc>
        <w:tc>
          <w:tcPr>
            <w:tcW w:w="2070" w:type="dxa"/>
          </w:tcPr>
          <w:p w:rsidR="00EC6C36" w:rsidRDefault="00EC6C36" w:rsidP="005F5871">
            <w:pPr>
              <w:jc w:val="center"/>
              <w:rPr>
                <w:rFonts w:cs="Times New Roman"/>
                <w:color w:val="000000"/>
                <w:szCs w:val="24"/>
              </w:rPr>
            </w:pPr>
            <w:r>
              <w:rPr>
                <w:rFonts w:cs="Times New Roman"/>
                <w:color w:val="000000"/>
                <w:szCs w:val="24"/>
              </w:rPr>
              <w:t>$5,000.00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97</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4/29/04</w:t>
            </w:r>
          </w:p>
        </w:tc>
        <w:tc>
          <w:tcPr>
            <w:tcW w:w="2070" w:type="dxa"/>
          </w:tcPr>
          <w:p w:rsidR="00EC6C36" w:rsidRDefault="00EC6C36" w:rsidP="005F5871">
            <w:pPr>
              <w:jc w:val="center"/>
              <w:rPr>
                <w:rFonts w:cs="Times New Roman"/>
                <w:color w:val="000000"/>
                <w:szCs w:val="24"/>
              </w:rPr>
            </w:pPr>
            <w:r>
              <w:rPr>
                <w:rFonts w:cs="Times New Roman"/>
                <w:color w:val="000000"/>
                <w:szCs w:val="24"/>
              </w:rPr>
              <w:t>$15,000.00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11</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7/18/05</w:t>
            </w:r>
          </w:p>
        </w:tc>
        <w:tc>
          <w:tcPr>
            <w:tcW w:w="2070" w:type="dxa"/>
          </w:tcPr>
          <w:p w:rsidR="00EC6C36" w:rsidRDefault="00EC6C36" w:rsidP="005F5871">
            <w:pPr>
              <w:jc w:val="center"/>
              <w:rPr>
                <w:rFonts w:cs="Times New Roman"/>
                <w:color w:val="000000"/>
                <w:szCs w:val="24"/>
              </w:rPr>
            </w:pPr>
            <w:r>
              <w:rPr>
                <w:rFonts w:cs="Times New Roman"/>
                <w:color w:val="000000"/>
                <w:szCs w:val="24"/>
              </w:rPr>
              <w:t>$2,750.00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97</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7/25/05</w:t>
            </w:r>
          </w:p>
        </w:tc>
        <w:tc>
          <w:tcPr>
            <w:tcW w:w="2070" w:type="dxa"/>
          </w:tcPr>
          <w:p w:rsidR="00EC6C36" w:rsidRDefault="00EC6C36" w:rsidP="005F5871">
            <w:pPr>
              <w:jc w:val="center"/>
              <w:rPr>
                <w:rFonts w:cs="Times New Roman"/>
                <w:color w:val="000000"/>
                <w:szCs w:val="24"/>
              </w:rPr>
            </w:pPr>
            <w:r>
              <w:rPr>
                <w:rFonts w:cs="Times New Roman"/>
                <w:color w:val="000000"/>
                <w:szCs w:val="24"/>
              </w:rPr>
              <w:t>$4,000.00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11</w:t>
            </w:r>
          </w:p>
        </w:tc>
      </w:tr>
      <w:tr w:rsidR="00EC6C36" w:rsidTr="005F5871">
        <w:tc>
          <w:tcPr>
            <w:tcW w:w="1998" w:type="dxa"/>
          </w:tcPr>
          <w:p w:rsidR="00EC6C36" w:rsidRDefault="00EC6C36" w:rsidP="005F5871">
            <w:pPr>
              <w:jc w:val="center"/>
              <w:rPr>
                <w:rFonts w:cs="Times New Roman"/>
                <w:color w:val="000000"/>
                <w:szCs w:val="24"/>
              </w:rPr>
            </w:pPr>
            <w:r>
              <w:rPr>
                <w:rFonts w:cs="Times New Roman"/>
                <w:color w:val="000000"/>
                <w:szCs w:val="24"/>
              </w:rPr>
              <w:t>8/25/05</w:t>
            </w:r>
          </w:p>
        </w:tc>
        <w:tc>
          <w:tcPr>
            <w:tcW w:w="2070" w:type="dxa"/>
          </w:tcPr>
          <w:p w:rsidR="00EC6C36" w:rsidRDefault="00EC6C36" w:rsidP="005F5871">
            <w:pPr>
              <w:jc w:val="center"/>
              <w:rPr>
                <w:rFonts w:cs="Times New Roman"/>
                <w:color w:val="000000"/>
                <w:szCs w:val="24"/>
              </w:rPr>
            </w:pPr>
            <w:r>
              <w:rPr>
                <w:rFonts w:cs="Times New Roman"/>
                <w:color w:val="000000"/>
                <w:szCs w:val="24"/>
              </w:rPr>
              <w:t>$1,250.00</w:t>
            </w:r>
          </w:p>
        </w:tc>
        <w:tc>
          <w:tcPr>
            <w:tcW w:w="4848" w:type="dxa"/>
          </w:tcPr>
          <w:p w:rsidR="00EC6C36" w:rsidRDefault="00EC6C36" w:rsidP="005F5871">
            <w:pPr>
              <w:jc w:val="center"/>
              <w:rPr>
                <w:rFonts w:cs="Times New Roman"/>
                <w:color w:val="000000"/>
                <w:szCs w:val="24"/>
              </w:rPr>
            </w:pPr>
            <w:r>
              <w:rPr>
                <w:rFonts w:cs="Times New Roman"/>
                <w:color w:val="000000"/>
                <w:szCs w:val="24"/>
              </w:rPr>
              <w:t>Online transfer from account 97</w:t>
            </w:r>
          </w:p>
        </w:tc>
      </w:tr>
    </w:tbl>
    <w:p w:rsidR="00EC6C36" w:rsidRDefault="00EC6C36" w:rsidP="00EC6C36">
      <w:pPr>
        <w:spacing w:line="480" w:lineRule="auto"/>
        <w:ind w:firstLine="720"/>
        <w:rPr>
          <w:color w:val="000000"/>
        </w:rPr>
      </w:pPr>
    </w:p>
    <w:p w:rsidR="006F1DE1" w:rsidRPr="006F1DE1" w:rsidRDefault="006F1DE1" w:rsidP="00BB36E7">
      <w:pPr>
        <w:spacing w:line="480" w:lineRule="auto"/>
        <w:ind w:firstLine="720"/>
        <w:rPr>
          <w:b/>
          <w:color w:val="000000"/>
        </w:rPr>
      </w:pPr>
      <w:r w:rsidRPr="006F1DE1">
        <w:rPr>
          <w:b/>
          <w:color w:val="000000"/>
        </w:rPr>
        <w:t>2.  Conclusions of Law</w:t>
      </w:r>
    </w:p>
    <w:p w:rsidR="00D13E29" w:rsidRDefault="00D13E29" w:rsidP="0079692D">
      <w:pPr>
        <w:ind w:left="1440" w:hanging="360"/>
        <w:rPr>
          <w:b/>
          <w:color w:val="000000"/>
        </w:rPr>
      </w:pPr>
      <w:r>
        <w:rPr>
          <w:b/>
          <w:color w:val="000000"/>
        </w:rPr>
        <w:t xml:space="preserve">a.   </w:t>
      </w:r>
      <w:r w:rsidR="00664832">
        <w:rPr>
          <w:b/>
          <w:color w:val="000000"/>
        </w:rPr>
        <w:t>Count One</w:t>
      </w:r>
      <w:r w:rsidRPr="008E5130">
        <w:rPr>
          <w:b/>
          <w:color w:val="000000"/>
        </w:rPr>
        <w:t xml:space="preserve"> - Rules of Professional Conduct, </w:t>
      </w:r>
      <w:r w:rsidR="007D48EF">
        <w:rPr>
          <w:b/>
          <w:color w:val="000000"/>
        </w:rPr>
        <w:t>R</w:t>
      </w:r>
      <w:r w:rsidRPr="008E5130">
        <w:rPr>
          <w:b/>
          <w:color w:val="000000"/>
        </w:rPr>
        <w:t>ule 4-100(A)</w:t>
      </w:r>
      <w:r w:rsidR="0079692D">
        <w:rPr>
          <w:rStyle w:val="FootnoteReference"/>
          <w:b/>
          <w:color w:val="000000"/>
        </w:rPr>
        <w:footnoteReference w:id="6"/>
      </w:r>
      <w:r w:rsidRPr="008E5130">
        <w:rPr>
          <w:b/>
          <w:color w:val="000000"/>
        </w:rPr>
        <w:t xml:space="preserve"> - [Failure to Maintain Client Funds in Trust]</w:t>
      </w:r>
    </w:p>
    <w:p w:rsidR="0079692D" w:rsidRPr="008E5130" w:rsidRDefault="0079692D" w:rsidP="0079692D">
      <w:pPr>
        <w:ind w:left="1440" w:hanging="360"/>
        <w:rPr>
          <w:color w:val="000000"/>
        </w:rPr>
      </w:pPr>
    </w:p>
    <w:p w:rsidR="00D13E29" w:rsidRDefault="0079692D" w:rsidP="00D13E29">
      <w:pPr>
        <w:tabs>
          <w:tab w:val="num" w:pos="504"/>
        </w:tabs>
        <w:spacing w:line="480" w:lineRule="auto"/>
        <w:ind w:firstLine="720"/>
      </w:pPr>
      <w:r>
        <w:t xml:space="preserve">Rule 4-100(A) provides, in part, that all funds received or held for the benefit of clients must be deposited in an identifiable bank account which is properly labeled as a client trust account.  </w:t>
      </w:r>
      <w:r w:rsidRPr="002B06CF">
        <w:rPr>
          <w:color w:val="000000"/>
        </w:rPr>
        <w:t xml:space="preserve">By not maintaining in the trust account at least $18,331.05 of the $73,500 paid to him by Fisher for use in paying litigation costs and expenses in </w:t>
      </w:r>
      <w:r w:rsidRPr="007D48EF">
        <w:rPr>
          <w:i/>
          <w:color w:val="000000"/>
        </w:rPr>
        <w:t>Fisher v. John Muir</w:t>
      </w:r>
      <w:r>
        <w:t xml:space="preserve">, respondent failed to maintain </w:t>
      </w:r>
      <w:r w:rsidRPr="002B06CF">
        <w:rPr>
          <w:color w:val="000000"/>
        </w:rPr>
        <w:t xml:space="preserve">the balance of funds received for the benefit of a client </w:t>
      </w:r>
      <w:r>
        <w:t>in his client trust account, in willful violation of rule 4-100(A).</w:t>
      </w:r>
    </w:p>
    <w:p w:rsidR="00781D2F" w:rsidRDefault="00781D2F" w:rsidP="00D13E29">
      <w:pPr>
        <w:tabs>
          <w:tab w:val="num" w:pos="504"/>
        </w:tabs>
        <w:spacing w:line="480" w:lineRule="auto"/>
        <w:ind w:firstLine="720"/>
      </w:pPr>
    </w:p>
    <w:p w:rsidR="00781D2F" w:rsidRDefault="00781D2F" w:rsidP="00D13E29">
      <w:pPr>
        <w:tabs>
          <w:tab w:val="num" w:pos="504"/>
        </w:tabs>
        <w:spacing w:line="480" w:lineRule="auto"/>
        <w:ind w:firstLine="720"/>
        <w:rPr>
          <w:color w:val="000000"/>
          <w:highlight w:val="green"/>
        </w:rPr>
      </w:pPr>
    </w:p>
    <w:p w:rsidR="00664832" w:rsidRDefault="00664832" w:rsidP="004D713A">
      <w:pPr>
        <w:tabs>
          <w:tab w:val="num" w:pos="504"/>
        </w:tabs>
        <w:ind w:left="1440" w:hanging="360"/>
        <w:rPr>
          <w:b/>
          <w:color w:val="000000"/>
        </w:rPr>
      </w:pPr>
      <w:r w:rsidRPr="00664832">
        <w:rPr>
          <w:b/>
        </w:rPr>
        <w:lastRenderedPageBreak/>
        <w:t xml:space="preserve">b.  </w:t>
      </w:r>
      <w:r w:rsidRPr="00664832">
        <w:rPr>
          <w:b/>
          <w:color w:val="000000"/>
        </w:rPr>
        <w:t>Count Two</w:t>
      </w:r>
      <w:r w:rsidRPr="00664832">
        <w:rPr>
          <w:b/>
        </w:rPr>
        <w:t xml:space="preserve"> - </w:t>
      </w:r>
      <w:r w:rsidRPr="00664832">
        <w:rPr>
          <w:b/>
          <w:color w:val="000000"/>
        </w:rPr>
        <w:t>Business and Professions Code,</w:t>
      </w:r>
      <w:r>
        <w:rPr>
          <w:b/>
          <w:color w:val="000000"/>
        </w:rPr>
        <w:t xml:space="preserve"> </w:t>
      </w:r>
      <w:r w:rsidR="007D48EF">
        <w:rPr>
          <w:b/>
          <w:color w:val="000000"/>
        </w:rPr>
        <w:t>S</w:t>
      </w:r>
      <w:r>
        <w:rPr>
          <w:b/>
          <w:color w:val="000000"/>
        </w:rPr>
        <w:t>ection 6106 [Moral Turpitude -</w:t>
      </w:r>
      <w:r w:rsidRPr="00664832">
        <w:rPr>
          <w:b/>
          <w:color w:val="000000"/>
        </w:rPr>
        <w:t xml:space="preserve"> Misappropriation]</w:t>
      </w:r>
      <w:r w:rsidR="008712DA">
        <w:rPr>
          <w:rStyle w:val="FootnoteReference"/>
          <w:b/>
          <w:color w:val="000000"/>
        </w:rPr>
        <w:footnoteReference w:id="7"/>
      </w:r>
    </w:p>
    <w:p w:rsidR="0079692D" w:rsidRDefault="0079692D" w:rsidP="0079692D">
      <w:pPr>
        <w:tabs>
          <w:tab w:val="num" w:pos="504"/>
        </w:tabs>
        <w:ind w:left="1080" w:hanging="360"/>
        <w:rPr>
          <w:b/>
          <w:color w:val="000000"/>
        </w:rPr>
      </w:pPr>
    </w:p>
    <w:p w:rsidR="001E6910" w:rsidRDefault="001E6910" w:rsidP="001E6910">
      <w:pPr>
        <w:spacing w:line="480" w:lineRule="auto"/>
        <w:ind w:firstLine="720"/>
        <w:rPr>
          <w:color w:val="000000"/>
        </w:rPr>
      </w:pPr>
      <w:r>
        <w:t>Section 6106 provides that the commission of any act involving moral turpitude, dishonesty or corruption constitutes a cause for suspension or disbarment.  “‘There is no doubt that the wilful misappropriation of a client’s funds involves moral turpitude.  [Citations.]’  [Citations omitted.]”  (</w:t>
      </w:r>
      <w:r w:rsidRPr="00B31602">
        <w:rPr>
          <w:i/>
        </w:rPr>
        <w:t>McKnight v. State Bar</w:t>
      </w:r>
      <w:r>
        <w:t xml:space="preserve"> (1991) 53 Cal.3d 1025, 1033-1034.)  </w:t>
      </w:r>
      <w:r w:rsidRPr="00383FEB">
        <w:rPr>
          <w:color w:val="000000"/>
        </w:rPr>
        <w:t>By misappropriating $</w:t>
      </w:r>
      <w:r>
        <w:rPr>
          <w:color w:val="000000"/>
        </w:rPr>
        <w:t>18,331.05</w:t>
      </w:r>
      <w:r w:rsidRPr="00383FEB">
        <w:rPr>
          <w:color w:val="000000"/>
        </w:rPr>
        <w:t xml:space="preserve"> </w:t>
      </w:r>
      <w:r>
        <w:rPr>
          <w:color w:val="000000"/>
        </w:rPr>
        <w:t xml:space="preserve">paid to him by Fisher for litigation costs </w:t>
      </w:r>
      <w:r w:rsidRPr="00010ADF">
        <w:rPr>
          <w:color w:val="000000"/>
        </w:rPr>
        <w:t>and expenses</w:t>
      </w:r>
      <w:r w:rsidRPr="00383FEB">
        <w:rPr>
          <w:color w:val="000000"/>
        </w:rPr>
        <w:t xml:space="preserve">, respondent willfully </w:t>
      </w:r>
      <w:r>
        <w:rPr>
          <w:color w:val="000000"/>
        </w:rPr>
        <w:t>committed an act</w:t>
      </w:r>
      <w:r w:rsidRPr="00383FEB">
        <w:rPr>
          <w:color w:val="000000"/>
        </w:rPr>
        <w:t xml:space="preserve"> involving moral turpitude, dishonesty or corruption in violation of section 6106.</w:t>
      </w:r>
    </w:p>
    <w:p w:rsidR="00EC6C36" w:rsidRDefault="004D713A" w:rsidP="004D713A">
      <w:pPr>
        <w:ind w:left="1440" w:hanging="360"/>
        <w:rPr>
          <w:b/>
          <w:color w:val="000000"/>
        </w:rPr>
      </w:pPr>
      <w:r>
        <w:rPr>
          <w:b/>
          <w:color w:val="000000"/>
        </w:rPr>
        <w:t xml:space="preserve">c.   </w:t>
      </w:r>
      <w:r w:rsidR="00EC6C36">
        <w:rPr>
          <w:b/>
          <w:color w:val="000000"/>
        </w:rPr>
        <w:t>Count</w:t>
      </w:r>
      <w:r w:rsidR="00BD0B2C">
        <w:rPr>
          <w:b/>
          <w:color w:val="000000"/>
        </w:rPr>
        <w:t>s</w:t>
      </w:r>
      <w:r w:rsidR="00EC6C36">
        <w:rPr>
          <w:b/>
          <w:color w:val="000000"/>
        </w:rPr>
        <w:t xml:space="preserve"> Three -</w:t>
      </w:r>
      <w:r w:rsidR="00EC6C36" w:rsidRPr="008E5130">
        <w:rPr>
          <w:b/>
          <w:color w:val="000000"/>
        </w:rPr>
        <w:t xml:space="preserve"> </w:t>
      </w:r>
      <w:r w:rsidR="007D48EF">
        <w:rPr>
          <w:b/>
          <w:color w:val="000000"/>
        </w:rPr>
        <w:t>R</w:t>
      </w:r>
      <w:r w:rsidR="00EC6C36" w:rsidRPr="008E5130">
        <w:rPr>
          <w:b/>
          <w:color w:val="000000"/>
        </w:rPr>
        <w:t>ule 4-100(A) [Commingling Perso</w:t>
      </w:r>
      <w:r w:rsidR="00EA52D6">
        <w:rPr>
          <w:b/>
          <w:color w:val="000000"/>
        </w:rPr>
        <w:t xml:space="preserve">nal Funds in </w:t>
      </w:r>
      <w:r w:rsidR="00D65849">
        <w:rPr>
          <w:b/>
          <w:color w:val="000000"/>
        </w:rPr>
        <w:t xml:space="preserve">Client </w:t>
      </w:r>
      <w:r w:rsidR="00EA52D6">
        <w:rPr>
          <w:b/>
          <w:color w:val="000000"/>
        </w:rPr>
        <w:t>Trust</w:t>
      </w:r>
      <w:r w:rsidR="00D65849">
        <w:rPr>
          <w:b/>
          <w:color w:val="000000"/>
        </w:rPr>
        <w:t xml:space="preserve"> Account</w:t>
      </w:r>
      <w:r w:rsidR="00EC6C36" w:rsidRPr="008E5130">
        <w:rPr>
          <w:b/>
          <w:color w:val="000000"/>
        </w:rPr>
        <w:t>]</w:t>
      </w:r>
    </w:p>
    <w:p w:rsidR="002B06CF" w:rsidRDefault="002B06CF" w:rsidP="002B06CF">
      <w:pPr>
        <w:ind w:left="1080" w:hanging="360"/>
      </w:pPr>
    </w:p>
    <w:p w:rsidR="002B06CF" w:rsidRDefault="002B06CF" w:rsidP="002B06CF">
      <w:pPr>
        <w:spacing w:line="480" w:lineRule="auto"/>
        <w:ind w:firstLine="720"/>
      </w:pPr>
      <w:r>
        <w:t xml:space="preserve">Rule 4-100(A) further provides that no funds belonging to the attorney shall be deposited in an identifiable bank account which is properly labeled as a client trust account or otherwise commingled therewith.  </w:t>
      </w:r>
      <w:r w:rsidRPr="002666A4">
        <w:rPr>
          <w:color w:val="000000"/>
        </w:rPr>
        <w:t xml:space="preserve">By depositing personal funds into the trust account when the trust account contained client funds, respondent </w:t>
      </w:r>
      <w:r>
        <w:t>misused his client trust account, in willful violation of rule 4-100(A).</w:t>
      </w:r>
      <w:r w:rsidR="00F908C2">
        <w:t xml:space="preserve"> </w:t>
      </w:r>
      <w:r>
        <w:t xml:space="preserve"> </w:t>
      </w:r>
    </w:p>
    <w:p w:rsidR="00EC6C36" w:rsidRDefault="00EC6C36" w:rsidP="004D713A">
      <w:pPr>
        <w:ind w:left="1440" w:hanging="360"/>
        <w:rPr>
          <w:b/>
          <w:color w:val="000000"/>
        </w:rPr>
      </w:pPr>
      <w:r w:rsidRPr="00EC6C36">
        <w:rPr>
          <w:b/>
        </w:rPr>
        <w:t xml:space="preserve">d.  </w:t>
      </w:r>
      <w:r w:rsidR="004D713A">
        <w:rPr>
          <w:b/>
        </w:rPr>
        <w:t xml:space="preserve"> </w:t>
      </w:r>
      <w:r w:rsidRPr="00EC6C36">
        <w:rPr>
          <w:b/>
          <w:color w:val="000000"/>
        </w:rPr>
        <w:t xml:space="preserve">Count Four - </w:t>
      </w:r>
      <w:r w:rsidR="000F3E8F">
        <w:rPr>
          <w:b/>
          <w:color w:val="000000"/>
        </w:rPr>
        <w:t>R</w:t>
      </w:r>
      <w:r w:rsidRPr="00EC6C36">
        <w:rPr>
          <w:b/>
          <w:color w:val="000000"/>
        </w:rPr>
        <w:t xml:space="preserve">ule 4-100(A) [Failure to Deposit Client Funds in </w:t>
      </w:r>
      <w:r w:rsidR="00915110">
        <w:rPr>
          <w:b/>
          <w:color w:val="000000"/>
        </w:rPr>
        <w:t xml:space="preserve">Client </w:t>
      </w:r>
      <w:r w:rsidRPr="00EC6C36">
        <w:rPr>
          <w:b/>
          <w:color w:val="000000"/>
        </w:rPr>
        <w:t>Trust</w:t>
      </w:r>
      <w:r w:rsidR="00915110">
        <w:rPr>
          <w:b/>
          <w:color w:val="000000"/>
        </w:rPr>
        <w:t xml:space="preserve"> Account</w:t>
      </w:r>
      <w:r w:rsidRPr="00EC6C36">
        <w:rPr>
          <w:b/>
          <w:color w:val="000000"/>
        </w:rPr>
        <w:t>]</w:t>
      </w:r>
    </w:p>
    <w:p w:rsidR="007D48EF" w:rsidRPr="00EC6C36" w:rsidRDefault="007D48EF" w:rsidP="007D48EF">
      <w:pPr>
        <w:ind w:left="1080" w:hanging="360"/>
        <w:rPr>
          <w:b/>
        </w:rPr>
      </w:pPr>
    </w:p>
    <w:p w:rsidR="00EC6C36" w:rsidRDefault="003F05B2" w:rsidP="003F05B2">
      <w:pPr>
        <w:spacing w:line="480" w:lineRule="auto"/>
        <w:ind w:firstLine="720"/>
        <w:rPr>
          <w:color w:val="000000"/>
        </w:rPr>
      </w:pPr>
      <w:r w:rsidRPr="003F05B2">
        <w:rPr>
          <w:color w:val="000000"/>
        </w:rPr>
        <w:t>In Count Four, the State Bar alleges, in the alternative, that respondent violated rule 4-100(A) by depositing client funds into account 97 and account 11</w:t>
      </w:r>
      <w:r w:rsidR="00EC6C36" w:rsidRPr="003F05B2">
        <w:rPr>
          <w:color w:val="000000"/>
        </w:rPr>
        <w:t>.</w:t>
      </w:r>
      <w:r>
        <w:rPr>
          <w:color w:val="000000"/>
        </w:rPr>
        <w:t xml:space="preserve">  There is, however, no evidence before the court supporting this assertion.  Consequently, Count Four is dismissed with prejudice.</w:t>
      </w:r>
    </w:p>
    <w:p w:rsidR="00781D2F" w:rsidRDefault="00781D2F" w:rsidP="003F05B2">
      <w:pPr>
        <w:spacing w:line="480" w:lineRule="auto"/>
        <w:ind w:firstLine="720"/>
        <w:rPr>
          <w:color w:val="000000"/>
        </w:rPr>
      </w:pPr>
    </w:p>
    <w:p w:rsidR="00781D2F" w:rsidRDefault="00781D2F" w:rsidP="003F05B2">
      <w:pPr>
        <w:spacing w:line="480" w:lineRule="auto"/>
        <w:ind w:firstLine="720"/>
      </w:pPr>
    </w:p>
    <w:p w:rsidR="00F5455B" w:rsidRPr="00F5455B" w:rsidRDefault="00F5455B" w:rsidP="00F5455B">
      <w:pPr>
        <w:spacing w:line="480" w:lineRule="auto"/>
        <w:rPr>
          <w:b/>
        </w:rPr>
      </w:pPr>
      <w:r w:rsidRPr="00F5455B">
        <w:rPr>
          <w:b/>
        </w:rPr>
        <w:lastRenderedPageBreak/>
        <w:t xml:space="preserve">D.  </w:t>
      </w:r>
      <w:r w:rsidRPr="00F5455B">
        <w:rPr>
          <w:b/>
          <w:color w:val="000000"/>
        </w:rPr>
        <w:t>The Roosta Matter - Case No. 06-O-11380</w:t>
      </w:r>
    </w:p>
    <w:p w:rsidR="006F1DE1" w:rsidRPr="006F1DE1" w:rsidRDefault="006F1DE1" w:rsidP="006F1DE1">
      <w:pPr>
        <w:spacing w:line="480" w:lineRule="auto"/>
        <w:ind w:firstLine="720"/>
        <w:rPr>
          <w:b/>
          <w:color w:val="000000"/>
        </w:rPr>
      </w:pPr>
      <w:r w:rsidRPr="006F1DE1">
        <w:rPr>
          <w:b/>
          <w:color w:val="000000"/>
        </w:rPr>
        <w:t>1.  Findings of Fact</w:t>
      </w:r>
    </w:p>
    <w:p w:rsidR="00E14356" w:rsidRDefault="00E14356" w:rsidP="00E14356">
      <w:pPr>
        <w:spacing w:line="480" w:lineRule="auto"/>
        <w:ind w:firstLine="720"/>
        <w:rPr>
          <w:b/>
        </w:rPr>
      </w:pPr>
      <w:r w:rsidRPr="008E5130">
        <w:rPr>
          <w:color w:val="000000"/>
        </w:rPr>
        <w:t xml:space="preserve">On or about October 7, 2003, Gohar Roosta (“Roosta”) hired respondent to represent her in an action for injuries suffered in a traffic accident, </w:t>
      </w:r>
      <w:r w:rsidRPr="00793EBB">
        <w:rPr>
          <w:i/>
          <w:color w:val="000000"/>
        </w:rPr>
        <w:t>Gohar Roosta v</w:t>
      </w:r>
      <w:r>
        <w:rPr>
          <w:i/>
          <w:color w:val="000000"/>
        </w:rPr>
        <w:t xml:space="preserve">. </w:t>
      </w:r>
      <w:r w:rsidRPr="00793EBB">
        <w:rPr>
          <w:i/>
          <w:color w:val="000000"/>
        </w:rPr>
        <w:t>Maria Rodriguez-Ramos</w:t>
      </w:r>
      <w:r w:rsidRPr="008E5130">
        <w:rPr>
          <w:color w:val="000000"/>
        </w:rPr>
        <w:t>, Superior Court of California, County of Contra Costa, case number CO5- 02134 (“</w:t>
      </w:r>
      <w:r w:rsidRPr="000F3E8F">
        <w:rPr>
          <w:i/>
          <w:color w:val="000000"/>
        </w:rPr>
        <w:t>Roosta v. Rodriguez-Ramos</w:t>
      </w:r>
      <w:r w:rsidRPr="008E5130">
        <w:rPr>
          <w:color w:val="000000"/>
        </w:rPr>
        <w:t>”).</w:t>
      </w:r>
    </w:p>
    <w:p w:rsidR="00E14356" w:rsidRDefault="00E14356" w:rsidP="00E14356">
      <w:pPr>
        <w:spacing w:line="480" w:lineRule="auto"/>
        <w:ind w:firstLine="720"/>
        <w:rPr>
          <w:b/>
        </w:rPr>
      </w:pPr>
      <w:r>
        <w:rPr>
          <w:color w:val="000000"/>
        </w:rPr>
        <w:t>On or about March 1</w:t>
      </w:r>
      <w:r w:rsidRPr="008E5130">
        <w:rPr>
          <w:color w:val="000000"/>
        </w:rPr>
        <w:t xml:space="preserve">, 2005, Roosta provided respondent with her check number 283 in the amount of $1,000 (“check number 283”) as an advance to pay for the cost of an accident reconstruction report for use in </w:t>
      </w:r>
      <w:r w:rsidRPr="00793EBB">
        <w:rPr>
          <w:i/>
          <w:color w:val="000000"/>
        </w:rPr>
        <w:t>Roosta v. Rodriguez-Ramos</w:t>
      </w:r>
      <w:r w:rsidRPr="008E5130">
        <w:rPr>
          <w:color w:val="000000"/>
        </w:rPr>
        <w:t>.</w:t>
      </w:r>
    </w:p>
    <w:p w:rsidR="00E14356" w:rsidRDefault="00E14356" w:rsidP="00E14356">
      <w:pPr>
        <w:spacing w:line="480" w:lineRule="auto"/>
        <w:ind w:firstLine="720"/>
        <w:rPr>
          <w:b/>
        </w:rPr>
      </w:pPr>
      <w:r w:rsidRPr="008E5130">
        <w:rPr>
          <w:color w:val="000000"/>
        </w:rPr>
        <w:t>As an advance for costs and expenses, respondent was obligated to deposit check number 283 into a client trust account.  Check number 283</w:t>
      </w:r>
      <w:r w:rsidR="004E17EB">
        <w:rPr>
          <w:color w:val="000000"/>
        </w:rPr>
        <w:t>, however,</w:t>
      </w:r>
      <w:r w:rsidRPr="008E5130">
        <w:rPr>
          <w:color w:val="000000"/>
        </w:rPr>
        <w:t xml:space="preserve"> was never deposited into the trust account.</w:t>
      </w:r>
    </w:p>
    <w:p w:rsidR="00E14356" w:rsidRDefault="00E14356" w:rsidP="00E14356">
      <w:pPr>
        <w:spacing w:line="480" w:lineRule="auto"/>
        <w:ind w:firstLine="720"/>
        <w:rPr>
          <w:b/>
        </w:rPr>
      </w:pPr>
      <w:r w:rsidRPr="008E5130">
        <w:rPr>
          <w:color w:val="000000"/>
        </w:rPr>
        <w:t xml:space="preserve">On or about May 16, 2005, Roosta provided respondent with her check number 5002 in the amount of $1,000 (“check number 5002”) as an additional advance to pay for the cost of an accident reconstruction report for use in </w:t>
      </w:r>
      <w:r w:rsidRPr="00577540">
        <w:rPr>
          <w:i/>
          <w:color w:val="000000"/>
        </w:rPr>
        <w:t>Roosta v. Rodriguez-Ramos</w:t>
      </w:r>
      <w:r w:rsidRPr="008E5130">
        <w:rPr>
          <w:color w:val="000000"/>
        </w:rPr>
        <w:t>.</w:t>
      </w:r>
    </w:p>
    <w:p w:rsidR="00E14356" w:rsidRDefault="00E14356" w:rsidP="00E14356">
      <w:pPr>
        <w:spacing w:line="480" w:lineRule="auto"/>
        <w:ind w:firstLine="720"/>
        <w:rPr>
          <w:b/>
        </w:rPr>
      </w:pPr>
      <w:r w:rsidRPr="008E5130">
        <w:rPr>
          <w:color w:val="000000"/>
        </w:rPr>
        <w:t>As an advance for costs and expenses, respondent was obligated to deposit check number 5002 into a client trust account.  Check number 5002</w:t>
      </w:r>
      <w:r w:rsidR="00252EF5">
        <w:rPr>
          <w:color w:val="000000"/>
        </w:rPr>
        <w:t>, however,</w:t>
      </w:r>
      <w:r w:rsidRPr="008E5130">
        <w:rPr>
          <w:color w:val="000000"/>
        </w:rPr>
        <w:t xml:space="preserve"> was never deposited into the trust account.</w:t>
      </w:r>
    </w:p>
    <w:p w:rsidR="006F1DE1" w:rsidRPr="006F1DE1" w:rsidRDefault="006F1DE1" w:rsidP="006F1DE1">
      <w:pPr>
        <w:spacing w:line="480" w:lineRule="auto"/>
        <w:ind w:firstLine="720"/>
        <w:rPr>
          <w:b/>
          <w:color w:val="000000"/>
        </w:rPr>
      </w:pPr>
      <w:r w:rsidRPr="006F1DE1">
        <w:rPr>
          <w:b/>
          <w:color w:val="000000"/>
        </w:rPr>
        <w:t>2.  Conclusions of Law</w:t>
      </w:r>
    </w:p>
    <w:p w:rsidR="006F1DE1" w:rsidRDefault="00E14356" w:rsidP="004D713A">
      <w:pPr>
        <w:spacing w:line="480" w:lineRule="auto"/>
        <w:ind w:firstLine="1080"/>
      </w:pPr>
      <w:r>
        <w:rPr>
          <w:b/>
          <w:color w:val="000000"/>
        </w:rPr>
        <w:t>a.  Count 5</w:t>
      </w:r>
      <w:r w:rsidR="005F5871" w:rsidRPr="00793EBB">
        <w:rPr>
          <w:b/>
          <w:color w:val="000000"/>
        </w:rPr>
        <w:t xml:space="preserve"> </w:t>
      </w:r>
      <w:r w:rsidR="005F5871">
        <w:rPr>
          <w:b/>
          <w:color w:val="000000"/>
        </w:rPr>
        <w:t xml:space="preserve">- </w:t>
      </w:r>
      <w:r w:rsidR="000F3E8F">
        <w:rPr>
          <w:b/>
          <w:color w:val="000000"/>
        </w:rPr>
        <w:t>R</w:t>
      </w:r>
      <w:r w:rsidR="005F5871" w:rsidRPr="00793EBB">
        <w:rPr>
          <w:b/>
          <w:color w:val="000000"/>
        </w:rPr>
        <w:t>ule 4-100(A) [Failure to Deposit Client Funds in Trust]</w:t>
      </w:r>
    </w:p>
    <w:p w:rsidR="005F5871" w:rsidRDefault="00E14356" w:rsidP="006F1DE1">
      <w:pPr>
        <w:spacing w:line="480" w:lineRule="auto"/>
        <w:ind w:firstLine="720"/>
      </w:pPr>
      <w:r w:rsidRPr="008C6911">
        <w:rPr>
          <w:color w:val="000000"/>
        </w:rPr>
        <w:t>By not depositing check number 283 and check number 5002 into the trust account, respondent failed to deposit funds received for the benefit of a client in a bank account labeled “Trust Account,” “Client’s Funds Account” or words of similar import</w:t>
      </w:r>
      <w:r w:rsidR="000F3E8F" w:rsidRPr="008C6911">
        <w:rPr>
          <w:color w:val="000000"/>
        </w:rPr>
        <w:t xml:space="preserve">, </w:t>
      </w:r>
      <w:r w:rsidR="000F3E8F">
        <w:t xml:space="preserve">in willful violation of rule 4-100(A).  </w:t>
      </w:r>
    </w:p>
    <w:p w:rsidR="00F5455B" w:rsidRDefault="00F5455B" w:rsidP="00F5455B">
      <w:pPr>
        <w:spacing w:line="480" w:lineRule="auto"/>
      </w:pPr>
      <w:r>
        <w:rPr>
          <w:b/>
          <w:color w:val="000000"/>
        </w:rPr>
        <w:lastRenderedPageBreak/>
        <w:t xml:space="preserve">E.  </w:t>
      </w:r>
      <w:r w:rsidRPr="00BE2943">
        <w:rPr>
          <w:b/>
          <w:color w:val="000000"/>
        </w:rPr>
        <w:t>The Maggiani Matter</w:t>
      </w:r>
      <w:r>
        <w:rPr>
          <w:b/>
          <w:color w:val="000000"/>
        </w:rPr>
        <w:t xml:space="preserve"> - Case No. </w:t>
      </w:r>
      <w:r w:rsidRPr="00BE2943">
        <w:rPr>
          <w:b/>
          <w:color w:val="000000"/>
        </w:rPr>
        <w:t>07</w:t>
      </w:r>
      <w:r>
        <w:rPr>
          <w:b/>
          <w:color w:val="000000"/>
        </w:rPr>
        <w:t>-O-</w:t>
      </w:r>
      <w:r w:rsidRPr="00BE2943">
        <w:rPr>
          <w:b/>
          <w:color w:val="000000"/>
        </w:rPr>
        <w:t>10438</w:t>
      </w:r>
    </w:p>
    <w:p w:rsidR="006F1DE1" w:rsidRPr="006F1DE1" w:rsidRDefault="006F1DE1" w:rsidP="006F1DE1">
      <w:pPr>
        <w:spacing w:line="480" w:lineRule="auto"/>
        <w:ind w:firstLine="720"/>
        <w:rPr>
          <w:b/>
          <w:color w:val="000000"/>
        </w:rPr>
      </w:pPr>
      <w:r w:rsidRPr="006F1DE1">
        <w:rPr>
          <w:b/>
          <w:color w:val="000000"/>
        </w:rPr>
        <w:t>1.  Findings of Fact</w:t>
      </w:r>
    </w:p>
    <w:p w:rsidR="00E14356" w:rsidRDefault="00E14356" w:rsidP="00E14356">
      <w:pPr>
        <w:spacing w:line="480" w:lineRule="auto"/>
        <w:ind w:firstLine="720"/>
        <w:rPr>
          <w:b/>
        </w:rPr>
      </w:pPr>
      <w:r w:rsidRPr="008E5130">
        <w:rPr>
          <w:color w:val="000000"/>
        </w:rPr>
        <w:t>On or about October 8, 2004, Melinda R</w:t>
      </w:r>
      <w:r>
        <w:rPr>
          <w:color w:val="000000"/>
        </w:rPr>
        <w:t xml:space="preserve">. </w:t>
      </w:r>
      <w:r w:rsidRPr="008E5130">
        <w:rPr>
          <w:color w:val="000000"/>
        </w:rPr>
        <w:t xml:space="preserve">Maggiani (“Maggiani”) hired respondent to represent her in a medical malpractice matter, </w:t>
      </w:r>
      <w:r w:rsidRPr="00BE2943">
        <w:rPr>
          <w:i/>
          <w:color w:val="000000"/>
        </w:rPr>
        <w:t>Maggiani v. University of Southern California</w:t>
      </w:r>
      <w:r w:rsidRPr="008E5130">
        <w:rPr>
          <w:color w:val="000000"/>
        </w:rPr>
        <w:t xml:space="preserve">, </w:t>
      </w:r>
      <w:r w:rsidRPr="008C1560">
        <w:rPr>
          <w:i/>
          <w:color w:val="000000"/>
        </w:rPr>
        <w:t>et al.</w:t>
      </w:r>
      <w:r w:rsidRPr="008E5130">
        <w:rPr>
          <w:color w:val="000000"/>
        </w:rPr>
        <w:t xml:space="preserve">, Superior Court of California, County of Los Angeles, </w:t>
      </w:r>
      <w:r>
        <w:rPr>
          <w:color w:val="000000"/>
        </w:rPr>
        <w:t xml:space="preserve">case no. </w:t>
      </w:r>
      <w:r w:rsidRPr="008E5130">
        <w:rPr>
          <w:color w:val="000000"/>
        </w:rPr>
        <w:t>BC327154 (“</w:t>
      </w:r>
      <w:r w:rsidRPr="00BE2943">
        <w:rPr>
          <w:i/>
          <w:color w:val="000000"/>
        </w:rPr>
        <w:t>Maggiani v. USC</w:t>
      </w:r>
      <w:r>
        <w:rPr>
          <w:color w:val="000000"/>
        </w:rPr>
        <w:t>”</w:t>
      </w:r>
      <w:r w:rsidRPr="008E5130">
        <w:rPr>
          <w:color w:val="000000"/>
        </w:rPr>
        <w:t>).</w:t>
      </w:r>
      <w:r>
        <w:rPr>
          <w:color w:val="000000"/>
        </w:rPr>
        <w:t xml:space="preserve">  </w:t>
      </w:r>
    </w:p>
    <w:p w:rsidR="00E14356" w:rsidRDefault="00E14356" w:rsidP="00E14356">
      <w:pPr>
        <w:spacing w:line="480" w:lineRule="auto"/>
        <w:ind w:firstLine="720"/>
        <w:rPr>
          <w:b/>
        </w:rPr>
      </w:pPr>
      <w:r w:rsidRPr="008E5130">
        <w:rPr>
          <w:color w:val="000000"/>
        </w:rPr>
        <w:t xml:space="preserve">To finance the costs and expenses of litigation in </w:t>
      </w:r>
      <w:r w:rsidRPr="00BE2943">
        <w:rPr>
          <w:i/>
          <w:color w:val="000000"/>
        </w:rPr>
        <w:t>Maggiani v. USC</w:t>
      </w:r>
      <w:r w:rsidRPr="008E5130">
        <w:rPr>
          <w:color w:val="000000"/>
        </w:rPr>
        <w:t>, at respondent’s suggestion, Maggiani entered into an agreement with Plaintiff Support Services (“PSS”), a company which advances money to individuals to fund lawsuits in exchange for a portion of</w:t>
      </w:r>
      <w:r>
        <w:rPr>
          <w:color w:val="000000"/>
        </w:rPr>
        <w:t xml:space="preserve"> future settlements.</w:t>
      </w:r>
    </w:p>
    <w:p w:rsidR="00E14356" w:rsidRDefault="00E14356" w:rsidP="00E14356">
      <w:pPr>
        <w:spacing w:line="480" w:lineRule="auto"/>
        <w:ind w:firstLine="720"/>
      </w:pPr>
      <w:r w:rsidRPr="008E5130">
        <w:rPr>
          <w:color w:val="000000"/>
        </w:rPr>
        <w:t>Under the terms of the agreement between Maggiani and PSS, in consideration for</w:t>
      </w:r>
      <w:r>
        <w:rPr>
          <w:color w:val="000000"/>
        </w:rPr>
        <w:t xml:space="preserve"> </w:t>
      </w:r>
      <w:r w:rsidRPr="008E5130">
        <w:rPr>
          <w:color w:val="000000"/>
        </w:rPr>
        <w:t xml:space="preserve">any advances, PSS was entitled: </w:t>
      </w:r>
      <w:r w:rsidR="000E3B24">
        <w:rPr>
          <w:color w:val="000000"/>
        </w:rPr>
        <w:t xml:space="preserve"> </w:t>
      </w:r>
      <w:r w:rsidRPr="008E5130">
        <w:rPr>
          <w:color w:val="000000"/>
        </w:rPr>
        <w:t>(1) to claim a 54% “rate of return;” and (2) to receive</w:t>
      </w:r>
      <w:r>
        <w:t xml:space="preserve"> </w:t>
      </w:r>
      <w:r w:rsidRPr="008E5130">
        <w:rPr>
          <w:color w:val="000000"/>
        </w:rPr>
        <w:t xml:space="preserve">repayment of the amount advanced, adjusted to reflect the rate of return upon settlement of </w:t>
      </w:r>
      <w:r w:rsidRPr="00BE2943">
        <w:rPr>
          <w:i/>
          <w:color w:val="000000"/>
        </w:rPr>
        <w:t>Maggiani v. USC</w:t>
      </w:r>
      <w:r w:rsidRPr="00252EF5">
        <w:rPr>
          <w:color w:val="000000"/>
        </w:rPr>
        <w:t>.</w:t>
      </w:r>
      <w:r w:rsidRPr="008E5130">
        <w:rPr>
          <w:color w:val="000000"/>
        </w:rPr>
        <w:t xml:space="preserve">  Maggiani was obligated to pay back the advances, as inflated by the “rate of return,” out of any settlement obtained in </w:t>
      </w:r>
      <w:r w:rsidRPr="00BE2943">
        <w:rPr>
          <w:i/>
          <w:color w:val="000000"/>
        </w:rPr>
        <w:t>Maggiani v. USC</w:t>
      </w:r>
      <w:r w:rsidRPr="008E5130">
        <w:rPr>
          <w:color w:val="000000"/>
        </w:rPr>
        <w:t>.</w:t>
      </w:r>
    </w:p>
    <w:p w:rsidR="00E14356" w:rsidRDefault="00E14356" w:rsidP="00E14356">
      <w:pPr>
        <w:spacing w:line="480" w:lineRule="auto"/>
        <w:ind w:firstLine="720"/>
      </w:pPr>
      <w:r w:rsidRPr="008E5130">
        <w:rPr>
          <w:color w:val="000000"/>
        </w:rPr>
        <w:t>On or about July 18, 2005, PSS issued its check number 8440 in the amount of $5,000, payable to Maggiani (“PSS check number 8440”).  PSS check number 8440 was sent directly to and received by respondent shortly after it issued.</w:t>
      </w:r>
      <w:r w:rsidR="00BA561D">
        <w:rPr>
          <w:color w:val="000000"/>
        </w:rPr>
        <w:t xml:space="preserve">  </w:t>
      </w:r>
      <w:r w:rsidRPr="008E5130">
        <w:rPr>
          <w:color w:val="000000"/>
        </w:rPr>
        <w:t>On or about July 22, 2005, respondent deposited PSS check number 8440 into</w:t>
      </w:r>
      <w:r>
        <w:rPr>
          <w:color w:val="000000"/>
        </w:rPr>
        <w:t xml:space="preserve"> </w:t>
      </w:r>
      <w:r w:rsidRPr="008E5130">
        <w:rPr>
          <w:color w:val="000000"/>
        </w:rPr>
        <w:t>account 11.</w:t>
      </w:r>
      <w:r w:rsidR="00BA561D">
        <w:rPr>
          <w:color w:val="000000"/>
        </w:rPr>
        <w:t xml:space="preserve">  </w:t>
      </w:r>
    </w:p>
    <w:p w:rsidR="00E14356" w:rsidRDefault="00E14356" w:rsidP="00E14356">
      <w:pPr>
        <w:spacing w:line="480" w:lineRule="auto"/>
        <w:ind w:firstLine="720"/>
      </w:pPr>
      <w:r w:rsidRPr="008E5130">
        <w:rPr>
          <w:color w:val="000000"/>
        </w:rPr>
        <w:t>On or about November 16, 2005, PSS issued its check number 9157 in the amount of $10,000, payable to Maggiani (“PSS check number 9157”).  PSS check number 9157 was sent directly to and received by respondent shortly after it issued.</w:t>
      </w:r>
      <w:r w:rsidR="00BA561D">
        <w:rPr>
          <w:color w:val="000000"/>
        </w:rPr>
        <w:t xml:space="preserve">  </w:t>
      </w:r>
      <w:r w:rsidRPr="008E5130">
        <w:rPr>
          <w:color w:val="000000"/>
        </w:rPr>
        <w:t>On or about November 19, 2005, respondent deposited PSS check number 9157 into account 11.</w:t>
      </w:r>
      <w:r w:rsidR="00BA561D">
        <w:rPr>
          <w:color w:val="000000"/>
        </w:rPr>
        <w:t xml:space="preserve">  </w:t>
      </w:r>
    </w:p>
    <w:p w:rsidR="00E14356" w:rsidRDefault="00E14356" w:rsidP="00E14356">
      <w:pPr>
        <w:spacing w:line="480" w:lineRule="auto"/>
        <w:ind w:firstLine="720"/>
      </w:pPr>
      <w:r w:rsidRPr="008E5130">
        <w:rPr>
          <w:color w:val="000000"/>
        </w:rPr>
        <w:lastRenderedPageBreak/>
        <w:t>On or about December 21, 2005, PSS issued its check number 9350 in the amount of $10,000, payable to Maggiani (“PSS check number 9350”).  PSS check number 9350 was sent directly to and received by respondent shortly after it issued.</w:t>
      </w:r>
      <w:r w:rsidR="003B53BE">
        <w:t xml:space="preserve">  </w:t>
      </w:r>
      <w:r w:rsidRPr="008E5130">
        <w:rPr>
          <w:color w:val="000000"/>
        </w:rPr>
        <w:t>On or about December 28, 2005, respondent deposited PSS check number 9350 into account 11.</w:t>
      </w:r>
    </w:p>
    <w:p w:rsidR="00E14356" w:rsidRDefault="00E14356" w:rsidP="00E14356">
      <w:pPr>
        <w:spacing w:line="480" w:lineRule="auto"/>
        <w:ind w:firstLine="720"/>
      </w:pPr>
      <w:r w:rsidRPr="008E5130">
        <w:rPr>
          <w:color w:val="000000"/>
        </w:rPr>
        <w:t>On or about January 20, 2006, PSS issued its check number 9509 in the amount of $7,500, payable to Maggiani (“PSS check number 9509”).  PSS check number 9509 was sent directly to and received by respondent shortly after it issued.</w:t>
      </w:r>
      <w:r w:rsidR="00E80494">
        <w:t xml:space="preserve">  </w:t>
      </w:r>
      <w:r w:rsidRPr="008E5130">
        <w:rPr>
          <w:color w:val="000000"/>
        </w:rPr>
        <w:t>On or about January 23, 2006, respondent deposited PSS check number 9509 into account 11.</w:t>
      </w:r>
    </w:p>
    <w:p w:rsidR="00E14356" w:rsidRDefault="00E14356" w:rsidP="00E14356">
      <w:pPr>
        <w:spacing w:line="480" w:lineRule="auto"/>
        <w:ind w:firstLine="720"/>
      </w:pPr>
      <w:r w:rsidRPr="008E5130">
        <w:rPr>
          <w:color w:val="000000"/>
        </w:rPr>
        <w:t>On or about February 13, 2006, PSS issued its check number 1022 in the amount of $5,000, payable to Maggiani (“PSS check number 1022”).  PSS check number 1022 was sent directly to and received by respondent shortly after it issued.</w:t>
      </w:r>
      <w:r w:rsidR="00280FA0">
        <w:t xml:space="preserve">  </w:t>
      </w:r>
      <w:r w:rsidRPr="008E5130">
        <w:rPr>
          <w:color w:val="000000"/>
        </w:rPr>
        <w:t>On or about February 15, 2006, respondent deposited PSS check number 1022 into account 11.</w:t>
      </w:r>
    </w:p>
    <w:p w:rsidR="00E14356" w:rsidRDefault="00E14356" w:rsidP="00E14356">
      <w:pPr>
        <w:spacing w:line="480" w:lineRule="auto"/>
        <w:ind w:firstLine="720"/>
        <w:rPr>
          <w:color w:val="000000"/>
        </w:rPr>
      </w:pPr>
      <w:r w:rsidRPr="008E5130">
        <w:rPr>
          <w:color w:val="000000"/>
        </w:rPr>
        <w:t xml:space="preserve">At all relevant times, respondent knew that the proceeds of any funds obtained from PSS were intended for use in paying the costs and expenses of litigation in </w:t>
      </w:r>
      <w:r w:rsidRPr="00BE2943">
        <w:rPr>
          <w:i/>
          <w:color w:val="000000"/>
        </w:rPr>
        <w:t>Maggiani v. USC</w:t>
      </w:r>
      <w:r w:rsidRPr="008E5130">
        <w:rPr>
          <w:color w:val="000000"/>
        </w:rPr>
        <w:t>.  As advances for costs and expenses, all checks obtained from PSS should have been deposited into a trust account and their proceeds maintained in trust until used to pay costs and expenses of</w:t>
      </w:r>
      <w:r>
        <w:rPr>
          <w:color w:val="000000"/>
        </w:rPr>
        <w:t xml:space="preserve"> </w:t>
      </w:r>
      <w:r w:rsidRPr="008E5130">
        <w:rPr>
          <w:color w:val="000000"/>
        </w:rPr>
        <w:t xml:space="preserve">litigation in </w:t>
      </w:r>
      <w:r w:rsidRPr="00BE2943">
        <w:rPr>
          <w:i/>
          <w:color w:val="000000"/>
        </w:rPr>
        <w:t>Maggiani v. USC</w:t>
      </w:r>
      <w:r w:rsidRPr="008E5130">
        <w:rPr>
          <w:color w:val="000000"/>
        </w:rPr>
        <w:t>.</w:t>
      </w:r>
    </w:p>
    <w:p w:rsidR="00F60E17" w:rsidRDefault="00E14356" w:rsidP="00E14356">
      <w:pPr>
        <w:spacing w:line="480" w:lineRule="auto"/>
        <w:ind w:firstLine="720"/>
        <w:rPr>
          <w:color w:val="000000"/>
        </w:rPr>
      </w:pPr>
      <w:r w:rsidRPr="008E5130">
        <w:rPr>
          <w:color w:val="000000"/>
        </w:rPr>
        <w:t>Maggiani knew that respondent had arranged to have PSS check number 8440 issued.</w:t>
      </w:r>
      <w:r w:rsidR="00F60E17">
        <w:rPr>
          <w:b/>
        </w:rPr>
        <w:t xml:space="preserve">  </w:t>
      </w:r>
      <w:r w:rsidR="00F60E17" w:rsidRPr="008E5130">
        <w:rPr>
          <w:color w:val="000000"/>
        </w:rPr>
        <w:t>At no time</w:t>
      </w:r>
      <w:r w:rsidR="00F60E17">
        <w:rPr>
          <w:color w:val="000000"/>
        </w:rPr>
        <w:t>, however,</w:t>
      </w:r>
      <w:r w:rsidR="00F60E17" w:rsidRPr="008E5130">
        <w:rPr>
          <w:color w:val="000000"/>
        </w:rPr>
        <w:t xml:space="preserve"> did respondent inform Maggiani that he had requested additional advances from PSS beyond the initial $5,000 advance contained in PSS check number 8440.</w:t>
      </w:r>
      <w:r w:rsidR="00F60E17">
        <w:rPr>
          <w:color w:val="000000"/>
        </w:rPr>
        <w:t xml:space="preserve">  </w:t>
      </w:r>
    </w:p>
    <w:p w:rsidR="00E14356" w:rsidRPr="00F60E17" w:rsidRDefault="00E14356" w:rsidP="00E14356">
      <w:pPr>
        <w:spacing w:line="480" w:lineRule="auto"/>
        <w:ind w:firstLine="720"/>
        <w:rPr>
          <w:b/>
        </w:rPr>
      </w:pPr>
      <w:r w:rsidRPr="008E5130">
        <w:rPr>
          <w:color w:val="000000"/>
        </w:rPr>
        <w:t>Subsequent to on or about July 22, 2005, respondent requested and obtained four additional advances from PSS (PSS check numbers 9157, 9350, 9509 and 1022), totaling $32,500, under the terms and conditions of Maggiani’s original agreement with PSS.</w:t>
      </w:r>
      <w:r w:rsidR="00F60E17" w:rsidRPr="00F60E17">
        <w:t xml:space="preserve">  </w:t>
      </w:r>
      <w:r w:rsidRPr="008E5130">
        <w:rPr>
          <w:color w:val="000000"/>
        </w:rPr>
        <w:t>A</w:t>
      </w:r>
      <w:r>
        <w:rPr>
          <w:color w:val="000000"/>
        </w:rPr>
        <w:t xml:space="preserve">t no time </w:t>
      </w:r>
      <w:r>
        <w:rPr>
          <w:color w:val="000000"/>
        </w:rPr>
        <w:lastRenderedPageBreak/>
        <w:t>did respondent inform</w:t>
      </w:r>
      <w:r w:rsidRPr="008E5130">
        <w:rPr>
          <w:color w:val="000000"/>
        </w:rPr>
        <w:t xml:space="preserve"> Maggiani that he received and negotiated PSS check numbers 9157, 9350, 9509 and 1022.</w:t>
      </w:r>
    </w:p>
    <w:p w:rsidR="00E14356" w:rsidRDefault="00E14356" w:rsidP="00E14356">
      <w:pPr>
        <w:spacing w:line="480" w:lineRule="auto"/>
        <w:ind w:firstLine="720"/>
        <w:rPr>
          <w:b/>
        </w:rPr>
      </w:pPr>
      <w:r w:rsidRPr="008E5130">
        <w:rPr>
          <w:color w:val="000000"/>
        </w:rPr>
        <w:t xml:space="preserve">Among the defendants in </w:t>
      </w:r>
      <w:r w:rsidRPr="00BE2943">
        <w:rPr>
          <w:i/>
          <w:color w:val="000000"/>
        </w:rPr>
        <w:t>Maggiani v. USC</w:t>
      </w:r>
      <w:r w:rsidRPr="008E5130">
        <w:rPr>
          <w:color w:val="000000"/>
        </w:rPr>
        <w:t xml:space="preserve"> was Zbigniew Petrovich, M.D.  (“Petrovich”).</w:t>
      </w:r>
      <w:r w:rsidR="00460228">
        <w:rPr>
          <w:b/>
        </w:rPr>
        <w:t xml:space="preserve">  </w:t>
      </w:r>
      <w:r w:rsidRPr="008E5130">
        <w:rPr>
          <w:color w:val="000000"/>
        </w:rPr>
        <w:t>In or about January 2006, Maggiani, through respondent, agreed to settle with Petrovich for the sum of $850,000.00.  The settlement was structured, with Maggiani to receive an immediate lump sum payment of $250,000.00.</w:t>
      </w:r>
      <w:r>
        <w:rPr>
          <w:color w:val="000000"/>
        </w:rPr>
        <w:t xml:space="preserve">  </w:t>
      </w:r>
    </w:p>
    <w:p w:rsidR="00E14356" w:rsidRDefault="00E14356" w:rsidP="00E14356">
      <w:pPr>
        <w:spacing w:line="480" w:lineRule="auto"/>
        <w:ind w:firstLine="720"/>
        <w:rPr>
          <w:b/>
        </w:rPr>
      </w:pPr>
      <w:r w:rsidRPr="008E5130">
        <w:rPr>
          <w:color w:val="000000"/>
        </w:rPr>
        <w:t xml:space="preserve">On or about February 16, 2006, Petrovich’s insurance company, TIG Insurance </w:t>
      </w:r>
      <w:r w:rsidR="00966AA6">
        <w:rPr>
          <w:color w:val="000000"/>
        </w:rPr>
        <w:t>-</w:t>
      </w:r>
      <w:r w:rsidRPr="008E5130">
        <w:rPr>
          <w:color w:val="000000"/>
        </w:rPr>
        <w:t xml:space="preserve"> Napa Healthcare, issued check number 11476 in the amount of $250,000.00 (“TIG check number 11476”), payable to Maggiani and respondent as her attorney, issued in satisfaction of the lump sum payment provision of the settlement with Petrovich.</w:t>
      </w:r>
    </w:p>
    <w:p w:rsidR="00E14356" w:rsidRDefault="00E14356" w:rsidP="00E14356">
      <w:pPr>
        <w:spacing w:line="480" w:lineRule="auto"/>
        <w:ind w:firstLine="720"/>
        <w:rPr>
          <w:b/>
        </w:rPr>
      </w:pPr>
      <w:r w:rsidRPr="008E5130">
        <w:rPr>
          <w:color w:val="000000"/>
        </w:rPr>
        <w:t>TIG check number 11476 was deposited into the trust account on February 22, 2006.  After the deposit of TIG check number 11476, the balance of the trust account was $250,095.22.</w:t>
      </w:r>
    </w:p>
    <w:p w:rsidR="00E14356" w:rsidRPr="00BE594B" w:rsidRDefault="00E14356" w:rsidP="00E14356">
      <w:pPr>
        <w:spacing w:line="480" w:lineRule="auto"/>
        <w:ind w:firstLine="720"/>
        <w:rPr>
          <w:b/>
        </w:rPr>
      </w:pPr>
      <w:r w:rsidRPr="008E5130">
        <w:rPr>
          <w:color w:val="000000"/>
        </w:rPr>
        <w:t xml:space="preserve">Pursuant to Business and Professions Code section 6146, assuming respondent applied the proceeds of the PSS checks to appropriate costs and expenses of litigation in </w:t>
      </w:r>
      <w:r w:rsidRPr="00BE2943">
        <w:rPr>
          <w:i/>
          <w:color w:val="000000"/>
        </w:rPr>
        <w:t>Maggiani v. USC</w:t>
      </w:r>
      <w:r w:rsidRPr="008E5130">
        <w:rPr>
          <w:color w:val="000000"/>
        </w:rPr>
        <w:t xml:space="preserve">, at most respondent was entitled to fees from the settlement with Petrovich in the amount of </w:t>
      </w:r>
      <w:r>
        <w:rPr>
          <w:color w:val="000000"/>
        </w:rPr>
        <w:t>$</w:t>
      </w:r>
      <w:r w:rsidRPr="008E5130">
        <w:rPr>
          <w:color w:val="000000"/>
        </w:rPr>
        <w:t>185,991.65.  Respondent was e</w:t>
      </w:r>
      <w:r>
        <w:rPr>
          <w:color w:val="000000"/>
        </w:rPr>
        <w:t>ntitled to deduct no more than $</w:t>
      </w:r>
      <w:r w:rsidRPr="008E5130">
        <w:rPr>
          <w:color w:val="000000"/>
        </w:rPr>
        <w:t>49,922.31 from</w:t>
      </w:r>
      <w:r>
        <w:rPr>
          <w:b/>
        </w:rPr>
        <w:t xml:space="preserve"> </w:t>
      </w:r>
      <w:r w:rsidRPr="008E5130">
        <w:rPr>
          <w:color w:val="000000"/>
        </w:rPr>
        <w:t xml:space="preserve">the proceeds of TIG check number 11476 to pay costs and expenses of litigation in </w:t>
      </w:r>
      <w:r w:rsidRPr="00BE2943">
        <w:rPr>
          <w:i/>
          <w:color w:val="000000"/>
        </w:rPr>
        <w:t>Maggiani v. USC</w:t>
      </w:r>
      <w:r w:rsidRPr="008E5130">
        <w:rPr>
          <w:color w:val="000000"/>
        </w:rPr>
        <w:t>.</w:t>
      </w:r>
    </w:p>
    <w:p w:rsidR="00E14356" w:rsidRDefault="00E14356" w:rsidP="00E14356">
      <w:pPr>
        <w:spacing w:line="480" w:lineRule="auto"/>
        <w:ind w:firstLine="720"/>
        <w:rPr>
          <w:color w:val="000000"/>
        </w:rPr>
      </w:pPr>
      <w:r w:rsidRPr="008E5130">
        <w:rPr>
          <w:color w:val="000000"/>
        </w:rPr>
        <w:t xml:space="preserve">Respondent made no disbursements from the trust account to PSS to repay the PSS litigation costs advances.  </w:t>
      </w:r>
      <w:r w:rsidR="000F260E">
        <w:rPr>
          <w:color w:val="000000"/>
        </w:rPr>
        <w:t xml:space="preserve">Nor did respondent distribute any portion of the $250,000 to Maggiani.  </w:t>
      </w:r>
      <w:r w:rsidRPr="008E5130">
        <w:rPr>
          <w:color w:val="000000"/>
        </w:rPr>
        <w:t>However, between February 22, 2006, and August 17, 2006, respondent made other unauthorized withdrawals from the trust account for his own personal use</w:t>
      </w:r>
      <w:r w:rsidRPr="00121B2A">
        <w:rPr>
          <w:color w:val="000000"/>
        </w:rPr>
        <w:t xml:space="preserve"> </w:t>
      </w:r>
      <w:r w:rsidRPr="008E5130">
        <w:rPr>
          <w:color w:val="000000"/>
        </w:rPr>
        <w:t>and benefit, and which did not benefit Maggiani.</w:t>
      </w:r>
    </w:p>
    <w:p w:rsidR="00E14356" w:rsidRDefault="00E14356" w:rsidP="006F1DE1">
      <w:pPr>
        <w:spacing w:line="480" w:lineRule="auto"/>
        <w:ind w:firstLine="720"/>
        <w:rPr>
          <w:color w:val="000000"/>
        </w:rPr>
      </w:pPr>
      <w:r w:rsidRPr="008E5130">
        <w:rPr>
          <w:color w:val="000000"/>
        </w:rPr>
        <w:lastRenderedPageBreak/>
        <w:t>On August 17, 2006, the balance of the trust account was $1,672.91.  Respondent misappropriated at least $</w:t>
      </w:r>
      <w:r w:rsidR="00BB4E35">
        <w:rPr>
          <w:color w:val="000000"/>
        </w:rPr>
        <w:t>12,413.13</w:t>
      </w:r>
      <w:r w:rsidR="00BB4E35">
        <w:rPr>
          <w:rStyle w:val="FootnoteReference"/>
          <w:color w:val="000000"/>
        </w:rPr>
        <w:footnoteReference w:id="8"/>
      </w:r>
      <w:r w:rsidRPr="008E5130">
        <w:rPr>
          <w:color w:val="000000"/>
        </w:rPr>
        <w:t xml:space="preserve"> of funds belonging to Maggiani for his own purposes unrelated to the benefit of Maggiani.</w:t>
      </w:r>
    </w:p>
    <w:p w:rsidR="0092469C" w:rsidRDefault="0092469C" w:rsidP="0092469C">
      <w:pPr>
        <w:spacing w:line="480" w:lineRule="auto"/>
        <w:ind w:firstLine="720"/>
        <w:rPr>
          <w:b/>
        </w:rPr>
      </w:pPr>
      <w:r w:rsidRPr="008E5130">
        <w:rPr>
          <w:color w:val="000000"/>
        </w:rPr>
        <w:t xml:space="preserve">By Supreme Court order S133038, filed July 1, 2005, respondent was actually suspended for a minimum of </w:t>
      </w:r>
      <w:r>
        <w:rPr>
          <w:color w:val="000000"/>
        </w:rPr>
        <w:t>60</w:t>
      </w:r>
      <w:r w:rsidRPr="008E5130">
        <w:rPr>
          <w:color w:val="000000"/>
        </w:rPr>
        <w:t xml:space="preserve"> days, effective on or about July 31, 2005.  </w:t>
      </w:r>
    </w:p>
    <w:p w:rsidR="0092469C" w:rsidRDefault="0092469C" w:rsidP="0092469C">
      <w:pPr>
        <w:spacing w:line="480" w:lineRule="auto"/>
        <w:ind w:firstLine="720"/>
        <w:rPr>
          <w:b/>
        </w:rPr>
      </w:pPr>
      <w:r w:rsidRPr="008E5130">
        <w:rPr>
          <w:color w:val="000000"/>
        </w:rPr>
        <w:t xml:space="preserve">Upon motion of respondent the effective date of respondent’s suspension was continued multiple times.  The final continuance of the effective date of the respondent’s period of actual suspension was granted by Order of the Presiding Judge of the State Bar Court, which issued October 17, 2005 (“the October 17, 2005, Order of the Presiding Judge”).  </w:t>
      </w:r>
    </w:p>
    <w:p w:rsidR="0092469C" w:rsidRDefault="0092469C" w:rsidP="0092469C">
      <w:pPr>
        <w:spacing w:line="480" w:lineRule="auto"/>
        <w:ind w:firstLine="720"/>
        <w:rPr>
          <w:color w:val="000000"/>
        </w:rPr>
      </w:pPr>
      <w:r>
        <w:rPr>
          <w:color w:val="000000"/>
        </w:rPr>
        <w:t>The October 17, 2005</w:t>
      </w:r>
      <w:r w:rsidRPr="008E5130">
        <w:rPr>
          <w:color w:val="000000"/>
        </w:rPr>
        <w:t xml:space="preserve"> Order of the Presiding Judge provided that the effective date of respondent’s suspension was stayed until the conclusion of </w:t>
      </w:r>
      <w:r w:rsidRPr="00F07DF6">
        <w:rPr>
          <w:i/>
          <w:color w:val="000000"/>
        </w:rPr>
        <w:t>Ortiz v. John Muir Medical Center</w:t>
      </w:r>
      <w:r w:rsidRPr="008E5130">
        <w:rPr>
          <w:color w:val="000000"/>
        </w:rPr>
        <w:t xml:space="preserve"> and </w:t>
      </w:r>
      <w:r w:rsidRPr="00BE2943">
        <w:rPr>
          <w:i/>
          <w:color w:val="000000"/>
        </w:rPr>
        <w:t>Maggiani v. USC</w:t>
      </w:r>
      <w:r w:rsidRPr="008E5130">
        <w:rPr>
          <w:color w:val="000000"/>
        </w:rPr>
        <w:t>, or March 15, 2006, whichever was earlier.  The October 17, 2005 Order of the Presiding Judge further provided as follows:</w:t>
      </w:r>
      <w:r w:rsidR="00082A1E">
        <w:rPr>
          <w:color w:val="000000"/>
        </w:rPr>
        <w:t xml:space="preserve"> </w:t>
      </w:r>
      <w:r w:rsidRPr="008E5130">
        <w:rPr>
          <w:color w:val="000000"/>
        </w:rPr>
        <w:t xml:space="preserve"> “The Review Department contemplates no further extensions beyond March 15, 2006, in the event that either matter has not been concluded</w:t>
      </w:r>
      <w:r w:rsidRPr="00F07DF6">
        <w:rPr>
          <w:color w:val="000000"/>
        </w:rPr>
        <w:t xml:space="preserve"> </w:t>
      </w:r>
      <w:r w:rsidRPr="008E5130">
        <w:rPr>
          <w:color w:val="000000"/>
        </w:rPr>
        <w:t>by that time.”</w:t>
      </w:r>
    </w:p>
    <w:p w:rsidR="0092469C" w:rsidRDefault="0092469C" w:rsidP="0092469C">
      <w:pPr>
        <w:spacing w:line="480" w:lineRule="auto"/>
        <w:ind w:firstLine="720"/>
        <w:rPr>
          <w:color w:val="000000"/>
        </w:rPr>
      </w:pPr>
      <w:r w:rsidRPr="008E5130">
        <w:rPr>
          <w:color w:val="000000"/>
        </w:rPr>
        <w:t>Respondent received</w:t>
      </w:r>
      <w:r>
        <w:rPr>
          <w:color w:val="000000"/>
        </w:rPr>
        <w:t xml:space="preserve"> a copy of the October 17, 2005</w:t>
      </w:r>
      <w:r w:rsidR="00D323D4">
        <w:rPr>
          <w:color w:val="000000"/>
        </w:rPr>
        <w:t xml:space="preserve"> Order of the Presiding Judge</w:t>
      </w:r>
      <w:r w:rsidRPr="008E5130">
        <w:rPr>
          <w:color w:val="000000"/>
        </w:rPr>
        <w:t xml:space="preserve"> shortly after on or about October 17, 2005.  </w:t>
      </w:r>
    </w:p>
    <w:p w:rsidR="0092469C" w:rsidRDefault="0071113F" w:rsidP="0092469C">
      <w:pPr>
        <w:spacing w:line="480" w:lineRule="auto"/>
        <w:ind w:firstLine="720"/>
        <w:rPr>
          <w:color w:val="000000"/>
        </w:rPr>
      </w:pPr>
      <w:r>
        <w:rPr>
          <w:color w:val="000000"/>
        </w:rPr>
        <w:t>Upon</w:t>
      </w:r>
      <w:r w:rsidR="0092469C" w:rsidRPr="008E5130">
        <w:rPr>
          <w:color w:val="000000"/>
        </w:rPr>
        <w:t xml:space="preserve"> respondent’s settlement with Petrovich, USC and Kenneth Norris Jr</w:t>
      </w:r>
      <w:r w:rsidR="0092469C">
        <w:rPr>
          <w:color w:val="000000"/>
        </w:rPr>
        <w:t xml:space="preserve">. </w:t>
      </w:r>
      <w:r w:rsidR="0092469C" w:rsidRPr="008E5130">
        <w:rPr>
          <w:color w:val="000000"/>
        </w:rPr>
        <w:t xml:space="preserve">Cancer Hospital (“Cancer Hospital”) were the only remaining defendants in </w:t>
      </w:r>
      <w:r w:rsidR="0092469C" w:rsidRPr="00F07DF6">
        <w:rPr>
          <w:i/>
          <w:color w:val="000000"/>
        </w:rPr>
        <w:t>USC v. Maggiani</w:t>
      </w:r>
      <w:r w:rsidR="0092469C">
        <w:rPr>
          <w:color w:val="000000"/>
        </w:rPr>
        <w:t>; however, as of January</w:t>
      </w:r>
      <w:r w:rsidR="0092469C" w:rsidRPr="008E5130">
        <w:rPr>
          <w:color w:val="000000"/>
        </w:rPr>
        <w:t xml:space="preserve"> 2006, respondent had not effected service of process on defendant USC.</w:t>
      </w:r>
    </w:p>
    <w:p w:rsidR="0092469C" w:rsidRDefault="0092469C" w:rsidP="0092469C">
      <w:pPr>
        <w:spacing w:line="480" w:lineRule="auto"/>
        <w:ind w:firstLine="720"/>
        <w:rPr>
          <w:color w:val="000000"/>
        </w:rPr>
      </w:pPr>
      <w:r w:rsidRPr="008E5130">
        <w:rPr>
          <w:color w:val="000000"/>
        </w:rPr>
        <w:lastRenderedPageBreak/>
        <w:t xml:space="preserve">On or about January 13, 2006, counsel for defendants USC and Cancer Hospital filed a motion to continue the trial date in </w:t>
      </w:r>
      <w:r w:rsidRPr="00BE2943">
        <w:rPr>
          <w:i/>
          <w:color w:val="000000"/>
        </w:rPr>
        <w:t>Maggiani v. USC</w:t>
      </w:r>
      <w:r w:rsidRPr="008E5130">
        <w:rPr>
          <w:color w:val="000000"/>
        </w:rPr>
        <w:t xml:space="preserve"> from January 30, 2006 to March 30, 2006.  Respondent received a copy of this motion shortly after on or about January 13, 2006.</w:t>
      </w:r>
    </w:p>
    <w:p w:rsidR="0092469C" w:rsidRDefault="0092469C" w:rsidP="0092469C">
      <w:pPr>
        <w:spacing w:line="480" w:lineRule="auto"/>
        <w:ind w:firstLine="720"/>
        <w:rPr>
          <w:color w:val="000000"/>
        </w:rPr>
      </w:pPr>
      <w:r w:rsidRPr="008E5130">
        <w:rPr>
          <w:color w:val="000000"/>
        </w:rPr>
        <w:t>With respondent’s agreement, hearing on the motion to continue was set for January</w:t>
      </w:r>
      <w:r>
        <w:rPr>
          <w:color w:val="000000"/>
        </w:rPr>
        <w:t xml:space="preserve"> </w:t>
      </w:r>
      <w:r w:rsidRPr="008E5130">
        <w:rPr>
          <w:color w:val="000000"/>
        </w:rPr>
        <w:t>17, 2006.</w:t>
      </w:r>
    </w:p>
    <w:p w:rsidR="0092469C" w:rsidRDefault="0092469C" w:rsidP="0092469C">
      <w:pPr>
        <w:spacing w:line="480" w:lineRule="auto"/>
        <w:ind w:firstLine="720"/>
        <w:rPr>
          <w:color w:val="000000"/>
        </w:rPr>
      </w:pPr>
      <w:r w:rsidRPr="008E5130">
        <w:rPr>
          <w:color w:val="000000"/>
        </w:rPr>
        <w:t>Respondent did not lodge an objection to the motion to continue, nor did he appear at</w:t>
      </w:r>
      <w:r>
        <w:rPr>
          <w:color w:val="000000"/>
        </w:rPr>
        <w:t xml:space="preserve"> the</w:t>
      </w:r>
      <w:r w:rsidRPr="008E5130">
        <w:rPr>
          <w:color w:val="000000"/>
        </w:rPr>
        <w:t xml:space="preserve"> hearing on the motion on January 17, 2006.  </w:t>
      </w:r>
    </w:p>
    <w:p w:rsidR="0092469C" w:rsidRDefault="00571FCB" w:rsidP="0092469C">
      <w:pPr>
        <w:spacing w:line="480" w:lineRule="auto"/>
        <w:ind w:firstLine="720"/>
        <w:rPr>
          <w:color w:val="000000"/>
        </w:rPr>
      </w:pPr>
      <w:r>
        <w:rPr>
          <w:color w:val="000000"/>
        </w:rPr>
        <w:t>By order of the s</w:t>
      </w:r>
      <w:r w:rsidR="0092469C" w:rsidRPr="008E5130">
        <w:rPr>
          <w:color w:val="000000"/>
        </w:rPr>
        <w:t xml:space="preserve">uperior </w:t>
      </w:r>
      <w:r>
        <w:rPr>
          <w:color w:val="000000"/>
        </w:rPr>
        <w:t>c</w:t>
      </w:r>
      <w:r w:rsidR="0092469C" w:rsidRPr="008E5130">
        <w:rPr>
          <w:color w:val="000000"/>
        </w:rPr>
        <w:t xml:space="preserve">ourt, issued January 17, 2006, the trial in </w:t>
      </w:r>
      <w:r w:rsidR="0092469C" w:rsidRPr="00BE2943">
        <w:rPr>
          <w:i/>
          <w:color w:val="000000"/>
        </w:rPr>
        <w:t>Maggiani v. USC</w:t>
      </w:r>
      <w:r w:rsidR="0092469C" w:rsidRPr="008E5130">
        <w:rPr>
          <w:color w:val="000000"/>
        </w:rPr>
        <w:t xml:space="preserve"> was continued to March 13, 2006.  Respondent received notice of this order shortly after on or about January 17, 2006.</w:t>
      </w:r>
    </w:p>
    <w:p w:rsidR="0092469C" w:rsidRDefault="0092469C" w:rsidP="0092469C">
      <w:pPr>
        <w:spacing w:line="480" w:lineRule="auto"/>
        <w:ind w:firstLine="720"/>
        <w:rPr>
          <w:color w:val="000000"/>
        </w:rPr>
      </w:pPr>
      <w:r w:rsidRPr="008E5130">
        <w:rPr>
          <w:color w:val="000000"/>
        </w:rPr>
        <w:t xml:space="preserve">Respondent appeared at a “Final Status Conference” in </w:t>
      </w:r>
      <w:r w:rsidRPr="00BE2943">
        <w:rPr>
          <w:i/>
          <w:color w:val="000000"/>
        </w:rPr>
        <w:t>Maggiani v. USC</w:t>
      </w:r>
      <w:r w:rsidRPr="008E5130">
        <w:rPr>
          <w:color w:val="000000"/>
        </w:rPr>
        <w:t xml:space="preserve"> on March 8, 2006.  At that time he was ordered to appear on March 10, 2006, and show cause why he should not be sanctioned for failure to timely serve defendant USC.  Hearing on the OSC</w:t>
      </w:r>
      <w:r>
        <w:rPr>
          <w:color w:val="000000"/>
        </w:rPr>
        <w:t xml:space="preserve"> was set for March 10, 2006.</w:t>
      </w:r>
    </w:p>
    <w:p w:rsidR="0092469C" w:rsidRDefault="0092469C" w:rsidP="0092469C">
      <w:pPr>
        <w:spacing w:line="480" w:lineRule="auto"/>
        <w:ind w:firstLine="720"/>
        <w:rPr>
          <w:color w:val="000000"/>
        </w:rPr>
      </w:pPr>
      <w:r w:rsidRPr="008E5130">
        <w:rPr>
          <w:color w:val="000000"/>
        </w:rPr>
        <w:t xml:space="preserve">On March 10, 2006, </w:t>
      </w:r>
      <w:r>
        <w:rPr>
          <w:color w:val="000000"/>
        </w:rPr>
        <w:t xml:space="preserve">a </w:t>
      </w:r>
      <w:r w:rsidRPr="008E5130">
        <w:rPr>
          <w:color w:val="000000"/>
        </w:rPr>
        <w:t xml:space="preserve">hearing on the OSC was held.  Respondent appeared.  Respondent was ordered to pay sanctions in the amount of $1,000 for failure to timely serve defendant USC.  Jury trial was confirmed for March 13, 2006.  </w:t>
      </w:r>
    </w:p>
    <w:p w:rsidR="0092469C" w:rsidRDefault="0092469C" w:rsidP="0092469C">
      <w:pPr>
        <w:spacing w:line="480" w:lineRule="auto"/>
        <w:ind w:firstLine="720"/>
        <w:rPr>
          <w:color w:val="000000"/>
        </w:rPr>
      </w:pPr>
      <w:r w:rsidRPr="008E5130">
        <w:rPr>
          <w:color w:val="000000"/>
        </w:rPr>
        <w:t xml:space="preserve">At no time prior to on or about March 20, 2006, did respondent or his agent inform the </w:t>
      </w:r>
      <w:r w:rsidR="00571FCB">
        <w:rPr>
          <w:color w:val="000000"/>
        </w:rPr>
        <w:t>s</w:t>
      </w:r>
      <w:r w:rsidRPr="008E5130">
        <w:rPr>
          <w:color w:val="000000"/>
        </w:rPr>
        <w:t xml:space="preserve">uperior </w:t>
      </w:r>
      <w:r w:rsidR="00571FCB">
        <w:rPr>
          <w:color w:val="000000"/>
        </w:rPr>
        <w:t>c</w:t>
      </w:r>
      <w:r w:rsidRPr="008E5130">
        <w:rPr>
          <w:color w:val="000000"/>
        </w:rPr>
        <w:t>ourt that he would not appear at trial due to his suspension from practice.</w:t>
      </w:r>
    </w:p>
    <w:p w:rsidR="0092469C" w:rsidRDefault="0092469C" w:rsidP="0092469C">
      <w:pPr>
        <w:spacing w:line="480" w:lineRule="auto"/>
        <w:ind w:firstLine="720"/>
        <w:rPr>
          <w:color w:val="000000"/>
        </w:rPr>
      </w:pPr>
      <w:r w:rsidRPr="008E5130">
        <w:rPr>
          <w:color w:val="000000"/>
        </w:rPr>
        <w:t xml:space="preserve">At no time did respondent move for, or otherwise seek, a continuance of the trial in </w:t>
      </w:r>
      <w:r w:rsidRPr="00BE2943">
        <w:rPr>
          <w:i/>
          <w:color w:val="000000"/>
        </w:rPr>
        <w:t>Maggiani v. USC</w:t>
      </w:r>
      <w:r w:rsidRPr="008E5130">
        <w:rPr>
          <w:color w:val="000000"/>
        </w:rPr>
        <w:t xml:space="preserve"> to a time when he would be eligible to represent Maggiani.</w:t>
      </w:r>
    </w:p>
    <w:p w:rsidR="0092469C" w:rsidRDefault="0092469C" w:rsidP="0092469C">
      <w:pPr>
        <w:spacing w:line="480" w:lineRule="auto"/>
        <w:ind w:firstLine="720"/>
        <w:rPr>
          <w:color w:val="000000"/>
        </w:rPr>
      </w:pPr>
      <w:r w:rsidRPr="008E5130">
        <w:rPr>
          <w:color w:val="000000"/>
        </w:rPr>
        <w:t xml:space="preserve">At no time prior to on or about March 20, 2006, did respondent arrange for associate counsel to represent Maggiani’s interests in relation to </w:t>
      </w:r>
      <w:r w:rsidRPr="00BE2943">
        <w:rPr>
          <w:i/>
          <w:color w:val="000000"/>
        </w:rPr>
        <w:t>Maggiani v. USC</w:t>
      </w:r>
      <w:r w:rsidRPr="008E5130">
        <w:rPr>
          <w:color w:val="000000"/>
        </w:rPr>
        <w:t xml:space="preserve"> during the period of respondent’s suspension.</w:t>
      </w:r>
    </w:p>
    <w:p w:rsidR="0092469C" w:rsidRPr="008C60BD" w:rsidRDefault="0092469C" w:rsidP="0092469C">
      <w:pPr>
        <w:spacing w:line="480" w:lineRule="auto"/>
        <w:ind w:firstLine="720"/>
        <w:rPr>
          <w:color w:val="000000"/>
        </w:rPr>
      </w:pPr>
      <w:r w:rsidRPr="008E5130">
        <w:rPr>
          <w:color w:val="000000"/>
        </w:rPr>
        <w:lastRenderedPageBreak/>
        <w:t xml:space="preserve">The first day of trial in </w:t>
      </w:r>
      <w:r w:rsidRPr="00BE2943">
        <w:rPr>
          <w:i/>
          <w:color w:val="000000"/>
        </w:rPr>
        <w:t>Maggiani v. USC</w:t>
      </w:r>
      <w:r w:rsidRPr="008E5130">
        <w:rPr>
          <w:color w:val="000000"/>
        </w:rPr>
        <w:t xml:space="preserve"> trailed to March 20, 2006, when the matter was called for trial.  Respondent did not appear, nor did Maggiani or anyone representing Maggiani’s interests.  The </w:t>
      </w:r>
      <w:r w:rsidR="00571FCB">
        <w:rPr>
          <w:color w:val="000000"/>
        </w:rPr>
        <w:t>superior c</w:t>
      </w:r>
      <w:r w:rsidRPr="008E5130">
        <w:rPr>
          <w:color w:val="000000"/>
        </w:rPr>
        <w:t xml:space="preserve">ourt ordered </w:t>
      </w:r>
      <w:r w:rsidRPr="00BE2943">
        <w:rPr>
          <w:i/>
          <w:color w:val="000000"/>
        </w:rPr>
        <w:t>Maggiani v. USC</w:t>
      </w:r>
      <w:r w:rsidRPr="008E5130">
        <w:rPr>
          <w:color w:val="000000"/>
        </w:rPr>
        <w:t xml:space="preserve"> dismissed as to defendant Cancer Hospital, and set a status conference for April 10, 2006, on the issue of the lack of service of defendant USC.</w:t>
      </w:r>
    </w:p>
    <w:p w:rsidR="0092469C" w:rsidRPr="008E5130" w:rsidRDefault="0092469C" w:rsidP="0092469C">
      <w:pPr>
        <w:spacing w:line="480" w:lineRule="auto"/>
        <w:ind w:firstLine="720"/>
      </w:pPr>
      <w:r w:rsidRPr="008E5130">
        <w:rPr>
          <w:color w:val="000000"/>
        </w:rPr>
        <w:t xml:space="preserve">Between on or about October 17, 2005, and on or about March 15, 2006, respondent took no action to ensure that Maggiani’s interests were represented during the period of his suspension.  For example, respondent did not do any of the following prior to the commencement of trial in </w:t>
      </w:r>
      <w:r w:rsidRPr="00BE2943">
        <w:rPr>
          <w:i/>
          <w:color w:val="000000"/>
        </w:rPr>
        <w:t>Maggiani v. USC</w:t>
      </w:r>
      <w:r w:rsidRPr="008E5130">
        <w:rPr>
          <w:color w:val="000000"/>
        </w:rPr>
        <w:t>:</w:t>
      </w:r>
    </w:p>
    <w:p w:rsidR="0092469C" w:rsidRPr="008E5130" w:rsidRDefault="0092469C" w:rsidP="0092469C">
      <w:pPr>
        <w:numPr>
          <w:ilvl w:val="0"/>
          <w:numId w:val="3"/>
        </w:numPr>
        <w:spacing w:line="480" w:lineRule="auto"/>
        <w:ind w:left="0" w:firstLine="720"/>
      </w:pPr>
      <w:r w:rsidRPr="008E5130">
        <w:rPr>
          <w:color w:val="000000"/>
        </w:rPr>
        <w:t>Object to the continuance of the trial into the period of his suspension</w:t>
      </w:r>
      <w:r w:rsidR="00571FCB">
        <w:rPr>
          <w:color w:val="000000"/>
        </w:rPr>
        <w:t>;</w:t>
      </w:r>
    </w:p>
    <w:p w:rsidR="0092469C" w:rsidRPr="008E5130" w:rsidRDefault="0092469C" w:rsidP="0092469C">
      <w:pPr>
        <w:numPr>
          <w:ilvl w:val="0"/>
          <w:numId w:val="3"/>
        </w:numPr>
        <w:spacing w:line="480" w:lineRule="auto"/>
        <w:ind w:left="0" w:firstLine="720"/>
      </w:pPr>
      <w:r w:rsidRPr="008E5130">
        <w:rPr>
          <w:color w:val="000000"/>
        </w:rPr>
        <w:t xml:space="preserve">Give the </w:t>
      </w:r>
      <w:r w:rsidR="00571FCB">
        <w:rPr>
          <w:color w:val="000000"/>
        </w:rPr>
        <w:t>superior c</w:t>
      </w:r>
      <w:r w:rsidRPr="008E5130">
        <w:rPr>
          <w:color w:val="000000"/>
        </w:rPr>
        <w:t>ourt notice of his impending suspension from practice prior to March 20, 2006, despite having several opportunities to do so</w:t>
      </w:r>
      <w:r w:rsidR="00571FCB">
        <w:rPr>
          <w:color w:val="000000"/>
        </w:rPr>
        <w:t>;</w:t>
      </w:r>
    </w:p>
    <w:p w:rsidR="0092469C" w:rsidRPr="008E5130" w:rsidRDefault="0092469C" w:rsidP="0092469C">
      <w:pPr>
        <w:spacing w:line="480" w:lineRule="auto"/>
        <w:ind w:firstLine="720"/>
      </w:pPr>
      <w:r w:rsidRPr="008E5130">
        <w:rPr>
          <w:color w:val="000000"/>
        </w:rPr>
        <w:t xml:space="preserve">(C) </w:t>
      </w:r>
      <w:r w:rsidR="00571FCB">
        <w:rPr>
          <w:color w:val="000000"/>
        </w:rPr>
        <w:tab/>
      </w:r>
      <w:r w:rsidRPr="008E5130">
        <w:rPr>
          <w:color w:val="000000"/>
        </w:rPr>
        <w:t>Seek a continuance of the trial to a date when he would be eligible to practice law</w:t>
      </w:r>
      <w:r w:rsidR="00571FCB">
        <w:rPr>
          <w:color w:val="000000"/>
        </w:rPr>
        <w:t>;</w:t>
      </w:r>
    </w:p>
    <w:p w:rsidR="0092469C" w:rsidRPr="008E5130" w:rsidRDefault="0092469C" w:rsidP="0092469C">
      <w:pPr>
        <w:numPr>
          <w:ilvl w:val="0"/>
          <w:numId w:val="4"/>
        </w:numPr>
        <w:spacing w:line="480" w:lineRule="auto"/>
        <w:ind w:left="0" w:firstLine="720"/>
      </w:pPr>
      <w:r w:rsidRPr="008E5130">
        <w:rPr>
          <w:color w:val="000000"/>
        </w:rPr>
        <w:t>Arrange to have associate counsel appear on Maggiani’s behalf at the trial, and otherwise handle Maggiani’s matter during his suspension</w:t>
      </w:r>
      <w:r w:rsidR="00571FCB">
        <w:rPr>
          <w:color w:val="000000"/>
        </w:rPr>
        <w:t xml:space="preserve">; or </w:t>
      </w:r>
    </w:p>
    <w:p w:rsidR="0092469C" w:rsidRDefault="0092469C" w:rsidP="0092469C">
      <w:pPr>
        <w:numPr>
          <w:ilvl w:val="0"/>
          <w:numId w:val="4"/>
        </w:numPr>
        <w:spacing w:line="480" w:lineRule="auto"/>
        <w:ind w:left="0" w:firstLine="720"/>
      </w:pPr>
      <w:r w:rsidRPr="008E5130">
        <w:rPr>
          <w:color w:val="000000"/>
        </w:rPr>
        <w:t xml:space="preserve">Appear on Maggiani’s behalf at trial and provide an explanation to the </w:t>
      </w:r>
      <w:r w:rsidR="00571FCB">
        <w:rPr>
          <w:color w:val="000000"/>
        </w:rPr>
        <w:t xml:space="preserve">superior </w:t>
      </w:r>
      <w:r w:rsidRPr="008E5130">
        <w:rPr>
          <w:color w:val="000000"/>
        </w:rPr>
        <w:t>court regarding his ineligibility to practice.</w:t>
      </w:r>
    </w:p>
    <w:p w:rsidR="0092469C" w:rsidRDefault="0092469C" w:rsidP="006F1DE1">
      <w:pPr>
        <w:spacing w:line="480" w:lineRule="auto"/>
        <w:ind w:firstLine="720"/>
        <w:rPr>
          <w:color w:val="000000"/>
        </w:rPr>
      </w:pPr>
      <w:r w:rsidRPr="008E5130">
        <w:rPr>
          <w:color w:val="000000"/>
        </w:rPr>
        <w:t>The sanctions imposed upon respondent by the Superior Court on March 10, 2006, were not sanctions for failure to make discovery.</w:t>
      </w:r>
      <w:r w:rsidR="00E4089F">
        <w:rPr>
          <w:color w:val="000000"/>
        </w:rPr>
        <w:t xml:space="preserve">  As of July 11, 2008, respondent had</w:t>
      </w:r>
      <w:r w:rsidRPr="008E5130">
        <w:rPr>
          <w:color w:val="000000"/>
        </w:rPr>
        <w:t xml:space="preserve"> not reported to the State Bar of California, in writing or otherwise, the imposition of the sanctions imposed upon him by the </w:t>
      </w:r>
      <w:r w:rsidR="00E4089F">
        <w:rPr>
          <w:color w:val="000000"/>
        </w:rPr>
        <w:t>s</w:t>
      </w:r>
      <w:r w:rsidRPr="008E5130">
        <w:rPr>
          <w:color w:val="000000"/>
        </w:rPr>
        <w:t xml:space="preserve">uperior </w:t>
      </w:r>
      <w:r w:rsidR="00E4089F">
        <w:rPr>
          <w:color w:val="000000"/>
        </w:rPr>
        <w:t>c</w:t>
      </w:r>
      <w:r w:rsidRPr="008E5130">
        <w:rPr>
          <w:color w:val="000000"/>
        </w:rPr>
        <w:t>ourt on March 10, 2006.</w:t>
      </w:r>
      <w:r w:rsidR="00E4089F">
        <w:rPr>
          <w:rStyle w:val="FootnoteReference"/>
          <w:color w:val="000000"/>
        </w:rPr>
        <w:footnoteReference w:id="9"/>
      </w:r>
    </w:p>
    <w:p w:rsidR="00781D2F" w:rsidRDefault="00781D2F" w:rsidP="006F1DE1">
      <w:pPr>
        <w:spacing w:line="480" w:lineRule="auto"/>
        <w:ind w:firstLine="720"/>
        <w:rPr>
          <w:color w:val="000000"/>
        </w:rPr>
      </w:pPr>
    </w:p>
    <w:p w:rsidR="00781D2F" w:rsidRDefault="00781D2F" w:rsidP="006F1DE1">
      <w:pPr>
        <w:spacing w:line="480" w:lineRule="auto"/>
        <w:ind w:firstLine="720"/>
        <w:rPr>
          <w:color w:val="000000"/>
        </w:rPr>
      </w:pPr>
    </w:p>
    <w:p w:rsidR="006F1DE1" w:rsidRPr="006F1DE1" w:rsidRDefault="006F1DE1" w:rsidP="006F1DE1">
      <w:pPr>
        <w:spacing w:line="480" w:lineRule="auto"/>
        <w:ind w:firstLine="720"/>
        <w:rPr>
          <w:b/>
          <w:color w:val="000000"/>
        </w:rPr>
      </w:pPr>
      <w:r w:rsidRPr="006F1DE1">
        <w:rPr>
          <w:b/>
          <w:color w:val="000000"/>
        </w:rPr>
        <w:lastRenderedPageBreak/>
        <w:t xml:space="preserve">2.  </w:t>
      </w:r>
      <w:r w:rsidR="003F1CF1">
        <w:rPr>
          <w:b/>
          <w:color w:val="000000"/>
        </w:rPr>
        <w:t xml:space="preserve"> </w:t>
      </w:r>
      <w:r w:rsidRPr="006F1DE1">
        <w:rPr>
          <w:b/>
          <w:color w:val="000000"/>
        </w:rPr>
        <w:t>Conclusions of Law</w:t>
      </w:r>
    </w:p>
    <w:p w:rsidR="00E14356" w:rsidRDefault="00E14356" w:rsidP="002A2D41">
      <w:pPr>
        <w:ind w:left="1440" w:hanging="360"/>
        <w:rPr>
          <w:b/>
          <w:color w:val="000000"/>
        </w:rPr>
      </w:pPr>
      <w:r w:rsidRPr="00E14356">
        <w:rPr>
          <w:b/>
          <w:color w:val="000000"/>
        </w:rPr>
        <w:t xml:space="preserve">a.  </w:t>
      </w:r>
      <w:r w:rsidR="002A2D41">
        <w:rPr>
          <w:b/>
          <w:color w:val="000000"/>
        </w:rPr>
        <w:t xml:space="preserve"> </w:t>
      </w:r>
      <w:r w:rsidRPr="00E14356">
        <w:rPr>
          <w:b/>
          <w:color w:val="000000"/>
        </w:rPr>
        <w:t xml:space="preserve">Count 6 - </w:t>
      </w:r>
      <w:r w:rsidR="00E4089F">
        <w:rPr>
          <w:b/>
          <w:color w:val="000000"/>
        </w:rPr>
        <w:t>R</w:t>
      </w:r>
      <w:r w:rsidRPr="00E14356">
        <w:rPr>
          <w:b/>
          <w:color w:val="000000"/>
        </w:rPr>
        <w:t xml:space="preserve">ule 4-100(A) [Failure to Deposit Client Funds in </w:t>
      </w:r>
      <w:r w:rsidR="002A2D41">
        <w:rPr>
          <w:b/>
          <w:color w:val="000000"/>
        </w:rPr>
        <w:t xml:space="preserve">Client </w:t>
      </w:r>
      <w:r w:rsidR="002A2D41" w:rsidRPr="00EC6C36">
        <w:rPr>
          <w:b/>
          <w:color w:val="000000"/>
        </w:rPr>
        <w:t>Trust</w:t>
      </w:r>
      <w:r w:rsidR="002A2D41">
        <w:rPr>
          <w:b/>
          <w:color w:val="000000"/>
        </w:rPr>
        <w:t xml:space="preserve"> Account</w:t>
      </w:r>
      <w:r w:rsidRPr="00E14356">
        <w:rPr>
          <w:b/>
          <w:color w:val="000000"/>
        </w:rPr>
        <w:t>]</w:t>
      </w:r>
    </w:p>
    <w:p w:rsidR="002A2D41" w:rsidRPr="00E14356" w:rsidRDefault="002A2D41" w:rsidP="002A2D41">
      <w:pPr>
        <w:ind w:left="1440" w:hanging="360"/>
        <w:rPr>
          <w:b/>
          <w:color w:val="000000"/>
        </w:rPr>
      </w:pPr>
    </w:p>
    <w:p w:rsidR="00E14356" w:rsidRDefault="00E14356" w:rsidP="00E14356">
      <w:pPr>
        <w:spacing w:line="480" w:lineRule="auto"/>
        <w:ind w:firstLine="720"/>
        <w:rPr>
          <w:color w:val="000000"/>
        </w:rPr>
      </w:pPr>
      <w:r w:rsidRPr="00E4089F">
        <w:rPr>
          <w:color w:val="000000"/>
        </w:rPr>
        <w:t>By depositing PSS check numbers 8440, 9157, 9350, 9509 and 1022 into account 11, respondent failed to deposit funds received for the benefit of a client in a bank account labeled “Trust Account,” “Client’s Funds Account” or words of similar import</w:t>
      </w:r>
      <w:r w:rsidR="00E4089F" w:rsidRPr="00E4089F">
        <w:rPr>
          <w:color w:val="000000"/>
        </w:rPr>
        <w:t>, in willful violation of rule 4-100(A)</w:t>
      </w:r>
      <w:r w:rsidRPr="00E4089F">
        <w:rPr>
          <w:color w:val="000000"/>
        </w:rPr>
        <w:t>.</w:t>
      </w:r>
      <w:r w:rsidRPr="008E5130">
        <w:rPr>
          <w:color w:val="000000"/>
        </w:rPr>
        <w:t xml:space="preserve">  </w:t>
      </w:r>
    </w:p>
    <w:p w:rsidR="00E14356" w:rsidRPr="00E14356" w:rsidRDefault="00E14356" w:rsidP="003F1CF1">
      <w:pPr>
        <w:spacing w:line="480" w:lineRule="auto"/>
        <w:ind w:firstLine="1080"/>
        <w:rPr>
          <w:b/>
        </w:rPr>
      </w:pPr>
      <w:r w:rsidRPr="00E14356">
        <w:rPr>
          <w:b/>
        </w:rPr>
        <w:t xml:space="preserve">b.  Count 7 - </w:t>
      </w:r>
      <w:r w:rsidR="000A16C8">
        <w:rPr>
          <w:b/>
          <w:color w:val="000000"/>
        </w:rPr>
        <w:t>R</w:t>
      </w:r>
      <w:r w:rsidRPr="00E14356">
        <w:rPr>
          <w:b/>
          <w:color w:val="000000"/>
        </w:rPr>
        <w:t>ule 4-100(B)(1) [Failure to Notify of Receipt of Client Funds]</w:t>
      </w:r>
    </w:p>
    <w:p w:rsidR="00E14356" w:rsidRDefault="00652FFE" w:rsidP="006F1DE1">
      <w:pPr>
        <w:spacing w:line="480" w:lineRule="auto"/>
        <w:ind w:firstLine="720"/>
      </w:pPr>
      <w:r>
        <w:t xml:space="preserve">Rule 4-100(B)(1) requires that an attorney promptly notify a client of the receipt of the client’s funds, securities, or other properties.  </w:t>
      </w:r>
      <w:r w:rsidR="00E14356" w:rsidRPr="000A16C8">
        <w:rPr>
          <w:color w:val="000000"/>
        </w:rPr>
        <w:t>By not informing Maggiani of the solicitation, receipt, and negotiation of PSS check numbers 9157, 9350, 9509 and 1022, totaling $32,500 in client funds, respondent failed to notify a client promptly of the receipt of the client’s funds</w:t>
      </w:r>
      <w:r w:rsidR="000A16C8" w:rsidRPr="00E4089F">
        <w:rPr>
          <w:color w:val="000000"/>
        </w:rPr>
        <w:t>, in willful violation of rule 4-100(</w:t>
      </w:r>
      <w:r w:rsidR="000A16C8">
        <w:rPr>
          <w:color w:val="000000"/>
        </w:rPr>
        <w:t>B</w:t>
      </w:r>
      <w:r w:rsidR="000A16C8" w:rsidRPr="00E4089F">
        <w:rPr>
          <w:color w:val="000000"/>
        </w:rPr>
        <w:t>)</w:t>
      </w:r>
      <w:r w:rsidR="000A16C8">
        <w:rPr>
          <w:color w:val="000000"/>
        </w:rPr>
        <w:t>(1)</w:t>
      </w:r>
      <w:r w:rsidR="00E14356" w:rsidRPr="000A16C8">
        <w:rPr>
          <w:color w:val="000000"/>
        </w:rPr>
        <w:t>.</w:t>
      </w:r>
    </w:p>
    <w:p w:rsidR="00E14356" w:rsidRPr="00E14356" w:rsidRDefault="00E14356" w:rsidP="003F1CF1">
      <w:pPr>
        <w:spacing w:line="480" w:lineRule="auto"/>
        <w:ind w:firstLine="1080"/>
        <w:rPr>
          <w:b/>
        </w:rPr>
      </w:pPr>
      <w:r w:rsidRPr="00E14356">
        <w:rPr>
          <w:b/>
        </w:rPr>
        <w:t xml:space="preserve">c.  Count 8 - </w:t>
      </w:r>
      <w:r w:rsidR="006D678A">
        <w:rPr>
          <w:b/>
          <w:color w:val="000000"/>
        </w:rPr>
        <w:t>R</w:t>
      </w:r>
      <w:r w:rsidRPr="00E14356">
        <w:rPr>
          <w:b/>
          <w:color w:val="000000"/>
        </w:rPr>
        <w:t>ule 4-100(A) [Failure to Maintain Client Funds in Trust]</w:t>
      </w:r>
    </w:p>
    <w:p w:rsidR="00E14356" w:rsidRDefault="00E14356" w:rsidP="006F1DE1">
      <w:pPr>
        <w:spacing w:line="480" w:lineRule="auto"/>
        <w:ind w:firstLine="720"/>
      </w:pPr>
      <w:r w:rsidRPr="006D678A">
        <w:rPr>
          <w:color w:val="000000"/>
        </w:rPr>
        <w:t>By not maintaining at least $12,</w:t>
      </w:r>
      <w:r w:rsidR="006D678A" w:rsidRPr="006D678A">
        <w:rPr>
          <w:color w:val="000000"/>
        </w:rPr>
        <w:t>413.13</w:t>
      </w:r>
      <w:r w:rsidRPr="006D678A">
        <w:rPr>
          <w:color w:val="000000"/>
        </w:rPr>
        <w:t xml:space="preserve"> of the proce</w:t>
      </w:r>
      <w:r w:rsidR="008B2CB0">
        <w:rPr>
          <w:color w:val="000000"/>
        </w:rPr>
        <w:t>eds of TIG check number 11476—funds belonging to Maggiani—</w:t>
      </w:r>
      <w:r w:rsidRPr="006D678A">
        <w:rPr>
          <w:color w:val="000000"/>
        </w:rPr>
        <w:t>in the trust account, respondent failed to maintain the balance of funds received for the benefit of a client in a bank account labeled “Trust Account,” “Client’s Funds Account” or words of similar import</w:t>
      </w:r>
      <w:r w:rsidR="006D678A" w:rsidRPr="00E4089F">
        <w:rPr>
          <w:color w:val="000000"/>
        </w:rPr>
        <w:t>, in willful violation of rule 4-100(A)</w:t>
      </w:r>
      <w:r w:rsidRPr="006D678A">
        <w:rPr>
          <w:color w:val="000000"/>
        </w:rPr>
        <w:t>.</w:t>
      </w:r>
    </w:p>
    <w:p w:rsidR="00E14356" w:rsidRPr="00E14356" w:rsidRDefault="00E14356" w:rsidP="003F1CF1">
      <w:pPr>
        <w:spacing w:line="480" w:lineRule="auto"/>
        <w:ind w:firstLine="1080"/>
        <w:rPr>
          <w:b/>
        </w:rPr>
      </w:pPr>
      <w:r w:rsidRPr="00E14356">
        <w:rPr>
          <w:b/>
        </w:rPr>
        <w:t xml:space="preserve">d.  Count 9 - </w:t>
      </w:r>
      <w:r w:rsidR="006D678A">
        <w:rPr>
          <w:b/>
          <w:color w:val="000000"/>
        </w:rPr>
        <w:t>S</w:t>
      </w:r>
      <w:r w:rsidRPr="00E14356">
        <w:rPr>
          <w:b/>
          <w:color w:val="000000"/>
        </w:rPr>
        <w:t>ection 6106 [Moral Turpitude — Misappropriation]</w:t>
      </w:r>
    </w:p>
    <w:p w:rsidR="00E14356" w:rsidRDefault="00E14356" w:rsidP="006F1DE1">
      <w:pPr>
        <w:spacing w:line="480" w:lineRule="auto"/>
        <w:ind w:firstLine="720"/>
      </w:pPr>
      <w:r w:rsidRPr="006D678A">
        <w:rPr>
          <w:color w:val="000000"/>
        </w:rPr>
        <w:t>By misappropriating at least $12,</w:t>
      </w:r>
      <w:r w:rsidR="00D903B9">
        <w:rPr>
          <w:color w:val="000000"/>
        </w:rPr>
        <w:t>413.13</w:t>
      </w:r>
      <w:r w:rsidRPr="006D678A">
        <w:rPr>
          <w:color w:val="000000"/>
        </w:rPr>
        <w:t xml:space="preserve"> belonging to Maggiani, respondent committed an act of moral turpitude, dishonesty and corruption</w:t>
      </w:r>
      <w:r w:rsidR="006D678A">
        <w:rPr>
          <w:color w:val="000000"/>
        </w:rPr>
        <w:t>, in willful violation of section 6106</w:t>
      </w:r>
      <w:r w:rsidRPr="006D678A">
        <w:rPr>
          <w:color w:val="000000"/>
        </w:rPr>
        <w:t>.</w:t>
      </w:r>
    </w:p>
    <w:p w:rsidR="0092469C" w:rsidRPr="0092469C" w:rsidRDefault="0092469C" w:rsidP="003F1CF1">
      <w:pPr>
        <w:spacing w:line="480" w:lineRule="auto"/>
        <w:ind w:firstLine="1080"/>
        <w:rPr>
          <w:b/>
        </w:rPr>
      </w:pPr>
      <w:r w:rsidRPr="0092469C">
        <w:rPr>
          <w:b/>
        </w:rPr>
        <w:t xml:space="preserve">e.  Count 10 - </w:t>
      </w:r>
      <w:r w:rsidR="006D678A">
        <w:rPr>
          <w:b/>
          <w:color w:val="000000"/>
        </w:rPr>
        <w:t>R</w:t>
      </w:r>
      <w:r w:rsidRPr="0092469C">
        <w:rPr>
          <w:b/>
          <w:color w:val="000000"/>
        </w:rPr>
        <w:t>ule 3-110(A) [Failure to Perform with Competence]</w:t>
      </w:r>
    </w:p>
    <w:p w:rsidR="0092469C" w:rsidRDefault="00652FFE" w:rsidP="006F1DE1">
      <w:pPr>
        <w:spacing w:line="480" w:lineRule="auto"/>
        <w:ind w:firstLine="720"/>
      </w:pPr>
      <w:r>
        <w:t xml:space="preserve">Rule 3-110(A) provides that a member must not intentionally, recklessly or repeatedly fail to perform legal services with competence.  </w:t>
      </w:r>
      <w:r w:rsidR="0092469C" w:rsidRPr="006D678A">
        <w:rPr>
          <w:color w:val="000000"/>
        </w:rPr>
        <w:t xml:space="preserve">By failing to act to ensure Maggiani’s interests were represented while he was suspended from practice, respondent intentionally, recklessly, and </w:t>
      </w:r>
      <w:r w:rsidR="0092469C" w:rsidRPr="006D678A">
        <w:rPr>
          <w:color w:val="000000"/>
        </w:rPr>
        <w:lastRenderedPageBreak/>
        <w:t>repeatedly failed to perform legal services with competence</w:t>
      </w:r>
      <w:r w:rsidR="006D678A">
        <w:rPr>
          <w:color w:val="000000"/>
        </w:rPr>
        <w:t>, in willful violation of rule 3-110(A)</w:t>
      </w:r>
      <w:r w:rsidR="0092469C" w:rsidRPr="006D678A">
        <w:rPr>
          <w:color w:val="000000"/>
        </w:rPr>
        <w:t>.</w:t>
      </w:r>
      <w:r w:rsidR="0092469C" w:rsidRPr="009E71B3">
        <w:rPr>
          <w:color w:val="000000"/>
        </w:rPr>
        <w:t xml:space="preserve">  </w:t>
      </w:r>
    </w:p>
    <w:p w:rsidR="0092469C" w:rsidRDefault="0092469C" w:rsidP="00EA52D6">
      <w:pPr>
        <w:ind w:left="1350" w:hanging="270"/>
        <w:rPr>
          <w:color w:val="000000"/>
        </w:rPr>
      </w:pPr>
      <w:r w:rsidRPr="0092469C">
        <w:rPr>
          <w:b/>
        </w:rPr>
        <w:t xml:space="preserve">f.  Count 11 - </w:t>
      </w:r>
      <w:r w:rsidR="00C14055">
        <w:rPr>
          <w:b/>
          <w:color w:val="000000"/>
        </w:rPr>
        <w:t>S</w:t>
      </w:r>
      <w:r w:rsidRPr="0092469C">
        <w:rPr>
          <w:b/>
          <w:color w:val="000000"/>
        </w:rPr>
        <w:t>ection 6068</w:t>
      </w:r>
      <w:r w:rsidR="004A6526">
        <w:rPr>
          <w:b/>
          <w:color w:val="000000"/>
        </w:rPr>
        <w:t xml:space="preserve">, </w:t>
      </w:r>
      <w:r w:rsidR="004A6526">
        <w:rPr>
          <w:b/>
        </w:rPr>
        <w:t>S</w:t>
      </w:r>
      <w:r w:rsidR="004A6526" w:rsidRPr="004A6526">
        <w:rPr>
          <w:b/>
        </w:rPr>
        <w:t xml:space="preserve">ubdivision </w:t>
      </w:r>
      <w:r w:rsidRPr="0092469C">
        <w:rPr>
          <w:b/>
          <w:color w:val="000000"/>
        </w:rPr>
        <w:t>(</w:t>
      </w:r>
      <w:r w:rsidR="00652FFE">
        <w:rPr>
          <w:b/>
          <w:color w:val="000000"/>
        </w:rPr>
        <w:t>o</w:t>
      </w:r>
      <w:r w:rsidRPr="0092469C">
        <w:rPr>
          <w:b/>
          <w:color w:val="000000"/>
        </w:rPr>
        <w:t>)(3) [Failure to Report Judicial Sanctions]</w:t>
      </w:r>
    </w:p>
    <w:p w:rsidR="00EA52D6" w:rsidRPr="00EA52D6" w:rsidRDefault="00EA52D6" w:rsidP="00EA52D6">
      <w:pPr>
        <w:ind w:left="1350" w:hanging="270"/>
      </w:pPr>
    </w:p>
    <w:p w:rsidR="0092469C" w:rsidRDefault="00652FFE" w:rsidP="006F1DE1">
      <w:pPr>
        <w:spacing w:line="480" w:lineRule="auto"/>
        <w:ind w:firstLine="720"/>
      </w:pPr>
      <w:r>
        <w:t>Section 6068, subdivision (o)(3), provides that it is the duty of an attorney to report the imposition of judicial sanctions against the attorney to the State Bar, in writing, within 30 days of the time the attorney has knowledge of the imposition of the sanctions.</w:t>
      </w:r>
      <w:r>
        <w:rPr>
          <w:rStyle w:val="FootnoteReference"/>
        </w:rPr>
        <w:footnoteReference w:id="10"/>
      </w:r>
      <w:r>
        <w:t xml:space="preserve">  </w:t>
      </w:r>
      <w:r w:rsidR="0092469C" w:rsidRPr="003F1CF1">
        <w:rPr>
          <w:color w:val="000000"/>
        </w:rPr>
        <w:t>By failing to report to the State Bar the imposition of sanctions imposed upon him on March 10, 2006, for failure to serve USC, respondent failed to report to the agency charged with attorney discipline, in writing within 30 days, the imposition of judicial sanctions</w:t>
      </w:r>
      <w:r w:rsidR="004A6526" w:rsidRPr="003F1CF1">
        <w:rPr>
          <w:color w:val="000000"/>
        </w:rPr>
        <w:t>, in willful violation of section 6068, subdivision (o)(3)</w:t>
      </w:r>
      <w:r w:rsidR="0092469C" w:rsidRPr="003F1CF1">
        <w:rPr>
          <w:color w:val="000000"/>
        </w:rPr>
        <w:t>.</w:t>
      </w:r>
      <w:r w:rsidR="0092469C" w:rsidRPr="001A4113">
        <w:rPr>
          <w:color w:val="000000"/>
          <w:highlight w:val="green"/>
        </w:rPr>
        <w:t xml:space="preserve">  </w:t>
      </w:r>
    </w:p>
    <w:p w:rsidR="00F5455B" w:rsidRPr="00F5455B" w:rsidRDefault="00F5455B" w:rsidP="00F5455B">
      <w:pPr>
        <w:spacing w:line="480" w:lineRule="auto"/>
        <w:rPr>
          <w:b/>
        </w:rPr>
      </w:pPr>
      <w:r w:rsidRPr="00F5455B">
        <w:rPr>
          <w:b/>
        </w:rPr>
        <w:t xml:space="preserve">F.  Failure to Cooperate - </w:t>
      </w:r>
      <w:r w:rsidRPr="00F5455B">
        <w:rPr>
          <w:b/>
          <w:color w:val="000000"/>
        </w:rPr>
        <w:t xml:space="preserve">Case Nos. 06-O-11380 </w:t>
      </w:r>
      <w:r w:rsidR="004D713A">
        <w:rPr>
          <w:b/>
          <w:color w:val="000000"/>
        </w:rPr>
        <w:t>and</w:t>
      </w:r>
      <w:r w:rsidRPr="00F5455B">
        <w:rPr>
          <w:b/>
          <w:color w:val="000000"/>
        </w:rPr>
        <w:t xml:space="preserve"> 07-O-10438</w:t>
      </w:r>
    </w:p>
    <w:p w:rsidR="006F1DE1" w:rsidRPr="006F1DE1" w:rsidRDefault="006F1DE1" w:rsidP="006F1DE1">
      <w:pPr>
        <w:spacing w:line="480" w:lineRule="auto"/>
        <w:ind w:firstLine="720"/>
        <w:rPr>
          <w:b/>
          <w:color w:val="000000"/>
        </w:rPr>
      </w:pPr>
      <w:r w:rsidRPr="006F1DE1">
        <w:rPr>
          <w:b/>
          <w:color w:val="000000"/>
        </w:rPr>
        <w:t>1.  Findings of Fact</w:t>
      </w:r>
    </w:p>
    <w:p w:rsidR="006F1DE1" w:rsidRPr="0092469C" w:rsidRDefault="0092469C" w:rsidP="003F1CF1">
      <w:pPr>
        <w:spacing w:line="480" w:lineRule="auto"/>
        <w:ind w:firstLine="1080"/>
        <w:rPr>
          <w:b/>
          <w:color w:val="000000"/>
        </w:rPr>
      </w:pPr>
      <w:r w:rsidRPr="0092469C">
        <w:rPr>
          <w:b/>
          <w:color w:val="000000"/>
        </w:rPr>
        <w:t xml:space="preserve">a.  The Roosta </w:t>
      </w:r>
      <w:r w:rsidR="008B1850">
        <w:rPr>
          <w:b/>
          <w:color w:val="000000"/>
        </w:rPr>
        <w:t>Complaint</w:t>
      </w:r>
    </w:p>
    <w:p w:rsidR="0092469C" w:rsidRDefault="0092469C" w:rsidP="0092469C">
      <w:pPr>
        <w:spacing w:line="480" w:lineRule="auto"/>
        <w:ind w:firstLine="720"/>
        <w:rPr>
          <w:b/>
        </w:rPr>
      </w:pPr>
      <w:r w:rsidRPr="008E5130">
        <w:rPr>
          <w:color w:val="000000"/>
        </w:rPr>
        <w:t xml:space="preserve">On or about March 3, 2006, the State Bar opened an investigation, </w:t>
      </w:r>
      <w:r>
        <w:rPr>
          <w:color w:val="000000"/>
        </w:rPr>
        <w:t xml:space="preserve">case no. </w:t>
      </w:r>
      <w:r w:rsidRPr="008E5130">
        <w:rPr>
          <w:color w:val="000000"/>
        </w:rPr>
        <w:t>06-</w:t>
      </w:r>
      <w:r>
        <w:rPr>
          <w:color w:val="000000"/>
        </w:rPr>
        <w:t>O</w:t>
      </w:r>
      <w:r w:rsidR="003957A6">
        <w:rPr>
          <w:color w:val="000000"/>
        </w:rPr>
        <w:t>-</w:t>
      </w:r>
      <w:r w:rsidRPr="008E5130">
        <w:rPr>
          <w:color w:val="000000"/>
        </w:rPr>
        <w:t>11380, based on a complaint received from Roosta.</w:t>
      </w:r>
    </w:p>
    <w:p w:rsidR="00BE5080" w:rsidRPr="00BE5080" w:rsidRDefault="0092469C" w:rsidP="0092469C">
      <w:pPr>
        <w:spacing w:line="480" w:lineRule="auto"/>
        <w:ind w:firstLine="720"/>
      </w:pPr>
      <w:r w:rsidRPr="008E5130">
        <w:rPr>
          <w:color w:val="000000"/>
        </w:rPr>
        <w:t>On or about June 20, 2006, State Bar Investigator Lisa Edwards (“Edwards”) wrote to respondent’s former counsel (“the June 20, 2006</w:t>
      </w:r>
      <w:r>
        <w:rPr>
          <w:color w:val="000000"/>
        </w:rPr>
        <w:t xml:space="preserve"> letter</w:t>
      </w:r>
      <w:r w:rsidRPr="008E5130">
        <w:rPr>
          <w:color w:val="000000"/>
        </w:rPr>
        <w:t>”) and requested a written response to the allegations under investigation in relation to Roosta’s complaint.</w:t>
      </w:r>
      <w:r w:rsidR="00BE5080" w:rsidRPr="00BE5080">
        <w:t xml:space="preserve">  </w:t>
      </w:r>
      <w:r w:rsidRPr="008E5130">
        <w:rPr>
          <w:color w:val="000000"/>
        </w:rPr>
        <w:t>Respondent’s former cou</w:t>
      </w:r>
      <w:r>
        <w:rPr>
          <w:color w:val="000000"/>
        </w:rPr>
        <w:t>nsel received the June 20, 2006</w:t>
      </w:r>
      <w:r w:rsidRPr="008E5130">
        <w:rPr>
          <w:color w:val="000000"/>
        </w:rPr>
        <w:t xml:space="preserve"> letter shortly after on or about June 20, 2006</w:t>
      </w:r>
      <w:r w:rsidRPr="00BE5080">
        <w:rPr>
          <w:color w:val="000000"/>
        </w:rPr>
        <w:t>.</w:t>
      </w:r>
      <w:r w:rsidR="00BE5080" w:rsidRPr="00BE5080">
        <w:t xml:space="preserve">  </w:t>
      </w:r>
    </w:p>
    <w:p w:rsidR="0092469C" w:rsidRDefault="0092469C" w:rsidP="0092469C">
      <w:pPr>
        <w:spacing w:line="480" w:lineRule="auto"/>
        <w:ind w:firstLine="720"/>
        <w:rPr>
          <w:b/>
        </w:rPr>
      </w:pPr>
      <w:r w:rsidRPr="008E5130">
        <w:rPr>
          <w:color w:val="000000"/>
        </w:rPr>
        <w:t>Subsequent to on or about June 20, 2006, respondent discharged his former counsel</w:t>
      </w:r>
      <w:r w:rsidR="00BE5080">
        <w:rPr>
          <w:color w:val="000000"/>
        </w:rPr>
        <w:t xml:space="preserve">.  </w:t>
      </w:r>
      <w:r w:rsidRPr="008E5130">
        <w:rPr>
          <w:color w:val="000000"/>
        </w:rPr>
        <w:t>No one contacted Edwards or any other State Bar employee in substantive response to the June 20, 2006</w:t>
      </w:r>
      <w:r>
        <w:rPr>
          <w:color w:val="000000"/>
        </w:rPr>
        <w:t xml:space="preserve"> letter</w:t>
      </w:r>
      <w:r w:rsidRPr="008E5130">
        <w:rPr>
          <w:color w:val="000000"/>
        </w:rPr>
        <w:t>.</w:t>
      </w:r>
    </w:p>
    <w:p w:rsidR="0092469C" w:rsidRDefault="0092469C" w:rsidP="0092469C">
      <w:pPr>
        <w:spacing w:line="480" w:lineRule="auto"/>
        <w:ind w:firstLine="720"/>
        <w:rPr>
          <w:b/>
        </w:rPr>
      </w:pPr>
      <w:r w:rsidRPr="008E5130">
        <w:rPr>
          <w:color w:val="000000"/>
        </w:rPr>
        <w:lastRenderedPageBreak/>
        <w:t>On or about October 12, 2006, Edwards wrote a letter to respondent (“the October 12, 2006</w:t>
      </w:r>
      <w:r>
        <w:rPr>
          <w:color w:val="000000"/>
        </w:rPr>
        <w:t xml:space="preserve"> letter</w:t>
      </w:r>
      <w:r w:rsidRPr="008E5130">
        <w:rPr>
          <w:color w:val="000000"/>
        </w:rPr>
        <w:t>”), accompanied by a copy of the June 20, 2006</w:t>
      </w:r>
      <w:r>
        <w:rPr>
          <w:color w:val="000000"/>
        </w:rPr>
        <w:t xml:space="preserve"> letter</w:t>
      </w:r>
      <w:r w:rsidRPr="008E5130">
        <w:rPr>
          <w:color w:val="000000"/>
        </w:rPr>
        <w:t xml:space="preserve">, and again requested a written response to the allegations under investigation in relation to Roosta’s complaint.  </w:t>
      </w:r>
    </w:p>
    <w:p w:rsidR="0092469C" w:rsidRPr="001A4113" w:rsidRDefault="0092469C" w:rsidP="0092469C">
      <w:pPr>
        <w:spacing w:line="480" w:lineRule="auto"/>
        <w:ind w:firstLine="720"/>
        <w:rPr>
          <w:b/>
        </w:rPr>
      </w:pPr>
      <w:r w:rsidRPr="008E5130">
        <w:rPr>
          <w:color w:val="000000"/>
        </w:rPr>
        <w:t>Respondent received a copy of the October 12, 2006</w:t>
      </w:r>
      <w:r>
        <w:rPr>
          <w:color w:val="000000"/>
        </w:rPr>
        <w:t xml:space="preserve"> letter</w:t>
      </w:r>
      <w:r w:rsidRPr="008E5130">
        <w:rPr>
          <w:color w:val="000000"/>
        </w:rPr>
        <w:t xml:space="preserve"> (with enclosed copy of the June 20, 2006</w:t>
      </w:r>
      <w:r>
        <w:rPr>
          <w:color w:val="000000"/>
        </w:rPr>
        <w:t xml:space="preserve"> letter</w:t>
      </w:r>
      <w:r w:rsidRPr="008E5130">
        <w:rPr>
          <w:color w:val="000000"/>
        </w:rPr>
        <w:t>) shortly after on or about October 12, 2006.</w:t>
      </w:r>
      <w:r w:rsidR="00BE5080" w:rsidRPr="00BE5080">
        <w:t xml:space="preserve">  </w:t>
      </w:r>
      <w:r w:rsidRPr="008E5130">
        <w:rPr>
          <w:color w:val="000000"/>
        </w:rPr>
        <w:t>No one contacted Edwards in response to the October 12, 2006</w:t>
      </w:r>
      <w:r>
        <w:rPr>
          <w:color w:val="000000"/>
        </w:rPr>
        <w:t xml:space="preserve"> letter</w:t>
      </w:r>
      <w:r w:rsidRPr="008E5130">
        <w:rPr>
          <w:color w:val="000000"/>
        </w:rPr>
        <w:t>.</w:t>
      </w:r>
    </w:p>
    <w:p w:rsidR="0092469C" w:rsidRPr="008E5130" w:rsidRDefault="00C1488D" w:rsidP="0092469C">
      <w:pPr>
        <w:spacing w:line="480" w:lineRule="auto"/>
        <w:ind w:firstLine="720"/>
      </w:pPr>
      <w:r>
        <w:rPr>
          <w:color w:val="000000"/>
        </w:rPr>
        <w:t>As of July 11, 2008, respondent had</w:t>
      </w:r>
      <w:r w:rsidR="0092469C" w:rsidRPr="008E5130">
        <w:rPr>
          <w:color w:val="000000"/>
        </w:rPr>
        <w:t xml:space="preserve"> not provided Edwards or any other State Bar employee with </w:t>
      </w:r>
      <w:r w:rsidR="0092469C">
        <w:rPr>
          <w:color w:val="000000"/>
        </w:rPr>
        <w:t>a response to the June 20, 2006</w:t>
      </w:r>
      <w:r w:rsidR="0092469C" w:rsidRPr="008E5130">
        <w:rPr>
          <w:color w:val="000000"/>
        </w:rPr>
        <w:t xml:space="preserve"> letter or the October 12, 2006 letter.</w:t>
      </w:r>
      <w:r>
        <w:rPr>
          <w:rStyle w:val="FootnoteReference"/>
          <w:color w:val="000000"/>
        </w:rPr>
        <w:footnoteReference w:id="11"/>
      </w:r>
      <w:r w:rsidR="0092469C" w:rsidRPr="008E5130">
        <w:rPr>
          <w:color w:val="000000"/>
        </w:rPr>
        <w:t xml:space="preserve">  </w:t>
      </w:r>
      <w:r>
        <w:rPr>
          <w:color w:val="000000"/>
        </w:rPr>
        <w:t>As of July 11, 2008</w:t>
      </w:r>
      <w:r w:rsidR="0092469C" w:rsidRPr="008E5130">
        <w:rPr>
          <w:color w:val="000000"/>
        </w:rPr>
        <w:t>, respondent ha</w:t>
      </w:r>
      <w:r w:rsidR="00844329">
        <w:rPr>
          <w:color w:val="000000"/>
        </w:rPr>
        <w:t>d</w:t>
      </w:r>
      <w:r w:rsidR="0092469C" w:rsidRPr="008E5130">
        <w:rPr>
          <w:color w:val="000000"/>
        </w:rPr>
        <w:t xml:space="preserve"> not provided Edwards or any other State Bar employee with any information regarding Roosta’s complaint.</w:t>
      </w:r>
    </w:p>
    <w:p w:rsidR="0092469C" w:rsidRDefault="0092469C" w:rsidP="002038D5">
      <w:pPr>
        <w:spacing w:line="480" w:lineRule="auto"/>
        <w:ind w:firstLine="1080"/>
      </w:pPr>
      <w:r>
        <w:rPr>
          <w:b/>
          <w:color w:val="000000"/>
        </w:rPr>
        <w:t xml:space="preserve">b.  </w:t>
      </w:r>
      <w:r w:rsidRPr="001A4113">
        <w:rPr>
          <w:b/>
          <w:color w:val="000000"/>
        </w:rPr>
        <w:t xml:space="preserve">The Maggiani </w:t>
      </w:r>
      <w:r w:rsidR="008B1850">
        <w:rPr>
          <w:b/>
          <w:color w:val="000000"/>
        </w:rPr>
        <w:t>Complaint</w:t>
      </w:r>
      <w:r>
        <w:rPr>
          <w:b/>
        </w:rPr>
        <w:t xml:space="preserve"> </w:t>
      </w:r>
    </w:p>
    <w:p w:rsidR="0092469C" w:rsidRDefault="0092469C" w:rsidP="0092469C">
      <w:pPr>
        <w:spacing w:line="480" w:lineRule="auto"/>
        <w:ind w:firstLine="720"/>
        <w:rPr>
          <w:b/>
        </w:rPr>
      </w:pPr>
      <w:r w:rsidRPr="008E5130">
        <w:rPr>
          <w:color w:val="000000"/>
        </w:rPr>
        <w:t>On or about January 24, 2007, the State Bar opened an investigation, case number 07</w:t>
      </w:r>
      <w:r>
        <w:rPr>
          <w:color w:val="000000"/>
        </w:rPr>
        <w:t>-O-</w:t>
      </w:r>
      <w:r w:rsidRPr="008E5130">
        <w:rPr>
          <w:color w:val="000000"/>
        </w:rPr>
        <w:t>10438, based on a complaint received from Maggiani.</w:t>
      </w:r>
    </w:p>
    <w:p w:rsidR="0092469C" w:rsidRDefault="0092469C" w:rsidP="0092469C">
      <w:pPr>
        <w:spacing w:line="480" w:lineRule="auto"/>
        <w:ind w:firstLine="720"/>
        <w:rPr>
          <w:b/>
        </w:rPr>
      </w:pPr>
      <w:r w:rsidRPr="008E5130">
        <w:rPr>
          <w:color w:val="000000"/>
        </w:rPr>
        <w:t>On or about March 8, 2007, Edwards wrote respondent (“the March 8, 2007</w:t>
      </w:r>
      <w:r>
        <w:rPr>
          <w:color w:val="000000"/>
        </w:rPr>
        <w:t xml:space="preserve"> letter</w:t>
      </w:r>
      <w:r w:rsidRPr="008E5130">
        <w:rPr>
          <w:color w:val="000000"/>
        </w:rPr>
        <w:t>”) and requested a written response to the allegations under investigation in relation to Maggiani’s complaint.  Among the information</w:t>
      </w:r>
      <w:r>
        <w:rPr>
          <w:color w:val="000000"/>
        </w:rPr>
        <w:t xml:space="preserve"> requested in the March 8, 2007 letter were</w:t>
      </w:r>
      <w:r w:rsidRPr="008E5130">
        <w:rPr>
          <w:color w:val="000000"/>
        </w:rPr>
        <w:t xml:space="preserve"> copies of respondent’s trust account records required to be maintained pursuant to rule 4-100(C</w:t>
      </w:r>
      <w:r w:rsidR="005F2F7C">
        <w:rPr>
          <w:color w:val="000000"/>
        </w:rPr>
        <w:t>)</w:t>
      </w:r>
      <w:r w:rsidRPr="008E5130">
        <w:rPr>
          <w:color w:val="000000"/>
        </w:rPr>
        <w:t>.</w:t>
      </w:r>
    </w:p>
    <w:p w:rsidR="0092469C" w:rsidRPr="001A4113" w:rsidRDefault="0092469C" w:rsidP="0092469C">
      <w:pPr>
        <w:spacing w:line="480" w:lineRule="auto"/>
        <w:ind w:firstLine="720"/>
        <w:rPr>
          <w:b/>
        </w:rPr>
      </w:pPr>
      <w:r w:rsidRPr="008E5130">
        <w:rPr>
          <w:color w:val="000000"/>
        </w:rPr>
        <w:t>Respon</w:t>
      </w:r>
      <w:r>
        <w:rPr>
          <w:color w:val="000000"/>
        </w:rPr>
        <w:t>dent received the March 8, 2007</w:t>
      </w:r>
      <w:r w:rsidRPr="008E5130">
        <w:rPr>
          <w:color w:val="000000"/>
        </w:rPr>
        <w:t xml:space="preserve"> letter shortly after on or about March 8, 2007.</w:t>
      </w:r>
    </w:p>
    <w:p w:rsidR="0092469C" w:rsidRDefault="0092469C" w:rsidP="0092469C">
      <w:pPr>
        <w:spacing w:line="480" w:lineRule="auto"/>
        <w:ind w:firstLine="720"/>
        <w:rPr>
          <w:color w:val="000000"/>
        </w:rPr>
      </w:pPr>
      <w:r w:rsidRPr="008E5130">
        <w:rPr>
          <w:color w:val="000000"/>
        </w:rPr>
        <w:t>No one contacted Edwards or any other State Bar employee in response to the</w:t>
      </w:r>
      <w:r w:rsidRPr="001A4113">
        <w:rPr>
          <w:color w:val="000000"/>
        </w:rPr>
        <w:t xml:space="preserve"> </w:t>
      </w:r>
      <w:r>
        <w:rPr>
          <w:color w:val="000000"/>
        </w:rPr>
        <w:t>March 8, 2007</w:t>
      </w:r>
      <w:r w:rsidRPr="008E5130">
        <w:rPr>
          <w:color w:val="000000"/>
        </w:rPr>
        <w:t xml:space="preserve"> letter.</w:t>
      </w:r>
    </w:p>
    <w:p w:rsidR="0092469C" w:rsidRDefault="0092469C" w:rsidP="0092469C">
      <w:pPr>
        <w:spacing w:line="480" w:lineRule="auto"/>
        <w:ind w:firstLine="720"/>
        <w:rPr>
          <w:color w:val="000000"/>
        </w:rPr>
      </w:pPr>
      <w:r w:rsidRPr="008E5130">
        <w:rPr>
          <w:color w:val="000000"/>
        </w:rPr>
        <w:t xml:space="preserve">On or about March 29, 2007, Edwards wrote a second letter to </w:t>
      </w:r>
      <w:r>
        <w:rPr>
          <w:color w:val="000000"/>
        </w:rPr>
        <w:t>respondent (“the March 29, 2007</w:t>
      </w:r>
      <w:r w:rsidRPr="008E5130">
        <w:rPr>
          <w:color w:val="000000"/>
        </w:rPr>
        <w:t xml:space="preserve"> letter”), accompanied</w:t>
      </w:r>
      <w:r>
        <w:rPr>
          <w:color w:val="000000"/>
        </w:rPr>
        <w:t xml:space="preserve"> by a copy of the March 8, 2007</w:t>
      </w:r>
      <w:r w:rsidRPr="008E5130">
        <w:rPr>
          <w:color w:val="000000"/>
        </w:rPr>
        <w:t xml:space="preserve"> letter, and again requested a written response to the allegations under investigation in relation to Maggiani’s complaint.</w:t>
      </w:r>
    </w:p>
    <w:p w:rsidR="0092469C" w:rsidRDefault="0092469C" w:rsidP="0092469C">
      <w:pPr>
        <w:spacing w:line="480" w:lineRule="auto"/>
        <w:ind w:firstLine="720"/>
        <w:rPr>
          <w:color w:val="000000"/>
        </w:rPr>
      </w:pPr>
      <w:r w:rsidRPr="008E5130">
        <w:rPr>
          <w:color w:val="000000"/>
        </w:rPr>
        <w:lastRenderedPageBreak/>
        <w:t>Respondent received a copy of the March 29, 2007 letter (with enc</w:t>
      </w:r>
      <w:r>
        <w:rPr>
          <w:color w:val="000000"/>
        </w:rPr>
        <w:t>losed copy of the March 8, 2007</w:t>
      </w:r>
      <w:r w:rsidRPr="008E5130">
        <w:rPr>
          <w:color w:val="000000"/>
        </w:rPr>
        <w:t xml:space="preserve"> letter) shortly after on or about March 29, 2007.  </w:t>
      </w:r>
    </w:p>
    <w:p w:rsidR="0092469C" w:rsidRDefault="0092469C" w:rsidP="0092469C">
      <w:pPr>
        <w:spacing w:line="480" w:lineRule="auto"/>
        <w:ind w:firstLine="720"/>
        <w:rPr>
          <w:color w:val="000000"/>
        </w:rPr>
      </w:pPr>
      <w:r w:rsidRPr="008E5130">
        <w:rPr>
          <w:color w:val="000000"/>
        </w:rPr>
        <w:t>No one contacted Edwards or any other State Bar employee in response to the March 29, 2007 letter.</w:t>
      </w:r>
    </w:p>
    <w:p w:rsidR="0092469C" w:rsidRDefault="00B92F16" w:rsidP="0092469C">
      <w:pPr>
        <w:spacing w:line="480" w:lineRule="auto"/>
        <w:ind w:firstLine="720"/>
        <w:rPr>
          <w:color w:val="000000"/>
        </w:rPr>
      </w:pPr>
      <w:r>
        <w:rPr>
          <w:color w:val="000000"/>
        </w:rPr>
        <w:t>As of July 11, 2008</w:t>
      </w:r>
      <w:r w:rsidR="0092469C" w:rsidRPr="008E5130">
        <w:rPr>
          <w:color w:val="000000"/>
        </w:rPr>
        <w:t>, respondent ha</w:t>
      </w:r>
      <w:r w:rsidR="00844329">
        <w:rPr>
          <w:color w:val="000000"/>
        </w:rPr>
        <w:t>d</w:t>
      </w:r>
      <w:r w:rsidR="0092469C" w:rsidRPr="008E5130">
        <w:rPr>
          <w:color w:val="000000"/>
        </w:rPr>
        <w:t xml:space="preserve"> not provided Edwards or any other State Bar employee with a response to the March 8, 2007</w:t>
      </w:r>
      <w:r w:rsidR="0092469C">
        <w:rPr>
          <w:color w:val="000000"/>
        </w:rPr>
        <w:t xml:space="preserve"> letter</w:t>
      </w:r>
      <w:r w:rsidR="0092469C" w:rsidRPr="008E5130">
        <w:rPr>
          <w:color w:val="000000"/>
        </w:rPr>
        <w:t xml:space="preserve"> or the March 29, 2007</w:t>
      </w:r>
      <w:r w:rsidR="0092469C">
        <w:rPr>
          <w:color w:val="000000"/>
        </w:rPr>
        <w:t xml:space="preserve"> letter</w:t>
      </w:r>
      <w:r w:rsidR="0092469C" w:rsidRPr="008E5130">
        <w:rPr>
          <w:color w:val="000000"/>
        </w:rPr>
        <w:t>.</w:t>
      </w:r>
      <w:r>
        <w:rPr>
          <w:rStyle w:val="FootnoteReference"/>
          <w:color w:val="000000"/>
        </w:rPr>
        <w:footnoteReference w:id="12"/>
      </w:r>
      <w:r w:rsidR="0092469C" w:rsidRPr="008E5130">
        <w:rPr>
          <w:color w:val="000000"/>
        </w:rPr>
        <w:t xml:space="preserve">  </w:t>
      </w:r>
      <w:r>
        <w:rPr>
          <w:color w:val="000000"/>
        </w:rPr>
        <w:t>As of July 11, 2008</w:t>
      </w:r>
      <w:r w:rsidR="0092469C" w:rsidRPr="008E5130">
        <w:rPr>
          <w:color w:val="000000"/>
        </w:rPr>
        <w:t>, respondent ha</w:t>
      </w:r>
      <w:r w:rsidR="00844329">
        <w:rPr>
          <w:color w:val="000000"/>
        </w:rPr>
        <w:t>d</w:t>
      </w:r>
      <w:r w:rsidR="0092469C" w:rsidRPr="008E5130">
        <w:rPr>
          <w:color w:val="000000"/>
        </w:rPr>
        <w:t xml:space="preserve"> not provided Edwards or any other State Bar employee with copies of his trust account records as required to be maintained pursuant to rule 4-100(C</w:t>
      </w:r>
      <w:r w:rsidR="00844329">
        <w:rPr>
          <w:color w:val="000000"/>
        </w:rPr>
        <w:t>)</w:t>
      </w:r>
      <w:r w:rsidR="0092469C" w:rsidRPr="008E5130">
        <w:rPr>
          <w:color w:val="000000"/>
        </w:rPr>
        <w:t xml:space="preserve">.  </w:t>
      </w:r>
      <w:r>
        <w:rPr>
          <w:color w:val="000000"/>
        </w:rPr>
        <w:t>As of July 11, 2008</w:t>
      </w:r>
      <w:r w:rsidR="0092469C" w:rsidRPr="008E5130">
        <w:rPr>
          <w:color w:val="000000"/>
        </w:rPr>
        <w:t>, respondent ha</w:t>
      </w:r>
      <w:r w:rsidR="00844329">
        <w:rPr>
          <w:color w:val="000000"/>
        </w:rPr>
        <w:t>d</w:t>
      </w:r>
      <w:r w:rsidR="0092469C" w:rsidRPr="008E5130">
        <w:rPr>
          <w:color w:val="000000"/>
        </w:rPr>
        <w:t xml:space="preserve"> not provided Edwards or any other State Bar employee with any</w:t>
      </w:r>
      <w:r w:rsidR="0092469C" w:rsidRPr="00423B17">
        <w:rPr>
          <w:color w:val="000000"/>
        </w:rPr>
        <w:t xml:space="preserve"> </w:t>
      </w:r>
      <w:r w:rsidR="0092469C" w:rsidRPr="008E5130">
        <w:rPr>
          <w:color w:val="000000"/>
        </w:rPr>
        <w:t>information regarding Maggiani’s complaint.</w:t>
      </w:r>
    </w:p>
    <w:p w:rsidR="006F1DE1" w:rsidRPr="006F1DE1" w:rsidRDefault="006F1DE1" w:rsidP="006F1DE1">
      <w:pPr>
        <w:spacing w:line="480" w:lineRule="auto"/>
        <w:ind w:firstLine="720"/>
        <w:rPr>
          <w:b/>
          <w:color w:val="000000"/>
        </w:rPr>
      </w:pPr>
      <w:r w:rsidRPr="006F1DE1">
        <w:rPr>
          <w:b/>
          <w:color w:val="000000"/>
        </w:rPr>
        <w:t>2.  Conclusions of Law</w:t>
      </w:r>
      <w:r w:rsidR="008A6DF4">
        <w:rPr>
          <w:b/>
          <w:color w:val="000000"/>
        </w:rPr>
        <w:t xml:space="preserve"> </w:t>
      </w:r>
    </w:p>
    <w:p w:rsidR="006F1DE1" w:rsidRDefault="0092469C" w:rsidP="00627E13">
      <w:pPr>
        <w:ind w:left="1440" w:hanging="360"/>
        <w:rPr>
          <w:b/>
          <w:color w:val="000000"/>
        </w:rPr>
      </w:pPr>
      <w:r w:rsidRPr="0092469C">
        <w:rPr>
          <w:b/>
        </w:rPr>
        <w:t xml:space="preserve">a.  </w:t>
      </w:r>
      <w:r w:rsidR="00627E13">
        <w:rPr>
          <w:b/>
        </w:rPr>
        <w:t xml:space="preserve"> </w:t>
      </w:r>
      <w:r w:rsidRPr="0092469C">
        <w:rPr>
          <w:b/>
        </w:rPr>
        <w:t xml:space="preserve">Count 12 - </w:t>
      </w:r>
      <w:r w:rsidR="00627E13">
        <w:rPr>
          <w:b/>
          <w:color w:val="000000"/>
        </w:rPr>
        <w:t>S</w:t>
      </w:r>
      <w:r w:rsidRPr="0092469C">
        <w:rPr>
          <w:b/>
          <w:color w:val="000000"/>
        </w:rPr>
        <w:t>ection 6068</w:t>
      </w:r>
      <w:r w:rsidR="00627E13">
        <w:rPr>
          <w:b/>
          <w:color w:val="000000"/>
        </w:rPr>
        <w:t xml:space="preserve">, subdivision </w:t>
      </w:r>
      <w:r w:rsidRPr="0092469C">
        <w:rPr>
          <w:b/>
          <w:color w:val="000000"/>
        </w:rPr>
        <w:t>(i) [Failure to Cooperate in State Bar Investigation]</w:t>
      </w:r>
      <w:r>
        <w:rPr>
          <w:b/>
          <w:color w:val="000000"/>
        </w:rPr>
        <w:t xml:space="preserve"> </w:t>
      </w:r>
    </w:p>
    <w:p w:rsidR="00627E13" w:rsidRDefault="00627E13" w:rsidP="00627E13">
      <w:pPr>
        <w:ind w:left="1440" w:hanging="360"/>
        <w:rPr>
          <w:color w:val="000000"/>
        </w:rPr>
      </w:pPr>
    </w:p>
    <w:p w:rsidR="0092469C" w:rsidRPr="00C24F53" w:rsidRDefault="00627E13" w:rsidP="006F1DE1">
      <w:pPr>
        <w:spacing w:line="480" w:lineRule="auto"/>
        <w:ind w:firstLine="720"/>
        <w:rPr>
          <w:color w:val="000000"/>
        </w:rPr>
      </w:pPr>
      <w:r>
        <w:t xml:space="preserve">Section 6068, subdivision (i), provides that an attorney must cooperate and participate in any disciplinary investigation or proceeding pending against the attorney.  </w:t>
      </w:r>
      <w:r w:rsidR="00C24F53">
        <w:t>B</w:t>
      </w:r>
      <w:r>
        <w:t>y failing to provide a response to any of the State Bar investigator’s letters or to the allegations of the Roosta and Maggiani complaints</w:t>
      </w:r>
      <w:r w:rsidR="0092469C" w:rsidRPr="00627E13">
        <w:rPr>
          <w:color w:val="000000"/>
        </w:rPr>
        <w:t>, respondent failed to cooperate and participate in disciplinary investigations pending against him</w:t>
      </w:r>
      <w:r w:rsidRPr="00627E13">
        <w:rPr>
          <w:color w:val="000000"/>
        </w:rPr>
        <w:t>, in willful violation of section 6068, subdivision (i)</w:t>
      </w:r>
      <w:r w:rsidR="0092469C" w:rsidRPr="00627E13">
        <w:rPr>
          <w:color w:val="000000"/>
        </w:rPr>
        <w:t>.</w:t>
      </w:r>
    </w:p>
    <w:p w:rsidR="00B31AB1" w:rsidRPr="00097646" w:rsidRDefault="00097646" w:rsidP="003F03C7">
      <w:pPr>
        <w:tabs>
          <w:tab w:val="center" w:pos="4680"/>
        </w:tabs>
        <w:spacing w:line="480" w:lineRule="auto"/>
        <w:jc w:val="center"/>
        <w:rPr>
          <w:b/>
          <w:bCs/>
        </w:rPr>
      </w:pPr>
      <w:r w:rsidRPr="00097646">
        <w:rPr>
          <w:b/>
          <w:bCs/>
        </w:rPr>
        <w:t>IV.  Mitigating and Aggravating Circumstances</w:t>
      </w:r>
    </w:p>
    <w:p w:rsidR="00D06BDD" w:rsidRPr="00D06BDD" w:rsidRDefault="0069105D" w:rsidP="003F03C7">
      <w:pPr>
        <w:spacing w:line="480" w:lineRule="auto"/>
        <w:rPr>
          <w:b/>
        </w:rPr>
      </w:pPr>
      <w:r>
        <w:rPr>
          <w:b/>
        </w:rPr>
        <w:t xml:space="preserve">A.  </w:t>
      </w:r>
      <w:r w:rsidR="00D06BDD" w:rsidRPr="00D06BDD">
        <w:rPr>
          <w:b/>
        </w:rPr>
        <w:t>Mitigation</w:t>
      </w:r>
    </w:p>
    <w:p w:rsidR="00622F9C" w:rsidRDefault="00622F9C" w:rsidP="00394768">
      <w:pPr>
        <w:spacing w:line="480" w:lineRule="auto"/>
        <w:ind w:firstLine="720"/>
      </w:pPr>
      <w:r>
        <w:t>Respondent bears the burden of establishing mitigation by clear and convincing evidence.  (Rules Proc. of State Bar, tit. IV, Stds. for Atty. Sanctions for Prof. Misconduct, std. 1.2(e).)</w:t>
      </w:r>
      <w:r>
        <w:rPr>
          <w:rStyle w:val="FootnoteReference"/>
        </w:rPr>
        <w:footnoteReference w:id="13"/>
      </w:r>
      <w:r>
        <w:t xml:space="preserve">  </w:t>
      </w:r>
      <w:r>
        <w:lastRenderedPageBreak/>
        <w:t>Since respondent did not participate, the court has been provided no basis for finding mitigating factors.</w:t>
      </w:r>
    </w:p>
    <w:p w:rsidR="00D06BDD" w:rsidRDefault="0069105D" w:rsidP="003F03C7">
      <w:pPr>
        <w:spacing w:line="480" w:lineRule="auto"/>
        <w:rPr>
          <w:b/>
        </w:rPr>
      </w:pPr>
      <w:r w:rsidRPr="0069105D">
        <w:rPr>
          <w:b/>
        </w:rPr>
        <w:t>B.  Aggravation</w:t>
      </w:r>
    </w:p>
    <w:p w:rsidR="00622F9C" w:rsidRDefault="00622F9C" w:rsidP="00622F9C">
      <w:pPr>
        <w:widowControl w:val="0"/>
        <w:numPr>
          <w:ilvl w:val="12"/>
          <w:numId w:val="0"/>
        </w:numPr>
        <w:spacing w:line="480" w:lineRule="auto"/>
        <w:ind w:firstLine="720"/>
      </w:pPr>
      <w:r>
        <w:t>The court finds four factors in aggravation.  (Std. 1.2(b).)</w:t>
      </w:r>
    </w:p>
    <w:p w:rsidR="00622F9C" w:rsidRPr="00622F9C" w:rsidRDefault="00622F9C" w:rsidP="00622F9C">
      <w:pPr>
        <w:widowControl w:val="0"/>
        <w:numPr>
          <w:ilvl w:val="12"/>
          <w:numId w:val="0"/>
        </w:numPr>
        <w:spacing w:line="480" w:lineRule="auto"/>
        <w:ind w:firstLine="720"/>
        <w:rPr>
          <w:b/>
        </w:rPr>
      </w:pPr>
      <w:r w:rsidRPr="00622F9C">
        <w:rPr>
          <w:b/>
        </w:rPr>
        <w:t>1.  Prior Record of Discipline</w:t>
      </w:r>
    </w:p>
    <w:p w:rsidR="00622F9C" w:rsidRDefault="00622F9C" w:rsidP="00622F9C">
      <w:pPr>
        <w:spacing w:line="480" w:lineRule="auto"/>
        <w:ind w:right="-720" w:firstLine="720"/>
        <w:jc w:val="both"/>
      </w:pPr>
      <w:r>
        <w:t>Respondent has a prior record of discipline.</w:t>
      </w:r>
      <w:r w:rsidR="00F16474">
        <w:rPr>
          <w:rStyle w:val="FootnoteReference"/>
        </w:rPr>
        <w:footnoteReference w:id="14"/>
      </w:r>
      <w:r>
        <w:t xml:space="preserve">  (Std. 1.2(b)(i).)  </w:t>
      </w:r>
    </w:p>
    <w:p w:rsidR="00622F9C" w:rsidRDefault="00622F9C" w:rsidP="00622F9C">
      <w:pPr>
        <w:spacing w:line="480" w:lineRule="auto"/>
        <w:ind w:right="-720" w:firstLine="720"/>
      </w:pPr>
      <w:r>
        <w:t xml:space="preserve">On </w:t>
      </w:r>
      <w:r w:rsidR="00227E4C">
        <w:t>July 1, 2005</w:t>
      </w:r>
      <w:r>
        <w:t>, the California Supreme Court issued an order (S</w:t>
      </w:r>
      <w:r w:rsidR="00F16474">
        <w:t>133038</w:t>
      </w:r>
      <w:r>
        <w:t xml:space="preserve">) suspending respondent from the practice of law for </w:t>
      </w:r>
      <w:r w:rsidR="00F16474">
        <w:t>two</w:t>
      </w:r>
      <w:r>
        <w:t xml:space="preserve"> years, stayed, with a </w:t>
      </w:r>
      <w:r w:rsidR="00F16474">
        <w:t>two</w:t>
      </w:r>
      <w:r>
        <w:t xml:space="preserve">-year probationary period including a </w:t>
      </w:r>
      <w:r w:rsidR="00F16474">
        <w:t>60-day</w:t>
      </w:r>
      <w:r>
        <w:t xml:space="preserve"> actual suspension and until restitution.  This discipline stemmed from respondent’s misconduct in </w:t>
      </w:r>
      <w:r w:rsidR="00DF521B">
        <w:t>two client matters</w:t>
      </w:r>
      <w:r>
        <w:t>.  Said misconduct included failing to perform legal services compe</w:t>
      </w:r>
      <w:r w:rsidR="00DF521B">
        <w:t>tently and</w:t>
      </w:r>
      <w:r>
        <w:t xml:space="preserve"> failing to refund unearned fees.  In mitigation, respondent had no prior record of discipline</w:t>
      </w:r>
      <w:r w:rsidR="00DF521B">
        <w:t xml:space="preserve"> and displayed spontaneous candor and cooperation </w:t>
      </w:r>
      <w:r w:rsidR="00D903B9">
        <w:t>with</w:t>
      </w:r>
      <w:r w:rsidR="00DF521B">
        <w:t xml:space="preserve"> the State Bar</w:t>
      </w:r>
      <w:r>
        <w:t xml:space="preserve">.  </w:t>
      </w:r>
      <w:r w:rsidR="00DF521B">
        <w:t>No aggravating circumstances were found</w:t>
      </w:r>
      <w:r>
        <w:t>.</w:t>
      </w:r>
    </w:p>
    <w:p w:rsidR="00622F9C" w:rsidRPr="0019222F" w:rsidRDefault="00622F9C" w:rsidP="00622F9C">
      <w:pPr>
        <w:widowControl w:val="0"/>
        <w:numPr>
          <w:ilvl w:val="12"/>
          <w:numId w:val="0"/>
        </w:numPr>
        <w:spacing w:line="480" w:lineRule="auto"/>
        <w:ind w:firstLine="720"/>
        <w:rPr>
          <w:b/>
        </w:rPr>
      </w:pPr>
      <w:r>
        <w:rPr>
          <w:b/>
        </w:rPr>
        <w:t>2.  Multiple Acts of Wrongdoing</w:t>
      </w:r>
    </w:p>
    <w:p w:rsidR="00622F9C" w:rsidRDefault="00622F9C" w:rsidP="00622F9C">
      <w:pPr>
        <w:widowControl w:val="0"/>
        <w:numPr>
          <w:ilvl w:val="12"/>
          <w:numId w:val="0"/>
        </w:numPr>
        <w:spacing w:line="480" w:lineRule="auto"/>
        <w:ind w:firstLine="720"/>
      </w:pPr>
      <w:r>
        <w:t xml:space="preserve">Respondent committed multiple acts of wrongdoing ranging from failing to </w:t>
      </w:r>
      <w:r w:rsidR="00D903B9">
        <w:t>perform</w:t>
      </w:r>
      <w:r>
        <w:t xml:space="preserve"> to the misappropriation of client funds.  (1.2(b)(ii).)  </w:t>
      </w:r>
    </w:p>
    <w:p w:rsidR="00622F9C" w:rsidRPr="00997713" w:rsidRDefault="00622F9C" w:rsidP="00622F9C">
      <w:pPr>
        <w:widowControl w:val="0"/>
        <w:numPr>
          <w:ilvl w:val="12"/>
          <w:numId w:val="0"/>
        </w:numPr>
        <w:spacing w:line="480" w:lineRule="auto"/>
        <w:ind w:firstLine="720"/>
        <w:rPr>
          <w:b/>
        </w:rPr>
      </w:pPr>
      <w:r>
        <w:rPr>
          <w:b/>
        </w:rPr>
        <w:t>3</w:t>
      </w:r>
      <w:r w:rsidRPr="00997713">
        <w:rPr>
          <w:b/>
        </w:rPr>
        <w:t>.  Significant Harm</w:t>
      </w:r>
    </w:p>
    <w:p w:rsidR="00622F9C" w:rsidRPr="00C12530" w:rsidRDefault="00622F9C" w:rsidP="00622F9C">
      <w:pPr>
        <w:pStyle w:val="BodyTextIndent2"/>
        <w:widowControl/>
        <w:tabs>
          <w:tab w:val="num" w:pos="0"/>
        </w:tabs>
        <w:spacing w:line="480" w:lineRule="auto"/>
        <w:ind w:left="0" w:firstLine="720"/>
        <w:rPr>
          <w:bCs/>
        </w:rPr>
      </w:pPr>
      <w:r>
        <w:rPr>
          <w:bCs/>
        </w:rPr>
        <w:t xml:space="preserve">Respondent’s misconduct resulted in extensive financial harm to his clients.  (Std. 1.2(b)(iv).)  Said harm included his </w:t>
      </w:r>
      <w:r w:rsidR="00D903B9">
        <w:rPr>
          <w:bCs/>
        </w:rPr>
        <w:t xml:space="preserve">misappropriation of </w:t>
      </w:r>
      <w:r w:rsidR="00153C8E">
        <w:rPr>
          <w:bCs/>
        </w:rPr>
        <w:t xml:space="preserve">$30,744.18 in </w:t>
      </w:r>
      <w:r w:rsidR="00D903B9">
        <w:rPr>
          <w:bCs/>
        </w:rPr>
        <w:t>funds belonging to Fisher and Maggiani</w:t>
      </w:r>
      <w:r>
        <w:rPr>
          <w:bCs/>
        </w:rPr>
        <w:t xml:space="preserve">.  </w:t>
      </w:r>
    </w:p>
    <w:p w:rsidR="00622F9C" w:rsidRPr="00C12530" w:rsidRDefault="00622F9C" w:rsidP="00622F9C">
      <w:pPr>
        <w:spacing w:line="480" w:lineRule="auto"/>
        <w:ind w:firstLine="720"/>
        <w:rPr>
          <w:b/>
        </w:rPr>
      </w:pPr>
      <w:r>
        <w:rPr>
          <w:b/>
        </w:rPr>
        <w:t>4</w:t>
      </w:r>
      <w:r w:rsidRPr="00C12530">
        <w:rPr>
          <w:b/>
        </w:rPr>
        <w:t>.  Failure to Participate</w:t>
      </w:r>
    </w:p>
    <w:p w:rsidR="00BB196F" w:rsidRDefault="00622F9C" w:rsidP="00153C8E">
      <w:pPr>
        <w:spacing w:line="480" w:lineRule="auto"/>
        <w:ind w:right="-720" w:firstLine="720"/>
      </w:pPr>
      <w:r>
        <w:t xml:space="preserve">Respondent's failure to participate in these proceedings prior to the entry of default is also an aggravating factor.  (Std. 1.2(b)(vi).)  </w:t>
      </w:r>
    </w:p>
    <w:p w:rsidR="00781D2F" w:rsidRDefault="00781D2F" w:rsidP="00153C8E">
      <w:pPr>
        <w:spacing w:line="480" w:lineRule="auto"/>
        <w:ind w:right="-720" w:firstLine="720"/>
      </w:pPr>
    </w:p>
    <w:p w:rsidR="00B31AB1" w:rsidRPr="00097646" w:rsidRDefault="00097646" w:rsidP="003F03C7">
      <w:pPr>
        <w:tabs>
          <w:tab w:val="center" w:pos="4680"/>
        </w:tabs>
        <w:spacing w:line="480" w:lineRule="auto"/>
        <w:jc w:val="center"/>
        <w:rPr>
          <w:b/>
          <w:bCs/>
        </w:rPr>
      </w:pPr>
      <w:r w:rsidRPr="00097646">
        <w:rPr>
          <w:b/>
          <w:bCs/>
        </w:rPr>
        <w:lastRenderedPageBreak/>
        <w:t>V.  Discussion</w:t>
      </w:r>
    </w:p>
    <w:p w:rsidR="00006CA0" w:rsidRDefault="00006CA0" w:rsidP="00006CA0">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sidRPr="0003569F">
        <w:rPr>
          <w:i/>
        </w:rPr>
        <w:t>Chadwick v. State Bar</w:t>
      </w:r>
      <w:r>
        <w:t xml:space="preserve"> (1989) 49 Cal.3d 103, 111; </w:t>
      </w:r>
      <w:r w:rsidRPr="0003569F">
        <w:rPr>
          <w:i/>
        </w:rPr>
        <w:t>Cooper v. State Bar</w:t>
      </w:r>
      <w:r>
        <w:t xml:space="preserve"> (1987) 43 Cal.3d 1016, 1025; std. 1.3.) </w:t>
      </w:r>
    </w:p>
    <w:p w:rsidR="00006CA0" w:rsidRDefault="00006CA0" w:rsidP="00006CA0">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rsidR="00006CA0" w:rsidRDefault="00006CA0" w:rsidP="00006CA0">
      <w:pPr>
        <w:spacing w:line="480" w:lineRule="auto"/>
        <w:ind w:firstLine="720"/>
      </w:pPr>
      <w:r>
        <w:t>Standards 2.2(a), 2.2(b), and 2.3</w:t>
      </w:r>
      <w:r w:rsidR="00363491">
        <w:t>, among others,</w:t>
      </w:r>
      <w:r>
        <w:t xml:space="preserve">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 year actual suspension.</w:t>
      </w:r>
    </w:p>
    <w:p w:rsidR="00006CA0" w:rsidRDefault="00006CA0" w:rsidP="00006CA0">
      <w:pPr>
        <w:spacing w:line="480" w:lineRule="auto"/>
        <w:ind w:firstLine="720"/>
      </w:pPr>
      <w:r>
        <w:t>The Supreme Court gives the standards “great weight” and will reject a recommendation consistent with the standards only where the court entertains “grave doubts” as to its propriety.  (</w:t>
      </w:r>
      <w:r w:rsidRPr="0003569F">
        <w:rPr>
          <w:i/>
        </w:rPr>
        <w:t>In re Silverton</w:t>
      </w:r>
      <w:r>
        <w:t xml:space="preserve"> (2005) 36 Cal.4th 81, </w:t>
      </w:r>
      <w:r w:rsidRPr="00EB6947">
        <w:t>91-92</w:t>
      </w:r>
      <w:r>
        <w:t xml:space="preserve">; </w:t>
      </w:r>
      <w:r w:rsidRPr="0003569F">
        <w:rPr>
          <w:i/>
        </w:rPr>
        <w:t>In re Naney</w:t>
      </w:r>
      <w:r>
        <w:t xml:space="preserve"> (1990) 51 Cal.3d 186, 190.)  The standards are not mandatory; they may be deviated from when there is a compelling, well-defined reason to do so.  (</w:t>
      </w:r>
      <w:r w:rsidRPr="0003569F">
        <w:rPr>
          <w:i/>
        </w:rPr>
        <w:t>Bates v. State Bar</w:t>
      </w:r>
      <w:r>
        <w:t xml:space="preserve"> (1990) 51 Cal.3d 1056, 1061, fn. 2; </w:t>
      </w:r>
      <w:r w:rsidRPr="0003569F">
        <w:rPr>
          <w:i/>
        </w:rPr>
        <w:t>Aronin v. State Bar</w:t>
      </w:r>
      <w:r>
        <w:t xml:space="preserve"> (1990) 52 Cal.3d 276, 291.)</w:t>
      </w:r>
    </w:p>
    <w:p w:rsidR="00006CA0" w:rsidRDefault="00006CA0" w:rsidP="00006CA0">
      <w:pPr>
        <w:spacing w:line="480" w:lineRule="auto"/>
        <w:ind w:firstLine="720"/>
      </w:pPr>
      <w:r>
        <w:t xml:space="preserve">The State Bar urges that respondent be disbarred.  The court agrees.  The Supreme Court has repeatedly held that disbarment is the usual discipline for the willful misappropriation of </w:t>
      </w:r>
      <w:r>
        <w:lastRenderedPageBreak/>
        <w:t xml:space="preserve">client funds.  (See </w:t>
      </w:r>
      <w:r w:rsidRPr="0003569F">
        <w:rPr>
          <w:i/>
        </w:rPr>
        <w:t>Edwards v. State Bar</w:t>
      </w:r>
      <w:r>
        <w:t xml:space="preserve"> (1990) 52 Cal.3d 28, 37; and </w:t>
      </w:r>
      <w:r w:rsidRPr="0003569F">
        <w:rPr>
          <w:i/>
        </w:rPr>
        <w:t xml:space="preserve">Howard v. State Bar </w:t>
      </w:r>
      <w:r>
        <w:t xml:space="preserve">(1990) 51 Cal.3d 215, 221.)  </w:t>
      </w:r>
    </w:p>
    <w:p w:rsidR="00006CA0" w:rsidRDefault="00006CA0" w:rsidP="00006CA0">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sidRPr="00464E0A">
        <w:rPr>
          <w:i/>
        </w:rPr>
        <w:t>Howard v. State Bar</w:t>
      </w:r>
      <w:r>
        <w:t xml:space="preserve">, </w:t>
      </w:r>
      <w:r>
        <w:rPr>
          <w:i/>
        </w:rPr>
        <w:t>supra</w:t>
      </w:r>
      <w:r>
        <w:t xml:space="preserve">, 51 Cal.3d 215, 221.)  </w:t>
      </w:r>
    </w:p>
    <w:p w:rsidR="00006CA0" w:rsidRDefault="00363491" w:rsidP="00006CA0">
      <w:pPr>
        <w:spacing w:line="480" w:lineRule="auto"/>
        <w:ind w:firstLine="720"/>
      </w:pPr>
      <w:r>
        <w:t>Here</w:t>
      </w:r>
      <w:r w:rsidR="00006CA0">
        <w:t>, respondent intentionally misappropriated $</w:t>
      </w:r>
      <w:r w:rsidR="002E64F4">
        <w:rPr>
          <w:bCs/>
        </w:rPr>
        <w:t>30,744.18</w:t>
      </w:r>
      <w:r w:rsidR="00006CA0">
        <w:t xml:space="preserve"> </w:t>
      </w:r>
      <w:r>
        <w:t xml:space="preserve">and </w:t>
      </w:r>
      <w:r w:rsidR="002E64F4">
        <w:t>failed</w:t>
      </w:r>
      <w:r>
        <w:t xml:space="preserve"> to participate in the present proceedings</w:t>
      </w:r>
      <w:r w:rsidR="00006CA0">
        <w:t xml:space="preserve">.  </w:t>
      </w:r>
      <w:r w:rsidR="002956D6">
        <w:t>The</w:t>
      </w:r>
      <w:r w:rsidR="00F22A16">
        <w:t xml:space="preserve"> court finds no reason</w:t>
      </w:r>
      <w:r w:rsidR="00A948CE">
        <w:t xml:space="preserve"> to deviate from the standards</w:t>
      </w:r>
      <w:r w:rsidR="002956D6">
        <w:t xml:space="preserve">, and therefore </w:t>
      </w:r>
      <w:r w:rsidR="00F22A16">
        <w:t>recommends that respondent be disbarred.</w:t>
      </w:r>
    </w:p>
    <w:p w:rsidR="00B31AB1" w:rsidRPr="00B9402F" w:rsidRDefault="00B9402F" w:rsidP="003F03C7">
      <w:pPr>
        <w:tabs>
          <w:tab w:val="center" w:pos="4680"/>
        </w:tabs>
        <w:spacing w:line="480" w:lineRule="auto"/>
        <w:jc w:val="center"/>
        <w:rPr>
          <w:b/>
          <w:bCs/>
        </w:rPr>
      </w:pPr>
      <w:r w:rsidRPr="00B9402F">
        <w:rPr>
          <w:b/>
          <w:bCs/>
        </w:rPr>
        <w:t>V</w:t>
      </w:r>
      <w:r w:rsidR="00987559">
        <w:rPr>
          <w:b/>
          <w:bCs/>
        </w:rPr>
        <w:t>I</w:t>
      </w:r>
      <w:r w:rsidRPr="00B9402F">
        <w:rPr>
          <w:b/>
          <w:bCs/>
        </w:rPr>
        <w:t>.  Recommended Discipline</w:t>
      </w:r>
    </w:p>
    <w:p w:rsidR="00554349" w:rsidRDefault="00554349" w:rsidP="00554349">
      <w:pPr>
        <w:spacing w:line="480" w:lineRule="auto"/>
        <w:ind w:firstLine="720"/>
      </w:pPr>
      <w:r>
        <w:t xml:space="preserve">The court recommends that respondent </w:t>
      </w:r>
      <w:r>
        <w:rPr>
          <w:b/>
        </w:rPr>
        <w:t>Alan Irving Moss</w:t>
      </w:r>
      <w:r>
        <w:t xml:space="preserve"> be disbarred from the practice of law in the State of California and that his name be stricken from the roll of attorneys in this state.</w:t>
      </w:r>
    </w:p>
    <w:p w:rsidR="00554349" w:rsidRDefault="00554349" w:rsidP="00554349">
      <w:pPr>
        <w:spacing w:line="480" w:lineRule="auto"/>
        <w:ind w:firstLine="720"/>
      </w:pPr>
      <w:r>
        <w:t xml:space="preserve">It is recommended that respondent make restitution to </w:t>
      </w:r>
      <w:r w:rsidRPr="008E5130">
        <w:rPr>
          <w:color w:val="000000"/>
        </w:rPr>
        <w:t>Elise Fisher</w:t>
      </w:r>
      <w:r>
        <w:t xml:space="preserve"> in the amount of </w:t>
      </w:r>
      <w:r w:rsidRPr="008E5130">
        <w:rPr>
          <w:color w:val="000000"/>
        </w:rPr>
        <w:t>$18,331.05</w:t>
      </w:r>
      <w:r>
        <w:t xml:space="preserve"> plus 10% interest per annum from May 10, 2004 (or to the Client Security Fund to the extent of any payment from the fund to </w:t>
      </w:r>
      <w:r w:rsidRPr="008E5130">
        <w:rPr>
          <w:color w:val="000000"/>
        </w:rPr>
        <w:t>Elise Fisher</w:t>
      </w:r>
      <w:r>
        <w:t xml:space="preserve">, plus interest and costs, in accordance with Business and Professions Code section 6140.5), and furnish satisfactory proof thereof to the State Bar’s Office of Probation.  </w:t>
      </w:r>
    </w:p>
    <w:p w:rsidR="00554349" w:rsidRDefault="00554349" w:rsidP="00554349">
      <w:pPr>
        <w:spacing w:line="480" w:lineRule="auto"/>
        <w:ind w:firstLine="720"/>
      </w:pPr>
      <w:r>
        <w:t xml:space="preserve">It is </w:t>
      </w:r>
      <w:r w:rsidR="00836EC4">
        <w:t xml:space="preserve">also </w:t>
      </w:r>
      <w:r>
        <w:t xml:space="preserve">recommended that respondent make restitution to </w:t>
      </w:r>
      <w:r w:rsidR="00836EC4" w:rsidRPr="008E5130">
        <w:rPr>
          <w:color w:val="000000"/>
        </w:rPr>
        <w:t>Melinda R</w:t>
      </w:r>
      <w:r w:rsidR="00836EC4">
        <w:rPr>
          <w:color w:val="000000"/>
        </w:rPr>
        <w:t xml:space="preserve">. </w:t>
      </w:r>
      <w:r w:rsidR="00836EC4" w:rsidRPr="008E5130">
        <w:rPr>
          <w:color w:val="000000"/>
        </w:rPr>
        <w:t>Maggiani</w:t>
      </w:r>
      <w:r>
        <w:t xml:space="preserve"> in the amount of </w:t>
      </w:r>
      <w:r w:rsidR="00836EC4" w:rsidRPr="008E5130">
        <w:rPr>
          <w:color w:val="000000"/>
        </w:rPr>
        <w:t>$</w:t>
      </w:r>
      <w:r w:rsidR="00836EC4">
        <w:rPr>
          <w:color w:val="000000"/>
        </w:rPr>
        <w:t>12,413.13</w:t>
      </w:r>
      <w:r>
        <w:t xml:space="preserve"> plus 10% interest per annum from </w:t>
      </w:r>
      <w:r w:rsidR="00836EC4">
        <w:t>August 17, 2006</w:t>
      </w:r>
      <w:r>
        <w:t xml:space="preserve"> (or to the Client Security Fund to the extent of any payment from the fund to </w:t>
      </w:r>
      <w:r w:rsidR="00836EC4" w:rsidRPr="008E5130">
        <w:rPr>
          <w:color w:val="000000"/>
        </w:rPr>
        <w:t>Melinda R</w:t>
      </w:r>
      <w:r w:rsidR="00836EC4">
        <w:rPr>
          <w:color w:val="000000"/>
        </w:rPr>
        <w:t xml:space="preserve">. </w:t>
      </w:r>
      <w:r w:rsidR="00836EC4" w:rsidRPr="008E5130">
        <w:rPr>
          <w:color w:val="000000"/>
        </w:rPr>
        <w:t>Maggiani</w:t>
      </w:r>
      <w:r>
        <w:t xml:space="preserve">, plus interest </w:t>
      </w:r>
      <w:r>
        <w:lastRenderedPageBreak/>
        <w:t>and costs, in accordance with Business and Professions Code section 6140.5), and furnish satisfactory proof thereof to the State Bar’s Office of Probation.</w:t>
      </w:r>
    </w:p>
    <w:p w:rsidR="00554349" w:rsidRDefault="00554349" w:rsidP="00554349">
      <w:pPr>
        <w:spacing w:line="480" w:lineRule="auto"/>
        <w:ind w:firstLine="720"/>
      </w:pPr>
      <w:r>
        <w:t>Any restitution to the Client Security Fund is enforceable as provided in Business and Professions Code section 6140.5, subdivisions (c) and (d).</w:t>
      </w:r>
    </w:p>
    <w:p w:rsidR="00554349" w:rsidRDefault="00554349" w:rsidP="00554349">
      <w:pPr>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5"/>
      </w:r>
    </w:p>
    <w:p w:rsidR="003C3FF1" w:rsidRPr="00120C59" w:rsidRDefault="003C3FF1" w:rsidP="003F03C7">
      <w:pPr>
        <w:spacing w:line="480" w:lineRule="auto"/>
        <w:jc w:val="center"/>
        <w:rPr>
          <w:b/>
        </w:rPr>
      </w:pPr>
      <w:r w:rsidRPr="00120C59">
        <w:rPr>
          <w:b/>
        </w:rPr>
        <w:t>VII.  Order of Inactive Enrollment</w:t>
      </w:r>
    </w:p>
    <w:p w:rsidR="00197123" w:rsidRDefault="003C3FF1" w:rsidP="003F03C7">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w:t>
      </w:r>
      <w:r w:rsidR="003D164E">
        <w:t xml:space="preserve">. </w:t>
      </w:r>
      <w:r>
        <w:t xml:space="preserve"> (Rules Proc. of State Bar, rule 220(c)</w:t>
      </w:r>
      <w:r w:rsidR="003D164E">
        <w:t>.</w:t>
      </w:r>
      <w:r>
        <w:t>)</w:t>
      </w:r>
    </w:p>
    <w:p w:rsidR="003C3FF1" w:rsidRPr="00120C59" w:rsidRDefault="003C3FF1" w:rsidP="003F03C7">
      <w:pPr>
        <w:spacing w:line="480" w:lineRule="auto"/>
        <w:jc w:val="center"/>
        <w:rPr>
          <w:b/>
        </w:rPr>
      </w:pPr>
      <w:r w:rsidRPr="00120C59">
        <w:rPr>
          <w:b/>
        </w:rPr>
        <w:t>VIII.  Costs</w:t>
      </w:r>
    </w:p>
    <w:p w:rsidR="003C3FF1" w:rsidRDefault="003C3FF1" w:rsidP="003F03C7">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C3FF1" w:rsidRDefault="003C3FF1" w:rsidP="003C3FF1">
      <w:pPr>
        <w:spacing w:line="480" w:lineRule="auto"/>
      </w:pPr>
    </w:p>
    <w:p w:rsidR="00B31AB1" w:rsidRDefault="00B31AB1">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91107">
                <w:rPr>
                  <w:noProof/>
                </w:rPr>
                <w:t>January _____, 2010</w:t>
              </w:r>
            </w:fldSimple>
          </w:p>
        </w:tc>
        <w:tc>
          <w:tcPr>
            <w:tcW w:w="4565" w:type="dxa"/>
            <w:tcBorders>
              <w:top w:val="single" w:sz="4" w:space="0" w:color="auto"/>
              <w:bottom w:val="nil"/>
              <w:right w:val="nil"/>
            </w:tcBorders>
          </w:tcPr>
          <w:p w:rsidR="003D3B12" w:rsidRDefault="002E64F4">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426584">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B0" w:rsidRDefault="008B2CB0">
      <w:r>
        <w:separator/>
      </w:r>
    </w:p>
  </w:endnote>
  <w:endnote w:type="continuationSeparator" w:id="0">
    <w:p w:rsidR="008B2CB0" w:rsidRDefault="008B2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B0" w:rsidRDefault="00DA1FD6" w:rsidP="003B44D5">
    <w:pPr>
      <w:pStyle w:val="Footer"/>
      <w:framePr w:wrap="around" w:vAnchor="text" w:hAnchor="margin" w:xAlign="center" w:y="1"/>
      <w:rPr>
        <w:rStyle w:val="PageNumber"/>
      </w:rPr>
    </w:pPr>
    <w:r>
      <w:rPr>
        <w:rStyle w:val="PageNumber"/>
      </w:rPr>
      <w:fldChar w:fldCharType="begin"/>
    </w:r>
    <w:r w:rsidR="008B2CB0">
      <w:rPr>
        <w:rStyle w:val="PageNumber"/>
      </w:rPr>
      <w:instrText xml:space="preserve">PAGE  </w:instrText>
    </w:r>
    <w:r>
      <w:rPr>
        <w:rStyle w:val="PageNumber"/>
      </w:rPr>
      <w:fldChar w:fldCharType="end"/>
    </w:r>
  </w:p>
  <w:p w:rsidR="008B2CB0" w:rsidRDefault="008B2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B0" w:rsidRDefault="00DA1FD6" w:rsidP="00200B09">
    <w:pPr>
      <w:pStyle w:val="Footer"/>
      <w:framePr w:wrap="around" w:vAnchor="text" w:hAnchor="margin" w:xAlign="center" w:y="1"/>
      <w:rPr>
        <w:rStyle w:val="PageNumber"/>
      </w:rPr>
    </w:pPr>
    <w:r>
      <w:rPr>
        <w:rStyle w:val="PageNumber"/>
      </w:rPr>
      <w:fldChar w:fldCharType="begin"/>
    </w:r>
    <w:r w:rsidR="008B2CB0">
      <w:rPr>
        <w:rStyle w:val="PageNumber"/>
      </w:rPr>
      <w:instrText xml:space="preserve">PAGE  </w:instrText>
    </w:r>
    <w:r>
      <w:rPr>
        <w:rStyle w:val="PageNumber"/>
      </w:rPr>
      <w:fldChar w:fldCharType="separate"/>
    </w:r>
    <w:r w:rsidR="00591107">
      <w:rPr>
        <w:rStyle w:val="PageNumber"/>
        <w:noProof/>
      </w:rPr>
      <w:t>- 21 -</w:t>
    </w:r>
    <w:r>
      <w:rPr>
        <w:rStyle w:val="PageNumber"/>
      </w:rPr>
      <w:fldChar w:fldCharType="end"/>
    </w:r>
  </w:p>
  <w:p w:rsidR="008B2CB0" w:rsidRDefault="008B2CB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B0" w:rsidRDefault="008B2CB0">
    <w:pPr>
      <w:pStyle w:val="Footer"/>
      <w:framePr w:wrap="around" w:vAnchor="text" w:hAnchor="margin" w:xAlign="center" w:y="1"/>
      <w:rPr>
        <w:rStyle w:val="PageNumber"/>
      </w:rPr>
    </w:pPr>
  </w:p>
  <w:p w:rsidR="008B2CB0" w:rsidRDefault="008B2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B0" w:rsidRDefault="008B2CB0">
      <w:r>
        <w:separator/>
      </w:r>
    </w:p>
  </w:footnote>
  <w:footnote w:type="continuationSeparator" w:id="0">
    <w:p w:rsidR="008B2CB0" w:rsidRDefault="008B2CB0">
      <w:r>
        <w:continuationSeparator/>
      </w:r>
    </w:p>
  </w:footnote>
  <w:footnote w:id="1">
    <w:p w:rsidR="008B2CB0" w:rsidRDefault="008B2CB0">
      <w:pPr>
        <w:pStyle w:val="FootnoteText"/>
      </w:pPr>
      <w:r>
        <w:rPr>
          <w:rStyle w:val="FootnoteReference"/>
        </w:rPr>
        <w:footnoteRef/>
      </w:r>
      <w:r>
        <w:t xml:space="preserve"> As noted below, respondent’s resignation was subsequently rejected by the California Supreme Court.</w:t>
      </w:r>
    </w:p>
  </w:footnote>
  <w:footnote w:id="2">
    <w:p w:rsidR="008B2CB0" w:rsidRDefault="008B2CB0" w:rsidP="00D309D1">
      <w:pPr>
        <w:spacing w:after="240"/>
        <w:ind w:firstLine="720"/>
      </w:pPr>
      <w:r>
        <w:rPr>
          <w:rStyle w:val="FootnoteReference"/>
        </w:rPr>
        <w:footnoteRef/>
      </w:r>
      <w:r>
        <w:t xml:space="preserve"> Unless otherwise indicated, all documents were properly served pursuant to the Rules of Procedure.   </w:t>
      </w:r>
    </w:p>
  </w:footnote>
  <w:footnote w:id="3">
    <w:p w:rsidR="008B2CB0" w:rsidRDefault="008B2CB0">
      <w:pPr>
        <w:pStyle w:val="FootnoteText"/>
      </w:pPr>
      <w:r>
        <w:rPr>
          <w:rStyle w:val="FootnoteReference"/>
        </w:rPr>
        <w:footnoteRef/>
      </w:r>
      <w:r>
        <w:t xml:space="preserve"> On October 28, 2008 and January 6, 2009, notice of trial was mailed by first class mail, postage paid, to respondent at his official membership records address.</w:t>
      </w:r>
    </w:p>
  </w:footnote>
  <w:footnote w:id="4">
    <w:p w:rsidR="008B2CB0" w:rsidRDefault="008B2CB0" w:rsidP="00B31AB1">
      <w:pPr>
        <w:spacing w:after="240"/>
        <w:ind w:firstLine="720"/>
      </w:pPr>
      <w:r>
        <w:rPr>
          <w:rStyle w:val="FootnoteReference"/>
        </w:rPr>
        <w:footnoteRef/>
      </w:r>
      <w:r>
        <w:t xml:space="preserve"> Respondent’s involuntary inactive enrollment pursuant to Business and Professions Code section 6007, subdivision (e) was effective three days after the service of this order by mail. </w:t>
      </w:r>
    </w:p>
  </w:footnote>
  <w:footnote w:id="5">
    <w:p w:rsidR="008B2CB0" w:rsidRDefault="008B2CB0">
      <w:pPr>
        <w:pStyle w:val="FootnoteText"/>
      </w:pPr>
      <w:r>
        <w:rPr>
          <w:rStyle w:val="FootnoteReference"/>
        </w:rPr>
        <w:footnoteRef/>
      </w:r>
      <w:r>
        <w:t xml:space="preserve"> There is no indication in the record that the </w:t>
      </w:r>
      <w:r w:rsidRPr="008E5130">
        <w:rPr>
          <w:color w:val="000000"/>
        </w:rPr>
        <w:t>$18,331.05</w:t>
      </w:r>
      <w:r>
        <w:rPr>
          <w:color w:val="000000"/>
        </w:rPr>
        <w:t xml:space="preserve"> was subsequently refunded to Fisher.</w:t>
      </w:r>
    </w:p>
  </w:footnote>
  <w:footnote w:id="6">
    <w:p w:rsidR="008B2CB0" w:rsidRDefault="008B2CB0">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7">
    <w:p w:rsidR="008B2CB0" w:rsidRDefault="008B2CB0">
      <w:pPr>
        <w:pStyle w:val="FootnoteText"/>
      </w:pPr>
      <w:r>
        <w:rPr>
          <w:rStyle w:val="FootnoteReference"/>
        </w:rPr>
        <w:footnoteRef/>
      </w:r>
      <w:r>
        <w:t xml:space="preserve"> All further references to section(s) are to the Business and Professions Code, unless otherwise stated.</w:t>
      </w:r>
    </w:p>
  </w:footnote>
  <w:footnote w:id="8">
    <w:p w:rsidR="008B2CB0" w:rsidRDefault="008B2CB0">
      <w:pPr>
        <w:pStyle w:val="FootnoteText"/>
      </w:pPr>
      <w:r>
        <w:rPr>
          <w:rStyle w:val="FootnoteReference"/>
        </w:rPr>
        <w:footnoteRef/>
      </w:r>
      <w:r>
        <w:t xml:space="preserve"> This number represents the $250,000 payment, less $185,991.65 (in potential fees), $49,922.31 (in potential costs and expenses of litigation), and $1,672.91 (representing the remaining balance in the trust account on August 17, 2006).  This number differs from that alleged in the NDC because the NDC appears to assume that the extra $95.22 remained in the trust account and was not otherwise withdrawn.  The evidence, however, is unclear on this fact.</w:t>
      </w:r>
    </w:p>
  </w:footnote>
  <w:footnote w:id="9">
    <w:p w:rsidR="008B2CB0" w:rsidRDefault="008B2CB0">
      <w:pPr>
        <w:pStyle w:val="FootnoteText"/>
      </w:pPr>
      <w:r>
        <w:rPr>
          <w:rStyle w:val="FootnoteReference"/>
        </w:rPr>
        <w:footnoteRef/>
      </w:r>
      <w:r>
        <w:t xml:space="preserve"> </w:t>
      </w:r>
      <w:r>
        <w:rPr>
          <w:color w:val="000000"/>
        </w:rPr>
        <w:t>There is no indication in the record that respondent has since reported the imposition of theses sanctions to the State Bar.</w:t>
      </w:r>
    </w:p>
  </w:footnote>
  <w:footnote w:id="10">
    <w:p w:rsidR="008B2CB0" w:rsidRDefault="008B2CB0">
      <w:pPr>
        <w:pStyle w:val="FootnoteText"/>
      </w:pPr>
      <w:r>
        <w:rPr>
          <w:rStyle w:val="FootnoteReference"/>
        </w:rPr>
        <w:footnoteRef/>
      </w:r>
      <w:r>
        <w:t xml:space="preserve"> This section does not apply to sanctions for failure to make discovery or monetary sanctions of less than $1,000.  Here, neither of these exceptions is applicable.</w:t>
      </w:r>
    </w:p>
  </w:footnote>
  <w:footnote w:id="11">
    <w:p w:rsidR="008B2CB0" w:rsidRDefault="008B2CB0">
      <w:pPr>
        <w:pStyle w:val="FootnoteText"/>
      </w:pPr>
      <w:r>
        <w:rPr>
          <w:rStyle w:val="FootnoteReference"/>
        </w:rPr>
        <w:footnoteRef/>
      </w:r>
      <w:r>
        <w:t xml:space="preserve"> </w:t>
      </w:r>
      <w:r>
        <w:rPr>
          <w:color w:val="000000"/>
        </w:rPr>
        <w:t>There is no indication in the record that respondent has since provided the State Bar with a response or any other requested information regarding the Roosta complaint.</w:t>
      </w:r>
    </w:p>
  </w:footnote>
  <w:footnote w:id="12">
    <w:p w:rsidR="008B2CB0" w:rsidRDefault="008B2CB0">
      <w:pPr>
        <w:pStyle w:val="FootnoteText"/>
      </w:pPr>
      <w:r>
        <w:rPr>
          <w:rStyle w:val="FootnoteReference"/>
        </w:rPr>
        <w:footnoteRef/>
      </w:r>
      <w:r>
        <w:t xml:space="preserve"> </w:t>
      </w:r>
      <w:r>
        <w:rPr>
          <w:color w:val="000000"/>
        </w:rPr>
        <w:t>There is no indication in the record that respondent has since provided the State Bar with a response to these letters or any other requested information in the Maggiani complaint.</w:t>
      </w:r>
    </w:p>
  </w:footnote>
  <w:footnote w:id="13">
    <w:p w:rsidR="008B2CB0" w:rsidRDefault="008B2CB0" w:rsidP="00622F9C">
      <w:pPr>
        <w:pStyle w:val="FootnoteText"/>
      </w:pPr>
      <w:r>
        <w:rPr>
          <w:rStyle w:val="FootnoteReference"/>
        </w:rPr>
        <w:footnoteRef/>
      </w:r>
      <w:r>
        <w:t xml:space="preserve"> All further references to standard(s) are to this source.</w:t>
      </w:r>
    </w:p>
  </w:footnote>
  <w:footnote w:id="14">
    <w:p w:rsidR="008B2CB0" w:rsidRDefault="008B2CB0" w:rsidP="00F16474">
      <w:pPr>
        <w:pStyle w:val="FootnoteText"/>
      </w:pPr>
      <w:r>
        <w:rPr>
          <w:rStyle w:val="FootnoteReference"/>
        </w:rPr>
        <w:footnoteRef/>
      </w:r>
      <w:r>
        <w:t xml:space="preserve"> Pursuant to Evidence Code section 452(h), the court takes judicial notice of respondent’s prior record of attorney discipline in the State of California.  </w:t>
      </w:r>
    </w:p>
  </w:footnote>
  <w:footnote w:id="15">
    <w:p w:rsidR="008B2CB0" w:rsidRDefault="008B2CB0" w:rsidP="00554349">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514867"/>
    <w:multiLevelType w:val="multilevel"/>
    <w:tmpl w:val="94B0A83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F7D73"/>
    <w:multiLevelType w:val="multilevel"/>
    <w:tmpl w:val="D3482DF0"/>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45314"/>
    <w:multiLevelType w:val="multilevel"/>
    <w:tmpl w:val="DEE6C3C4"/>
    <w:lvl w:ilvl="0">
      <w:start w:val="4"/>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FA5FEA"/>
    <w:multiLevelType w:val="multilevel"/>
    <w:tmpl w:val="DCE8686A"/>
    <w:lvl w:ilvl="0">
      <w:start w:val="1"/>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3D5F75"/>
    <w:rsid w:val="00006CA0"/>
    <w:rsid w:val="00010ADF"/>
    <w:rsid w:val="00016C8E"/>
    <w:rsid w:val="000234B7"/>
    <w:rsid w:val="00026822"/>
    <w:rsid w:val="000308F9"/>
    <w:rsid w:val="00031393"/>
    <w:rsid w:val="0003230A"/>
    <w:rsid w:val="000545E6"/>
    <w:rsid w:val="00054C8E"/>
    <w:rsid w:val="00063B9A"/>
    <w:rsid w:val="000667F0"/>
    <w:rsid w:val="00072164"/>
    <w:rsid w:val="00075AC6"/>
    <w:rsid w:val="00076CA9"/>
    <w:rsid w:val="00082A1E"/>
    <w:rsid w:val="00086717"/>
    <w:rsid w:val="00090C78"/>
    <w:rsid w:val="0009386C"/>
    <w:rsid w:val="00096658"/>
    <w:rsid w:val="00097646"/>
    <w:rsid w:val="000A16C8"/>
    <w:rsid w:val="000A1BE3"/>
    <w:rsid w:val="000A5752"/>
    <w:rsid w:val="000A73D1"/>
    <w:rsid w:val="000B28FD"/>
    <w:rsid w:val="000B6DC3"/>
    <w:rsid w:val="000C12FA"/>
    <w:rsid w:val="000C1CFB"/>
    <w:rsid w:val="000D74F1"/>
    <w:rsid w:val="000E2324"/>
    <w:rsid w:val="000E3B24"/>
    <w:rsid w:val="000F10B1"/>
    <w:rsid w:val="000F260E"/>
    <w:rsid w:val="000F3E8F"/>
    <w:rsid w:val="00107318"/>
    <w:rsid w:val="00112D21"/>
    <w:rsid w:val="0011460F"/>
    <w:rsid w:val="0011747A"/>
    <w:rsid w:val="00120C59"/>
    <w:rsid w:val="001451F7"/>
    <w:rsid w:val="00153063"/>
    <w:rsid w:val="00153C8E"/>
    <w:rsid w:val="00154FD4"/>
    <w:rsid w:val="00155FC8"/>
    <w:rsid w:val="0016291F"/>
    <w:rsid w:val="00167405"/>
    <w:rsid w:val="001815EE"/>
    <w:rsid w:val="00197123"/>
    <w:rsid w:val="001A4DE5"/>
    <w:rsid w:val="001A7E09"/>
    <w:rsid w:val="001B5C31"/>
    <w:rsid w:val="001B7E0C"/>
    <w:rsid w:val="001C22B3"/>
    <w:rsid w:val="001C2F6F"/>
    <w:rsid w:val="001C3B22"/>
    <w:rsid w:val="001C4B0C"/>
    <w:rsid w:val="001D1E92"/>
    <w:rsid w:val="001E3F86"/>
    <w:rsid w:val="001E6910"/>
    <w:rsid w:val="00200B09"/>
    <w:rsid w:val="002038D5"/>
    <w:rsid w:val="00220FF2"/>
    <w:rsid w:val="00227E4C"/>
    <w:rsid w:val="00234E34"/>
    <w:rsid w:val="00235A11"/>
    <w:rsid w:val="00236291"/>
    <w:rsid w:val="00237464"/>
    <w:rsid w:val="00246226"/>
    <w:rsid w:val="00252EF5"/>
    <w:rsid w:val="00253F78"/>
    <w:rsid w:val="002659EA"/>
    <w:rsid w:val="00266364"/>
    <w:rsid w:val="002666A4"/>
    <w:rsid w:val="00280FA0"/>
    <w:rsid w:val="00283F28"/>
    <w:rsid w:val="00294AA2"/>
    <w:rsid w:val="002956D6"/>
    <w:rsid w:val="002972F9"/>
    <w:rsid w:val="002A2720"/>
    <w:rsid w:val="002A2D41"/>
    <w:rsid w:val="002B06CF"/>
    <w:rsid w:val="002B571A"/>
    <w:rsid w:val="002B6E73"/>
    <w:rsid w:val="002C29E6"/>
    <w:rsid w:val="002D0D3A"/>
    <w:rsid w:val="002D12A2"/>
    <w:rsid w:val="002E0DB4"/>
    <w:rsid w:val="002E2F86"/>
    <w:rsid w:val="002E55C4"/>
    <w:rsid w:val="002E64F4"/>
    <w:rsid w:val="002F602D"/>
    <w:rsid w:val="00330456"/>
    <w:rsid w:val="00345CCE"/>
    <w:rsid w:val="0034773B"/>
    <w:rsid w:val="0035245A"/>
    <w:rsid w:val="0035315C"/>
    <w:rsid w:val="00363491"/>
    <w:rsid w:val="00373031"/>
    <w:rsid w:val="00380FDA"/>
    <w:rsid w:val="00383FEB"/>
    <w:rsid w:val="00393FB1"/>
    <w:rsid w:val="00394768"/>
    <w:rsid w:val="00394A07"/>
    <w:rsid w:val="003957A6"/>
    <w:rsid w:val="003B188A"/>
    <w:rsid w:val="003B2AAE"/>
    <w:rsid w:val="003B44D5"/>
    <w:rsid w:val="003B53BE"/>
    <w:rsid w:val="003B79AF"/>
    <w:rsid w:val="003C07C8"/>
    <w:rsid w:val="003C3FF1"/>
    <w:rsid w:val="003D164E"/>
    <w:rsid w:val="003D3B12"/>
    <w:rsid w:val="003D5F75"/>
    <w:rsid w:val="003D69A0"/>
    <w:rsid w:val="003F03C7"/>
    <w:rsid w:val="003F05B2"/>
    <w:rsid w:val="003F1CF1"/>
    <w:rsid w:val="00404075"/>
    <w:rsid w:val="00404C0E"/>
    <w:rsid w:val="00421E97"/>
    <w:rsid w:val="0042272F"/>
    <w:rsid w:val="00426584"/>
    <w:rsid w:val="004328B5"/>
    <w:rsid w:val="00433BC7"/>
    <w:rsid w:val="004409D2"/>
    <w:rsid w:val="00441D9A"/>
    <w:rsid w:val="0044441A"/>
    <w:rsid w:val="00444B12"/>
    <w:rsid w:val="004516FF"/>
    <w:rsid w:val="00453D1C"/>
    <w:rsid w:val="00460228"/>
    <w:rsid w:val="004611F9"/>
    <w:rsid w:val="004615CC"/>
    <w:rsid w:val="00464BAE"/>
    <w:rsid w:val="00467432"/>
    <w:rsid w:val="00483B83"/>
    <w:rsid w:val="004867D4"/>
    <w:rsid w:val="00493482"/>
    <w:rsid w:val="00497B95"/>
    <w:rsid w:val="004A1185"/>
    <w:rsid w:val="004A6526"/>
    <w:rsid w:val="004B2032"/>
    <w:rsid w:val="004C1974"/>
    <w:rsid w:val="004D0CEA"/>
    <w:rsid w:val="004D2C2B"/>
    <w:rsid w:val="004D3359"/>
    <w:rsid w:val="004D713A"/>
    <w:rsid w:val="004E17EB"/>
    <w:rsid w:val="004E3A62"/>
    <w:rsid w:val="004F29D0"/>
    <w:rsid w:val="004F2CD4"/>
    <w:rsid w:val="00513641"/>
    <w:rsid w:val="00520A77"/>
    <w:rsid w:val="00531808"/>
    <w:rsid w:val="0053358B"/>
    <w:rsid w:val="00536C90"/>
    <w:rsid w:val="00541038"/>
    <w:rsid w:val="0055037E"/>
    <w:rsid w:val="00551EAF"/>
    <w:rsid w:val="005523F1"/>
    <w:rsid w:val="00554349"/>
    <w:rsid w:val="00554D04"/>
    <w:rsid w:val="00560328"/>
    <w:rsid w:val="00571FCB"/>
    <w:rsid w:val="00574005"/>
    <w:rsid w:val="005830D6"/>
    <w:rsid w:val="0058681D"/>
    <w:rsid w:val="00591107"/>
    <w:rsid w:val="005A0D51"/>
    <w:rsid w:val="005E28F8"/>
    <w:rsid w:val="005E412F"/>
    <w:rsid w:val="005F1BAB"/>
    <w:rsid w:val="005F2F7C"/>
    <w:rsid w:val="005F5871"/>
    <w:rsid w:val="0061171E"/>
    <w:rsid w:val="00622F9C"/>
    <w:rsid w:val="00627E13"/>
    <w:rsid w:val="00652FFE"/>
    <w:rsid w:val="00655FF4"/>
    <w:rsid w:val="00656DBF"/>
    <w:rsid w:val="0066025B"/>
    <w:rsid w:val="00663603"/>
    <w:rsid w:val="006637B3"/>
    <w:rsid w:val="00663850"/>
    <w:rsid w:val="00664832"/>
    <w:rsid w:val="00666841"/>
    <w:rsid w:val="0068222E"/>
    <w:rsid w:val="00683B81"/>
    <w:rsid w:val="0069105D"/>
    <w:rsid w:val="006913E2"/>
    <w:rsid w:val="006977E8"/>
    <w:rsid w:val="006A135D"/>
    <w:rsid w:val="006A1F92"/>
    <w:rsid w:val="006A3910"/>
    <w:rsid w:val="006A3AC1"/>
    <w:rsid w:val="006B7374"/>
    <w:rsid w:val="006D1592"/>
    <w:rsid w:val="006D1B40"/>
    <w:rsid w:val="006D23A8"/>
    <w:rsid w:val="006D296E"/>
    <w:rsid w:val="006D678A"/>
    <w:rsid w:val="006F0F3E"/>
    <w:rsid w:val="006F1DE1"/>
    <w:rsid w:val="006F585A"/>
    <w:rsid w:val="00703612"/>
    <w:rsid w:val="007060B3"/>
    <w:rsid w:val="0071113F"/>
    <w:rsid w:val="007260DB"/>
    <w:rsid w:val="007342BD"/>
    <w:rsid w:val="00750719"/>
    <w:rsid w:val="00760007"/>
    <w:rsid w:val="00781D2F"/>
    <w:rsid w:val="007933D8"/>
    <w:rsid w:val="0079692D"/>
    <w:rsid w:val="007A0512"/>
    <w:rsid w:val="007A1545"/>
    <w:rsid w:val="007A2621"/>
    <w:rsid w:val="007A3D53"/>
    <w:rsid w:val="007A6D08"/>
    <w:rsid w:val="007C3488"/>
    <w:rsid w:val="007D2D86"/>
    <w:rsid w:val="007D48EF"/>
    <w:rsid w:val="007E1E22"/>
    <w:rsid w:val="007E74F3"/>
    <w:rsid w:val="007F28E6"/>
    <w:rsid w:val="007F31BF"/>
    <w:rsid w:val="00814E94"/>
    <w:rsid w:val="00815AB9"/>
    <w:rsid w:val="00836EC4"/>
    <w:rsid w:val="00844329"/>
    <w:rsid w:val="008469C9"/>
    <w:rsid w:val="00853ED4"/>
    <w:rsid w:val="00857AC2"/>
    <w:rsid w:val="00866F36"/>
    <w:rsid w:val="008712DA"/>
    <w:rsid w:val="00880069"/>
    <w:rsid w:val="0089154F"/>
    <w:rsid w:val="008A3150"/>
    <w:rsid w:val="008A3558"/>
    <w:rsid w:val="008A6DF4"/>
    <w:rsid w:val="008B1850"/>
    <w:rsid w:val="008B2CB0"/>
    <w:rsid w:val="008B34E0"/>
    <w:rsid w:val="008C0E86"/>
    <w:rsid w:val="008C6911"/>
    <w:rsid w:val="008D6D3C"/>
    <w:rsid w:val="008E7891"/>
    <w:rsid w:val="008F0DD3"/>
    <w:rsid w:val="008F283D"/>
    <w:rsid w:val="00904747"/>
    <w:rsid w:val="00906E89"/>
    <w:rsid w:val="00910558"/>
    <w:rsid w:val="00915110"/>
    <w:rsid w:val="00916D72"/>
    <w:rsid w:val="0092469C"/>
    <w:rsid w:val="00924A17"/>
    <w:rsid w:val="009328B7"/>
    <w:rsid w:val="00934DF4"/>
    <w:rsid w:val="00944B55"/>
    <w:rsid w:val="00951ABE"/>
    <w:rsid w:val="00954A41"/>
    <w:rsid w:val="00966AA6"/>
    <w:rsid w:val="009676B1"/>
    <w:rsid w:val="00976467"/>
    <w:rsid w:val="00985B8C"/>
    <w:rsid w:val="00987559"/>
    <w:rsid w:val="00987975"/>
    <w:rsid w:val="00993644"/>
    <w:rsid w:val="009A15A2"/>
    <w:rsid w:val="009A4ED2"/>
    <w:rsid w:val="009C3B7F"/>
    <w:rsid w:val="009D05F1"/>
    <w:rsid w:val="009D583E"/>
    <w:rsid w:val="009D7FF4"/>
    <w:rsid w:val="009E12EF"/>
    <w:rsid w:val="009E1D8E"/>
    <w:rsid w:val="009E20C4"/>
    <w:rsid w:val="009E2C2B"/>
    <w:rsid w:val="009F1F3D"/>
    <w:rsid w:val="009F3331"/>
    <w:rsid w:val="009F5122"/>
    <w:rsid w:val="009F5DEF"/>
    <w:rsid w:val="009F69EC"/>
    <w:rsid w:val="009F7B8C"/>
    <w:rsid w:val="00A0542F"/>
    <w:rsid w:val="00A07611"/>
    <w:rsid w:val="00A11D62"/>
    <w:rsid w:val="00A2253D"/>
    <w:rsid w:val="00A23B87"/>
    <w:rsid w:val="00A26315"/>
    <w:rsid w:val="00A52632"/>
    <w:rsid w:val="00A543A5"/>
    <w:rsid w:val="00A55E3C"/>
    <w:rsid w:val="00A55FA6"/>
    <w:rsid w:val="00A74894"/>
    <w:rsid w:val="00A75808"/>
    <w:rsid w:val="00A7648A"/>
    <w:rsid w:val="00A821E5"/>
    <w:rsid w:val="00A84988"/>
    <w:rsid w:val="00A947D4"/>
    <w:rsid w:val="00A948CE"/>
    <w:rsid w:val="00A97E97"/>
    <w:rsid w:val="00AB0142"/>
    <w:rsid w:val="00AD4E37"/>
    <w:rsid w:val="00AD4F3F"/>
    <w:rsid w:val="00AD6AA0"/>
    <w:rsid w:val="00AF288A"/>
    <w:rsid w:val="00AF4382"/>
    <w:rsid w:val="00AF5325"/>
    <w:rsid w:val="00AF78BC"/>
    <w:rsid w:val="00B02CE4"/>
    <w:rsid w:val="00B06559"/>
    <w:rsid w:val="00B117EC"/>
    <w:rsid w:val="00B11B9D"/>
    <w:rsid w:val="00B31383"/>
    <w:rsid w:val="00B31AB1"/>
    <w:rsid w:val="00B32F09"/>
    <w:rsid w:val="00B37B5E"/>
    <w:rsid w:val="00B43E36"/>
    <w:rsid w:val="00B54C5F"/>
    <w:rsid w:val="00B55B72"/>
    <w:rsid w:val="00B57267"/>
    <w:rsid w:val="00B62513"/>
    <w:rsid w:val="00B62CB6"/>
    <w:rsid w:val="00B666EF"/>
    <w:rsid w:val="00B75A43"/>
    <w:rsid w:val="00B8742E"/>
    <w:rsid w:val="00B92F16"/>
    <w:rsid w:val="00B9402F"/>
    <w:rsid w:val="00BA0987"/>
    <w:rsid w:val="00BA561D"/>
    <w:rsid w:val="00BB196F"/>
    <w:rsid w:val="00BB36E7"/>
    <w:rsid w:val="00BB4E35"/>
    <w:rsid w:val="00BC002E"/>
    <w:rsid w:val="00BD0B2C"/>
    <w:rsid w:val="00BD2981"/>
    <w:rsid w:val="00BE5080"/>
    <w:rsid w:val="00BE63C5"/>
    <w:rsid w:val="00BF5EA2"/>
    <w:rsid w:val="00C0531C"/>
    <w:rsid w:val="00C111F2"/>
    <w:rsid w:val="00C14055"/>
    <w:rsid w:val="00C142A8"/>
    <w:rsid w:val="00C1488D"/>
    <w:rsid w:val="00C14FFA"/>
    <w:rsid w:val="00C232B8"/>
    <w:rsid w:val="00C24F53"/>
    <w:rsid w:val="00C27006"/>
    <w:rsid w:val="00C30D45"/>
    <w:rsid w:val="00C3182B"/>
    <w:rsid w:val="00C32221"/>
    <w:rsid w:val="00C32E7A"/>
    <w:rsid w:val="00C350B4"/>
    <w:rsid w:val="00C414AD"/>
    <w:rsid w:val="00C53BD2"/>
    <w:rsid w:val="00C5636E"/>
    <w:rsid w:val="00C6141E"/>
    <w:rsid w:val="00C6639E"/>
    <w:rsid w:val="00C67D92"/>
    <w:rsid w:val="00CA5FA8"/>
    <w:rsid w:val="00CA70D6"/>
    <w:rsid w:val="00CB6EE6"/>
    <w:rsid w:val="00CB7071"/>
    <w:rsid w:val="00CC023A"/>
    <w:rsid w:val="00CC0E00"/>
    <w:rsid w:val="00CD52B7"/>
    <w:rsid w:val="00CE1DE9"/>
    <w:rsid w:val="00CE41D9"/>
    <w:rsid w:val="00CF5D1B"/>
    <w:rsid w:val="00CF79C2"/>
    <w:rsid w:val="00D06BDD"/>
    <w:rsid w:val="00D10F1D"/>
    <w:rsid w:val="00D13E29"/>
    <w:rsid w:val="00D1540D"/>
    <w:rsid w:val="00D2338C"/>
    <w:rsid w:val="00D23C38"/>
    <w:rsid w:val="00D26E2B"/>
    <w:rsid w:val="00D309D1"/>
    <w:rsid w:val="00D323D4"/>
    <w:rsid w:val="00D3460A"/>
    <w:rsid w:val="00D53DD1"/>
    <w:rsid w:val="00D5576C"/>
    <w:rsid w:val="00D65849"/>
    <w:rsid w:val="00D81091"/>
    <w:rsid w:val="00D903B9"/>
    <w:rsid w:val="00D938E0"/>
    <w:rsid w:val="00D9612F"/>
    <w:rsid w:val="00DA1FD6"/>
    <w:rsid w:val="00DA2460"/>
    <w:rsid w:val="00DA7ED3"/>
    <w:rsid w:val="00DB3778"/>
    <w:rsid w:val="00DB4149"/>
    <w:rsid w:val="00DC2297"/>
    <w:rsid w:val="00DD2BB5"/>
    <w:rsid w:val="00DD3E5A"/>
    <w:rsid w:val="00DE08D0"/>
    <w:rsid w:val="00DF521B"/>
    <w:rsid w:val="00E1102B"/>
    <w:rsid w:val="00E13643"/>
    <w:rsid w:val="00E14356"/>
    <w:rsid w:val="00E1663C"/>
    <w:rsid w:val="00E23C23"/>
    <w:rsid w:val="00E32AEB"/>
    <w:rsid w:val="00E33D64"/>
    <w:rsid w:val="00E4089F"/>
    <w:rsid w:val="00E66065"/>
    <w:rsid w:val="00E667F4"/>
    <w:rsid w:val="00E67831"/>
    <w:rsid w:val="00E7695A"/>
    <w:rsid w:val="00E80494"/>
    <w:rsid w:val="00E93982"/>
    <w:rsid w:val="00EA4B63"/>
    <w:rsid w:val="00EA52D6"/>
    <w:rsid w:val="00EA5F0A"/>
    <w:rsid w:val="00EC6C36"/>
    <w:rsid w:val="00ED35E7"/>
    <w:rsid w:val="00ED6DFD"/>
    <w:rsid w:val="00EE3AFC"/>
    <w:rsid w:val="00EF651F"/>
    <w:rsid w:val="00F05E60"/>
    <w:rsid w:val="00F16474"/>
    <w:rsid w:val="00F20641"/>
    <w:rsid w:val="00F22A16"/>
    <w:rsid w:val="00F23701"/>
    <w:rsid w:val="00F265DB"/>
    <w:rsid w:val="00F50E58"/>
    <w:rsid w:val="00F54553"/>
    <w:rsid w:val="00F5455B"/>
    <w:rsid w:val="00F56DBE"/>
    <w:rsid w:val="00F60E17"/>
    <w:rsid w:val="00F67D1D"/>
    <w:rsid w:val="00F754DA"/>
    <w:rsid w:val="00F76CED"/>
    <w:rsid w:val="00F803F9"/>
    <w:rsid w:val="00F81C44"/>
    <w:rsid w:val="00F908C2"/>
    <w:rsid w:val="00F972B3"/>
    <w:rsid w:val="00FA2A28"/>
    <w:rsid w:val="00FC0474"/>
    <w:rsid w:val="00FC2E76"/>
    <w:rsid w:val="00FC3743"/>
    <w:rsid w:val="00FE1AAF"/>
    <w:rsid w:val="00FE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FA"/>
    <w:rPr>
      <w:sz w:val="24"/>
      <w:szCs w:val="24"/>
    </w:rPr>
  </w:style>
  <w:style w:type="paragraph" w:styleId="Heading1">
    <w:name w:val="heading 1"/>
    <w:basedOn w:val="Normal"/>
    <w:next w:val="Normal"/>
    <w:qFormat/>
    <w:rsid w:val="00C14FF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4FFA"/>
    <w:pPr>
      <w:spacing w:before="28"/>
      <w:ind w:right="90"/>
    </w:pPr>
    <w:rPr>
      <w:sz w:val="19"/>
      <w:szCs w:val="19"/>
    </w:rPr>
  </w:style>
  <w:style w:type="paragraph" w:styleId="Header">
    <w:name w:val="header"/>
    <w:basedOn w:val="Normal"/>
    <w:semiHidden/>
    <w:rsid w:val="00C14FFA"/>
    <w:pPr>
      <w:tabs>
        <w:tab w:val="center" w:pos="4320"/>
        <w:tab w:val="right" w:pos="8640"/>
      </w:tabs>
    </w:pPr>
  </w:style>
  <w:style w:type="paragraph" w:styleId="Footer">
    <w:name w:val="footer"/>
    <w:basedOn w:val="Normal"/>
    <w:semiHidden/>
    <w:rsid w:val="00C14FFA"/>
    <w:pPr>
      <w:tabs>
        <w:tab w:val="center" w:pos="4320"/>
        <w:tab w:val="right" w:pos="8640"/>
      </w:tabs>
    </w:pPr>
  </w:style>
  <w:style w:type="character" w:styleId="PageNumber">
    <w:name w:val="page number"/>
    <w:basedOn w:val="DefaultParagraphFont"/>
    <w:semiHidden/>
    <w:rsid w:val="00C14FFA"/>
  </w:style>
  <w:style w:type="paragraph" w:styleId="FootnoteText">
    <w:name w:val="footnote text"/>
    <w:basedOn w:val="Normal"/>
    <w:link w:val="FootnoteTextChar"/>
    <w:semiHidden/>
    <w:rsid w:val="00C14FFA"/>
    <w:pPr>
      <w:ind w:firstLine="720"/>
    </w:pPr>
    <w:rPr>
      <w:szCs w:val="20"/>
    </w:rPr>
  </w:style>
  <w:style w:type="character" w:styleId="FootnoteReference">
    <w:name w:val="footnote reference"/>
    <w:basedOn w:val="DefaultParagraphFont"/>
    <w:uiPriority w:val="99"/>
    <w:rsid w:val="00C14FF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table" w:styleId="TableGrid">
    <w:name w:val="Table Grid"/>
    <w:basedOn w:val="TableNormal"/>
    <w:uiPriority w:val="59"/>
    <w:rsid w:val="004D2C2B"/>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4D2C2B"/>
    <w:rPr>
      <w:sz w:val="24"/>
    </w:rPr>
  </w:style>
  <w:style w:type="paragraph" w:styleId="BodyTextIndent2">
    <w:name w:val="Body Text Indent 2"/>
    <w:basedOn w:val="Normal"/>
    <w:link w:val="BodyTextIndent2Char"/>
    <w:semiHidden/>
    <w:rsid w:val="00622F9C"/>
    <w:pPr>
      <w:widowControl w:val="0"/>
      <w:autoSpaceDE w:val="0"/>
      <w:autoSpaceDN w:val="0"/>
      <w:adjustRightInd w:val="0"/>
      <w:ind w:left="720"/>
    </w:pPr>
  </w:style>
  <w:style w:type="character" w:customStyle="1" w:styleId="BodyTextIndent2Char">
    <w:name w:val="Body Text Indent 2 Char"/>
    <w:basedOn w:val="DefaultParagraphFont"/>
    <w:link w:val="BodyTextIndent2"/>
    <w:semiHidden/>
    <w:rsid w:val="00622F9C"/>
    <w:rPr>
      <w:sz w:val="24"/>
      <w:szCs w:val="24"/>
    </w:rPr>
  </w:style>
  <w:style w:type="paragraph" w:customStyle="1" w:styleId="Level1">
    <w:name w:val="Level 1"/>
    <w:basedOn w:val="Normal"/>
    <w:uiPriority w:val="99"/>
    <w:rsid w:val="00246226"/>
    <w:pPr>
      <w:widowControl w:val="0"/>
      <w:tabs>
        <w:tab w:val="num" w:pos="1289"/>
      </w:tabs>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EDC3-7DA7-4CC3-A7DA-2A2C47A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21</Pages>
  <Words>5410</Words>
  <Characters>28461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Lauretta Cramer</cp:lastModifiedBy>
  <cp:revision>2</cp:revision>
  <cp:lastPrinted>2010-01-12T17:40:00Z</cp:lastPrinted>
  <dcterms:created xsi:type="dcterms:W3CDTF">2010-01-25T16:42:00Z</dcterms:created>
  <dcterms:modified xsi:type="dcterms:W3CDTF">2010-01-25T16:42:00Z</dcterms:modified>
</cp:coreProperties>
</file>