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C1" w:rsidRPr="00497A94" w:rsidRDefault="00EC41C1" w:rsidP="00497A94">
      <w:pPr>
        <w:pStyle w:val="Footnote"/>
      </w:pPr>
      <w:bookmarkStart w:id="0" w:name="designation"/>
      <w:bookmarkEnd w:id="0"/>
      <w:r>
        <w:t>PUBLIC MATTER – NOT DESIGNATED FOR PUBLICATION</w:t>
      </w:r>
    </w:p>
    <w:p w:rsidR="00EC41C1" w:rsidRPr="00C11CC8" w:rsidRDefault="00EC41C1" w:rsidP="00497A94">
      <w:pPr>
        <w:pStyle w:val="Footnote"/>
      </w:pPr>
    </w:p>
    <w:p w:rsidR="00EC41C1" w:rsidRPr="00A2688C" w:rsidRDefault="00A2688C">
      <w:pPr>
        <w:rPr>
          <w:b/>
        </w:rPr>
      </w:pPr>
      <w:r>
        <w:tab/>
      </w:r>
      <w:r>
        <w:tab/>
      </w:r>
      <w:r>
        <w:tab/>
      </w:r>
      <w:r>
        <w:tab/>
      </w:r>
      <w:r>
        <w:tab/>
      </w:r>
      <w:r>
        <w:tab/>
      </w:r>
      <w:r>
        <w:tab/>
      </w:r>
      <w:r>
        <w:tab/>
      </w:r>
      <w:r w:rsidRPr="00A2688C">
        <w:rPr>
          <w:b/>
        </w:rPr>
        <w:t>FILED MAY 10, 2010</w:t>
      </w:r>
      <w:r w:rsidRPr="00A2688C">
        <w:rPr>
          <w:b/>
        </w:rPr>
        <w:tab/>
      </w:r>
      <w:r w:rsidRPr="00A2688C">
        <w:rPr>
          <w:b/>
        </w:rPr>
        <w:tab/>
      </w:r>
    </w:p>
    <w:p w:rsidR="00EC41C1" w:rsidRPr="00C11CC8" w:rsidRDefault="00EC41C1"/>
    <w:p w:rsidR="00EC41C1" w:rsidRPr="00C11CC8" w:rsidRDefault="00EC41C1" w:rsidP="00C11CC8">
      <w:pPr>
        <w:spacing w:line="240" w:lineRule="auto"/>
        <w:jc w:val="center"/>
        <w:rPr>
          <w:b/>
        </w:rPr>
      </w:pPr>
      <w:r w:rsidRPr="00C11CC8">
        <w:rPr>
          <w:b/>
        </w:rPr>
        <w:t>REVIEW DEPARTMENT OF THE STATE BAR COURT</w:t>
      </w:r>
    </w:p>
    <w:p w:rsidR="00EC41C1" w:rsidRPr="00C11CC8" w:rsidRDefault="00EC41C1" w:rsidP="00C11CC8">
      <w:pPr>
        <w:rPr>
          <w:b/>
        </w:rPr>
      </w:pP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0"/>
        <w:gridCol w:w="720"/>
        <w:gridCol w:w="4680"/>
      </w:tblGrid>
      <w:tr w:rsidR="00EC41C1" w:rsidRPr="00C11CC8" w:rsidTr="00112BCA">
        <w:tc>
          <w:tcPr>
            <w:tcW w:w="4140" w:type="dxa"/>
            <w:tcBorders>
              <w:top w:val="nil"/>
              <w:left w:val="nil"/>
              <w:right w:val="nil"/>
            </w:tcBorders>
            <w:tcMar>
              <w:left w:w="0" w:type="dxa"/>
              <w:right w:w="0" w:type="dxa"/>
            </w:tcMar>
          </w:tcPr>
          <w:p w:rsidR="00EC41C1" w:rsidRDefault="00EC41C1" w:rsidP="00112BCA">
            <w:pPr>
              <w:spacing w:line="240" w:lineRule="auto"/>
            </w:pPr>
            <w:r>
              <w:t>In the Matter of</w:t>
            </w:r>
          </w:p>
          <w:p w:rsidR="00EC41C1" w:rsidRDefault="00EC41C1" w:rsidP="00112BCA">
            <w:pPr>
              <w:spacing w:line="240" w:lineRule="auto"/>
            </w:pPr>
          </w:p>
          <w:p w:rsidR="00EC41C1" w:rsidRPr="00112BCA" w:rsidRDefault="00EC41C1" w:rsidP="00112BCA">
            <w:pPr>
              <w:spacing w:line="240" w:lineRule="auto"/>
              <w:rPr>
                <w:b/>
              </w:rPr>
            </w:pPr>
            <w:bookmarkStart w:id="1" w:name="Respondent"/>
            <w:bookmarkEnd w:id="1"/>
            <w:r w:rsidRPr="00112BCA">
              <w:rPr>
                <w:b/>
              </w:rPr>
              <w:t>JAMIE LEIGH HARLEY,</w:t>
            </w:r>
          </w:p>
          <w:p w:rsidR="00EC41C1" w:rsidRDefault="00EC41C1" w:rsidP="00112BCA">
            <w:pPr>
              <w:spacing w:line="240" w:lineRule="auto"/>
            </w:pPr>
          </w:p>
          <w:p w:rsidR="00EC41C1" w:rsidRPr="009216E0" w:rsidRDefault="00EC41C1" w:rsidP="00112BCA">
            <w:pPr>
              <w:spacing w:line="240" w:lineRule="auto"/>
            </w:pPr>
            <w:bookmarkStart w:id="2" w:name="type"/>
            <w:bookmarkEnd w:id="2"/>
            <w:r>
              <w:t>A Member of the State Bar.</w:t>
            </w:r>
          </w:p>
          <w:p w:rsidR="00EC41C1" w:rsidRPr="00C11CC8" w:rsidRDefault="00EC41C1" w:rsidP="00112BCA">
            <w:pPr>
              <w:spacing w:line="240" w:lineRule="auto"/>
            </w:pPr>
          </w:p>
        </w:tc>
        <w:tc>
          <w:tcPr>
            <w:tcW w:w="720" w:type="dxa"/>
            <w:tcBorders>
              <w:top w:val="nil"/>
              <w:left w:val="nil"/>
              <w:bottom w:val="nil"/>
              <w:right w:val="nil"/>
            </w:tcBorders>
            <w:tcMar>
              <w:left w:w="0" w:type="dxa"/>
              <w:right w:w="0" w:type="dxa"/>
            </w:tcMar>
          </w:tcPr>
          <w:p w:rsidR="00EC41C1" w:rsidRPr="00112BCA" w:rsidRDefault="00EC41C1" w:rsidP="00112BCA">
            <w:pPr>
              <w:spacing w:line="240" w:lineRule="auto"/>
              <w:rPr>
                <w:b/>
              </w:rPr>
            </w:pPr>
            <w:r w:rsidRPr="00112BCA">
              <w:rPr>
                <w:b/>
              </w:rPr>
              <w:t>)</w:t>
            </w:r>
          </w:p>
          <w:p w:rsidR="00EC41C1" w:rsidRPr="00112BCA" w:rsidRDefault="00EC41C1" w:rsidP="0052227F">
            <w:pPr>
              <w:spacing w:line="240" w:lineRule="auto"/>
              <w:rPr>
                <w:b/>
              </w:rPr>
            </w:pPr>
            <w:r w:rsidRPr="00112BCA">
              <w:rPr>
                <w:b/>
              </w:rPr>
              <w:t>)</w:t>
            </w:r>
            <w:r w:rsidRPr="00112BCA">
              <w:rPr>
                <w:b/>
              </w:rPr>
              <w:br/>
              <w:t>)</w:t>
            </w:r>
            <w:r w:rsidRPr="00112BCA">
              <w:rPr>
                <w:b/>
              </w:rPr>
              <w:br/>
              <w:t>)</w:t>
            </w:r>
            <w:r w:rsidRPr="00112BCA">
              <w:rPr>
                <w:b/>
              </w:rPr>
              <w:br/>
              <w:t>)</w:t>
            </w:r>
            <w:r w:rsidRPr="00112BCA">
              <w:rPr>
                <w:b/>
              </w:rPr>
              <w:br/>
              <w:t>)</w:t>
            </w:r>
          </w:p>
        </w:tc>
        <w:tc>
          <w:tcPr>
            <w:tcW w:w="4680" w:type="dxa"/>
            <w:tcBorders>
              <w:top w:val="nil"/>
              <w:left w:val="nil"/>
              <w:bottom w:val="nil"/>
              <w:right w:val="nil"/>
            </w:tcBorders>
          </w:tcPr>
          <w:p w:rsidR="00EC41C1" w:rsidRPr="007A12C4" w:rsidRDefault="00EC41C1" w:rsidP="0052227F">
            <w:pPr>
              <w:spacing w:line="240" w:lineRule="auto"/>
              <w:rPr>
                <w:bCs/>
              </w:rPr>
            </w:pPr>
            <w:bookmarkStart w:id="3" w:name="caseno"/>
            <w:bookmarkEnd w:id="3"/>
            <w:r w:rsidRPr="00112BCA">
              <w:rPr>
                <w:b/>
                <w:bCs/>
              </w:rPr>
              <w:t>05-O-03395</w:t>
            </w:r>
            <w:r>
              <w:rPr>
                <w:b/>
                <w:bCs/>
              </w:rPr>
              <w:t>, et al.</w:t>
            </w:r>
          </w:p>
          <w:p w:rsidR="00EC41C1" w:rsidRPr="00112BCA" w:rsidRDefault="00EC41C1" w:rsidP="00112BCA">
            <w:pPr>
              <w:spacing w:line="240" w:lineRule="auto"/>
              <w:rPr>
                <w:b/>
              </w:rPr>
            </w:pPr>
          </w:p>
          <w:p w:rsidR="00EC41C1" w:rsidRPr="00112BCA" w:rsidRDefault="00EC41C1" w:rsidP="00112BCA">
            <w:pPr>
              <w:spacing w:line="240" w:lineRule="auto"/>
              <w:rPr>
                <w:b/>
              </w:rPr>
            </w:pPr>
            <w:bookmarkStart w:id="4" w:name="title"/>
            <w:bookmarkEnd w:id="4"/>
            <w:r w:rsidRPr="00112BCA">
              <w:rPr>
                <w:b/>
              </w:rPr>
              <w:t>OPINION ON REVIEW</w:t>
            </w:r>
          </w:p>
        </w:tc>
      </w:tr>
    </w:tbl>
    <w:p w:rsidR="00EC41C1" w:rsidRDefault="00EC41C1" w:rsidP="00C11CC8"/>
    <w:p w:rsidR="00EC41C1" w:rsidRPr="00E814DB" w:rsidRDefault="00EC41C1" w:rsidP="00E814DB">
      <w:pPr>
        <w:ind w:firstLine="720"/>
      </w:pPr>
      <w:r w:rsidRPr="00E814DB">
        <w:t xml:space="preserve">The State Bar charged Jamie Leigh Harley, a criminal defense attorney, with 20 counts of professional misconduct in 10 client matters occurring </w:t>
      </w:r>
      <w:r>
        <w:t>from</w:t>
      </w:r>
      <w:r w:rsidRPr="00E814DB">
        <w:t xml:space="preserve"> 2002</w:t>
      </w:r>
      <w:r>
        <w:t xml:space="preserve"> to 2006.  It sought disbarment, </w:t>
      </w:r>
      <w:proofErr w:type="gramStart"/>
      <w:r w:rsidRPr="00E814DB">
        <w:t>alleging</w:t>
      </w:r>
      <w:proofErr w:type="gramEnd"/>
      <w:r w:rsidRPr="00E814DB">
        <w:t xml:space="preserve"> that </w:t>
      </w:r>
      <w:r>
        <w:t>her</w:t>
      </w:r>
      <w:r w:rsidRPr="00E814DB">
        <w:t xml:space="preserve"> misconduct involved disrespect and dishonesty to the court and inattention to client</w:t>
      </w:r>
      <w:r>
        <w:t>s</w:t>
      </w:r>
      <w:r w:rsidRPr="00E814DB">
        <w:t xml:space="preserve">, including mishandling of </w:t>
      </w:r>
      <w:r>
        <w:t xml:space="preserve">their </w:t>
      </w:r>
      <w:r w:rsidRPr="00E814DB">
        <w:t xml:space="preserve">funds and files.  </w:t>
      </w:r>
      <w:proofErr w:type="gramStart"/>
      <w:r w:rsidRPr="00E814DB">
        <w:t xml:space="preserve">The hearing judge found Harley culpable of 12 counts </w:t>
      </w:r>
      <w:r>
        <w:t xml:space="preserve">in </w:t>
      </w:r>
      <w:r w:rsidRPr="00E814DB">
        <w:t>eight client matters</w:t>
      </w:r>
      <w:r>
        <w:t>,</w:t>
      </w:r>
      <w:r w:rsidRPr="00E814DB">
        <w:t xml:space="preserve"> and</w:t>
      </w:r>
      <w:r>
        <w:t xml:space="preserve"> </w:t>
      </w:r>
      <w:r w:rsidRPr="00E814DB">
        <w:t xml:space="preserve">recommended that </w:t>
      </w:r>
      <w:r>
        <w:t xml:space="preserve">she </w:t>
      </w:r>
      <w:r w:rsidRPr="00E814DB">
        <w:t>be actually suspended from the practice of law for one year, subject to three years’</w:t>
      </w:r>
      <w:r>
        <w:t xml:space="preserve"> </w:t>
      </w:r>
      <w:r w:rsidRPr="00E814DB">
        <w:t>stayed suspension and three years’ probation.</w:t>
      </w:r>
      <w:proofErr w:type="gramEnd"/>
      <w:r w:rsidRPr="00E814DB">
        <w:t xml:space="preserve">  Harley admits culpability on several charges and seeks review on others</w:t>
      </w:r>
      <w:r>
        <w:t>,</w:t>
      </w:r>
      <w:r w:rsidRPr="00E814DB">
        <w:t xml:space="preserve"> </w:t>
      </w:r>
      <w:r>
        <w:t xml:space="preserve">arguing </w:t>
      </w:r>
      <w:r w:rsidRPr="00E814DB">
        <w:t>that</w:t>
      </w:r>
      <w:r>
        <w:t xml:space="preserve"> </w:t>
      </w:r>
      <w:r w:rsidRPr="00E814DB">
        <w:t>the one-year actual suspension should be “</w:t>
      </w:r>
      <w:r w:rsidR="007349B7">
        <w:t>substantially reduced</w:t>
      </w:r>
      <w:r w:rsidRPr="00E814DB">
        <w:t xml:space="preserve">.”  The State Bar concedes Harley is not culpable </w:t>
      </w:r>
      <w:r>
        <w:t>of</w:t>
      </w:r>
      <w:r w:rsidRPr="00E814DB">
        <w:t xml:space="preserve"> certain charges</w:t>
      </w:r>
      <w:r>
        <w:t xml:space="preserve"> </w:t>
      </w:r>
      <w:r w:rsidR="007349B7">
        <w:t>but</w:t>
      </w:r>
      <w:r w:rsidRPr="00E814DB">
        <w:t xml:space="preserve"> urges that we affirm the hearing judge’s recommended discipline.  </w:t>
      </w:r>
    </w:p>
    <w:p w:rsidR="00EC41C1" w:rsidRDefault="00EC41C1" w:rsidP="00E814DB">
      <w:r w:rsidRPr="00E814DB">
        <w:tab/>
        <w:t>Upon our independent review of the record (</w:t>
      </w:r>
      <w:r w:rsidRPr="00E814DB">
        <w:rPr>
          <w:i/>
          <w:iCs/>
        </w:rPr>
        <w:t>In re Morse</w:t>
      </w:r>
      <w:r w:rsidRPr="00E814DB">
        <w:t xml:space="preserve"> (1995) 11 </w:t>
      </w:r>
      <w:proofErr w:type="spellStart"/>
      <w:r w:rsidRPr="00E814DB">
        <w:t>Cal.4</w:t>
      </w:r>
      <w:r w:rsidRPr="00E814DB">
        <w:rPr>
          <w:vertAlign w:val="superscript"/>
        </w:rPr>
        <w:t>th</w:t>
      </w:r>
      <w:proofErr w:type="spellEnd"/>
      <w:r w:rsidRPr="00E814DB">
        <w:t xml:space="preserve"> 184, 207), we find Harley culpable of </w:t>
      </w:r>
      <w:r w:rsidR="00710FB5">
        <w:t xml:space="preserve">nine </w:t>
      </w:r>
      <w:r w:rsidRPr="00E814DB">
        <w:t>counts of misconduct in six client matters.  Like the hearing judge, we conclude that the mitigation is</w:t>
      </w:r>
      <w:r>
        <w:t xml:space="preserve"> compelling</w:t>
      </w:r>
      <w:r w:rsidRPr="00E814DB">
        <w:t>, particularly Har</w:t>
      </w:r>
      <w:r>
        <w:t>ley</w:t>
      </w:r>
      <w:r w:rsidRPr="00E814DB">
        <w:t xml:space="preserve">’s </w:t>
      </w:r>
      <w:r>
        <w:t>good character, candor and cooperation and nearly two decades</w:t>
      </w:r>
      <w:r w:rsidRPr="00E814DB">
        <w:t xml:space="preserve"> of discipline-free practice</w:t>
      </w:r>
      <w:r>
        <w:t>.</w:t>
      </w:r>
      <w:r w:rsidRPr="00E814DB">
        <w:t xml:space="preserve">  Moreover, we find </w:t>
      </w:r>
      <w:r>
        <w:t xml:space="preserve">that </w:t>
      </w:r>
    </w:p>
    <w:p w:rsidR="00EC41C1" w:rsidRPr="00E814DB" w:rsidRDefault="00EC41C1" w:rsidP="00E814DB">
      <w:proofErr w:type="gramStart"/>
      <w:r>
        <w:t>her</w:t>
      </w:r>
      <w:proofErr w:type="gramEnd"/>
      <w:r>
        <w:t xml:space="preserve"> </w:t>
      </w:r>
      <w:r w:rsidRPr="00E814DB">
        <w:t xml:space="preserve">misconduct </w:t>
      </w:r>
      <w:r>
        <w:t xml:space="preserve">primarily </w:t>
      </w:r>
      <w:r w:rsidRPr="00E814DB">
        <w:t>involv</w:t>
      </w:r>
      <w:r>
        <w:t>ed</w:t>
      </w:r>
      <w:r w:rsidRPr="00E814DB">
        <w:t xml:space="preserve"> mismanagement of her practice, not dishonesty or </w:t>
      </w:r>
      <w:r w:rsidR="00252978">
        <w:t>m</w:t>
      </w:r>
      <w:r w:rsidRPr="00E814DB">
        <w:t xml:space="preserve">oral turpitude.  </w:t>
      </w:r>
      <w:r>
        <w:t xml:space="preserve">Considering the mitigation, </w:t>
      </w:r>
      <w:r w:rsidRPr="00E814DB">
        <w:t>the guiding case law</w:t>
      </w:r>
      <w:r>
        <w:t xml:space="preserve"> and Harley’s affirmative steps to </w:t>
      </w:r>
      <w:r>
        <w:lastRenderedPageBreak/>
        <w:t>correct the errors that led to her misconduct</w:t>
      </w:r>
      <w:r w:rsidRPr="00E814DB">
        <w:t xml:space="preserve">, we recommend that </w:t>
      </w:r>
      <w:r>
        <w:t>the</w:t>
      </w:r>
      <w:r w:rsidRPr="00E814DB">
        <w:t xml:space="preserve"> discipline be reduced to a six-month actual suspension</w:t>
      </w:r>
      <w:r>
        <w:t>,</w:t>
      </w:r>
      <w:r w:rsidRPr="00E814DB">
        <w:t xml:space="preserve"> subject to a </w:t>
      </w:r>
      <w:r>
        <w:t>two</w:t>
      </w:r>
      <w:r w:rsidRPr="00E814DB">
        <w:t xml:space="preserve">-year stayed suspension and </w:t>
      </w:r>
      <w:r>
        <w:t>two years of probation.</w:t>
      </w:r>
      <w:r w:rsidRPr="00E814DB">
        <w:t xml:space="preserve">  </w:t>
      </w:r>
    </w:p>
    <w:p w:rsidR="00EC41C1" w:rsidRPr="00E814DB" w:rsidRDefault="00EC41C1" w:rsidP="00E814DB">
      <w:pPr>
        <w:jc w:val="center"/>
        <w:rPr>
          <w:b/>
          <w:bCs/>
        </w:rPr>
      </w:pPr>
      <w:r w:rsidRPr="00E814DB">
        <w:rPr>
          <w:b/>
          <w:bCs/>
        </w:rPr>
        <w:t>I.  SUMMARY</w:t>
      </w:r>
    </w:p>
    <w:p w:rsidR="00EC41C1" w:rsidRDefault="00EC41C1" w:rsidP="00E814DB">
      <w:r w:rsidRPr="00E814DB">
        <w:tab/>
        <w:t xml:space="preserve">Harley was admitted to the Bar in 1983, and </w:t>
      </w:r>
      <w:r w:rsidR="00E363CE">
        <w:t>did</w:t>
      </w:r>
      <w:r w:rsidRPr="00E814DB">
        <w:t xml:space="preserve"> criminal </w:t>
      </w:r>
      <w:r>
        <w:t>defense work f</w:t>
      </w:r>
      <w:r w:rsidRPr="00E814DB">
        <w:t xml:space="preserve">or the first three years.  </w:t>
      </w:r>
      <w:r>
        <w:t>I</w:t>
      </w:r>
      <w:r w:rsidRPr="00E814DB">
        <w:t>n 1986</w:t>
      </w:r>
      <w:r>
        <w:t>,</w:t>
      </w:r>
      <w:r w:rsidRPr="00E814DB">
        <w:t xml:space="preserve"> </w:t>
      </w:r>
      <w:r>
        <w:t>she</w:t>
      </w:r>
      <w:r w:rsidRPr="00E814DB">
        <w:t xml:space="preserve"> </w:t>
      </w:r>
      <w:r>
        <w:t>began 13 years of employment as</w:t>
      </w:r>
      <w:r w:rsidRPr="00E814DB">
        <w:t xml:space="preserve"> </w:t>
      </w:r>
      <w:r>
        <w:t xml:space="preserve">a </w:t>
      </w:r>
      <w:r w:rsidRPr="00E814DB">
        <w:t>deputy district attorney</w:t>
      </w:r>
      <w:r>
        <w:t xml:space="preserve">.  In </w:t>
      </w:r>
      <w:r w:rsidRPr="00E814DB">
        <w:t xml:space="preserve">1999, she </w:t>
      </w:r>
      <w:r w:rsidR="00E363CE">
        <w:t xml:space="preserve">left the District Attorney’s office and </w:t>
      </w:r>
      <w:r w:rsidRPr="00E814DB">
        <w:t>work</w:t>
      </w:r>
      <w:r>
        <w:t>ed</w:t>
      </w:r>
      <w:r w:rsidRPr="00E814DB">
        <w:t xml:space="preserve"> briefly for a criminal defense practitioner before opening </w:t>
      </w:r>
      <w:r>
        <w:t>her own</w:t>
      </w:r>
      <w:r w:rsidRPr="00E814DB">
        <w:t xml:space="preserve"> practice.  </w:t>
      </w:r>
    </w:p>
    <w:p w:rsidR="00EC41C1" w:rsidRDefault="00EC41C1" w:rsidP="004332A9">
      <w:pPr>
        <w:ind w:firstLine="720"/>
      </w:pPr>
      <w:r w:rsidRPr="00E814DB">
        <w:t>Harley has occasionally hir</w:t>
      </w:r>
      <w:r>
        <w:t>ed</w:t>
      </w:r>
      <w:r w:rsidRPr="00E814DB">
        <w:t xml:space="preserve"> attorneys to assist </w:t>
      </w:r>
      <w:r>
        <w:t xml:space="preserve">with her busy criminal practice.  With </w:t>
      </w:r>
      <w:r w:rsidR="00710FB5">
        <w:t>100 to 220</w:t>
      </w:r>
      <w:r>
        <w:t xml:space="preserve"> files open at a time, she estimates that she has handled over 4,300 criminal cases in an eight-year period, many of which involved very serious crimes.   </w:t>
      </w:r>
    </w:p>
    <w:p w:rsidR="00EC41C1" w:rsidRPr="00E814DB" w:rsidRDefault="00EC41C1" w:rsidP="00E814DB">
      <w:r>
        <w:tab/>
        <w:t>Harley’s testimony contradicted that of several former clients involved in the matters before us.  The hearing judge found Harley and her witnesses to be credible</w:t>
      </w:r>
      <w:r w:rsidR="002C7099">
        <w:t xml:space="preserve"> and </w:t>
      </w:r>
      <w:r>
        <w:t xml:space="preserve">concluded that </w:t>
      </w:r>
      <w:r w:rsidR="00243DA6">
        <w:t>she</w:t>
      </w:r>
      <w:r>
        <w:t xml:space="preserve"> did not commit any acts of dishonesty or moral turpitude, stating:  “The gravamen of her misconduct is her failure to properly mana</w:t>
      </w:r>
      <w:r w:rsidR="002C7099">
        <w:t xml:space="preserve">ge her busy criminal practice.”  </w:t>
      </w:r>
      <w:r>
        <w:t xml:space="preserve">We agree.  As summarized chronologically below, we find </w:t>
      </w:r>
      <w:r w:rsidR="006E371C">
        <w:t xml:space="preserve">Harley culpable </w:t>
      </w:r>
      <w:r w:rsidR="004D6011">
        <w:t>of misconduct that occurred in</w:t>
      </w:r>
      <w:r>
        <w:t xml:space="preserve"> </w:t>
      </w:r>
      <w:r w:rsidRPr="00E814DB">
        <w:t xml:space="preserve">six client matters </w:t>
      </w:r>
      <w:r w:rsidR="004D6011">
        <w:t>o</w:t>
      </w:r>
      <w:r w:rsidRPr="00E814DB">
        <w:t xml:space="preserve">ver a </w:t>
      </w:r>
      <w:r>
        <w:t>five</w:t>
      </w:r>
      <w:r w:rsidRPr="00E814DB">
        <w:t>-year period</w:t>
      </w:r>
      <w:r>
        <w:t xml:space="preserve"> after she opened her own law office.  Harley contests culpability in three of these six </w:t>
      </w:r>
      <w:r w:rsidR="00851F63">
        <w:t xml:space="preserve">client </w:t>
      </w:r>
      <w:r>
        <w:t>matters.</w:t>
      </w:r>
    </w:p>
    <w:p w:rsidR="00EC41C1" w:rsidRPr="00E814DB" w:rsidRDefault="00EC41C1" w:rsidP="00E814DB">
      <w:pPr>
        <w:ind w:firstLine="720"/>
        <w:rPr>
          <w:i/>
          <w:iCs/>
        </w:rPr>
      </w:pPr>
      <w:r w:rsidRPr="00E814DB">
        <w:t>(1)</w:t>
      </w:r>
      <w:r>
        <w:rPr>
          <w:b/>
        </w:rPr>
        <w:t xml:space="preserve">  </w:t>
      </w:r>
      <w:r w:rsidRPr="00E814DB">
        <w:rPr>
          <w:b/>
          <w:bCs/>
        </w:rPr>
        <w:t xml:space="preserve">The </w:t>
      </w:r>
      <w:proofErr w:type="spellStart"/>
      <w:r w:rsidRPr="00E814DB">
        <w:rPr>
          <w:b/>
          <w:bCs/>
        </w:rPr>
        <w:t>Dragos</w:t>
      </w:r>
      <w:proofErr w:type="spellEnd"/>
      <w:r w:rsidRPr="00E814DB">
        <w:rPr>
          <w:b/>
          <w:bCs/>
        </w:rPr>
        <w:t xml:space="preserve"> </w:t>
      </w:r>
      <w:r w:rsidR="007349B7">
        <w:rPr>
          <w:b/>
          <w:bCs/>
        </w:rPr>
        <w:t>Matter</w:t>
      </w:r>
      <w:r w:rsidRPr="00E814DB">
        <w:rPr>
          <w:b/>
          <w:bCs/>
        </w:rPr>
        <w:t xml:space="preserve"> </w:t>
      </w:r>
      <w:r w:rsidRPr="00E814DB">
        <w:t xml:space="preserve">(2002).  Harley incorrectly advised her client about the maximum term of imprisonment </w:t>
      </w:r>
      <w:r>
        <w:t>i</w:t>
      </w:r>
      <w:r w:rsidRPr="00E814DB">
        <w:t xml:space="preserve">n a sex offense case.   </w:t>
      </w:r>
    </w:p>
    <w:p w:rsidR="00EC41C1" w:rsidRPr="00E814DB" w:rsidRDefault="00EC41C1" w:rsidP="00E814DB">
      <w:pPr>
        <w:ind w:firstLine="720"/>
      </w:pPr>
      <w:r w:rsidRPr="00E814DB">
        <w:t>(2)</w:t>
      </w:r>
      <w:r>
        <w:t xml:space="preserve">  </w:t>
      </w:r>
      <w:r w:rsidRPr="00E814DB">
        <w:rPr>
          <w:b/>
          <w:bCs/>
        </w:rPr>
        <w:t xml:space="preserve">The Eagle </w:t>
      </w:r>
      <w:r w:rsidR="007349B7">
        <w:rPr>
          <w:b/>
          <w:bCs/>
        </w:rPr>
        <w:t>Matter</w:t>
      </w:r>
      <w:r w:rsidRPr="00E814DB">
        <w:rPr>
          <w:b/>
          <w:bCs/>
        </w:rPr>
        <w:t xml:space="preserve"> </w:t>
      </w:r>
      <w:r w:rsidRPr="00E814DB">
        <w:rPr>
          <w:bCs/>
        </w:rPr>
        <w:t>(2003</w:t>
      </w:r>
      <w:r w:rsidR="00710FB5">
        <w:rPr>
          <w:bCs/>
        </w:rPr>
        <w:t>-2005</w:t>
      </w:r>
      <w:r w:rsidRPr="00E814DB">
        <w:rPr>
          <w:bCs/>
        </w:rPr>
        <w:t>).</w:t>
      </w:r>
      <w:r w:rsidRPr="00E814DB">
        <w:t xml:space="preserve">  Harley failed to return unearned fees </w:t>
      </w:r>
      <w:r>
        <w:t>and</w:t>
      </w:r>
      <w:r w:rsidRPr="00E814DB">
        <w:t xml:space="preserve"> </w:t>
      </w:r>
      <w:r>
        <w:t xml:space="preserve">to </w:t>
      </w:r>
      <w:r w:rsidRPr="00E814DB">
        <w:t xml:space="preserve">provide a copy of the file to a client who hired her to expunge his criminal record.  </w:t>
      </w:r>
    </w:p>
    <w:p w:rsidR="00EC41C1" w:rsidRPr="00E814DB" w:rsidRDefault="00EC41C1" w:rsidP="009924E0">
      <w:pPr>
        <w:ind w:firstLine="720"/>
      </w:pPr>
      <w:r>
        <w:t xml:space="preserve">(3)  </w:t>
      </w:r>
      <w:r w:rsidRPr="00E814DB">
        <w:rPr>
          <w:b/>
          <w:bCs/>
        </w:rPr>
        <w:t xml:space="preserve">The Cortez </w:t>
      </w:r>
      <w:r w:rsidR="007349B7">
        <w:rPr>
          <w:b/>
          <w:bCs/>
        </w:rPr>
        <w:t>Matter</w:t>
      </w:r>
      <w:r w:rsidRPr="00E814DB">
        <w:rPr>
          <w:b/>
          <w:bCs/>
        </w:rPr>
        <w:t xml:space="preserve"> </w:t>
      </w:r>
      <w:r w:rsidRPr="00E814DB">
        <w:rPr>
          <w:bCs/>
        </w:rPr>
        <w:t>(2003)</w:t>
      </w:r>
      <w:r w:rsidRPr="00E814DB">
        <w:rPr>
          <w:b/>
          <w:bCs/>
        </w:rPr>
        <w:t xml:space="preserve">.  </w:t>
      </w:r>
      <w:r w:rsidRPr="00E814DB">
        <w:t xml:space="preserve">Harley incorrectly advised her client about the consequences of his guilty plea to child molestation charges.  </w:t>
      </w:r>
    </w:p>
    <w:p w:rsidR="00EC41C1" w:rsidRPr="00E814DB" w:rsidRDefault="00EC41C1" w:rsidP="00E814DB">
      <w:pPr>
        <w:ind w:firstLine="720"/>
      </w:pPr>
      <w:r>
        <w:lastRenderedPageBreak/>
        <w:t xml:space="preserve">(4)  </w:t>
      </w:r>
      <w:r w:rsidRPr="00E814DB">
        <w:rPr>
          <w:b/>
          <w:bCs/>
        </w:rPr>
        <w:t xml:space="preserve">The Upton </w:t>
      </w:r>
      <w:r w:rsidR="007349B7">
        <w:rPr>
          <w:b/>
          <w:bCs/>
        </w:rPr>
        <w:t>Matter</w:t>
      </w:r>
      <w:r w:rsidRPr="00E814DB">
        <w:rPr>
          <w:b/>
          <w:bCs/>
        </w:rPr>
        <w:t xml:space="preserve"> </w:t>
      </w:r>
      <w:r w:rsidRPr="00E814DB">
        <w:rPr>
          <w:bCs/>
        </w:rPr>
        <w:t>(2003</w:t>
      </w:r>
      <w:r w:rsidR="00710FB5">
        <w:rPr>
          <w:bCs/>
        </w:rPr>
        <w:t>-2006</w:t>
      </w:r>
      <w:r w:rsidRPr="00E814DB">
        <w:rPr>
          <w:bCs/>
        </w:rPr>
        <w:t>)</w:t>
      </w:r>
      <w:r w:rsidRPr="00E814DB">
        <w:t>.</w:t>
      </w:r>
      <w:r w:rsidRPr="00E814DB">
        <w:rPr>
          <w:b/>
          <w:bCs/>
        </w:rPr>
        <w:t xml:space="preserve">  </w:t>
      </w:r>
      <w:r w:rsidRPr="00E814DB">
        <w:t xml:space="preserve">While </w:t>
      </w:r>
      <w:r>
        <w:t>her</w:t>
      </w:r>
      <w:r w:rsidRPr="00E814DB">
        <w:t xml:space="preserve"> client was incarcerated</w:t>
      </w:r>
      <w:r>
        <w:t>,</w:t>
      </w:r>
      <w:r w:rsidRPr="00E814DB">
        <w:t xml:space="preserve"> </w:t>
      </w:r>
      <w:r>
        <w:t>Harley</w:t>
      </w:r>
      <w:r w:rsidRPr="00E814DB">
        <w:t xml:space="preserve"> did not respond to his inquiries about his appeal and habeas </w:t>
      </w:r>
      <w:r>
        <w:t xml:space="preserve">corpus </w:t>
      </w:r>
      <w:r w:rsidRPr="00E814DB">
        <w:t xml:space="preserve">petitions.  </w:t>
      </w:r>
    </w:p>
    <w:p w:rsidR="00EC41C1" w:rsidRPr="00E814DB" w:rsidRDefault="00EC41C1" w:rsidP="00E814DB">
      <w:pPr>
        <w:ind w:firstLine="720"/>
      </w:pPr>
      <w:r w:rsidRPr="00E814DB">
        <w:t>(5)</w:t>
      </w:r>
      <w:r>
        <w:t xml:space="preserve">  </w:t>
      </w:r>
      <w:r w:rsidRPr="00E814DB">
        <w:rPr>
          <w:b/>
          <w:bCs/>
        </w:rPr>
        <w:t xml:space="preserve">The </w:t>
      </w:r>
      <w:proofErr w:type="spellStart"/>
      <w:r w:rsidR="005345C8">
        <w:rPr>
          <w:b/>
          <w:bCs/>
        </w:rPr>
        <w:t>Schonenberger</w:t>
      </w:r>
      <w:proofErr w:type="spellEnd"/>
      <w:r w:rsidRPr="00E814DB">
        <w:rPr>
          <w:b/>
          <w:bCs/>
        </w:rPr>
        <w:t>/</w:t>
      </w:r>
      <w:proofErr w:type="spellStart"/>
      <w:r w:rsidRPr="00E814DB">
        <w:rPr>
          <w:b/>
          <w:bCs/>
        </w:rPr>
        <w:t>Bissig</w:t>
      </w:r>
      <w:proofErr w:type="spellEnd"/>
      <w:r w:rsidRPr="00E814DB">
        <w:rPr>
          <w:b/>
          <w:bCs/>
        </w:rPr>
        <w:t xml:space="preserve"> </w:t>
      </w:r>
      <w:r w:rsidR="007349B7">
        <w:rPr>
          <w:b/>
          <w:bCs/>
        </w:rPr>
        <w:t>Matter</w:t>
      </w:r>
      <w:r w:rsidRPr="00E814DB">
        <w:rPr>
          <w:b/>
          <w:bCs/>
        </w:rPr>
        <w:t xml:space="preserve"> </w:t>
      </w:r>
      <w:r w:rsidRPr="00E814DB">
        <w:rPr>
          <w:bCs/>
        </w:rPr>
        <w:t>(2006</w:t>
      </w:r>
      <w:r w:rsidR="00710FB5">
        <w:rPr>
          <w:bCs/>
        </w:rPr>
        <w:t>-2007</w:t>
      </w:r>
      <w:r w:rsidRPr="00E814DB">
        <w:rPr>
          <w:bCs/>
        </w:rPr>
        <w:t>)</w:t>
      </w:r>
      <w:r w:rsidRPr="00E814DB">
        <w:t>.  Harley accepted fees from a third</w:t>
      </w:r>
      <w:r>
        <w:t xml:space="preserve"> </w:t>
      </w:r>
      <w:r w:rsidRPr="00E814DB">
        <w:t xml:space="preserve">party without her client’s </w:t>
      </w:r>
      <w:r>
        <w:t xml:space="preserve">informed </w:t>
      </w:r>
      <w:r w:rsidRPr="00E814DB">
        <w:t xml:space="preserve">written consent and failed to provide an accounting. </w:t>
      </w:r>
      <w:r w:rsidRPr="00E814DB">
        <w:rPr>
          <w:i/>
          <w:iCs/>
        </w:rPr>
        <w:t xml:space="preserve"> </w:t>
      </w:r>
    </w:p>
    <w:p w:rsidR="00EC41C1" w:rsidRPr="00E814DB" w:rsidRDefault="00EC41C1" w:rsidP="00A8451B">
      <w:pPr>
        <w:ind w:firstLine="720"/>
      </w:pPr>
      <w:r w:rsidRPr="00E814DB">
        <w:t>(6)</w:t>
      </w:r>
      <w:r>
        <w:t xml:space="preserve">  </w:t>
      </w:r>
      <w:r w:rsidRPr="00E814DB">
        <w:rPr>
          <w:b/>
          <w:bCs/>
        </w:rPr>
        <w:t xml:space="preserve">The Hsiao </w:t>
      </w:r>
      <w:r w:rsidR="007349B7">
        <w:rPr>
          <w:b/>
          <w:bCs/>
        </w:rPr>
        <w:t>Matter</w:t>
      </w:r>
      <w:r w:rsidRPr="00E814DB">
        <w:rPr>
          <w:bCs/>
        </w:rPr>
        <w:t xml:space="preserve"> (2006</w:t>
      </w:r>
      <w:r>
        <w:rPr>
          <w:bCs/>
        </w:rPr>
        <w:t>)</w:t>
      </w:r>
      <w:r w:rsidRPr="00E814DB">
        <w:t xml:space="preserve">.  </w:t>
      </w:r>
      <w:r>
        <w:t xml:space="preserve">When </w:t>
      </w:r>
      <w:r w:rsidRPr="00E814DB">
        <w:t>Harley failed to attend her client’s traffic trial</w:t>
      </w:r>
      <w:r>
        <w:t>,</w:t>
      </w:r>
      <w:r w:rsidRPr="00E814DB">
        <w:t xml:space="preserve"> the court found the client guilty of a Vehicle Code </w:t>
      </w:r>
      <w:r>
        <w:t>violation and imposed a</w:t>
      </w:r>
      <w:r w:rsidRPr="00E814DB">
        <w:t xml:space="preserve"> $375 fine.  </w:t>
      </w:r>
    </w:p>
    <w:p w:rsidR="00EC41C1" w:rsidRPr="00E814DB" w:rsidRDefault="00EC41C1" w:rsidP="00A8451B">
      <w:pPr>
        <w:ind w:firstLine="720"/>
        <w:rPr>
          <w:b/>
          <w:bCs/>
        </w:rPr>
      </w:pPr>
      <w:r w:rsidRPr="00E814DB">
        <w:rPr>
          <w:b/>
          <w:bCs/>
        </w:rPr>
        <w:t>I</w:t>
      </w:r>
      <w:r>
        <w:rPr>
          <w:b/>
          <w:bCs/>
        </w:rPr>
        <w:t>I</w:t>
      </w:r>
      <w:proofErr w:type="gramStart"/>
      <w:r w:rsidRPr="00E814DB">
        <w:rPr>
          <w:b/>
          <w:bCs/>
        </w:rPr>
        <w:t xml:space="preserve">.  </w:t>
      </w:r>
      <w:r>
        <w:rPr>
          <w:b/>
          <w:bCs/>
        </w:rPr>
        <w:t>HARLEY</w:t>
      </w:r>
      <w:proofErr w:type="gramEnd"/>
      <w:r>
        <w:rPr>
          <w:b/>
          <w:bCs/>
        </w:rPr>
        <w:t xml:space="preserve"> IS </w:t>
      </w:r>
      <w:r w:rsidRPr="00E814DB">
        <w:rPr>
          <w:b/>
          <w:bCs/>
        </w:rPr>
        <w:t>CULPABLE OF MISCONDUCT IN SIX CLIENT MATTERS</w:t>
      </w:r>
    </w:p>
    <w:p w:rsidR="00EC41C1" w:rsidRPr="00E814DB" w:rsidRDefault="00EC41C1" w:rsidP="00E814DB">
      <w:pPr>
        <w:rPr>
          <w:b/>
          <w:bCs/>
        </w:rPr>
      </w:pPr>
      <w:r w:rsidRPr="00E814DB">
        <w:rPr>
          <w:b/>
          <w:bCs/>
        </w:rPr>
        <w:t>A.</w:t>
      </w:r>
      <w:r>
        <w:rPr>
          <w:b/>
          <w:bCs/>
        </w:rPr>
        <w:tab/>
      </w:r>
      <w:r w:rsidRPr="00E814DB">
        <w:rPr>
          <w:b/>
          <w:bCs/>
        </w:rPr>
        <w:t xml:space="preserve">THE </w:t>
      </w:r>
      <w:proofErr w:type="spellStart"/>
      <w:r w:rsidRPr="00E814DB">
        <w:rPr>
          <w:b/>
          <w:bCs/>
        </w:rPr>
        <w:t>DRAGOS</w:t>
      </w:r>
      <w:proofErr w:type="spellEnd"/>
      <w:r w:rsidRPr="00E814DB">
        <w:rPr>
          <w:b/>
          <w:bCs/>
        </w:rPr>
        <w:t xml:space="preserve"> </w:t>
      </w:r>
      <w:r w:rsidR="007349B7">
        <w:rPr>
          <w:b/>
          <w:bCs/>
        </w:rPr>
        <w:t>MATTER</w:t>
      </w:r>
      <w:r w:rsidRPr="00E814DB">
        <w:rPr>
          <w:b/>
          <w:bCs/>
        </w:rPr>
        <w:t xml:space="preserve"> </w:t>
      </w:r>
    </w:p>
    <w:p w:rsidR="00EC41C1" w:rsidRDefault="00EC41C1" w:rsidP="00E814DB">
      <w:r w:rsidRPr="00E814DB">
        <w:tab/>
        <w:t xml:space="preserve">In 2002, Harley represented Jure </w:t>
      </w:r>
      <w:proofErr w:type="spellStart"/>
      <w:r w:rsidRPr="00E814DB">
        <w:t>Dragos</w:t>
      </w:r>
      <w:proofErr w:type="spellEnd"/>
      <w:r>
        <w:t>,</w:t>
      </w:r>
      <w:r w:rsidRPr="00E814DB">
        <w:t xml:space="preserve"> who was charged with sex offenses against minors.  </w:t>
      </w:r>
      <w:r>
        <w:t>She</w:t>
      </w:r>
      <w:r w:rsidRPr="00E814DB">
        <w:t xml:space="preserve"> incorrectly advised </w:t>
      </w:r>
      <w:r>
        <w:t>him</w:t>
      </w:r>
      <w:r w:rsidRPr="00E814DB">
        <w:t xml:space="preserve"> that the prosecution offered a plea bargain for </w:t>
      </w:r>
      <w:r>
        <w:t xml:space="preserve">a </w:t>
      </w:r>
      <w:r w:rsidRPr="00247F75">
        <w:rPr>
          <w:i/>
        </w:rPr>
        <w:t>maximum</w:t>
      </w:r>
      <w:r>
        <w:t xml:space="preserve"> of </w:t>
      </w:r>
      <w:r w:rsidRPr="00E814DB">
        <w:t>90</w:t>
      </w:r>
      <w:r>
        <w:t>-</w:t>
      </w:r>
      <w:r w:rsidRPr="00E814DB">
        <w:t>years</w:t>
      </w:r>
      <w:r>
        <w:t>-</w:t>
      </w:r>
      <w:r w:rsidRPr="00E814DB">
        <w:t>to</w:t>
      </w:r>
      <w:r>
        <w:t>-</w:t>
      </w:r>
      <w:r w:rsidRPr="00E814DB">
        <w:t>life</w:t>
      </w:r>
      <w:r>
        <w:t xml:space="preserve"> when it was actually </w:t>
      </w:r>
      <w:r w:rsidRPr="00E814DB">
        <w:t xml:space="preserve">for a </w:t>
      </w:r>
      <w:r w:rsidRPr="00E814DB">
        <w:rPr>
          <w:i/>
          <w:iCs/>
        </w:rPr>
        <w:t>minimum</w:t>
      </w:r>
      <w:r w:rsidRPr="00E814DB">
        <w:t xml:space="preserve"> 90-year sentence</w:t>
      </w:r>
      <w:r>
        <w:t xml:space="preserve">.  </w:t>
      </w:r>
      <w:r w:rsidRPr="00E814DB">
        <w:t xml:space="preserve">Before </w:t>
      </w:r>
      <w:proofErr w:type="spellStart"/>
      <w:r w:rsidRPr="00E814DB">
        <w:t>Dragos</w:t>
      </w:r>
      <w:proofErr w:type="spellEnd"/>
      <w:r w:rsidRPr="00E814DB">
        <w:t xml:space="preserve"> entered his plea, the judge also</w:t>
      </w:r>
      <w:r>
        <w:t xml:space="preserve"> made the same mistake when he recited the terms of the plea agreement, but neither </w:t>
      </w:r>
      <w:r w:rsidRPr="00E814DB">
        <w:t xml:space="preserve">the prosecution nor Harley corrected </w:t>
      </w:r>
      <w:r>
        <w:t>the error</w:t>
      </w:r>
      <w:r w:rsidRPr="00E814DB">
        <w:t xml:space="preserve">.  </w:t>
      </w:r>
      <w:r>
        <w:t xml:space="preserve">After she withdrew as </w:t>
      </w:r>
      <w:proofErr w:type="spellStart"/>
      <w:r>
        <w:t>Dragos</w:t>
      </w:r>
      <w:proofErr w:type="spellEnd"/>
      <w:r>
        <w:t>’ counsel,</w:t>
      </w:r>
      <w:r w:rsidRPr="00E814DB">
        <w:t xml:space="preserve"> a new attorney filed a motion to set aside the plea, arguing that Harley </w:t>
      </w:r>
      <w:r>
        <w:t xml:space="preserve">had </w:t>
      </w:r>
      <w:r w:rsidRPr="00E814DB">
        <w:t xml:space="preserve">misadvised </w:t>
      </w:r>
      <w:proofErr w:type="spellStart"/>
      <w:r w:rsidRPr="00E814DB">
        <w:t>Dragos</w:t>
      </w:r>
      <w:proofErr w:type="spellEnd"/>
      <w:r w:rsidRPr="00E814DB">
        <w:t xml:space="preserve">.  The judge denied the motion and </w:t>
      </w:r>
      <w:proofErr w:type="spellStart"/>
      <w:r w:rsidRPr="00E814DB">
        <w:t>Dragos</w:t>
      </w:r>
      <w:proofErr w:type="spellEnd"/>
      <w:r w:rsidRPr="00E814DB">
        <w:t xml:space="preserve"> appealed.  </w:t>
      </w:r>
      <w:r w:rsidR="004D6011">
        <w:t>On the basis of her incorrect advice, t</w:t>
      </w:r>
      <w:r w:rsidR="007349B7">
        <w:t>he</w:t>
      </w:r>
      <w:r w:rsidRPr="00E814DB">
        <w:t xml:space="preserve"> Court of Appeal concluded that Harley had provided ineffective assistance of counsel.  </w:t>
      </w:r>
      <w:proofErr w:type="spellStart"/>
      <w:r w:rsidRPr="00E814DB">
        <w:t>Dragos</w:t>
      </w:r>
      <w:proofErr w:type="spellEnd"/>
      <w:r w:rsidRPr="00E814DB">
        <w:t xml:space="preserve"> was permitted to withdraw his plea and was ultimately </w:t>
      </w:r>
      <w:r w:rsidR="007349B7">
        <w:t>re</w:t>
      </w:r>
      <w:r w:rsidRPr="00E814DB">
        <w:t>sentenced.</w:t>
      </w:r>
    </w:p>
    <w:p w:rsidR="00EC41C1" w:rsidRPr="00E814DB" w:rsidRDefault="00EC41C1" w:rsidP="00E814DB">
      <w:pPr>
        <w:rPr>
          <w:b/>
          <w:bCs/>
        </w:rPr>
      </w:pPr>
      <w:r w:rsidRPr="00E814DB">
        <w:tab/>
      </w:r>
      <w:r w:rsidRPr="00E814DB">
        <w:rPr>
          <w:b/>
          <w:bCs/>
        </w:rPr>
        <w:t>Count 7</w:t>
      </w:r>
      <w:r w:rsidRPr="00E814DB">
        <w:rPr>
          <w:vertAlign w:val="superscript"/>
        </w:rPr>
        <w:footnoteReference w:id="2"/>
      </w:r>
      <w:r w:rsidRPr="00E814DB">
        <w:rPr>
          <w:b/>
          <w:bCs/>
        </w:rPr>
        <w:t xml:space="preserve"> – Failure to Perform Competently (Rule 3-110(A))</w:t>
      </w:r>
      <w:r>
        <w:rPr>
          <w:rStyle w:val="FootnoteReference"/>
        </w:rPr>
        <w:footnoteReference w:id="3"/>
      </w:r>
      <w:r w:rsidRPr="00E814DB">
        <w:t xml:space="preserve"> </w:t>
      </w:r>
      <w:r w:rsidRPr="00E814DB">
        <w:rPr>
          <w:b/>
          <w:bCs/>
        </w:rPr>
        <w:t xml:space="preserve"> </w:t>
      </w:r>
    </w:p>
    <w:p w:rsidR="002C7099" w:rsidRDefault="00EC41C1" w:rsidP="002C7099">
      <w:r w:rsidRPr="00E814DB">
        <w:rPr>
          <w:b/>
          <w:bCs/>
        </w:rPr>
        <w:tab/>
      </w:r>
      <w:r>
        <w:rPr>
          <w:bCs/>
        </w:rPr>
        <w:t>Harley does not challenge the hearing judge’s culpability finding.  Rul</w:t>
      </w:r>
      <w:r w:rsidRPr="00E814DB">
        <w:t>e 3-110</w:t>
      </w:r>
      <w:r>
        <w:t xml:space="preserve"> </w:t>
      </w:r>
      <w:r w:rsidRPr="00E814DB">
        <w:t xml:space="preserve">provides that “[a] member shall not intentionally, recklessly, or repeatedly fail to perform legal services with competence.”  The State Bar alleged that Harley violated this rule by incorrectly advising </w:t>
      </w:r>
      <w:proofErr w:type="spellStart"/>
      <w:r w:rsidRPr="00E814DB">
        <w:lastRenderedPageBreak/>
        <w:t>Dragos</w:t>
      </w:r>
      <w:proofErr w:type="spellEnd"/>
      <w:r w:rsidRPr="00E814DB">
        <w:t xml:space="preserve"> about the consequences of his plea</w:t>
      </w:r>
      <w:r w:rsidR="002C7099">
        <w:t>,</w:t>
      </w:r>
      <w:r w:rsidRPr="00E814DB">
        <w:t xml:space="preserve"> and then failing to correct the error during the court proceeding.  </w:t>
      </w:r>
      <w:r w:rsidR="002C7099">
        <w:t xml:space="preserve">Harley testified that she was new to private practice and was unaware of the “nuances” involved in </w:t>
      </w:r>
      <w:r w:rsidR="00A14225">
        <w:t xml:space="preserve">this type of </w:t>
      </w:r>
      <w:r w:rsidR="002C7099">
        <w:t xml:space="preserve">case.  She admitted that she was “ineffective” as </w:t>
      </w:r>
      <w:proofErr w:type="spellStart"/>
      <w:r w:rsidR="002C7099">
        <w:t>Dragos</w:t>
      </w:r>
      <w:proofErr w:type="spellEnd"/>
      <w:r w:rsidR="002C7099">
        <w:t>’ counsel and candidly told the hearing judge:  “I just didn’t explain it to him (</w:t>
      </w:r>
      <w:proofErr w:type="spellStart"/>
      <w:r w:rsidR="002C7099">
        <w:t>Dragos</w:t>
      </w:r>
      <w:proofErr w:type="spellEnd"/>
      <w:r w:rsidR="002C7099">
        <w:t xml:space="preserve">) correctly.”  </w:t>
      </w:r>
      <w:r>
        <w:t xml:space="preserve">  </w:t>
      </w:r>
    </w:p>
    <w:p w:rsidR="00EC41C1" w:rsidRPr="00E814DB" w:rsidRDefault="002C7099" w:rsidP="002C7099">
      <w:r>
        <w:tab/>
        <w:t xml:space="preserve">We </w:t>
      </w:r>
      <w:r w:rsidR="00A14225">
        <w:t xml:space="preserve">agree with the hearing judge that </w:t>
      </w:r>
      <w:r>
        <w:t xml:space="preserve">Harley’s </w:t>
      </w:r>
      <w:r w:rsidR="00A14225">
        <w:t>inaccurate</w:t>
      </w:r>
      <w:r>
        <w:t xml:space="preserve"> advi</w:t>
      </w:r>
      <w:r w:rsidR="0089193C">
        <w:t>ce</w:t>
      </w:r>
      <w:r>
        <w:t xml:space="preserve"> </w:t>
      </w:r>
      <w:r w:rsidR="00A14225">
        <w:t xml:space="preserve">and failure to correct her error constitute </w:t>
      </w:r>
      <w:r w:rsidR="00EC41C1">
        <w:t xml:space="preserve">reckless failure to perform.  </w:t>
      </w:r>
      <w:r w:rsidR="0089193C">
        <w:t>She</w:t>
      </w:r>
      <w:r w:rsidR="00EC41C1">
        <w:t xml:space="preserve"> </w:t>
      </w:r>
      <w:r w:rsidR="00A14225">
        <w:t xml:space="preserve">was admittedly new to criminal defense work and inexperienced </w:t>
      </w:r>
      <w:r w:rsidR="0089193C">
        <w:t>at</w:t>
      </w:r>
      <w:r w:rsidR="00A14225">
        <w:t xml:space="preserve"> </w:t>
      </w:r>
      <w:r w:rsidR="0089193C">
        <w:t xml:space="preserve">settlement and sentencing </w:t>
      </w:r>
      <w:r w:rsidR="00A14225">
        <w:t xml:space="preserve">discussions </w:t>
      </w:r>
      <w:r w:rsidR="0089193C">
        <w:t>with clients</w:t>
      </w:r>
      <w:r w:rsidR="00A14225">
        <w:t>.  Yet she undertook to advise</w:t>
      </w:r>
      <w:r w:rsidR="00EC41C1">
        <w:t xml:space="preserve"> </w:t>
      </w:r>
      <w:proofErr w:type="spellStart"/>
      <w:r w:rsidR="00EC41C1">
        <w:t>Dragos</w:t>
      </w:r>
      <w:proofErr w:type="spellEnd"/>
      <w:r w:rsidR="00EC41C1">
        <w:t xml:space="preserve"> on a very serious criminal case </w:t>
      </w:r>
      <w:r w:rsidR="0089193C">
        <w:t>involving</w:t>
      </w:r>
      <w:r w:rsidR="00EC41C1">
        <w:t xml:space="preserve"> a significant prison sentence.  </w:t>
      </w:r>
      <w:r w:rsidR="00E363CE">
        <w:t xml:space="preserve">Regardless of her </w:t>
      </w:r>
      <w:r w:rsidR="0089193C">
        <w:t>lack</w:t>
      </w:r>
      <w:r w:rsidR="00E363CE">
        <w:t xml:space="preserve"> of experience, </w:t>
      </w:r>
      <w:r w:rsidR="007E216A">
        <w:t>Harley was required to perform competently</w:t>
      </w:r>
      <w:r w:rsidR="00E363CE">
        <w:t xml:space="preserve"> for her client</w:t>
      </w:r>
      <w:r w:rsidR="007E216A">
        <w:t xml:space="preserve">.  </w:t>
      </w:r>
      <w:r w:rsidR="00F81D5C">
        <w:t>While we</w:t>
      </w:r>
      <w:r>
        <w:t xml:space="preserve"> acknowledge that the </w:t>
      </w:r>
      <w:r w:rsidR="00E363CE">
        <w:t xml:space="preserve">superior court </w:t>
      </w:r>
      <w:r w:rsidR="00EC41C1">
        <w:t xml:space="preserve">judge made the same error, </w:t>
      </w:r>
      <w:r w:rsidR="00A14225">
        <w:t>the circumstances were different</w:t>
      </w:r>
      <w:r w:rsidR="00E363CE">
        <w:t>.  T</w:t>
      </w:r>
      <w:r w:rsidR="00A14225">
        <w:t xml:space="preserve">he judge’s </w:t>
      </w:r>
      <w:r w:rsidR="0089193C">
        <w:t>mistake</w:t>
      </w:r>
      <w:r w:rsidR="00A14225">
        <w:t xml:space="preserve"> occurred </w:t>
      </w:r>
      <w:r w:rsidR="0089193C">
        <w:t xml:space="preserve">at a brief court proceeding </w:t>
      </w:r>
      <w:r w:rsidR="00A14225">
        <w:t>during</w:t>
      </w:r>
      <w:r w:rsidR="00EC41C1">
        <w:t xml:space="preserve"> a busy </w:t>
      </w:r>
      <w:r w:rsidR="00E945D4">
        <w:t xml:space="preserve">calendar </w:t>
      </w:r>
      <w:r w:rsidR="00690EE8">
        <w:t>schedule</w:t>
      </w:r>
      <w:r w:rsidR="00E363CE">
        <w:t xml:space="preserve">, while Harley’s </w:t>
      </w:r>
      <w:r w:rsidR="00690EE8">
        <w:t>transpired</w:t>
      </w:r>
      <w:r w:rsidR="00E363CE">
        <w:t xml:space="preserve"> after she had ample time</w:t>
      </w:r>
      <w:r w:rsidR="00EC41C1">
        <w:t xml:space="preserve"> to</w:t>
      </w:r>
      <w:r w:rsidR="00F81D5C">
        <w:t xml:space="preserve"> </w:t>
      </w:r>
      <w:r w:rsidR="00EC41C1">
        <w:t xml:space="preserve">analyze and discuss the </w:t>
      </w:r>
      <w:r w:rsidR="00F81D5C">
        <w:t xml:space="preserve">issues with </w:t>
      </w:r>
      <w:proofErr w:type="spellStart"/>
      <w:r w:rsidR="00E363CE">
        <w:t>Dragos</w:t>
      </w:r>
      <w:proofErr w:type="spellEnd"/>
      <w:r w:rsidR="00F81D5C">
        <w:t xml:space="preserve">.  </w:t>
      </w:r>
      <w:r w:rsidR="00A14225">
        <w:t xml:space="preserve">And </w:t>
      </w:r>
      <w:r w:rsidR="00F81D5C">
        <w:t xml:space="preserve">she </w:t>
      </w:r>
      <w:r w:rsidR="007E216A">
        <w:t>owed</w:t>
      </w:r>
      <w:r w:rsidR="00F81D5C">
        <w:t xml:space="preserve"> a </w:t>
      </w:r>
      <w:r w:rsidR="00EC41C1">
        <w:t xml:space="preserve">fiduciary duty </w:t>
      </w:r>
      <w:r w:rsidR="00F81D5C">
        <w:t xml:space="preserve">to </w:t>
      </w:r>
      <w:r w:rsidR="00E363CE">
        <w:t>her client</w:t>
      </w:r>
      <w:r w:rsidR="00F81D5C">
        <w:t xml:space="preserve"> to provide </w:t>
      </w:r>
      <w:r w:rsidR="00E945D4">
        <w:t xml:space="preserve">careful and </w:t>
      </w:r>
      <w:r w:rsidR="00F81D5C">
        <w:t>accurate information about the consequences</w:t>
      </w:r>
      <w:r w:rsidR="00EC41C1">
        <w:t xml:space="preserve"> of </w:t>
      </w:r>
      <w:r w:rsidR="00F81D5C">
        <w:t>his</w:t>
      </w:r>
      <w:r w:rsidR="00EC41C1">
        <w:t xml:space="preserve"> plea.  </w:t>
      </w:r>
      <w:r w:rsidR="00F81D5C">
        <w:t>Harley’s i</w:t>
      </w:r>
      <w:r w:rsidR="00A14225">
        <w:t>nexperience and carelessness do</w:t>
      </w:r>
      <w:r w:rsidR="00F81D5C">
        <w:t xml:space="preserve"> not excuse her failure to perform competently.</w:t>
      </w:r>
    </w:p>
    <w:p w:rsidR="00EC41C1" w:rsidRPr="00E814DB" w:rsidRDefault="00EC41C1" w:rsidP="00E814DB">
      <w:pPr>
        <w:rPr>
          <w:b/>
          <w:bCs/>
        </w:rPr>
      </w:pPr>
      <w:r>
        <w:rPr>
          <w:b/>
          <w:bCs/>
        </w:rPr>
        <w:t>B.</w:t>
      </w:r>
      <w:r>
        <w:rPr>
          <w:b/>
          <w:bCs/>
        </w:rPr>
        <w:tab/>
      </w:r>
      <w:r w:rsidRPr="00E814DB">
        <w:rPr>
          <w:b/>
          <w:bCs/>
        </w:rPr>
        <w:t xml:space="preserve">THE EAGLE </w:t>
      </w:r>
      <w:r w:rsidR="007349B7">
        <w:rPr>
          <w:b/>
          <w:bCs/>
        </w:rPr>
        <w:t>MATTER</w:t>
      </w:r>
      <w:r w:rsidRPr="00E814DB">
        <w:rPr>
          <w:b/>
          <w:bCs/>
        </w:rPr>
        <w:t xml:space="preserve"> </w:t>
      </w:r>
    </w:p>
    <w:p w:rsidR="00EC41C1" w:rsidRPr="00E814DB" w:rsidRDefault="00EC41C1" w:rsidP="00E814DB">
      <w:r w:rsidRPr="00E814DB">
        <w:tab/>
        <w:t xml:space="preserve">On April 29, 2002, Eric Eagle hired Harley to expunge his misdemeanor convictions for </w:t>
      </w:r>
      <w:r>
        <w:t>a</w:t>
      </w:r>
      <w:r w:rsidRPr="00E814DB">
        <w:t xml:space="preserve">ssault and shoplifting.  Eagle paid </w:t>
      </w:r>
      <w:r>
        <w:t xml:space="preserve">her </w:t>
      </w:r>
      <w:r w:rsidRPr="00E814DB">
        <w:t xml:space="preserve">a $1,500 </w:t>
      </w:r>
      <w:r>
        <w:t xml:space="preserve">nonrefundable </w:t>
      </w:r>
      <w:r w:rsidRPr="00E814DB">
        <w:t xml:space="preserve">flat fee and signed an attorney-client </w:t>
      </w:r>
      <w:r>
        <w:t>contract that Harley was to “provide legal services necessary to present and argue” the motion to expunge</w:t>
      </w:r>
      <w:r w:rsidRPr="00E814DB">
        <w:t xml:space="preserve">.  </w:t>
      </w:r>
      <w:r>
        <w:t>The motion</w:t>
      </w:r>
      <w:r w:rsidRPr="00E814DB">
        <w:t xml:space="preserve"> was drafted </w:t>
      </w:r>
      <w:r>
        <w:t>in June 2002, but was never filed because after Harley was hired, Eagle</w:t>
      </w:r>
      <w:r w:rsidRPr="00E814DB">
        <w:t xml:space="preserve"> was arrested </w:t>
      </w:r>
      <w:r>
        <w:t xml:space="preserve">again </w:t>
      </w:r>
      <w:r w:rsidRPr="00E814DB">
        <w:t xml:space="preserve">and </w:t>
      </w:r>
      <w:r w:rsidR="00F81D5C">
        <w:t xml:space="preserve">faced new criminal </w:t>
      </w:r>
      <w:r w:rsidRPr="00E814DB">
        <w:t xml:space="preserve">charges.  Harley </w:t>
      </w:r>
      <w:r>
        <w:t xml:space="preserve">did not file the motion because she </w:t>
      </w:r>
      <w:r w:rsidR="00B4368B">
        <w:t>did not think</w:t>
      </w:r>
      <w:r>
        <w:t xml:space="preserve"> </w:t>
      </w:r>
      <w:r w:rsidR="00F81D5C">
        <w:t>it would be granted</w:t>
      </w:r>
      <w:r>
        <w:t xml:space="preserve"> given Eagle’s re-arrest.  </w:t>
      </w:r>
      <w:r w:rsidR="00F81D5C">
        <w:t xml:space="preserve">Eagle was </w:t>
      </w:r>
      <w:r w:rsidR="00E363CE">
        <w:t>told</w:t>
      </w:r>
      <w:r w:rsidR="00F81D5C">
        <w:t xml:space="preserve"> about the decision not to file the</w:t>
      </w:r>
      <w:r>
        <w:t xml:space="preserve"> motion and he “accepted” </w:t>
      </w:r>
      <w:r w:rsidR="00F81D5C">
        <w:t>it</w:t>
      </w:r>
      <w:r>
        <w:t>.  Harley</w:t>
      </w:r>
      <w:r w:rsidRPr="00E814DB">
        <w:t xml:space="preserve"> did </w:t>
      </w:r>
      <w:r w:rsidR="001206DC">
        <w:t>not do any further</w:t>
      </w:r>
      <w:r w:rsidRPr="00E814DB">
        <w:t xml:space="preserve"> work on </w:t>
      </w:r>
      <w:r>
        <w:t>the</w:t>
      </w:r>
      <w:r w:rsidRPr="00E814DB">
        <w:t xml:space="preserve"> case.  </w:t>
      </w:r>
    </w:p>
    <w:p w:rsidR="00EC41C1" w:rsidRPr="00E814DB" w:rsidRDefault="00EC41C1" w:rsidP="00E814DB">
      <w:r w:rsidRPr="00E814DB">
        <w:lastRenderedPageBreak/>
        <w:tab/>
      </w:r>
      <w:r>
        <w:t>In</w:t>
      </w:r>
      <w:r w:rsidRPr="00E814DB">
        <w:t xml:space="preserve"> 2003, Eagle </w:t>
      </w:r>
      <w:r w:rsidR="007349B7">
        <w:t>contacted</w:t>
      </w:r>
      <w:r w:rsidR="001206DC">
        <w:t xml:space="preserve"> Harley’s office about refunding his </w:t>
      </w:r>
      <w:r w:rsidRPr="00E814DB">
        <w:t xml:space="preserve">fees.  He left several messages with the staff, but Harley returned </w:t>
      </w:r>
      <w:r>
        <w:t xml:space="preserve">only </w:t>
      </w:r>
      <w:r w:rsidRPr="00E814DB">
        <w:t xml:space="preserve">one call.  </w:t>
      </w:r>
      <w:r>
        <w:t>She</w:t>
      </w:r>
      <w:r w:rsidRPr="00E814DB">
        <w:t xml:space="preserve"> testified that Eagle was “combative” and “scary” </w:t>
      </w:r>
      <w:r w:rsidR="007349B7">
        <w:t>while</w:t>
      </w:r>
      <w:r>
        <w:t xml:space="preserve"> at her</w:t>
      </w:r>
      <w:r w:rsidRPr="00E814DB">
        <w:t xml:space="preserve"> </w:t>
      </w:r>
      <w:proofErr w:type="gramStart"/>
      <w:r w:rsidRPr="00E814DB">
        <w:t>office</w:t>
      </w:r>
      <w:r w:rsidR="001206DC">
        <w:t>,</w:t>
      </w:r>
      <w:proofErr w:type="gramEnd"/>
      <w:r w:rsidRPr="00E814DB">
        <w:t xml:space="preserve"> and that he yelled and screamed at her on the </w:t>
      </w:r>
      <w:r>
        <w:t>tele</w:t>
      </w:r>
      <w:r w:rsidRPr="00E814DB">
        <w:t xml:space="preserve">phone.  </w:t>
      </w:r>
      <w:r>
        <w:t>O</w:t>
      </w:r>
      <w:r w:rsidRPr="00E814DB">
        <w:t xml:space="preserve">n September 5, 2003, </w:t>
      </w:r>
      <w:r>
        <w:t>Eagle</w:t>
      </w:r>
      <w:r w:rsidRPr="00E814DB">
        <w:t xml:space="preserve"> wrote </w:t>
      </w:r>
      <w:r>
        <w:t>Harley</w:t>
      </w:r>
      <w:r w:rsidRPr="00E814DB">
        <w:t xml:space="preserve"> a letter requesting a re</w:t>
      </w:r>
      <w:r>
        <w:t>fund but received no</w:t>
      </w:r>
      <w:r w:rsidRPr="00E814DB">
        <w:t xml:space="preserve"> response</w:t>
      </w:r>
      <w:r>
        <w:t xml:space="preserve">.  He </w:t>
      </w:r>
      <w:r w:rsidRPr="00E814DB">
        <w:t>sent a second</w:t>
      </w:r>
      <w:r>
        <w:t xml:space="preserve"> letter</w:t>
      </w:r>
      <w:r w:rsidRPr="00E814DB">
        <w:t xml:space="preserve"> on May 24, 2005, asking</w:t>
      </w:r>
      <w:r>
        <w:t xml:space="preserve"> for</w:t>
      </w:r>
      <w:r w:rsidRPr="00E814DB">
        <w:t xml:space="preserve"> </w:t>
      </w:r>
      <w:r w:rsidR="00277DD4">
        <w:t>return of the</w:t>
      </w:r>
      <w:r w:rsidRPr="00E814DB">
        <w:t xml:space="preserve"> $1,500 </w:t>
      </w:r>
      <w:r w:rsidR="00277DD4">
        <w:t xml:space="preserve">fee </w:t>
      </w:r>
      <w:r w:rsidRPr="00E814DB">
        <w:t xml:space="preserve">and </w:t>
      </w:r>
      <w:r>
        <w:t xml:space="preserve">for </w:t>
      </w:r>
      <w:r w:rsidRPr="00E814DB">
        <w:t xml:space="preserve">a copy of his file.  </w:t>
      </w:r>
      <w:r w:rsidR="00F81D5C">
        <w:t>Shortly thereafter, Harley spoke to Eagle on the telephone and invited him to come into the office and “go over it [the bill] and try to reach some resolution.”  Eagle became angry, abruptly terminated the call and never came into the office.  Harley did not refund the fee</w:t>
      </w:r>
      <w:r w:rsidR="007349B7">
        <w:t xml:space="preserve"> or place the money in trust</w:t>
      </w:r>
      <w:r w:rsidR="003324E4">
        <w:t>, and Eagle never received a copy of his file</w:t>
      </w:r>
      <w:r w:rsidRPr="00E814DB">
        <w:t xml:space="preserve">.    </w:t>
      </w:r>
    </w:p>
    <w:p w:rsidR="00EC41C1" w:rsidRPr="00E814DB" w:rsidRDefault="00EC41C1" w:rsidP="00E814DB">
      <w:pPr>
        <w:rPr>
          <w:b/>
          <w:bCs/>
        </w:rPr>
      </w:pPr>
      <w:r w:rsidRPr="00E814DB">
        <w:tab/>
      </w:r>
      <w:r w:rsidRPr="00E814DB">
        <w:rPr>
          <w:b/>
          <w:bCs/>
        </w:rPr>
        <w:t>Count 17 – Failure to Return Unearned Fees (Rule 3-700(D</w:t>
      </w:r>
      <w:proofErr w:type="gramStart"/>
      <w:r w:rsidRPr="00E814DB">
        <w:rPr>
          <w:b/>
          <w:bCs/>
        </w:rPr>
        <w:t>)(</w:t>
      </w:r>
      <w:proofErr w:type="gramEnd"/>
      <w:r w:rsidRPr="00E814DB">
        <w:rPr>
          <w:b/>
          <w:bCs/>
        </w:rPr>
        <w:t>2))</w:t>
      </w:r>
    </w:p>
    <w:p w:rsidR="00EC41C1" w:rsidRDefault="00EC41C1" w:rsidP="00E814DB">
      <w:r w:rsidRPr="00E814DB">
        <w:tab/>
      </w:r>
      <w:r>
        <w:t xml:space="preserve">Harley challenges the hearing judge’s culpability finding.  </w:t>
      </w:r>
      <w:r w:rsidRPr="00E814DB">
        <w:t>Rule 3-700(D</w:t>
      </w:r>
      <w:proofErr w:type="gramStart"/>
      <w:r w:rsidRPr="00E814DB">
        <w:t>)(</w:t>
      </w:r>
      <w:proofErr w:type="gramEnd"/>
      <w:r w:rsidRPr="00E814DB">
        <w:t>2) provides that an attorney whose employment has terminated shall “[p]</w:t>
      </w:r>
      <w:proofErr w:type="spellStart"/>
      <w:r w:rsidRPr="00E814DB">
        <w:t>romptly</w:t>
      </w:r>
      <w:proofErr w:type="spellEnd"/>
      <w:r w:rsidRPr="00E814DB">
        <w:t xml:space="preserve"> refund any part of a fee paid in advance that has not been earned.”  The State Bar alleged that Harley violated this rule by failing to refund Eagle’s $1,500</w:t>
      </w:r>
      <w:r w:rsidR="007E216A">
        <w:t xml:space="preserve"> when she did not perform the contracted legal services</w:t>
      </w:r>
      <w:r>
        <w:t xml:space="preserve">.  We agree.  </w:t>
      </w:r>
    </w:p>
    <w:p w:rsidR="00682961" w:rsidRDefault="00EC41C1" w:rsidP="00C63D3F">
      <w:pPr>
        <w:ind w:firstLine="720"/>
      </w:pPr>
      <w:r>
        <w:t xml:space="preserve">Harley did not </w:t>
      </w:r>
      <w:r w:rsidR="007E216A">
        <w:t>complete</w:t>
      </w:r>
      <w:r>
        <w:t xml:space="preserve"> </w:t>
      </w:r>
      <w:r w:rsidR="007349B7">
        <w:t>the legal</w:t>
      </w:r>
      <w:r>
        <w:t xml:space="preserve"> services </w:t>
      </w:r>
      <w:r w:rsidR="007349B7">
        <w:t>outlined</w:t>
      </w:r>
      <w:r w:rsidR="007E216A">
        <w:t xml:space="preserve"> in Eagle’s fee agreement</w:t>
      </w:r>
      <w:r w:rsidR="007349B7">
        <w:t>.  The contract required</w:t>
      </w:r>
      <w:r w:rsidR="007E216A">
        <w:t xml:space="preserve"> Harley </w:t>
      </w:r>
      <w:r>
        <w:t xml:space="preserve">to </w:t>
      </w:r>
      <w:r w:rsidRPr="00E814DB">
        <w:t xml:space="preserve">provide legal services necessary to </w:t>
      </w:r>
      <w:r w:rsidRPr="001206DC">
        <w:rPr>
          <w:i/>
        </w:rPr>
        <w:t>present and argue</w:t>
      </w:r>
      <w:r w:rsidRPr="00E814DB">
        <w:t xml:space="preserve"> the motion</w:t>
      </w:r>
      <w:r w:rsidR="003324E4">
        <w:t xml:space="preserve"> to expunge</w:t>
      </w:r>
      <w:r w:rsidRPr="00E814DB">
        <w:t xml:space="preserve">.  </w:t>
      </w:r>
      <w:r w:rsidR="003324E4">
        <w:t xml:space="preserve">The </w:t>
      </w:r>
      <w:r>
        <w:t>plain language</w:t>
      </w:r>
      <w:r w:rsidR="003324E4">
        <w:t xml:space="preserve"> of the agreement clearly require</w:t>
      </w:r>
      <w:r w:rsidR="0056081B">
        <w:t>d</w:t>
      </w:r>
      <w:r w:rsidR="003324E4">
        <w:t xml:space="preserve"> Harley to appear in superior court to</w:t>
      </w:r>
      <w:r w:rsidR="00515844">
        <w:t xml:space="preserve"> make</w:t>
      </w:r>
      <w:r w:rsidR="003324E4">
        <w:t xml:space="preserve"> the motion.  Regardless of the reason for not proceeding, Harley never </w:t>
      </w:r>
      <w:r w:rsidR="00682961">
        <w:t>presented</w:t>
      </w:r>
      <w:r w:rsidR="001206DC">
        <w:t xml:space="preserve"> or argued</w:t>
      </w:r>
      <w:r w:rsidR="00682961">
        <w:t xml:space="preserve"> Eagle’s motion to the court</w:t>
      </w:r>
      <w:r w:rsidR="003324E4">
        <w:t>.  The work performed in drafting the motion was of no value to Eagle</w:t>
      </w:r>
      <w:r w:rsidR="00682961">
        <w:t xml:space="preserve"> without an opportunity for the court to rule on it</w:t>
      </w:r>
      <w:r w:rsidR="003324E4">
        <w:t xml:space="preserve">.  </w:t>
      </w:r>
      <w:r w:rsidR="001206DC">
        <w:t>W</w:t>
      </w:r>
      <w:r w:rsidR="00682961">
        <w:t>e find that</w:t>
      </w:r>
      <w:r w:rsidR="003324E4">
        <w:t xml:space="preserve"> Harley did not provide the </w:t>
      </w:r>
      <w:r w:rsidR="00682961">
        <w:t xml:space="preserve">specific </w:t>
      </w:r>
      <w:r w:rsidR="003324E4">
        <w:t xml:space="preserve">legal services </w:t>
      </w:r>
      <w:r w:rsidR="00237DE8">
        <w:t>for which Eagle paid</w:t>
      </w:r>
      <w:r w:rsidR="00682961">
        <w:t xml:space="preserve">, </w:t>
      </w:r>
      <w:r w:rsidR="00237DE8">
        <w:t xml:space="preserve">and the fee </w:t>
      </w:r>
      <w:r w:rsidR="00277DD4">
        <w:t>was subject to a refund</w:t>
      </w:r>
      <w:r>
        <w:t>.  (</w:t>
      </w:r>
      <w:r w:rsidRPr="002E3D3C">
        <w:rPr>
          <w:i/>
        </w:rPr>
        <w:t>Matthew v. State Bar</w:t>
      </w:r>
      <w:r>
        <w:t xml:space="preserve"> (1989) 49 </w:t>
      </w:r>
      <w:proofErr w:type="spellStart"/>
      <w:r>
        <w:t>Cal.3d</w:t>
      </w:r>
      <w:proofErr w:type="spellEnd"/>
      <w:r>
        <w:t xml:space="preserve"> 784, 789 [attorney may not retain advance</w:t>
      </w:r>
      <w:r w:rsidR="00E1138B">
        <w:t>d</w:t>
      </w:r>
      <w:r>
        <w:t xml:space="preserve"> fees </w:t>
      </w:r>
      <w:r w:rsidR="00237DE8">
        <w:t xml:space="preserve">where </w:t>
      </w:r>
      <w:r>
        <w:t xml:space="preserve">services specified in fee agreement </w:t>
      </w:r>
      <w:r w:rsidR="00237DE8">
        <w:t xml:space="preserve">not performed </w:t>
      </w:r>
      <w:r>
        <w:t xml:space="preserve">even though “nonrefundable retainer”]; </w:t>
      </w:r>
      <w:r w:rsidRPr="00DB5A30">
        <w:t>In</w:t>
      </w:r>
      <w:r w:rsidRPr="002E3D3C">
        <w:rPr>
          <w:i/>
        </w:rPr>
        <w:t xml:space="preserve"> the Matter of </w:t>
      </w:r>
      <w:proofErr w:type="spellStart"/>
      <w:r w:rsidRPr="002E3D3C">
        <w:rPr>
          <w:i/>
        </w:rPr>
        <w:t>Gadda</w:t>
      </w:r>
      <w:proofErr w:type="spellEnd"/>
      <w:r>
        <w:t xml:space="preserve"> (Review Dept. 2002) 4 Cal. State Bar Ct. </w:t>
      </w:r>
      <w:proofErr w:type="spellStart"/>
      <w:r>
        <w:t>Rptr</w:t>
      </w:r>
      <w:proofErr w:type="spellEnd"/>
      <w:r w:rsidR="004A6BDF">
        <w:t>.</w:t>
      </w:r>
      <w:r>
        <w:t xml:space="preserve"> 416, </w:t>
      </w:r>
      <w:r w:rsidR="00340C19">
        <w:t>424</w:t>
      </w:r>
      <w:r>
        <w:t xml:space="preserve"> [attorney may not </w:t>
      </w:r>
      <w:r>
        <w:lastRenderedPageBreak/>
        <w:t>retain advance</w:t>
      </w:r>
      <w:r w:rsidR="002C6403">
        <w:t>d</w:t>
      </w:r>
      <w:r>
        <w:t xml:space="preserve"> fees </w:t>
      </w:r>
      <w:r w:rsidR="00682961">
        <w:t>if</w:t>
      </w:r>
      <w:r>
        <w:t xml:space="preserve"> minimal services </w:t>
      </w:r>
      <w:r w:rsidR="00682961">
        <w:t xml:space="preserve">performed </w:t>
      </w:r>
      <w:r w:rsidR="00340C19">
        <w:t xml:space="preserve">are </w:t>
      </w:r>
      <w:r>
        <w:t>of no value to client]</w:t>
      </w:r>
      <w:r w:rsidR="00DB5A30">
        <w:t xml:space="preserve">; </w:t>
      </w:r>
      <w:r w:rsidR="00DB5A30">
        <w:rPr>
          <w:i/>
        </w:rPr>
        <w:t xml:space="preserve">In the Matter of Phillips </w:t>
      </w:r>
      <w:r w:rsidR="00DB5A30">
        <w:t xml:space="preserve">(Review Dept. 2001) 4 Cal. State Bar Ct. </w:t>
      </w:r>
      <w:proofErr w:type="spellStart"/>
      <w:r w:rsidR="00DB5A30">
        <w:t>Rptr</w:t>
      </w:r>
      <w:proofErr w:type="spellEnd"/>
      <w:r w:rsidR="00DB5A30">
        <w:t>. 315, 332 [advance</w:t>
      </w:r>
      <w:r w:rsidR="002C6403">
        <w:t>d</w:t>
      </w:r>
      <w:r w:rsidR="00DB5A30">
        <w:t xml:space="preserve"> </w:t>
      </w:r>
      <w:r w:rsidR="009B2937">
        <w:t>fee not earned when paid but rather when contracted-for legal services are pe</w:t>
      </w:r>
      <w:r w:rsidR="00015A96">
        <w:t>r</w:t>
      </w:r>
      <w:r w:rsidR="009B2937">
        <w:t>formed]</w:t>
      </w:r>
      <w:r>
        <w:t xml:space="preserve">.)  </w:t>
      </w:r>
    </w:p>
    <w:p w:rsidR="00EC41C1" w:rsidRDefault="002C6403" w:rsidP="00C63D3F">
      <w:pPr>
        <w:ind w:firstLine="720"/>
      </w:pPr>
      <w:r>
        <w:t>E</w:t>
      </w:r>
      <w:r w:rsidR="00EC41C1" w:rsidRPr="006248F4">
        <w:t>ven</w:t>
      </w:r>
      <w:r w:rsidR="00EC41C1">
        <w:t xml:space="preserve"> if Harley</w:t>
      </w:r>
      <w:r w:rsidR="00EC41C1" w:rsidRPr="00E814DB">
        <w:t xml:space="preserve"> believed she was entitled to </w:t>
      </w:r>
      <w:r w:rsidR="00EC41C1">
        <w:t>some or all of the $1,500</w:t>
      </w:r>
      <w:r w:rsidR="00EC41C1" w:rsidRPr="00E814DB">
        <w:t xml:space="preserve"> for </w:t>
      </w:r>
      <w:r w:rsidR="00EC41C1">
        <w:t xml:space="preserve">drafting the motion, </w:t>
      </w:r>
      <w:r w:rsidR="00015A96">
        <w:t xml:space="preserve">she was required to take appropriate action </w:t>
      </w:r>
      <w:r w:rsidR="00EC41C1">
        <w:t>when Eagle disputed the fee</w:t>
      </w:r>
      <w:r w:rsidR="00682961">
        <w:t xml:space="preserve">.  </w:t>
      </w:r>
      <w:r w:rsidR="009B2937">
        <w:t>An attorney is not entitled to set fees unilaterally.  If a client contests</w:t>
      </w:r>
      <w:r w:rsidR="001206DC">
        <w:t xml:space="preserve"> the fee</w:t>
      </w:r>
      <w:r w:rsidR="009B2937">
        <w:t>, the disputed funds must be placed in a trust account until the conflict is resolved.</w:t>
      </w:r>
      <w:r w:rsidR="006832A8">
        <w:t xml:space="preserve">  (Rule 4-10</w:t>
      </w:r>
      <w:r w:rsidR="00EC41C1">
        <w:t xml:space="preserve">0(A); </w:t>
      </w:r>
      <w:r w:rsidR="00EC41C1">
        <w:rPr>
          <w:i/>
        </w:rPr>
        <w:t xml:space="preserve">In the Matter of </w:t>
      </w:r>
      <w:proofErr w:type="spellStart"/>
      <w:r w:rsidR="00EC41C1">
        <w:rPr>
          <w:i/>
        </w:rPr>
        <w:t>Fonte</w:t>
      </w:r>
      <w:proofErr w:type="spellEnd"/>
      <w:r w:rsidR="00EC41C1">
        <w:t xml:space="preserve"> (Review Dept. 1994) 2 Cal. </w:t>
      </w:r>
      <w:proofErr w:type="gramStart"/>
      <w:r w:rsidR="00EC41C1">
        <w:t>State</w:t>
      </w:r>
      <w:proofErr w:type="gramEnd"/>
      <w:r w:rsidR="00EC41C1">
        <w:t xml:space="preserve"> Bar. </w:t>
      </w:r>
      <w:proofErr w:type="gramStart"/>
      <w:r w:rsidR="00EC41C1">
        <w:t xml:space="preserve">Ct. </w:t>
      </w:r>
      <w:proofErr w:type="spellStart"/>
      <w:r w:rsidR="00EC41C1">
        <w:t>Rptr</w:t>
      </w:r>
      <w:proofErr w:type="spellEnd"/>
      <w:r w:rsidR="00EC41C1">
        <w:t>. 752,</w:t>
      </w:r>
      <w:r w:rsidR="009B2937">
        <w:t xml:space="preserve"> 758</w:t>
      </w:r>
      <w:r w:rsidR="00EC41C1">
        <w:t>.)</w:t>
      </w:r>
      <w:proofErr w:type="gramEnd"/>
      <w:r w:rsidR="00EC41C1">
        <w:t xml:space="preserve">  </w:t>
      </w:r>
      <w:r w:rsidR="00015A96">
        <w:t>She</w:t>
      </w:r>
      <w:r w:rsidR="00EC41C1">
        <w:t xml:space="preserve"> </w:t>
      </w:r>
      <w:r w:rsidR="00692863">
        <w:t xml:space="preserve">did not return the fees, place the money in trust or take affirmative </w:t>
      </w:r>
      <w:r w:rsidR="00EC41C1">
        <w:t xml:space="preserve">steps to resolve the </w:t>
      </w:r>
      <w:r w:rsidR="007E216A">
        <w:t xml:space="preserve">fee </w:t>
      </w:r>
      <w:r w:rsidR="00EC41C1">
        <w:t>dispute.  We therefore find Harley culpable of failing to promptly return unearned fees</w:t>
      </w:r>
      <w:r w:rsidR="00692863">
        <w:t xml:space="preserve"> in violation of rule 3-700(D</w:t>
      </w:r>
      <w:proofErr w:type="gramStart"/>
      <w:r w:rsidR="00692863">
        <w:t>)(</w:t>
      </w:r>
      <w:proofErr w:type="gramEnd"/>
      <w:r w:rsidR="00692863">
        <w:t>2).</w:t>
      </w:r>
      <w:r w:rsidR="00EC41C1">
        <w:t xml:space="preserve">   </w:t>
      </w:r>
      <w:r w:rsidR="00EC41C1" w:rsidRPr="00E814DB">
        <w:t xml:space="preserve"> </w:t>
      </w:r>
      <w:r w:rsidR="00EC41C1">
        <w:t xml:space="preserve"> </w:t>
      </w:r>
      <w:r w:rsidR="00EC41C1" w:rsidRPr="00E814DB">
        <w:t xml:space="preserve">  </w:t>
      </w:r>
    </w:p>
    <w:p w:rsidR="00EC41C1" w:rsidRPr="00E814DB" w:rsidRDefault="00EC41C1" w:rsidP="004332A9">
      <w:pPr>
        <w:ind w:firstLine="720"/>
        <w:rPr>
          <w:b/>
          <w:bCs/>
        </w:rPr>
      </w:pPr>
      <w:r w:rsidRPr="00E814DB">
        <w:rPr>
          <w:b/>
          <w:bCs/>
        </w:rPr>
        <w:t>Count 18 – Failure to Return Client File (Rule 3-700(D</w:t>
      </w:r>
      <w:proofErr w:type="gramStart"/>
      <w:r w:rsidRPr="00E814DB">
        <w:rPr>
          <w:b/>
          <w:bCs/>
        </w:rPr>
        <w:t>)(</w:t>
      </w:r>
      <w:proofErr w:type="gramEnd"/>
      <w:r w:rsidRPr="00E814DB">
        <w:rPr>
          <w:b/>
          <w:bCs/>
        </w:rPr>
        <w:t>1))</w:t>
      </w:r>
    </w:p>
    <w:p w:rsidR="00EC41C1" w:rsidRDefault="00EC41C1" w:rsidP="00E814DB">
      <w:r w:rsidRPr="00E814DB">
        <w:rPr>
          <w:b/>
          <w:bCs/>
        </w:rPr>
        <w:tab/>
      </w:r>
      <w:r>
        <w:rPr>
          <w:bCs/>
        </w:rPr>
        <w:t xml:space="preserve">Harley challenges the hearing judge’s culpability finding.  </w:t>
      </w:r>
      <w:r w:rsidRPr="00E814DB">
        <w:t xml:space="preserve">The State Bar alleged that Harley violated </w:t>
      </w:r>
      <w:r w:rsidR="00692863">
        <w:t xml:space="preserve">this </w:t>
      </w:r>
      <w:r w:rsidRPr="00E814DB">
        <w:t>rule</w:t>
      </w:r>
      <w:r w:rsidR="00692863">
        <w:t xml:space="preserve"> </w:t>
      </w:r>
      <w:r w:rsidRPr="00E814DB">
        <w:t xml:space="preserve">by failing to promptly return Eagle’s file upon termination of employment.  </w:t>
      </w:r>
      <w:r>
        <w:t xml:space="preserve">We agree.  </w:t>
      </w:r>
      <w:r w:rsidR="00692863">
        <w:t xml:space="preserve">An </w:t>
      </w:r>
      <w:r w:rsidRPr="00E814DB">
        <w:t xml:space="preserve">attorney whose employment has terminated </w:t>
      </w:r>
      <w:r w:rsidR="00692863">
        <w:t xml:space="preserve">is required </w:t>
      </w:r>
      <w:r w:rsidRPr="00E814DB">
        <w:t xml:space="preserve">to promptly release to a client, </w:t>
      </w:r>
      <w:r>
        <w:t xml:space="preserve">upon request, all </w:t>
      </w:r>
      <w:r w:rsidRPr="00E814DB">
        <w:t xml:space="preserve">papers and property.  Eagle terminated Harley’s employment on September 5, 2003, when he requested a refund.  </w:t>
      </w:r>
      <w:proofErr w:type="gramStart"/>
      <w:r w:rsidRPr="00E814DB">
        <w:t xml:space="preserve">(See </w:t>
      </w:r>
      <w:r w:rsidRPr="00E814DB">
        <w:rPr>
          <w:i/>
          <w:iCs/>
        </w:rPr>
        <w:t xml:space="preserve">Worthington v. </w:t>
      </w:r>
      <w:proofErr w:type="spellStart"/>
      <w:r w:rsidRPr="00E814DB">
        <w:rPr>
          <w:i/>
          <w:iCs/>
        </w:rPr>
        <w:t>Rusconi</w:t>
      </w:r>
      <w:proofErr w:type="spellEnd"/>
      <w:r w:rsidRPr="00E814DB">
        <w:rPr>
          <w:i/>
          <w:iCs/>
        </w:rPr>
        <w:t xml:space="preserve"> </w:t>
      </w:r>
      <w:r w:rsidR="006832A8">
        <w:t>(1994</w:t>
      </w:r>
      <w:r w:rsidRPr="00E814DB">
        <w:t xml:space="preserve">) 29 </w:t>
      </w:r>
      <w:proofErr w:type="spellStart"/>
      <w:r w:rsidRPr="00E814DB">
        <w:t>Cal.App.4</w:t>
      </w:r>
      <w:r w:rsidRPr="00E814DB">
        <w:rPr>
          <w:vertAlign w:val="superscript"/>
        </w:rPr>
        <w:t>th</w:t>
      </w:r>
      <w:proofErr w:type="spellEnd"/>
      <w:r w:rsidRPr="00E814DB">
        <w:t xml:space="preserve"> 1488, 1498 [continuity of attorney-client relationship depends on evidence of ongoing mutual relationship and acts in furtherance].)</w:t>
      </w:r>
      <w:proofErr w:type="gramEnd"/>
      <w:r w:rsidRPr="00E814DB">
        <w:t xml:space="preserve">  </w:t>
      </w:r>
      <w:r>
        <w:t>And al</w:t>
      </w:r>
      <w:r w:rsidRPr="00E814DB">
        <w:t xml:space="preserve">though </w:t>
      </w:r>
      <w:r>
        <w:t>Eagle</w:t>
      </w:r>
      <w:r w:rsidRPr="00E814DB">
        <w:t xml:space="preserve"> waited 20 months to </w:t>
      </w:r>
      <w:r>
        <w:t>ask for his file, this delay is not unreasonable.  Harley was obligated to release Eagle’s file upon his request.</w:t>
      </w:r>
    </w:p>
    <w:p w:rsidR="00EC41C1" w:rsidRPr="00E814DB" w:rsidRDefault="00EC41C1" w:rsidP="00E814DB">
      <w:pPr>
        <w:rPr>
          <w:b/>
          <w:bCs/>
        </w:rPr>
      </w:pPr>
      <w:r>
        <w:rPr>
          <w:b/>
          <w:bCs/>
        </w:rPr>
        <w:t>C.</w:t>
      </w:r>
      <w:r>
        <w:rPr>
          <w:b/>
          <w:bCs/>
        </w:rPr>
        <w:tab/>
      </w:r>
      <w:r w:rsidRPr="00E814DB">
        <w:rPr>
          <w:b/>
          <w:bCs/>
        </w:rPr>
        <w:t xml:space="preserve">THE CORTEZ </w:t>
      </w:r>
      <w:r w:rsidR="007349B7">
        <w:rPr>
          <w:b/>
          <w:bCs/>
        </w:rPr>
        <w:t>MATTER</w:t>
      </w:r>
      <w:r>
        <w:rPr>
          <w:b/>
          <w:bCs/>
        </w:rPr>
        <w:t xml:space="preserve"> </w:t>
      </w:r>
    </w:p>
    <w:p w:rsidR="00EC41C1" w:rsidRPr="00E814DB" w:rsidRDefault="00EC41C1" w:rsidP="00E814DB">
      <w:r w:rsidRPr="00E814DB">
        <w:rPr>
          <w:b/>
          <w:bCs/>
        </w:rPr>
        <w:tab/>
      </w:r>
      <w:r w:rsidR="007349B7">
        <w:rPr>
          <w:bCs/>
        </w:rPr>
        <w:t xml:space="preserve">In 2003, </w:t>
      </w:r>
      <w:r w:rsidRPr="00E814DB">
        <w:t>Harley represented Ralph Cortez</w:t>
      </w:r>
      <w:r>
        <w:t>,</w:t>
      </w:r>
      <w:r w:rsidRPr="00E814DB">
        <w:t xml:space="preserve"> who was charged with two counts of child molestation</w:t>
      </w:r>
      <w:r>
        <w:t xml:space="preserve">. </w:t>
      </w:r>
      <w:r w:rsidRPr="00E814DB">
        <w:t xml:space="preserve"> </w:t>
      </w:r>
      <w:r w:rsidR="007349B7">
        <w:t>B</w:t>
      </w:r>
      <w:r w:rsidRPr="00E814DB">
        <w:t xml:space="preserve">efore Cortez </w:t>
      </w:r>
      <w:r w:rsidR="007349B7">
        <w:t xml:space="preserve">entered his plea, </w:t>
      </w:r>
      <w:r w:rsidRPr="00E814DB">
        <w:t xml:space="preserve">Harley advised him about three sentencing issues:  (1) that he </w:t>
      </w:r>
      <w:r>
        <w:t>would receive</w:t>
      </w:r>
      <w:r w:rsidRPr="00E814DB">
        <w:t xml:space="preserve"> local</w:t>
      </w:r>
      <w:r w:rsidR="00421E65">
        <w:t>/</w:t>
      </w:r>
      <w:r w:rsidRPr="00E814DB">
        <w:t>county jail time</w:t>
      </w:r>
      <w:r>
        <w:t xml:space="preserve"> or he could withdraw his plea</w:t>
      </w:r>
      <w:r w:rsidRPr="00E814DB">
        <w:t xml:space="preserve">; (2) that he could </w:t>
      </w:r>
      <w:r w:rsidRPr="00E814DB">
        <w:lastRenderedPageBreak/>
        <w:t xml:space="preserve">have his felony convictions reduced to misdemeanors; and (3) that he could </w:t>
      </w:r>
      <w:r>
        <w:t xml:space="preserve">ask </w:t>
      </w:r>
      <w:r w:rsidRPr="00E814DB">
        <w:t>to be relieved of his obligation to register as a sex offender</w:t>
      </w:r>
      <w:r>
        <w:t xml:space="preserve"> after five years</w:t>
      </w:r>
      <w:r w:rsidRPr="00E814DB">
        <w:t xml:space="preserve">.  These statements were wrong.  </w:t>
      </w:r>
    </w:p>
    <w:p w:rsidR="00EC41C1" w:rsidRPr="00E814DB" w:rsidRDefault="00EC41C1" w:rsidP="00E814DB">
      <w:r w:rsidRPr="00E814DB">
        <w:tab/>
      </w:r>
      <w:proofErr w:type="gramStart"/>
      <w:r w:rsidRPr="00E814DB">
        <w:t xml:space="preserve">Two weeks </w:t>
      </w:r>
      <w:r w:rsidR="007349B7">
        <w:t>after the plea</w:t>
      </w:r>
      <w:r w:rsidRPr="00E814DB">
        <w:t xml:space="preserve">, Cortez surreptitiously tape-recorded a conversation </w:t>
      </w:r>
      <w:r w:rsidR="00421E65">
        <w:t>at Harley’s office in which</w:t>
      </w:r>
      <w:r>
        <w:t xml:space="preserve"> she</w:t>
      </w:r>
      <w:r w:rsidRPr="00E814DB">
        <w:t xml:space="preserve"> made statements corroborating Cortez’ claim that she </w:t>
      </w:r>
      <w:r>
        <w:t xml:space="preserve">had </w:t>
      </w:r>
      <w:r w:rsidRPr="00E814DB">
        <w:t>incorrectly advised him.</w:t>
      </w:r>
      <w:proofErr w:type="gramEnd"/>
      <w:r w:rsidRPr="00E814DB">
        <w:t xml:space="preserve">  Harley testified she </w:t>
      </w:r>
      <w:r>
        <w:t>did not recall</w:t>
      </w:r>
      <w:r w:rsidRPr="00E814DB">
        <w:t xml:space="preserve"> the pre-plea </w:t>
      </w:r>
      <w:r>
        <w:t xml:space="preserve">discussion and, having suffered an accident, </w:t>
      </w:r>
      <w:r w:rsidRPr="00E814DB">
        <w:t xml:space="preserve">was under the influence of </w:t>
      </w:r>
      <w:proofErr w:type="spellStart"/>
      <w:r w:rsidRPr="00E814DB">
        <w:t>Vicodin</w:t>
      </w:r>
      <w:proofErr w:type="spellEnd"/>
      <w:r>
        <w:t xml:space="preserve"> </w:t>
      </w:r>
      <w:r w:rsidRPr="00E814DB">
        <w:t>prescription pai</w:t>
      </w:r>
      <w:r>
        <w:t>n</w:t>
      </w:r>
      <w:r w:rsidRPr="00E814DB">
        <w:t>killer</w:t>
      </w:r>
      <w:r>
        <w:t>s</w:t>
      </w:r>
      <w:r w:rsidRPr="00E814DB">
        <w:t xml:space="preserve"> </w:t>
      </w:r>
      <w:r>
        <w:t xml:space="preserve">at the time of the </w:t>
      </w:r>
      <w:r w:rsidRPr="00E814DB">
        <w:t>recorded conversation.</w:t>
      </w:r>
      <w:r>
        <w:t xml:space="preserve"> </w:t>
      </w:r>
    </w:p>
    <w:p w:rsidR="00EC41C1" w:rsidRDefault="00EC41C1" w:rsidP="00E814DB">
      <w:r w:rsidRPr="00E814DB">
        <w:tab/>
      </w:r>
      <w:r w:rsidR="00421E65">
        <w:t>Based on</w:t>
      </w:r>
      <w:r w:rsidRPr="00E814DB">
        <w:t xml:space="preserve"> the recording, Cortez made a motion to withdraw his plea, which was granted.  The judge who </w:t>
      </w:r>
      <w:r w:rsidR="00D40CFF">
        <w:t>ruled on</w:t>
      </w:r>
      <w:r w:rsidR="00421E65">
        <w:t xml:space="preserve"> it</w:t>
      </w:r>
      <w:r w:rsidRPr="00E814DB">
        <w:t xml:space="preserve"> did not</w:t>
      </w:r>
      <w:r w:rsidR="00692863">
        <w:t xml:space="preserve"> make any finding</w:t>
      </w:r>
      <w:r w:rsidRPr="00E814DB">
        <w:t xml:space="preserve"> that Harley rendered ineffective assistance of counsel</w:t>
      </w:r>
      <w:r>
        <w:t xml:space="preserve"> and found Cortez</w:t>
      </w:r>
      <w:r w:rsidR="00EE4CF4">
        <w:t xml:space="preserve">’s </w:t>
      </w:r>
      <w:r>
        <w:t>testimony about the pre-plea conversation</w:t>
      </w:r>
      <w:r w:rsidR="00EE4CF4">
        <w:t xml:space="preserve"> only partially credible</w:t>
      </w:r>
      <w:r w:rsidR="002C6403">
        <w:t>.  But</w:t>
      </w:r>
      <w:r>
        <w:t xml:space="preserve"> the judge admitted the recording and found that Harley’s taped statements reiterated </w:t>
      </w:r>
      <w:r w:rsidR="001206DC">
        <w:t>her</w:t>
      </w:r>
      <w:r w:rsidR="00692863">
        <w:t xml:space="preserve"> incorrect statements to </w:t>
      </w:r>
      <w:r>
        <w:t xml:space="preserve">Cortez before the plea.  </w:t>
      </w:r>
      <w:r w:rsidRPr="00E814DB">
        <w:t xml:space="preserve">The judge concluded it would “be better for the system as </w:t>
      </w:r>
      <w:r>
        <w:t xml:space="preserve">a </w:t>
      </w:r>
      <w:r w:rsidRPr="00E814DB">
        <w:t>whole to start over with a clean slate.”  Cortez went to trial and was acquitted of all charges.</w:t>
      </w:r>
    </w:p>
    <w:p w:rsidR="00EC41C1" w:rsidRPr="00E814DB" w:rsidRDefault="00EC41C1" w:rsidP="00E814DB">
      <w:pPr>
        <w:rPr>
          <w:b/>
          <w:bCs/>
        </w:rPr>
      </w:pPr>
      <w:r w:rsidRPr="00E814DB">
        <w:tab/>
      </w:r>
      <w:r w:rsidRPr="00E814DB">
        <w:rPr>
          <w:b/>
          <w:bCs/>
        </w:rPr>
        <w:t>Count 10 – Failure to Perform with Competence (Rule 3-110(A))</w:t>
      </w:r>
    </w:p>
    <w:p w:rsidR="00692863" w:rsidRDefault="00EC41C1" w:rsidP="00E814DB">
      <w:r w:rsidRPr="00E814DB">
        <w:rPr>
          <w:b/>
          <w:bCs/>
        </w:rPr>
        <w:tab/>
      </w:r>
      <w:r>
        <w:rPr>
          <w:bCs/>
        </w:rPr>
        <w:t xml:space="preserve">Harley challenges the hearing judge’s culpability finding.  </w:t>
      </w:r>
      <w:r w:rsidRPr="00E814DB">
        <w:t xml:space="preserve">The State Bar alleged that Harley </w:t>
      </w:r>
      <w:r>
        <w:t>violated</w:t>
      </w:r>
      <w:r w:rsidRPr="00E814DB">
        <w:t xml:space="preserve"> rule 3-110(A) for giving Cortez false </w:t>
      </w:r>
      <w:r w:rsidR="007E216A">
        <w:t>and/or incomplete</w:t>
      </w:r>
      <w:r w:rsidRPr="00E814DB">
        <w:t xml:space="preserve"> information about the consequences of his plea. </w:t>
      </w:r>
      <w:r>
        <w:t xml:space="preserve"> </w:t>
      </w:r>
      <w:r w:rsidR="003015C6">
        <w:t xml:space="preserve">We agree.  </w:t>
      </w:r>
      <w:r>
        <w:t>While t</w:t>
      </w:r>
      <w:r w:rsidRPr="00E814DB">
        <w:t>his rule applies to attorneys</w:t>
      </w:r>
      <w:r w:rsidR="005641A5">
        <w:t>’ duty to</w:t>
      </w:r>
      <w:r w:rsidRPr="00E814DB">
        <w:t xml:space="preserve"> communicate correct legal advice to their clients, negligent legal representation does not </w:t>
      </w:r>
      <w:r>
        <w:t xml:space="preserve">necessarily </w:t>
      </w:r>
      <w:r w:rsidRPr="00E814DB">
        <w:t>establish a violation</w:t>
      </w:r>
      <w:r w:rsidR="00692863">
        <w:t>.</w:t>
      </w:r>
      <w:r w:rsidRPr="00E814DB">
        <w:t xml:space="preserve"> </w:t>
      </w:r>
      <w:r w:rsidR="00015A96">
        <w:t xml:space="preserve"> </w:t>
      </w:r>
      <w:r w:rsidRPr="00E814DB">
        <w:t>(</w:t>
      </w:r>
      <w:r>
        <w:t xml:space="preserve">See </w:t>
      </w:r>
      <w:r w:rsidRPr="00E814DB">
        <w:rPr>
          <w:i/>
          <w:iCs/>
        </w:rPr>
        <w:t>In the Matter of Torres</w:t>
      </w:r>
      <w:r w:rsidRPr="00E814DB">
        <w:t xml:space="preserve"> (Review Dept. 2000) 4 Cal. State Bar Ct. </w:t>
      </w:r>
      <w:proofErr w:type="spellStart"/>
      <w:r w:rsidRPr="00E814DB">
        <w:t>Rptr</w:t>
      </w:r>
      <w:proofErr w:type="spellEnd"/>
      <w:r w:rsidRPr="00E814DB">
        <w:t xml:space="preserve">. 138, 149.) </w:t>
      </w:r>
      <w:r w:rsidR="00692863">
        <w:t xml:space="preserve"> </w:t>
      </w:r>
      <w:r w:rsidR="00B4368B">
        <w:t xml:space="preserve">As detailed below, </w:t>
      </w:r>
      <w:r w:rsidR="005641A5">
        <w:t xml:space="preserve">however, </w:t>
      </w:r>
      <w:r w:rsidR="003015C6">
        <w:t>we find that Harley’s pre-plea advice to Cortez goes beyond negligence and constitutes reckless failure to competently perform.</w:t>
      </w:r>
      <w:r w:rsidRPr="00E814DB">
        <w:t xml:space="preserve">  </w:t>
      </w:r>
    </w:p>
    <w:p w:rsidR="00EC41C1" w:rsidRPr="00E814DB" w:rsidRDefault="00692863" w:rsidP="00E814DB">
      <w:r>
        <w:tab/>
      </w:r>
      <w:r w:rsidR="007349B7">
        <w:t>At the time of the plea,</w:t>
      </w:r>
      <w:r>
        <w:t xml:space="preserve"> Harley was an experienced </w:t>
      </w:r>
      <w:r w:rsidR="00EC41C1">
        <w:t xml:space="preserve">criminal defense attorney who </w:t>
      </w:r>
      <w:r w:rsidR="006832A8">
        <w:t>was</w:t>
      </w:r>
      <w:r w:rsidR="00EC41C1">
        <w:t xml:space="preserve"> familiar with sexual assault cases.  Although </w:t>
      </w:r>
      <w:r w:rsidR="00EF67FF">
        <w:t>she</w:t>
      </w:r>
      <w:r>
        <w:t xml:space="preserve"> contends she does not </w:t>
      </w:r>
      <w:r w:rsidR="00EC41C1">
        <w:t>remember</w:t>
      </w:r>
      <w:r w:rsidR="00EC41C1" w:rsidRPr="00E814DB">
        <w:t xml:space="preserve"> her </w:t>
      </w:r>
      <w:r w:rsidR="00EC41C1">
        <w:t xml:space="preserve">pre-plea </w:t>
      </w:r>
      <w:r w:rsidR="003015C6">
        <w:lastRenderedPageBreak/>
        <w:t>conversations</w:t>
      </w:r>
      <w:r w:rsidR="007349B7">
        <w:t xml:space="preserve"> with Cortez, </w:t>
      </w:r>
      <w:r w:rsidR="003015C6">
        <w:t>such attorney-client discussions in a criminal</w:t>
      </w:r>
      <w:r w:rsidR="00EC41C1">
        <w:t xml:space="preserve"> case must necessarily relate to fundamental sentencing issues.  </w:t>
      </w:r>
      <w:r w:rsidR="00EC41C1" w:rsidRPr="00E814DB">
        <w:t xml:space="preserve">And </w:t>
      </w:r>
      <w:r w:rsidR="003015C6">
        <w:t xml:space="preserve">Harley’s </w:t>
      </w:r>
      <w:r w:rsidR="00EC41C1" w:rsidRPr="00E814DB">
        <w:t>incorrect advi</w:t>
      </w:r>
      <w:r w:rsidR="008C6869">
        <w:t>ce</w:t>
      </w:r>
      <w:r w:rsidR="00EC41C1" w:rsidRPr="00E814DB">
        <w:t xml:space="preserve"> </w:t>
      </w:r>
      <w:r w:rsidR="003015C6">
        <w:t xml:space="preserve">to Cortez </w:t>
      </w:r>
      <w:r w:rsidR="00EC41C1" w:rsidRPr="00E814DB">
        <w:t xml:space="preserve">had a critical adverse impact on </w:t>
      </w:r>
      <w:r w:rsidR="003015C6">
        <w:t>him</w:t>
      </w:r>
      <w:r w:rsidR="00EC41C1" w:rsidRPr="00E814DB">
        <w:t xml:space="preserve"> since he relied on </w:t>
      </w:r>
      <w:r w:rsidR="008C6869">
        <w:t>i</w:t>
      </w:r>
      <w:r w:rsidR="00EC41C1" w:rsidRPr="00E814DB">
        <w:t xml:space="preserve">t to </w:t>
      </w:r>
      <w:r w:rsidR="00EC41C1">
        <w:t xml:space="preserve">decide whether </w:t>
      </w:r>
      <w:r w:rsidR="00EC41C1" w:rsidRPr="00E814DB">
        <w:t xml:space="preserve">or not to </w:t>
      </w:r>
      <w:r w:rsidR="00EC41C1">
        <w:t xml:space="preserve">plead </w:t>
      </w:r>
      <w:r w:rsidR="008C6869">
        <w:t xml:space="preserve">guilty </w:t>
      </w:r>
      <w:r w:rsidR="00EC41C1">
        <w:t>to</w:t>
      </w:r>
      <w:r w:rsidR="008C6869">
        <w:t>,</w:t>
      </w:r>
      <w:r w:rsidR="00EC41C1">
        <w:t xml:space="preserve"> and </w:t>
      </w:r>
      <w:r w:rsidR="00EC41C1" w:rsidRPr="00E814DB">
        <w:t>be sentenced on</w:t>
      </w:r>
      <w:r w:rsidR="008C6869">
        <w:t>,</w:t>
      </w:r>
      <w:r w:rsidR="00EC41C1" w:rsidRPr="00E814DB">
        <w:t xml:space="preserve"> child molestation charges.  </w:t>
      </w:r>
      <w:proofErr w:type="gramStart"/>
      <w:r w:rsidR="00EC41C1" w:rsidRPr="00E814DB">
        <w:t xml:space="preserve">(Cf. </w:t>
      </w:r>
      <w:r w:rsidR="00EC41C1" w:rsidRPr="00E814DB">
        <w:rPr>
          <w:i/>
          <w:iCs/>
        </w:rPr>
        <w:t>In the Matter of Riley</w:t>
      </w:r>
      <w:r w:rsidR="00EC41C1" w:rsidRPr="00E814DB">
        <w:t xml:space="preserve"> (Review Dept. 1994) 3 Cal. State Bar Ct. </w:t>
      </w:r>
      <w:proofErr w:type="spellStart"/>
      <w:r w:rsidR="00EC41C1" w:rsidRPr="00E814DB">
        <w:t>Rptr</w:t>
      </w:r>
      <w:proofErr w:type="spellEnd"/>
      <w:r w:rsidR="00EC41C1" w:rsidRPr="00E814DB">
        <w:t>. 91, 112 [attorney violated rule 3-110(A) by failing to pay medical liens</w:t>
      </w:r>
      <w:r w:rsidR="008C6869">
        <w:t>,</w:t>
      </w:r>
      <w:r w:rsidR="00EC41C1" w:rsidRPr="00E814DB">
        <w:t xml:space="preserve"> </w:t>
      </w:r>
      <w:r w:rsidR="008C6869">
        <w:t>resulting in</w:t>
      </w:r>
      <w:r w:rsidR="00EC41C1" w:rsidRPr="00E814DB">
        <w:t xml:space="preserve"> “an adverse impact</w:t>
      </w:r>
      <w:r w:rsidR="00EC41C1">
        <w:t xml:space="preserve"> </w:t>
      </w:r>
      <w:r w:rsidR="00EC41C1" w:rsidRPr="00E814DB">
        <w:t xml:space="preserve">on the client, because it exposes the client to collection efforts by </w:t>
      </w:r>
      <w:proofErr w:type="spellStart"/>
      <w:r w:rsidR="00EC41C1" w:rsidRPr="00E814DB">
        <w:t>lienholder</w:t>
      </w:r>
      <w:proofErr w:type="spellEnd"/>
      <w:r w:rsidR="00EC41C1" w:rsidRPr="00E814DB">
        <w:t>”].)</w:t>
      </w:r>
      <w:proofErr w:type="gramEnd"/>
      <w:r w:rsidR="00EC41C1" w:rsidRPr="00E814DB">
        <w:t xml:space="preserve">  </w:t>
      </w:r>
      <w:r w:rsidR="006832A8">
        <w:t xml:space="preserve">Harley was clearly aware that accurate pre-plea advice is essential because she had previously misadvised </w:t>
      </w:r>
      <w:proofErr w:type="spellStart"/>
      <w:r w:rsidR="006832A8">
        <w:t>Dragos</w:t>
      </w:r>
      <w:proofErr w:type="spellEnd"/>
      <w:r w:rsidR="006832A8">
        <w:t xml:space="preserve"> about </w:t>
      </w:r>
      <w:r w:rsidR="002C6403">
        <w:t>his</w:t>
      </w:r>
      <w:r w:rsidR="006832A8">
        <w:t xml:space="preserve"> sentence in a sexual assault case.  </w:t>
      </w:r>
      <w:r w:rsidR="00EC41C1" w:rsidRPr="00E814DB">
        <w:t xml:space="preserve">We </w:t>
      </w:r>
      <w:r w:rsidR="00EC41C1">
        <w:t xml:space="preserve">conclude that Harley is culpable </w:t>
      </w:r>
      <w:r w:rsidR="008C6869">
        <w:t>o</w:t>
      </w:r>
      <w:r w:rsidR="00EC41C1">
        <w:t xml:space="preserve">f failing to </w:t>
      </w:r>
      <w:r w:rsidR="00EC41C1" w:rsidRPr="00E814DB">
        <w:t xml:space="preserve">correctly advise Cortez in an area of law that </w:t>
      </w:r>
      <w:r w:rsidR="00EC41C1">
        <w:t>should have been</w:t>
      </w:r>
      <w:r w:rsidR="006832A8">
        <w:t xml:space="preserve"> well </w:t>
      </w:r>
      <w:r w:rsidR="00EC41C1" w:rsidRPr="00E814DB">
        <w:t xml:space="preserve">known to her and where </w:t>
      </w:r>
      <w:r w:rsidR="006832A8">
        <w:t xml:space="preserve">she knew that </w:t>
      </w:r>
      <w:r w:rsidR="00EC41C1" w:rsidRPr="00E814DB">
        <w:t xml:space="preserve">the consequences of her error could have a severe effect on </w:t>
      </w:r>
      <w:r w:rsidR="00EC41C1">
        <w:t>her</w:t>
      </w:r>
      <w:r w:rsidR="00EC41C1" w:rsidRPr="00E814DB">
        <w:t xml:space="preserve"> client.  </w:t>
      </w:r>
    </w:p>
    <w:p w:rsidR="007610DB" w:rsidRDefault="00EC41C1" w:rsidP="006816E5">
      <w:r w:rsidRPr="00E814DB">
        <w:tab/>
        <w:t xml:space="preserve">We reject Harley’s argument that the only competent evidence about </w:t>
      </w:r>
      <w:r w:rsidR="00D40CFF">
        <w:t>her</w:t>
      </w:r>
      <w:r w:rsidRPr="00E814DB">
        <w:t xml:space="preserve"> advi</w:t>
      </w:r>
      <w:r w:rsidR="00D40CFF">
        <w:t>ce</w:t>
      </w:r>
      <w:r w:rsidRPr="00E814DB">
        <w:t xml:space="preserve"> came from </w:t>
      </w:r>
      <w:r w:rsidR="00EF67FF">
        <w:t>herself</w:t>
      </w:r>
      <w:r w:rsidRPr="00E814DB">
        <w:t xml:space="preserve"> and </w:t>
      </w:r>
      <w:r>
        <w:t>t</w:t>
      </w:r>
      <w:r w:rsidRPr="00E814DB">
        <w:t xml:space="preserve">he </w:t>
      </w:r>
      <w:r>
        <w:t xml:space="preserve">superior court judge who </w:t>
      </w:r>
      <w:r w:rsidR="00D40CFF">
        <w:t>granted</w:t>
      </w:r>
      <w:r>
        <w:t xml:space="preserve"> the motion to withdraw the plea</w:t>
      </w:r>
      <w:r w:rsidRPr="00E814DB">
        <w:t xml:space="preserve">.  </w:t>
      </w:r>
      <w:r w:rsidR="00D40CFF">
        <w:t>Harley</w:t>
      </w:r>
      <w:r>
        <w:t xml:space="preserve"> contends that the tape-recording was illegal and that Cortez’s declaration in support of his motion lacked credibility.  The judge found some of Cortez’s testimony to be credible but did not specify which portion he believed.  </w:t>
      </w:r>
      <w:r w:rsidRPr="00E814DB">
        <w:t xml:space="preserve">Cortez’s declaration </w:t>
      </w:r>
      <w:r>
        <w:t xml:space="preserve">was admitted in the present proceedings without objection, and </w:t>
      </w:r>
      <w:r w:rsidR="00FA1BEE">
        <w:t>claimed</w:t>
      </w:r>
      <w:r>
        <w:t xml:space="preserve"> </w:t>
      </w:r>
      <w:r w:rsidRPr="00E814DB">
        <w:t xml:space="preserve">that </w:t>
      </w:r>
      <w:r>
        <w:t>Harley</w:t>
      </w:r>
      <w:r w:rsidRPr="00E814DB">
        <w:t xml:space="preserve"> “convinced him to change his plea” based on </w:t>
      </w:r>
      <w:r>
        <w:t xml:space="preserve">her incorrect advice.  Since Harley does not remember the pre-plea conversation and the hearing judge found culpability on this charge, we conclude </w:t>
      </w:r>
      <w:r w:rsidR="00FA1BEE">
        <w:t xml:space="preserve">that </w:t>
      </w:r>
      <w:r>
        <w:t>the Cortez declaration was credible and adequate to prove the violation.  We therefore do not consider the tape-recording.</w:t>
      </w:r>
      <w:r w:rsidRPr="00E814DB">
        <w:rPr>
          <w:vertAlign w:val="superscript"/>
        </w:rPr>
        <w:footnoteReference w:id="4"/>
      </w:r>
      <w:r w:rsidRPr="00E814DB">
        <w:t xml:space="preserve">     </w:t>
      </w:r>
    </w:p>
    <w:p w:rsidR="007610DB" w:rsidRDefault="007610DB">
      <w:pPr>
        <w:spacing w:line="240" w:lineRule="auto"/>
      </w:pPr>
      <w:r>
        <w:br w:type="page"/>
      </w:r>
    </w:p>
    <w:p w:rsidR="00EC41C1" w:rsidRPr="00E814DB" w:rsidRDefault="00EC41C1" w:rsidP="00E814DB">
      <w:pPr>
        <w:rPr>
          <w:b/>
          <w:bCs/>
        </w:rPr>
      </w:pPr>
      <w:r w:rsidRPr="00E814DB">
        <w:rPr>
          <w:b/>
          <w:bCs/>
        </w:rPr>
        <w:lastRenderedPageBreak/>
        <w:t>D.</w:t>
      </w:r>
      <w:r>
        <w:tab/>
      </w:r>
      <w:r w:rsidRPr="00E814DB">
        <w:rPr>
          <w:b/>
          <w:bCs/>
        </w:rPr>
        <w:t xml:space="preserve">THE UPTON </w:t>
      </w:r>
      <w:r w:rsidR="003015C6">
        <w:rPr>
          <w:b/>
          <w:bCs/>
        </w:rPr>
        <w:t>MATTER</w:t>
      </w:r>
      <w:r>
        <w:rPr>
          <w:bCs/>
        </w:rPr>
        <w:t xml:space="preserve"> </w:t>
      </w:r>
    </w:p>
    <w:p w:rsidR="00EC41C1" w:rsidRDefault="00EC41C1" w:rsidP="00B62426">
      <w:r w:rsidRPr="00E814DB">
        <w:rPr>
          <w:b/>
          <w:bCs/>
        </w:rPr>
        <w:tab/>
      </w:r>
      <w:r w:rsidRPr="00E814DB">
        <w:t xml:space="preserve">Andrew Upton was </w:t>
      </w:r>
      <w:r>
        <w:t xml:space="preserve">serving a sentence in state prison for </w:t>
      </w:r>
      <w:r w:rsidRPr="00E814DB">
        <w:t>child molestation</w:t>
      </w:r>
      <w:r>
        <w:t xml:space="preserve"> convictions when his family hired Harley to </w:t>
      </w:r>
      <w:r w:rsidRPr="00E814DB">
        <w:t xml:space="preserve">substitute in for other counsel on </w:t>
      </w:r>
      <w:r>
        <w:t>his appeal</w:t>
      </w:r>
      <w:r w:rsidRPr="00E814DB">
        <w:t xml:space="preserve"> and to file a habeas corpus petition.  </w:t>
      </w:r>
      <w:r>
        <w:t xml:space="preserve">In October 2003, </w:t>
      </w:r>
      <w:r w:rsidRPr="00E814DB">
        <w:t xml:space="preserve">Upton’s father executed the fee agreement on </w:t>
      </w:r>
      <w:r>
        <w:t xml:space="preserve">his son’s </w:t>
      </w:r>
      <w:r w:rsidRPr="00E814DB">
        <w:t>behalf.  Harley substitu</w:t>
      </w:r>
      <w:r>
        <w:t xml:space="preserve">ted in as counsel in the appeal and </w:t>
      </w:r>
      <w:r w:rsidRPr="00E814DB">
        <w:t xml:space="preserve">submitted an opening brief, but </w:t>
      </w:r>
      <w:r w:rsidR="00692863">
        <w:t>decided</w:t>
      </w:r>
      <w:r w:rsidRPr="00E814DB">
        <w:t xml:space="preserve"> not </w:t>
      </w:r>
      <w:r w:rsidR="003015C6">
        <w:t xml:space="preserve">to </w:t>
      </w:r>
      <w:r w:rsidRPr="00E814DB">
        <w:t xml:space="preserve">file a reply brief or request oral argument.  The </w:t>
      </w:r>
      <w:r>
        <w:t>C</w:t>
      </w:r>
      <w:r w:rsidRPr="00E814DB">
        <w:t xml:space="preserve">ourt of </w:t>
      </w:r>
      <w:r>
        <w:t>A</w:t>
      </w:r>
      <w:r w:rsidRPr="00E814DB">
        <w:t>pp</w:t>
      </w:r>
      <w:r>
        <w:t xml:space="preserve">eal affirmed Upton’s conviction.  Harley then </w:t>
      </w:r>
      <w:r w:rsidR="00692863">
        <w:t xml:space="preserve">filed </w:t>
      </w:r>
      <w:r>
        <w:t xml:space="preserve">two separate writs </w:t>
      </w:r>
      <w:r w:rsidRPr="00E814DB">
        <w:t xml:space="preserve">of habeas </w:t>
      </w:r>
      <w:r>
        <w:t xml:space="preserve">corpus, which were </w:t>
      </w:r>
      <w:r w:rsidRPr="00E814DB">
        <w:t xml:space="preserve">denied.  </w:t>
      </w:r>
    </w:p>
    <w:p w:rsidR="00EC41C1" w:rsidRPr="00E814DB" w:rsidRDefault="00EC41C1" w:rsidP="002706A8">
      <w:pPr>
        <w:ind w:firstLine="720"/>
      </w:pPr>
      <w:r>
        <w:t xml:space="preserve">Harley did not </w:t>
      </w:r>
      <w:r w:rsidRPr="00E814DB">
        <w:t>keep Upton</w:t>
      </w:r>
      <w:r>
        <w:t xml:space="preserve"> </w:t>
      </w:r>
      <w:r w:rsidRPr="00E814DB">
        <w:t>infor</w:t>
      </w:r>
      <w:r>
        <w:t>med about the status of his case.  She</w:t>
      </w:r>
      <w:r w:rsidRPr="00E814DB">
        <w:t xml:space="preserve"> </w:t>
      </w:r>
      <w:r>
        <w:t>failed to</w:t>
      </w:r>
      <w:r w:rsidRPr="00E814DB">
        <w:t xml:space="preserve"> respond to </w:t>
      </w:r>
      <w:r w:rsidR="001B1E1B">
        <w:t>his</w:t>
      </w:r>
      <w:r w:rsidRPr="00E814DB">
        <w:t xml:space="preserve"> nine letters </w:t>
      </w:r>
      <w:r>
        <w:t>requesting an update</w:t>
      </w:r>
      <w:r w:rsidRPr="00E814DB">
        <w:t>.</w:t>
      </w:r>
      <w:r>
        <w:t xml:space="preserve">  In fact, he had to communicate directly with the appellate court to obtain information about his case.</w:t>
      </w:r>
      <w:r w:rsidRPr="00E814DB">
        <w:t xml:space="preserve">  </w:t>
      </w:r>
      <w:r>
        <w:t xml:space="preserve">And Harley did not contact Upton even after his family and their attorney also </w:t>
      </w:r>
      <w:r w:rsidR="001B1E1B">
        <w:t>made status inquiries</w:t>
      </w:r>
      <w:r>
        <w:t>.</w:t>
      </w:r>
      <w:r>
        <w:tab/>
      </w:r>
      <w:r w:rsidRPr="00E814DB">
        <w:t xml:space="preserve"> </w:t>
      </w:r>
    </w:p>
    <w:p w:rsidR="00EC41C1" w:rsidRDefault="00EC41C1" w:rsidP="002706A8">
      <w:pPr>
        <w:ind w:firstLine="720"/>
      </w:pPr>
      <w:r w:rsidRPr="00E814DB">
        <w:t xml:space="preserve">Harley </w:t>
      </w:r>
      <w:r>
        <w:t xml:space="preserve">admitted </w:t>
      </w:r>
      <w:r w:rsidRPr="00E814DB">
        <w:t xml:space="preserve">that she stopped communicating with Upton but claimed it was after </w:t>
      </w:r>
      <w:r>
        <w:t xml:space="preserve">she had completed </w:t>
      </w:r>
      <w:r w:rsidRPr="00E814DB">
        <w:t xml:space="preserve">the actual work of </w:t>
      </w:r>
      <w:r>
        <w:t>his</w:t>
      </w:r>
      <w:r w:rsidRPr="00E814DB">
        <w:t xml:space="preserve"> representation.  She said that Upton had become abusive and she had grown “very weary of speaking to him” on the </w:t>
      </w:r>
      <w:r>
        <w:t>tele</w:t>
      </w:r>
      <w:r w:rsidRPr="00E814DB">
        <w:t xml:space="preserve">phone.  Harley also conceded that she </w:t>
      </w:r>
      <w:r w:rsidR="00B4368B">
        <w:t>was wrong not to notify</w:t>
      </w:r>
      <w:r>
        <w:t xml:space="preserve"> U</w:t>
      </w:r>
      <w:r w:rsidR="00692863">
        <w:t xml:space="preserve">pton </w:t>
      </w:r>
      <w:r w:rsidR="00B4368B">
        <w:t>that</w:t>
      </w:r>
      <w:r w:rsidR="00692863">
        <w:t xml:space="preserve"> his </w:t>
      </w:r>
      <w:r>
        <w:t>habeas corpus petition</w:t>
      </w:r>
      <w:r w:rsidR="00692863">
        <w:t>s</w:t>
      </w:r>
      <w:r w:rsidR="00B4368B">
        <w:t xml:space="preserve"> had been denied</w:t>
      </w:r>
      <w:r>
        <w:t>.</w:t>
      </w:r>
      <w:r w:rsidRPr="00E814DB">
        <w:t xml:space="preserve">   </w:t>
      </w:r>
    </w:p>
    <w:p w:rsidR="00EC41C1" w:rsidRPr="00E814DB" w:rsidRDefault="00EC41C1" w:rsidP="00E814DB">
      <w:pPr>
        <w:rPr>
          <w:b/>
          <w:bCs/>
        </w:rPr>
      </w:pPr>
      <w:r w:rsidRPr="00E814DB">
        <w:rPr>
          <w:b/>
          <w:bCs/>
        </w:rPr>
        <w:tab/>
      </w:r>
      <w:proofErr w:type="gramStart"/>
      <w:r w:rsidRPr="00E814DB">
        <w:rPr>
          <w:b/>
          <w:bCs/>
        </w:rPr>
        <w:t>Count 13 – Failure to C</w:t>
      </w:r>
      <w:r>
        <w:rPr>
          <w:b/>
          <w:bCs/>
        </w:rPr>
        <w:t>ommunicate (</w:t>
      </w:r>
      <w:r w:rsidR="006832A8">
        <w:rPr>
          <w:b/>
          <w:bCs/>
        </w:rPr>
        <w:t xml:space="preserve">§ 6068, </w:t>
      </w:r>
      <w:proofErr w:type="spellStart"/>
      <w:r w:rsidR="006832A8">
        <w:rPr>
          <w:b/>
          <w:bCs/>
        </w:rPr>
        <w:t>s</w:t>
      </w:r>
      <w:r>
        <w:rPr>
          <w:b/>
          <w:bCs/>
        </w:rPr>
        <w:t>ubd</w:t>
      </w:r>
      <w:proofErr w:type="spellEnd"/>
      <w:r>
        <w:rPr>
          <w:b/>
          <w:bCs/>
        </w:rPr>
        <w:t>.</w:t>
      </w:r>
      <w:proofErr w:type="gramEnd"/>
      <w:r>
        <w:rPr>
          <w:b/>
          <w:bCs/>
        </w:rPr>
        <w:t xml:space="preserve"> </w:t>
      </w:r>
      <w:r w:rsidRPr="00E814DB">
        <w:rPr>
          <w:b/>
          <w:bCs/>
        </w:rPr>
        <w:t>(m))</w:t>
      </w:r>
    </w:p>
    <w:p w:rsidR="00EC41C1" w:rsidRDefault="00EC41C1" w:rsidP="00E814DB">
      <w:r w:rsidRPr="00E814DB">
        <w:rPr>
          <w:b/>
          <w:bCs/>
        </w:rPr>
        <w:tab/>
      </w:r>
      <w:r>
        <w:rPr>
          <w:bCs/>
        </w:rPr>
        <w:t xml:space="preserve">Harley challenges the hearing judge’s culpability finding.  </w:t>
      </w:r>
      <w:r w:rsidRPr="00E814DB">
        <w:t>Section 6068, subdivision (m) provides that an attorney must “respond promptly to reasonable status inquiries</w:t>
      </w:r>
      <w:r w:rsidR="006832A8">
        <w:t xml:space="preserve"> of clients</w:t>
      </w:r>
      <w:r w:rsidRPr="00E814DB">
        <w:t xml:space="preserve"> and to keep clients reasonably informed of significant developments in matters with regard to which the attorney has agreed to provide legal services.”  The St</w:t>
      </w:r>
      <w:r w:rsidR="00A67728">
        <w:t>ate Bar alleged that Harley did not keep Upton informed of significant developments b</w:t>
      </w:r>
      <w:r w:rsidR="003015C6">
        <w:t xml:space="preserve">ecause she failed </w:t>
      </w:r>
      <w:r w:rsidR="00A67728">
        <w:t xml:space="preserve">to </w:t>
      </w:r>
      <w:r w:rsidRPr="00E814DB">
        <w:t>respond to Upton’s letters, to communicate with him about his case, and to discuss her decision</w:t>
      </w:r>
      <w:r w:rsidR="00A67728">
        <w:t>s</w:t>
      </w:r>
      <w:r w:rsidRPr="00E814DB">
        <w:t xml:space="preserve"> not to file a rebuttal brief and </w:t>
      </w:r>
      <w:r w:rsidR="001B1E1B">
        <w:t xml:space="preserve">to </w:t>
      </w:r>
      <w:r w:rsidRPr="00E814DB">
        <w:t xml:space="preserve">waive oral argument in the appeal.  </w:t>
      </w:r>
    </w:p>
    <w:p w:rsidR="00EC41C1" w:rsidRDefault="00EC41C1" w:rsidP="00172A84">
      <w:pPr>
        <w:ind w:firstLine="720"/>
        <w:rPr>
          <w:vertAlign w:val="superscript"/>
        </w:rPr>
      </w:pPr>
      <w:r>
        <w:lastRenderedPageBreak/>
        <w:t xml:space="preserve">We find that </w:t>
      </w:r>
      <w:r w:rsidRPr="00E814DB">
        <w:t>Harle</w:t>
      </w:r>
      <w:r w:rsidR="00B4368B">
        <w:t xml:space="preserve">y did not keep Upton </w:t>
      </w:r>
      <w:r w:rsidRPr="00E814DB">
        <w:t>apprised of his case and failed to respond to his inquiries.</w:t>
      </w:r>
      <w:r w:rsidRPr="00E814DB">
        <w:rPr>
          <w:b/>
          <w:bCs/>
          <w:vertAlign w:val="superscript"/>
        </w:rPr>
        <w:t xml:space="preserve">  </w:t>
      </w:r>
      <w:r w:rsidRPr="00E814DB">
        <w:t xml:space="preserve">Upton </w:t>
      </w:r>
      <w:r>
        <w:t>repeatedly</w:t>
      </w:r>
      <w:r w:rsidRPr="00E814DB">
        <w:t xml:space="preserve"> called </w:t>
      </w:r>
      <w:r w:rsidR="001B1E1B">
        <w:t>her</w:t>
      </w:r>
      <w:r w:rsidRPr="00E814DB">
        <w:t xml:space="preserve"> office </w:t>
      </w:r>
      <w:r>
        <w:t xml:space="preserve">from state prison </w:t>
      </w:r>
      <w:r w:rsidRPr="00E814DB">
        <w:t xml:space="preserve">but was able to speak to someone only half of the time.  In </w:t>
      </w:r>
      <w:r>
        <w:t>his</w:t>
      </w:r>
      <w:r w:rsidRPr="00E814DB">
        <w:t xml:space="preserve"> letters, he asked why Harley did not attend oral argument on the appeal, why no reply brief was filed and why no habeas petition was filed by a certain date.  The letters reflect Upton’s increasing frustration with</w:t>
      </w:r>
      <w:r>
        <w:t xml:space="preserve"> Harley’s lack of communication, and</w:t>
      </w:r>
      <w:r w:rsidRPr="00E814DB">
        <w:t xml:space="preserve"> demonstrate that </w:t>
      </w:r>
      <w:r>
        <w:t>he</w:t>
      </w:r>
      <w:r w:rsidRPr="00E814DB">
        <w:t xml:space="preserve"> repeatedly asked the same questions.  (</w:t>
      </w:r>
      <w:r w:rsidRPr="00E814DB">
        <w:rPr>
          <w:i/>
          <w:iCs/>
        </w:rPr>
        <w:t>In the Matter of Regan</w:t>
      </w:r>
      <w:r w:rsidRPr="00E814DB">
        <w:t xml:space="preserve"> (Review Dept. 2005) 4 Cal. State Bar Ct. </w:t>
      </w:r>
      <w:proofErr w:type="spellStart"/>
      <w:r w:rsidRPr="00E814DB">
        <w:t>Rptr</w:t>
      </w:r>
      <w:proofErr w:type="spellEnd"/>
      <w:r w:rsidRPr="00E814DB">
        <w:t xml:space="preserve">. 844, 855 [respondent violated </w:t>
      </w:r>
      <w:r>
        <w:t>§</w:t>
      </w:r>
      <w:r w:rsidRPr="00E814DB">
        <w:t xml:space="preserve"> 6068, </w:t>
      </w:r>
      <w:proofErr w:type="spellStart"/>
      <w:r w:rsidRPr="00E814DB">
        <w:t>subd</w:t>
      </w:r>
      <w:proofErr w:type="spellEnd"/>
      <w:r>
        <w:t xml:space="preserve">. </w:t>
      </w:r>
      <w:r w:rsidRPr="00E814DB">
        <w:t xml:space="preserve">(m) </w:t>
      </w:r>
      <w:proofErr w:type="gramStart"/>
      <w:r w:rsidRPr="00E814DB">
        <w:t>b</w:t>
      </w:r>
      <w:r w:rsidR="00B4368B">
        <w:t>y</w:t>
      </w:r>
      <w:proofErr w:type="gramEnd"/>
      <w:r w:rsidR="00B4368B">
        <w:t xml:space="preserve"> failing to respond to </w:t>
      </w:r>
      <w:r w:rsidRPr="00E814DB">
        <w:t xml:space="preserve">letters from clients </w:t>
      </w:r>
      <w:r w:rsidR="005A11DB">
        <w:t>about</w:t>
      </w:r>
      <w:r w:rsidRPr="00E814DB">
        <w:t xml:space="preserve"> respondent’s intentions regarding pursuit of appeal</w:t>
      </w:r>
      <w:r>
        <w:t>s</w:t>
      </w:r>
      <w:r w:rsidRPr="00E814DB">
        <w:t xml:space="preserve">].)  </w:t>
      </w:r>
      <w:r w:rsidR="00942FEE">
        <w:t>W</w:t>
      </w:r>
      <w:r>
        <w:t>e adopt the hearing judge’s culpability finding.</w:t>
      </w:r>
      <w:r w:rsidRPr="00E814DB">
        <w:rPr>
          <w:vertAlign w:val="superscript"/>
        </w:rPr>
        <w:footnoteReference w:id="5"/>
      </w:r>
    </w:p>
    <w:p w:rsidR="00EC41C1" w:rsidRPr="00E814DB" w:rsidRDefault="00EC41C1" w:rsidP="00E814DB">
      <w:pPr>
        <w:rPr>
          <w:b/>
          <w:bCs/>
        </w:rPr>
      </w:pPr>
      <w:r>
        <w:rPr>
          <w:b/>
          <w:bCs/>
        </w:rPr>
        <w:t>E.</w:t>
      </w:r>
      <w:r>
        <w:rPr>
          <w:b/>
          <w:bCs/>
        </w:rPr>
        <w:tab/>
        <w:t xml:space="preserve">THE </w:t>
      </w:r>
      <w:proofErr w:type="spellStart"/>
      <w:r w:rsidR="005345C8">
        <w:rPr>
          <w:b/>
          <w:bCs/>
        </w:rPr>
        <w:t>SCHONENBERGER</w:t>
      </w:r>
      <w:proofErr w:type="spellEnd"/>
      <w:r>
        <w:rPr>
          <w:b/>
          <w:bCs/>
        </w:rPr>
        <w:t>/</w:t>
      </w:r>
      <w:proofErr w:type="spellStart"/>
      <w:r>
        <w:rPr>
          <w:b/>
          <w:bCs/>
        </w:rPr>
        <w:t>BISSIG</w:t>
      </w:r>
      <w:proofErr w:type="spellEnd"/>
      <w:r>
        <w:rPr>
          <w:b/>
          <w:bCs/>
        </w:rPr>
        <w:t xml:space="preserve"> </w:t>
      </w:r>
      <w:r w:rsidR="003015C6">
        <w:rPr>
          <w:b/>
          <w:bCs/>
        </w:rPr>
        <w:t>MATTER</w:t>
      </w:r>
      <w:r>
        <w:rPr>
          <w:b/>
          <w:bCs/>
        </w:rPr>
        <w:t xml:space="preserve"> </w:t>
      </w:r>
    </w:p>
    <w:p w:rsidR="00EC41C1" w:rsidRDefault="00EC41C1" w:rsidP="00E814DB">
      <w:r w:rsidRPr="00E814DB">
        <w:rPr>
          <w:b/>
          <w:bCs/>
        </w:rPr>
        <w:tab/>
      </w:r>
      <w:r w:rsidRPr="00E814DB">
        <w:t>In March 2006,</w:t>
      </w:r>
      <w:r w:rsidRPr="00E814DB">
        <w:rPr>
          <w:b/>
          <w:bCs/>
        </w:rPr>
        <w:t xml:space="preserve"> </w:t>
      </w:r>
      <w:r w:rsidRPr="00E814DB">
        <w:t xml:space="preserve">Walter </w:t>
      </w:r>
      <w:proofErr w:type="spellStart"/>
      <w:r w:rsidRPr="00E814DB">
        <w:t>Bissig</w:t>
      </w:r>
      <w:proofErr w:type="spellEnd"/>
      <w:r w:rsidRPr="00E814DB">
        <w:t xml:space="preserve"> paid </w:t>
      </w:r>
      <w:r>
        <w:t>Harley</w:t>
      </w:r>
      <w:r w:rsidRPr="00E814DB">
        <w:t xml:space="preserve"> $7,500 to represent his daughter, He</w:t>
      </w:r>
      <w:r w:rsidR="00250F2B">
        <w:t xml:space="preserve">idi </w:t>
      </w:r>
      <w:proofErr w:type="spellStart"/>
      <w:r w:rsidR="005345C8">
        <w:t>Schonenberger</w:t>
      </w:r>
      <w:proofErr w:type="spellEnd"/>
      <w:r w:rsidRPr="00E814DB">
        <w:t xml:space="preserve">, in a criminal case.  Harley did not obtain </w:t>
      </w:r>
      <w:proofErr w:type="spellStart"/>
      <w:r w:rsidR="005345C8">
        <w:t>Schonenberger</w:t>
      </w:r>
      <w:r w:rsidRPr="00E814DB">
        <w:t>’s</w:t>
      </w:r>
      <w:proofErr w:type="spellEnd"/>
      <w:r w:rsidRPr="00E814DB">
        <w:t xml:space="preserve"> informed, written consent for </w:t>
      </w:r>
      <w:proofErr w:type="spellStart"/>
      <w:r w:rsidRPr="00E814DB">
        <w:t>Bissig</w:t>
      </w:r>
      <w:proofErr w:type="spellEnd"/>
      <w:r w:rsidRPr="00E814DB">
        <w:t xml:space="preserve"> to pay the legal fees.  In April 2006, Harley attended a court hearing where </w:t>
      </w:r>
      <w:proofErr w:type="spellStart"/>
      <w:r w:rsidR="005345C8">
        <w:t>Schonenberger</w:t>
      </w:r>
      <w:r w:rsidRPr="00E814DB">
        <w:t>’s</w:t>
      </w:r>
      <w:proofErr w:type="spellEnd"/>
      <w:r w:rsidRPr="00E814DB">
        <w:t xml:space="preserve"> criminal probation was reinstated and she was ordered to attend a substance abuse treatment program.  In May 2006, </w:t>
      </w:r>
      <w:proofErr w:type="spellStart"/>
      <w:r w:rsidRPr="00E814DB">
        <w:t>Bissig</w:t>
      </w:r>
      <w:proofErr w:type="spellEnd"/>
      <w:r w:rsidRPr="00E814DB">
        <w:t xml:space="preserve"> terminated Harley</w:t>
      </w:r>
      <w:r>
        <w:t>’s representation</w:t>
      </w:r>
      <w:r w:rsidRPr="00E814DB">
        <w:t xml:space="preserve"> and requested an accounting of services and a refund of fees. </w:t>
      </w:r>
      <w:r w:rsidR="00B4368B">
        <w:t xml:space="preserve"> Harley provided neither. </w:t>
      </w:r>
      <w:r w:rsidRPr="00E814DB">
        <w:t xml:space="preserve"> In April 2007, after the State Bar investigation began, Harley provided the investigator with an accounting </w:t>
      </w:r>
      <w:r>
        <w:t>of</w:t>
      </w:r>
      <w:r w:rsidRPr="00E814DB">
        <w:t xml:space="preserve"> services.</w:t>
      </w:r>
      <w:r>
        <w:t xml:space="preserve">  </w:t>
      </w:r>
      <w:proofErr w:type="spellStart"/>
      <w:r>
        <w:t>Bissig</w:t>
      </w:r>
      <w:proofErr w:type="spellEnd"/>
      <w:r>
        <w:t xml:space="preserve"> won a </w:t>
      </w:r>
      <w:r w:rsidR="003015C6">
        <w:t>“</w:t>
      </w:r>
      <w:r>
        <w:t>$4,000</w:t>
      </w:r>
      <w:r w:rsidR="003015C6">
        <w:t xml:space="preserve">-plus judgment” </w:t>
      </w:r>
      <w:r w:rsidR="005A11DB">
        <w:t xml:space="preserve">against Harley </w:t>
      </w:r>
      <w:r w:rsidR="003015C6">
        <w:t>in fee arbitration</w:t>
      </w:r>
      <w:r w:rsidR="005A11DB">
        <w:t>, which</w:t>
      </w:r>
      <w:r>
        <w:t xml:space="preserve"> had not been paid at the time of trial.</w:t>
      </w:r>
      <w:r w:rsidRPr="00E814DB">
        <w:tab/>
      </w:r>
    </w:p>
    <w:p w:rsidR="007610DB" w:rsidRDefault="007610DB" w:rsidP="00E814DB"/>
    <w:p w:rsidR="007610DB" w:rsidRDefault="007610DB" w:rsidP="00E814DB"/>
    <w:p w:rsidR="00EC41C1" w:rsidRPr="00E814DB" w:rsidRDefault="00EC41C1" w:rsidP="005C4CBF">
      <w:pPr>
        <w:spacing w:line="240" w:lineRule="auto"/>
        <w:rPr>
          <w:b/>
          <w:bCs/>
        </w:rPr>
      </w:pPr>
      <w:r w:rsidRPr="00E814DB">
        <w:lastRenderedPageBreak/>
        <w:tab/>
      </w:r>
      <w:r w:rsidRPr="00E814DB">
        <w:rPr>
          <w:b/>
          <w:bCs/>
        </w:rPr>
        <w:t>Count 19 – Failure to Render Accounting to Client (Rule 4-100(B</w:t>
      </w:r>
      <w:proofErr w:type="gramStart"/>
      <w:r w:rsidRPr="00E814DB">
        <w:rPr>
          <w:b/>
          <w:bCs/>
        </w:rPr>
        <w:t>)(</w:t>
      </w:r>
      <w:proofErr w:type="gramEnd"/>
      <w:r w:rsidRPr="00E814DB">
        <w:rPr>
          <w:b/>
          <w:bCs/>
        </w:rPr>
        <w:t>3))</w:t>
      </w:r>
      <w:r w:rsidRPr="00E814DB">
        <w:rPr>
          <w:b/>
          <w:bCs/>
        </w:rPr>
        <w:tab/>
      </w:r>
    </w:p>
    <w:p w:rsidR="00EC41C1" w:rsidRDefault="00EC41C1" w:rsidP="005C4CBF">
      <w:pPr>
        <w:spacing w:line="240" w:lineRule="auto"/>
        <w:rPr>
          <w:b/>
          <w:bCs/>
        </w:rPr>
      </w:pPr>
      <w:r w:rsidRPr="00E814DB">
        <w:rPr>
          <w:b/>
          <w:bCs/>
        </w:rPr>
        <w:tab/>
        <w:t xml:space="preserve">Count 20 – Accepting Fees </w:t>
      </w:r>
      <w:proofErr w:type="gramStart"/>
      <w:r w:rsidRPr="00E814DB">
        <w:rPr>
          <w:b/>
          <w:bCs/>
        </w:rPr>
        <w:t>From</w:t>
      </w:r>
      <w:proofErr w:type="gramEnd"/>
      <w:r w:rsidRPr="00E814DB">
        <w:rPr>
          <w:b/>
          <w:bCs/>
        </w:rPr>
        <w:t xml:space="preserve"> a Third-Party Without Client’s Proper Consent </w:t>
      </w:r>
      <w:r w:rsidRPr="00E814DB">
        <w:rPr>
          <w:b/>
          <w:bCs/>
        </w:rPr>
        <w:tab/>
      </w:r>
      <w:r w:rsidRPr="00E814DB">
        <w:rPr>
          <w:b/>
          <w:bCs/>
        </w:rPr>
        <w:tab/>
      </w:r>
      <w:r w:rsidRPr="00E814DB">
        <w:rPr>
          <w:b/>
          <w:bCs/>
        </w:rPr>
        <w:tab/>
        <w:t xml:space="preserve">       (Rule 3-310(F))</w:t>
      </w:r>
    </w:p>
    <w:p w:rsidR="00EC41C1" w:rsidRPr="005C4CBF" w:rsidRDefault="00EC41C1" w:rsidP="005C4CBF">
      <w:pPr>
        <w:spacing w:line="240" w:lineRule="auto"/>
        <w:rPr>
          <w:b/>
          <w:bCs/>
        </w:rPr>
      </w:pPr>
    </w:p>
    <w:p w:rsidR="00EC41C1" w:rsidRPr="00E814DB" w:rsidRDefault="00EC41C1" w:rsidP="00E814DB">
      <w:r w:rsidRPr="00E814DB">
        <w:tab/>
      </w:r>
      <w:r>
        <w:rPr>
          <w:bCs/>
        </w:rPr>
        <w:t xml:space="preserve">Harley does not challenge the hearing judge’s culpability findings </w:t>
      </w:r>
      <w:r w:rsidR="003015C6">
        <w:rPr>
          <w:bCs/>
        </w:rPr>
        <w:t>on</w:t>
      </w:r>
      <w:r>
        <w:rPr>
          <w:bCs/>
        </w:rPr>
        <w:t xml:space="preserve"> both counts</w:t>
      </w:r>
      <w:r>
        <w:t xml:space="preserve">.  </w:t>
      </w:r>
      <w:r w:rsidR="00A67728" w:rsidRPr="00E814DB">
        <w:t xml:space="preserve">The State Bar alleged that </w:t>
      </w:r>
      <w:r w:rsidR="00842725">
        <w:t>she</w:t>
      </w:r>
      <w:r w:rsidR="00A67728" w:rsidRPr="00E814DB">
        <w:t xml:space="preserve"> violated rule 4-100(B</w:t>
      </w:r>
      <w:proofErr w:type="gramStart"/>
      <w:r w:rsidR="00A67728" w:rsidRPr="00E814DB">
        <w:t>)(</w:t>
      </w:r>
      <w:proofErr w:type="gramEnd"/>
      <w:r w:rsidR="00A67728" w:rsidRPr="00E814DB">
        <w:t xml:space="preserve">3) by </w:t>
      </w:r>
      <w:r w:rsidR="00842725">
        <w:t>not</w:t>
      </w:r>
      <w:r w:rsidR="00A67728" w:rsidRPr="00E814DB">
        <w:t xml:space="preserve"> provid</w:t>
      </w:r>
      <w:r w:rsidR="00842725">
        <w:t>ing</w:t>
      </w:r>
      <w:r w:rsidR="00A67728" w:rsidRPr="00E814DB">
        <w:t xml:space="preserve"> </w:t>
      </w:r>
      <w:proofErr w:type="spellStart"/>
      <w:r w:rsidR="00A67728" w:rsidRPr="00E814DB">
        <w:t>Bissig</w:t>
      </w:r>
      <w:proofErr w:type="spellEnd"/>
      <w:r w:rsidR="00A67728" w:rsidRPr="00E814DB">
        <w:t>/</w:t>
      </w:r>
      <w:proofErr w:type="spellStart"/>
      <w:r w:rsidR="005345C8">
        <w:t>Schonenberger</w:t>
      </w:r>
      <w:proofErr w:type="spellEnd"/>
      <w:r w:rsidR="00A67728" w:rsidRPr="00E814DB">
        <w:t xml:space="preserve"> with an accounting </w:t>
      </w:r>
      <w:r w:rsidR="00842725">
        <w:t xml:space="preserve">until October 2007, a year and a half </w:t>
      </w:r>
      <w:r w:rsidR="00B4368B">
        <w:t>after</w:t>
      </w:r>
      <w:r w:rsidR="00A67728" w:rsidRPr="00E814DB">
        <w:t xml:space="preserve"> her services </w:t>
      </w:r>
      <w:r w:rsidR="00842725">
        <w:t>were</w:t>
      </w:r>
      <w:r w:rsidR="00A67728" w:rsidRPr="00E814DB">
        <w:t xml:space="preserve"> terminated in May 2006.  </w:t>
      </w:r>
      <w:r w:rsidRPr="00E814DB">
        <w:t xml:space="preserve">The State Bar </w:t>
      </w:r>
      <w:r w:rsidR="00A67728">
        <w:t xml:space="preserve">also </w:t>
      </w:r>
      <w:r w:rsidR="00842725">
        <w:t>alleged that Harley violated r</w:t>
      </w:r>
      <w:r w:rsidRPr="00E814DB">
        <w:t xml:space="preserve">ule 3-310(F) by accepting compensation </w:t>
      </w:r>
      <w:r w:rsidR="00842725">
        <w:t xml:space="preserve">to </w:t>
      </w:r>
      <w:r w:rsidRPr="00E814DB">
        <w:t xml:space="preserve">represent a client from a third party without obtaining the client’s informed written consent. </w:t>
      </w:r>
      <w:r>
        <w:t xml:space="preserve"> </w:t>
      </w:r>
      <w:r w:rsidRPr="00E814DB">
        <w:t xml:space="preserve">This rule provides that an attorney “shall not accept compensation for representing a client from one other than the client unless:  ¶ . . </w:t>
      </w:r>
      <w:proofErr w:type="gramStart"/>
      <w:r w:rsidRPr="00E814DB">
        <w:t>.¶</w:t>
      </w:r>
      <w:proofErr w:type="gramEnd"/>
      <w:r w:rsidRPr="00E814DB">
        <w:t xml:space="preserve"> (3) </w:t>
      </w:r>
      <w:r w:rsidR="006832A8">
        <w:t>[</w:t>
      </w:r>
      <w:r w:rsidRPr="00E814DB">
        <w:t>t</w:t>
      </w:r>
      <w:r w:rsidR="006832A8">
        <w:t>]</w:t>
      </w:r>
      <w:r w:rsidRPr="00E814DB">
        <w:t>he [attorney] obtains the client</w:t>
      </w:r>
      <w:r>
        <w:t>’</w:t>
      </w:r>
      <w:r w:rsidRPr="00E814DB">
        <w:t>s informed written consent</w:t>
      </w:r>
      <w:r w:rsidR="006832A8">
        <w:t xml:space="preserve"> </w:t>
      </w:r>
      <w:r w:rsidRPr="00E814DB">
        <w:t>.</w:t>
      </w:r>
      <w:r w:rsidR="006832A8">
        <w:t xml:space="preserve"> . . .</w:t>
      </w:r>
      <w:r w:rsidRPr="00E814DB">
        <w:t xml:space="preserve">”  </w:t>
      </w:r>
      <w:r>
        <w:t>Upon</w:t>
      </w:r>
      <w:r w:rsidRPr="00E814DB">
        <w:t xml:space="preserve"> </w:t>
      </w:r>
      <w:r>
        <w:t>review</w:t>
      </w:r>
      <w:r w:rsidRPr="00E814DB">
        <w:t xml:space="preserve"> of the record, we adopt the </w:t>
      </w:r>
      <w:r>
        <w:t xml:space="preserve">hearing judge’s culpability </w:t>
      </w:r>
      <w:r w:rsidR="00A67728">
        <w:t xml:space="preserve">findings </w:t>
      </w:r>
      <w:r>
        <w:t>for counts 19 and 20.</w:t>
      </w:r>
    </w:p>
    <w:p w:rsidR="00EC41C1" w:rsidRPr="005C4CBF" w:rsidRDefault="00EC41C1" w:rsidP="00E814DB">
      <w:r w:rsidRPr="00E814DB">
        <w:rPr>
          <w:b/>
          <w:bCs/>
        </w:rPr>
        <w:t>F.</w:t>
      </w:r>
      <w:r>
        <w:rPr>
          <w:b/>
          <w:bCs/>
        </w:rPr>
        <w:tab/>
      </w:r>
      <w:r w:rsidRPr="00E814DB">
        <w:rPr>
          <w:b/>
          <w:bCs/>
        </w:rPr>
        <w:t xml:space="preserve">THE HSIAO </w:t>
      </w:r>
      <w:r w:rsidR="003015C6">
        <w:rPr>
          <w:b/>
          <w:bCs/>
        </w:rPr>
        <w:t>MATTER</w:t>
      </w:r>
      <w:r w:rsidRPr="00E814DB">
        <w:rPr>
          <w:b/>
          <w:bCs/>
        </w:rPr>
        <w:t xml:space="preserve"> </w:t>
      </w:r>
    </w:p>
    <w:p w:rsidR="00EC41C1" w:rsidRPr="00E814DB" w:rsidRDefault="00EC41C1" w:rsidP="00E814DB">
      <w:r w:rsidRPr="00E814DB">
        <w:tab/>
        <w:t>On September 15, 2006, Janie Hsiao paid Harley $1,000 to represent her son, Herbert, in a traffic matter.  The</w:t>
      </w:r>
      <w:r>
        <w:t>y did not sign a</w:t>
      </w:r>
      <w:r w:rsidRPr="00E814DB">
        <w:t xml:space="preserve"> written fee agreement and Harley did not </w:t>
      </w:r>
      <w:r>
        <w:t>obtain</w:t>
      </w:r>
      <w:r w:rsidRPr="00E814DB">
        <w:t xml:space="preserve"> Herbert’s </w:t>
      </w:r>
      <w:r w:rsidR="00842725">
        <w:t xml:space="preserve">informed </w:t>
      </w:r>
      <w:r w:rsidRPr="00E814DB">
        <w:t xml:space="preserve">written consent authorizing his mother to pay the legal fees.  Harley sent Herbert two letters – the first </w:t>
      </w:r>
      <w:r>
        <w:t xml:space="preserve">informed him </w:t>
      </w:r>
      <w:r w:rsidR="00692863">
        <w:t xml:space="preserve">of the date set for arraignment, </w:t>
      </w:r>
      <w:r>
        <w:t>and t</w:t>
      </w:r>
      <w:r w:rsidRPr="00E814DB">
        <w:t>he second</w:t>
      </w:r>
      <w:r w:rsidR="00692863">
        <w:t xml:space="preserve"> specified</w:t>
      </w:r>
      <w:r>
        <w:t xml:space="preserve"> the date set </w:t>
      </w:r>
      <w:r w:rsidRPr="00E814DB">
        <w:t xml:space="preserve">for trial.  Both letters stated that Herbert was not required to attend the hearings.  </w:t>
      </w:r>
    </w:p>
    <w:p w:rsidR="00EC41C1" w:rsidRPr="00E814DB" w:rsidRDefault="00EC41C1" w:rsidP="00E814DB">
      <w:r w:rsidRPr="00E814DB">
        <w:tab/>
        <w:t>Neither Herbert nor Harley appeared for trial.  Harley testified that she</w:t>
      </w:r>
      <w:r>
        <w:t xml:space="preserve"> </w:t>
      </w:r>
      <w:proofErr w:type="spellStart"/>
      <w:r>
        <w:t>miscalendared</w:t>
      </w:r>
      <w:proofErr w:type="spellEnd"/>
      <w:r>
        <w:t xml:space="preserve"> the </w:t>
      </w:r>
      <w:r w:rsidR="002C6403">
        <w:t xml:space="preserve">trial </w:t>
      </w:r>
      <w:r>
        <w:t>and</w:t>
      </w:r>
      <w:r w:rsidR="002C6403">
        <w:t xml:space="preserve"> then</w:t>
      </w:r>
      <w:r>
        <w:t xml:space="preserve"> </w:t>
      </w:r>
      <w:r w:rsidRPr="00E814DB">
        <w:t>“forgot” about</w:t>
      </w:r>
      <w:r w:rsidR="002C6403">
        <w:t xml:space="preserve"> it</w:t>
      </w:r>
      <w:r w:rsidRPr="00E814DB">
        <w:t xml:space="preserve">.  As a result, </w:t>
      </w:r>
      <w:r>
        <w:t xml:space="preserve">the trial proceeded without them and </w:t>
      </w:r>
      <w:r w:rsidRPr="00E814DB">
        <w:t>the court found Herbert guilty of a Vehicle Code violation</w:t>
      </w:r>
      <w:r>
        <w:t xml:space="preserve">, ordering him to pay a $375 fine.  </w:t>
      </w:r>
      <w:r w:rsidRPr="00E814DB">
        <w:t xml:space="preserve">When Harley discovered that she missed the trial, she </w:t>
      </w:r>
      <w:r>
        <w:t xml:space="preserve">immediately </w:t>
      </w:r>
      <w:r w:rsidRPr="00E814DB">
        <w:t xml:space="preserve">made a request to re-calendar the matter, which the court denied. </w:t>
      </w:r>
    </w:p>
    <w:p w:rsidR="00EC41C1" w:rsidRDefault="00EC41C1" w:rsidP="00E814DB">
      <w:r w:rsidRPr="00E814DB">
        <w:tab/>
        <w:t>Mrs. Hsiao calle</w:t>
      </w:r>
      <w:r>
        <w:t xml:space="preserve">d Harley’s office several times to </w:t>
      </w:r>
      <w:r w:rsidR="00942FEE">
        <w:t>inquire</w:t>
      </w:r>
      <w:r>
        <w:t xml:space="preserve"> about the guilty verdict</w:t>
      </w:r>
      <w:r w:rsidRPr="00E814DB">
        <w:t xml:space="preserve">.  </w:t>
      </w:r>
      <w:r>
        <w:t>She</w:t>
      </w:r>
      <w:r w:rsidRPr="00E814DB">
        <w:t xml:space="preserve"> left messages and</w:t>
      </w:r>
      <w:r>
        <w:t xml:space="preserve"> spoke</w:t>
      </w:r>
      <w:r w:rsidRPr="00E814DB">
        <w:t xml:space="preserve"> to office staff</w:t>
      </w:r>
      <w:r>
        <w:t>, asking</w:t>
      </w:r>
      <w:r w:rsidRPr="00E814DB">
        <w:t xml:space="preserve"> to </w:t>
      </w:r>
      <w:r>
        <w:t>talk</w:t>
      </w:r>
      <w:r w:rsidRPr="00E814DB">
        <w:t xml:space="preserve"> </w:t>
      </w:r>
      <w:r>
        <w:t xml:space="preserve">to </w:t>
      </w:r>
      <w:r w:rsidRPr="00E814DB">
        <w:t xml:space="preserve">Harley.  Although Harley received the </w:t>
      </w:r>
      <w:r w:rsidRPr="00E814DB">
        <w:lastRenderedPageBreak/>
        <w:t xml:space="preserve">messages, she did not return </w:t>
      </w:r>
      <w:r>
        <w:t>the</w:t>
      </w:r>
      <w:r w:rsidRPr="00E814DB">
        <w:t xml:space="preserve"> calls.  </w:t>
      </w:r>
      <w:r>
        <w:t>Finally</w:t>
      </w:r>
      <w:r w:rsidRPr="00E814DB">
        <w:t>, Mrs. Hsiao wrote Harley a letter expressing her dissatisfaction</w:t>
      </w:r>
      <w:r w:rsidR="00692863">
        <w:t>, and requested</w:t>
      </w:r>
      <w:r w:rsidRPr="00E814DB">
        <w:t xml:space="preserve"> a refund of the $1,000 </w:t>
      </w:r>
      <w:r>
        <w:t xml:space="preserve">fee and a response </w:t>
      </w:r>
      <w:r w:rsidRPr="00E814DB">
        <w:t>within two weeks.  A month and a half later, Harley sent Mrs. Hsiao a letter of apology and a check for $1,000</w:t>
      </w:r>
      <w:r>
        <w:t xml:space="preserve">.  Harley </w:t>
      </w:r>
      <w:r w:rsidR="00692863">
        <w:t xml:space="preserve">delayed </w:t>
      </w:r>
      <w:r>
        <w:t>payment because she had “cash flow” problems</w:t>
      </w:r>
      <w:r w:rsidRPr="00E814DB">
        <w:t xml:space="preserve">.  </w:t>
      </w:r>
      <w:r>
        <w:t xml:space="preserve">  </w:t>
      </w:r>
      <w:r w:rsidRPr="00E814DB">
        <w:t xml:space="preserve"> </w:t>
      </w:r>
      <w:r>
        <w:t xml:space="preserve">  </w:t>
      </w:r>
    </w:p>
    <w:p w:rsidR="00EC41C1" w:rsidRPr="00E814DB" w:rsidRDefault="00EC41C1" w:rsidP="005C4CBF">
      <w:pPr>
        <w:spacing w:line="240" w:lineRule="auto"/>
        <w:rPr>
          <w:b/>
          <w:bCs/>
        </w:rPr>
      </w:pPr>
      <w:r w:rsidRPr="00E814DB">
        <w:tab/>
      </w:r>
      <w:r w:rsidRPr="00E814DB">
        <w:rPr>
          <w:b/>
          <w:bCs/>
        </w:rPr>
        <w:t>Count 1 – Failure to Perform Competently (Rule 3-110(A))</w:t>
      </w:r>
    </w:p>
    <w:p w:rsidR="00EC41C1" w:rsidRPr="00E814DB" w:rsidRDefault="00EC41C1" w:rsidP="005C4CBF">
      <w:pPr>
        <w:spacing w:line="240" w:lineRule="auto"/>
        <w:rPr>
          <w:b/>
          <w:bCs/>
        </w:rPr>
      </w:pPr>
      <w:r w:rsidRPr="00E814DB">
        <w:tab/>
      </w:r>
      <w:proofErr w:type="gramStart"/>
      <w:r w:rsidRPr="00E814DB">
        <w:rPr>
          <w:b/>
          <w:bCs/>
        </w:rPr>
        <w:t>Count 2 – Failure to Communicate (</w:t>
      </w:r>
      <w:r w:rsidR="006832A8">
        <w:rPr>
          <w:b/>
          <w:bCs/>
        </w:rPr>
        <w:t xml:space="preserve">§ 6068, </w:t>
      </w:r>
      <w:proofErr w:type="spellStart"/>
      <w:r w:rsidR="006832A8">
        <w:rPr>
          <w:b/>
          <w:bCs/>
        </w:rPr>
        <w:t>s</w:t>
      </w:r>
      <w:r w:rsidRPr="00E814DB">
        <w:rPr>
          <w:b/>
          <w:bCs/>
        </w:rPr>
        <w:t>ubd</w:t>
      </w:r>
      <w:proofErr w:type="spellEnd"/>
      <w:r>
        <w:rPr>
          <w:b/>
          <w:bCs/>
        </w:rPr>
        <w:t>.</w:t>
      </w:r>
      <w:proofErr w:type="gramEnd"/>
      <w:r w:rsidRPr="00E814DB">
        <w:rPr>
          <w:b/>
          <w:bCs/>
        </w:rPr>
        <w:t xml:space="preserve"> (m))</w:t>
      </w:r>
    </w:p>
    <w:p w:rsidR="00EC41C1" w:rsidRDefault="00EC41C1" w:rsidP="005C4CBF">
      <w:pPr>
        <w:spacing w:line="240" w:lineRule="auto"/>
        <w:rPr>
          <w:b/>
          <w:bCs/>
        </w:rPr>
      </w:pPr>
      <w:r w:rsidRPr="00E814DB">
        <w:rPr>
          <w:b/>
          <w:bCs/>
        </w:rPr>
        <w:tab/>
        <w:t>Count 3 – Failure to Return Unearned Fees (Rule 3-700(D</w:t>
      </w:r>
      <w:proofErr w:type="gramStart"/>
      <w:r w:rsidRPr="00E814DB">
        <w:rPr>
          <w:b/>
          <w:bCs/>
        </w:rPr>
        <w:t>)(</w:t>
      </w:r>
      <w:proofErr w:type="gramEnd"/>
      <w:r w:rsidRPr="00E814DB">
        <w:rPr>
          <w:b/>
          <w:bCs/>
        </w:rPr>
        <w:t>2)</w:t>
      </w:r>
      <w:r w:rsidR="006832A8">
        <w:rPr>
          <w:b/>
          <w:bCs/>
        </w:rPr>
        <w:t>)</w:t>
      </w:r>
    </w:p>
    <w:p w:rsidR="00EC41C1" w:rsidRPr="00E814DB" w:rsidRDefault="00EC41C1" w:rsidP="005C4CBF">
      <w:pPr>
        <w:spacing w:line="240" w:lineRule="auto"/>
        <w:rPr>
          <w:b/>
          <w:bCs/>
        </w:rPr>
      </w:pPr>
    </w:p>
    <w:p w:rsidR="00EC41C1" w:rsidRDefault="00EC41C1" w:rsidP="00172A84">
      <w:r w:rsidRPr="00E814DB">
        <w:rPr>
          <w:b/>
          <w:bCs/>
        </w:rPr>
        <w:tab/>
      </w:r>
      <w:r w:rsidRPr="00E036D2">
        <w:rPr>
          <w:bCs/>
        </w:rPr>
        <w:t>T</w:t>
      </w:r>
      <w:r w:rsidRPr="00E814DB">
        <w:t xml:space="preserve">he State Bar charged Harley with three violations:  </w:t>
      </w:r>
      <w:r w:rsidR="004A6F2B">
        <w:t>(</w:t>
      </w:r>
      <w:r w:rsidRPr="00E814DB">
        <w:t>1) rule 3-110(A) for</w:t>
      </w:r>
      <w:r w:rsidR="00A67728">
        <w:t xml:space="preserve"> </w:t>
      </w:r>
      <w:r w:rsidRPr="00E814DB">
        <w:t>faili</w:t>
      </w:r>
      <w:r>
        <w:t>ng to appear at Herbert’s trial</w:t>
      </w:r>
      <w:r w:rsidR="00A67728">
        <w:t xml:space="preserve"> and advising Herbert not to appear</w:t>
      </w:r>
      <w:r w:rsidRPr="00E814DB">
        <w:t xml:space="preserve">; </w:t>
      </w:r>
      <w:r w:rsidR="004A6F2B">
        <w:t>(</w:t>
      </w:r>
      <w:r w:rsidRPr="00E814DB">
        <w:t>2) section 6068, subdivision (m) for failing to advise Herbert that she did not attend his trial and failing to respond to Mrs. Hsiao’s reasonable status inquiries on her son’s behalf</w:t>
      </w:r>
      <w:r>
        <w:t>;</w:t>
      </w:r>
      <w:r w:rsidRPr="00E814DB">
        <w:rPr>
          <w:vertAlign w:val="superscript"/>
        </w:rPr>
        <w:footnoteReference w:id="6"/>
      </w:r>
      <w:r w:rsidRPr="00E814DB">
        <w:t xml:space="preserve"> and </w:t>
      </w:r>
      <w:r w:rsidR="004A6F2B">
        <w:t>(</w:t>
      </w:r>
      <w:r w:rsidRPr="00E814DB">
        <w:t xml:space="preserve">3) rule 3-700(D) for failing to </w:t>
      </w:r>
      <w:r w:rsidR="00A67728">
        <w:t xml:space="preserve">promptly refund the unearned </w:t>
      </w:r>
      <w:r w:rsidRPr="00E814DB">
        <w:t>$1,000</w:t>
      </w:r>
      <w:r w:rsidR="00A67728">
        <w:t xml:space="preserve"> fee</w:t>
      </w:r>
      <w:r w:rsidRPr="00E814DB">
        <w:t xml:space="preserve">.  The hearing judge found Harley culpable of the first two violations </w:t>
      </w:r>
      <w:r>
        <w:t>but</w:t>
      </w:r>
      <w:r w:rsidRPr="00E814DB">
        <w:t xml:space="preserve"> not culpable </w:t>
      </w:r>
      <w:r>
        <w:t>of</w:t>
      </w:r>
      <w:r w:rsidRPr="00E814DB">
        <w:t xml:space="preserve"> the third because she returned the </w:t>
      </w:r>
      <w:r>
        <w:t>entire</w:t>
      </w:r>
      <w:r w:rsidRPr="00E814DB">
        <w:t xml:space="preserve"> $1,000 </w:t>
      </w:r>
      <w:r>
        <w:t xml:space="preserve">within two months of </w:t>
      </w:r>
      <w:r w:rsidRPr="00E814DB">
        <w:t xml:space="preserve">Mrs. Hsiao’s demand.  Neither </w:t>
      </w:r>
      <w:r>
        <w:t xml:space="preserve">Harley nor the State Bar </w:t>
      </w:r>
      <w:r w:rsidRPr="00E814DB">
        <w:t>challenge</w:t>
      </w:r>
      <w:r>
        <w:t>s</w:t>
      </w:r>
      <w:r w:rsidRPr="00E814DB">
        <w:t xml:space="preserve"> </w:t>
      </w:r>
      <w:r>
        <w:t xml:space="preserve">any of </w:t>
      </w:r>
      <w:r w:rsidRPr="00E814DB">
        <w:t>the hearing judge’s findings</w:t>
      </w:r>
      <w:r>
        <w:t xml:space="preserve">, and we </w:t>
      </w:r>
      <w:r w:rsidRPr="00E814DB">
        <w:t>adopt them.</w:t>
      </w:r>
    </w:p>
    <w:p w:rsidR="00EC41C1" w:rsidRPr="00E814DB" w:rsidRDefault="00EC41C1" w:rsidP="00172A84">
      <w:pPr>
        <w:rPr>
          <w:b/>
          <w:bCs/>
        </w:rPr>
      </w:pPr>
      <w:r w:rsidRPr="00C803D3">
        <w:rPr>
          <w:b/>
        </w:rPr>
        <w:t>I</w:t>
      </w:r>
      <w:r w:rsidRPr="00C803D3">
        <w:rPr>
          <w:b/>
          <w:bCs/>
        </w:rPr>
        <w:t>I</w:t>
      </w:r>
      <w:r>
        <w:rPr>
          <w:b/>
          <w:bCs/>
        </w:rPr>
        <w:t>I</w:t>
      </w:r>
      <w:proofErr w:type="gramStart"/>
      <w:r w:rsidRPr="00E814DB">
        <w:rPr>
          <w:b/>
          <w:bCs/>
        </w:rPr>
        <w:t>.  HARLEY</w:t>
      </w:r>
      <w:proofErr w:type="gramEnd"/>
      <w:r w:rsidRPr="00E814DB">
        <w:rPr>
          <w:b/>
          <w:bCs/>
        </w:rPr>
        <w:t xml:space="preserve"> </w:t>
      </w:r>
      <w:r>
        <w:rPr>
          <w:b/>
          <w:bCs/>
        </w:rPr>
        <w:t xml:space="preserve">IS </w:t>
      </w:r>
      <w:r w:rsidRPr="00E814DB">
        <w:rPr>
          <w:b/>
          <w:bCs/>
        </w:rPr>
        <w:t>NOT CULPABLE OF MISCONDUCT IN FOUR CLIENT MATTERS</w:t>
      </w:r>
    </w:p>
    <w:p w:rsidR="00EC41C1" w:rsidRPr="005C4CBF" w:rsidRDefault="00EC41C1" w:rsidP="00E814DB">
      <w:pPr>
        <w:rPr>
          <w:bCs/>
        </w:rPr>
      </w:pPr>
      <w:r>
        <w:rPr>
          <w:b/>
          <w:bCs/>
        </w:rPr>
        <w:t>A</w:t>
      </w:r>
      <w:r w:rsidRPr="00E814DB">
        <w:rPr>
          <w:b/>
          <w:bCs/>
        </w:rPr>
        <w:t>.</w:t>
      </w:r>
      <w:r>
        <w:rPr>
          <w:b/>
          <w:bCs/>
        </w:rPr>
        <w:tab/>
      </w:r>
      <w:r w:rsidRPr="00E814DB">
        <w:rPr>
          <w:b/>
          <w:bCs/>
        </w:rPr>
        <w:t xml:space="preserve">THE </w:t>
      </w:r>
      <w:proofErr w:type="spellStart"/>
      <w:r w:rsidRPr="00E814DB">
        <w:rPr>
          <w:b/>
          <w:bCs/>
        </w:rPr>
        <w:t>CIPRIAN</w:t>
      </w:r>
      <w:proofErr w:type="spellEnd"/>
      <w:r w:rsidRPr="00E814DB">
        <w:rPr>
          <w:b/>
          <w:bCs/>
        </w:rPr>
        <w:t xml:space="preserve"> </w:t>
      </w:r>
      <w:r w:rsidR="004A6F2B">
        <w:rPr>
          <w:b/>
          <w:bCs/>
        </w:rPr>
        <w:t>MATTER</w:t>
      </w:r>
      <w:r w:rsidRPr="00E814DB">
        <w:rPr>
          <w:b/>
          <w:bCs/>
        </w:rPr>
        <w:t xml:space="preserve"> </w:t>
      </w:r>
    </w:p>
    <w:p w:rsidR="00074117" w:rsidRDefault="002C6403" w:rsidP="00722696">
      <w:pPr>
        <w:ind w:firstLine="720"/>
        <w:rPr>
          <w:bCs/>
        </w:rPr>
      </w:pPr>
      <w:r>
        <w:rPr>
          <w:bCs/>
        </w:rPr>
        <w:t xml:space="preserve">The hearing judge found Harley not culpable of two counts of misconduct related to dishonesty.  Harley was charged with misleading a judge when she requested that a sentencing hearing be continued (§ 6068, </w:t>
      </w:r>
      <w:proofErr w:type="spellStart"/>
      <w:r>
        <w:rPr>
          <w:bCs/>
        </w:rPr>
        <w:t>subd</w:t>
      </w:r>
      <w:proofErr w:type="spellEnd"/>
      <w:r>
        <w:rPr>
          <w:bCs/>
        </w:rPr>
        <w:t xml:space="preserve">. (d)), and misrepresenting to her client’s father that she had retained an expert witness for the sentencing hearing (§ 6106).  The State Bar has not appealed </w:t>
      </w:r>
      <w:r>
        <w:rPr>
          <w:bCs/>
        </w:rPr>
        <w:lastRenderedPageBreak/>
        <w:t>and, upon our own review of the record, we agree with the hearing judge that Harley is not culpable of either charge.</w:t>
      </w:r>
      <w:r w:rsidR="00D259FF">
        <w:rPr>
          <w:rStyle w:val="FootnoteReference"/>
        </w:rPr>
        <w:footnoteReference w:id="7"/>
      </w:r>
    </w:p>
    <w:p w:rsidR="00EC41C1" w:rsidRPr="00D86388" w:rsidRDefault="00EC41C1" w:rsidP="00E814DB">
      <w:pPr>
        <w:rPr>
          <w:bCs/>
        </w:rPr>
      </w:pPr>
      <w:r>
        <w:rPr>
          <w:b/>
          <w:bCs/>
        </w:rPr>
        <w:t>B</w:t>
      </w:r>
      <w:r w:rsidRPr="00E814DB">
        <w:rPr>
          <w:b/>
          <w:bCs/>
        </w:rPr>
        <w:t>.</w:t>
      </w:r>
      <w:r>
        <w:tab/>
      </w:r>
      <w:r w:rsidRPr="00E814DB">
        <w:rPr>
          <w:b/>
          <w:bCs/>
        </w:rPr>
        <w:t xml:space="preserve">THE NGUYEN </w:t>
      </w:r>
      <w:r w:rsidR="004A6F2B">
        <w:rPr>
          <w:b/>
          <w:bCs/>
        </w:rPr>
        <w:t>MATTER</w:t>
      </w:r>
      <w:r w:rsidRPr="00E814DB">
        <w:rPr>
          <w:b/>
          <w:bCs/>
        </w:rPr>
        <w:t xml:space="preserve"> </w:t>
      </w:r>
    </w:p>
    <w:p w:rsidR="00EC41C1" w:rsidRDefault="00EC41C1" w:rsidP="00E814DB">
      <w:pPr>
        <w:rPr>
          <w:bCs/>
        </w:rPr>
      </w:pPr>
      <w:r w:rsidRPr="00E814DB">
        <w:rPr>
          <w:b/>
          <w:bCs/>
        </w:rPr>
        <w:tab/>
      </w:r>
      <w:r>
        <w:rPr>
          <w:bCs/>
        </w:rPr>
        <w:t xml:space="preserve">The hearing judge found Harley </w:t>
      </w:r>
      <w:r w:rsidR="006832A8">
        <w:rPr>
          <w:bCs/>
        </w:rPr>
        <w:t xml:space="preserve">culpable of one charge and </w:t>
      </w:r>
      <w:r>
        <w:rPr>
          <w:bCs/>
        </w:rPr>
        <w:t xml:space="preserve">not culpable </w:t>
      </w:r>
      <w:r w:rsidR="006C12F0">
        <w:rPr>
          <w:bCs/>
        </w:rPr>
        <w:t>of</w:t>
      </w:r>
      <w:r>
        <w:rPr>
          <w:bCs/>
        </w:rPr>
        <w:t xml:space="preserve"> </w:t>
      </w:r>
      <w:r w:rsidR="006832A8">
        <w:rPr>
          <w:bCs/>
        </w:rPr>
        <w:t>another</w:t>
      </w:r>
      <w:r>
        <w:rPr>
          <w:bCs/>
        </w:rPr>
        <w:t xml:space="preserve"> in a criminal case involving her client</w:t>
      </w:r>
      <w:r w:rsidR="00CE0E59">
        <w:rPr>
          <w:bCs/>
        </w:rPr>
        <w:t>,</w:t>
      </w:r>
      <w:r>
        <w:rPr>
          <w:bCs/>
        </w:rPr>
        <w:t xml:space="preserve"> Crystal Nguyen.  </w:t>
      </w:r>
      <w:r w:rsidR="006832A8">
        <w:rPr>
          <w:bCs/>
        </w:rPr>
        <w:t>Harley</w:t>
      </w:r>
      <w:r>
        <w:rPr>
          <w:bCs/>
        </w:rPr>
        <w:t xml:space="preserve"> was charged with failing to maintain respect for the court (</w:t>
      </w:r>
      <w:r w:rsidR="00CE0E59">
        <w:rPr>
          <w:bCs/>
        </w:rPr>
        <w:t>§</w:t>
      </w:r>
      <w:r>
        <w:rPr>
          <w:bCs/>
        </w:rPr>
        <w:t xml:space="preserve"> 6068</w:t>
      </w:r>
      <w:r w:rsidR="00CE0E59">
        <w:rPr>
          <w:bCs/>
        </w:rPr>
        <w:t xml:space="preserve">, </w:t>
      </w:r>
      <w:proofErr w:type="spellStart"/>
      <w:r w:rsidR="00CE0E59">
        <w:rPr>
          <w:bCs/>
        </w:rPr>
        <w:t>subd</w:t>
      </w:r>
      <w:proofErr w:type="spellEnd"/>
      <w:r w:rsidR="00CE0E59">
        <w:rPr>
          <w:bCs/>
        </w:rPr>
        <w:t xml:space="preserve">. </w:t>
      </w:r>
      <w:proofErr w:type="gramStart"/>
      <w:r>
        <w:rPr>
          <w:bCs/>
        </w:rPr>
        <w:t>(b))</w:t>
      </w:r>
      <w:r w:rsidR="00636803">
        <w:rPr>
          <w:bCs/>
        </w:rPr>
        <w:t xml:space="preserve"> because she </w:t>
      </w:r>
      <w:r w:rsidR="00CE0E59">
        <w:rPr>
          <w:bCs/>
        </w:rPr>
        <w:t>sent</w:t>
      </w:r>
      <w:r w:rsidR="00636803">
        <w:rPr>
          <w:bCs/>
        </w:rPr>
        <w:t xml:space="preserve"> an associate attorney </w:t>
      </w:r>
      <w:r w:rsidR="00CE0E59">
        <w:rPr>
          <w:bCs/>
        </w:rPr>
        <w:t xml:space="preserve">to </w:t>
      </w:r>
      <w:r w:rsidR="00636803">
        <w:rPr>
          <w:bCs/>
        </w:rPr>
        <w:t xml:space="preserve">appear at a sentencing hearing when she </w:t>
      </w:r>
      <w:r w:rsidR="00412303">
        <w:rPr>
          <w:bCs/>
        </w:rPr>
        <w:t xml:space="preserve">herself </w:t>
      </w:r>
      <w:r w:rsidR="00636803">
        <w:rPr>
          <w:bCs/>
        </w:rPr>
        <w:t>was required to be present.</w:t>
      </w:r>
      <w:proofErr w:type="gramEnd"/>
      <w:r w:rsidR="00636803">
        <w:rPr>
          <w:bCs/>
        </w:rPr>
        <w:t xml:space="preserve"> </w:t>
      </w:r>
      <w:r w:rsidR="006832A8">
        <w:rPr>
          <w:bCs/>
        </w:rPr>
        <w:t xml:space="preserve"> The hearing judge found her not culpable. </w:t>
      </w:r>
      <w:r w:rsidR="00636803">
        <w:rPr>
          <w:bCs/>
        </w:rPr>
        <w:t xml:space="preserve"> Harley was also charged with </w:t>
      </w:r>
      <w:r w:rsidR="00412303">
        <w:rPr>
          <w:bCs/>
        </w:rPr>
        <w:t>incompetence (r</w:t>
      </w:r>
      <w:r>
        <w:rPr>
          <w:bCs/>
        </w:rPr>
        <w:t>ule 3-110(A))</w:t>
      </w:r>
      <w:r w:rsidR="00636803">
        <w:rPr>
          <w:bCs/>
        </w:rPr>
        <w:t xml:space="preserve"> for failing to </w:t>
      </w:r>
      <w:r>
        <w:rPr>
          <w:bCs/>
        </w:rPr>
        <w:t>timely submit her client’s character letters</w:t>
      </w:r>
      <w:r w:rsidR="00636803">
        <w:rPr>
          <w:bCs/>
        </w:rPr>
        <w:t xml:space="preserve"> for </w:t>
      </w:r>
      <w:r w:rsidR="00412303">
        <w:rPr>
          <w:bCs/>
        </w:rPr>
        <w:t>the</w:t>
      </w:r>
      <w:r w:rsidR="00636803">
        <w:rPr>
          <w:bCs/>
        </w:rPr>
        <w:t xml:space="preserve"> sentencing hearing</w:t>
      </w:r>
      <w:r>
        <w:rPr>
          <w:bCs/>
        </w:rPr>
        <w:t xml:space="preserve">.  </w:t>
      </w:r>
      <w:r w:rsidR="006832A8">
        <w:rPr>
          <w:bCs/>
        </w:rPr>
        <w:t xml:space="preserve">The hearing judge found her culpable.  </w:t>
      </w:r>
      <w:r>
        <w:rPr>
          <w:bCs/>
        </w:rPr>
        <w:t xml:space="preserve">The State Bar </w:t>
      </w:r>
      <w:r w:rsidR="006832A8">
        <w:rPr>
          <w:bCs/>
        </w:rPr>
        <w:t>now asserts that Harley is not culpable on either charge, and we agree.</w:t>
      </w:r>
    </w:p>
    <w:p w:rsidR="00EC41C1" w:rsidRPr="00D86388" w:rsidRDefault="00EC41C1" w:rsidP="00E814DB">
      <w:pPr>
        <w:rPr>
          <w:bCs/>
        </w:rPr>
      </w:pPr>
      <w:r>
        <w:rPr>
          <w:b/>
          <w:bCs/>
        </w:rPr>
        <w:t>C.</w:t>
      </w:r>
      <w:r>
        <w:rPr>
          <w:b/>
          <w:bCs/>
        </w:rPr>
        <w:tab/>
      </w:r>
      <w:r w:rsidRPr="00E814DB">
        <w:rPr>
          <w:b/>
          <w:bCs/>
        </w:rPr>
        <w:t xml:space="preserve">THE HERRERA </w:t>
      </w:r>
      <w:r w:rsidR="004A6F2B">
        <w:rPr>
          <w:b/>
          <w:bCs/>
        </w:rPr>
        <w:t>MATTER</w:t>
      </w:r>
      <w:r w:rsidRPr="00E814DB">
        <w:rPr>
          <w:b/>
          <w:bCs/>
        </w:rPr>
        <w:t xml:space="preserve"> </w:t>
      </w:r>
    </w:p>
    <w:p w:rsidR="007610DB" w:rsidRDefault="00EC41C1" w:rsidP="007A12C4">
      <w:r w:rsidRPr="00E814DB">
        <w:rPr>
          <w:b/>
          <w:bCs/>
        </w:rPr>
        <w:tab/>
      </w:r>
      <w:r>
        <w:rPr>
          <w:bCs/>
        </w:rPr>
        <w:t>The hearing judge found Harley culpable of failing to render</w:t>
      </w:r>
      <w:r w:rsidR="00636803">
        <w:rPr>
          <w:bCs/>
        </w:rPr>
        <w:t xml:space="preserve"> an accounting (rule 4-100(B</w:t>
      </w:r>
      <w:proofErr w:type="gramStart"/>
      <w:r w:rsidR="00636803">
        <w:rPr>
          <w:bCs/>
        </w:rPr>
        <w:t>)(</w:t>
      </w:r>
      <w:proofErr w:type="gramEnd"/>
      <w:r w:rsidR="00636803">
        <w:rPr>
          <w:bCs/>
        </w:rPr>
        <w:t>3))</w:t>
      </w:r>
      <w:r>
        <w:rPr>
          <w:bCs/>
        </w:rPr>
        <w:t xml:space="preserve"> and</w:t>
      </w:r>
      <w:r w:rsidR="00636803">
        <w:rPr>
          <w:bCs/>
        </w:rPr>
        <w:t xml:space="preserve"> failing</w:t>
      </w:r>
      <w:r>
        <w:rPr>
          <w:bCs/>
        </w:rPr>
        <w:t xml:space="preserve"> to return unearned fees to Dolores Herrera.  (Rule 3-700(B</w:t>
      </w:r>
      <w:proofErr w:type="gramStart"/>
      <w:r>
        <w:rPr>
          <w:bCs/>
        </w:rPr>
        <w:t>)(</w:t>
      </w:r>
      <w:proofErr w:type="gramEnd"/>
      <w:r>
        <w:rPr>
          <w:bCs/>
        </w:rPr>
        <w:t xml:space="preserve">2).)  Harley challenges this finding, arguing that Sterling Harwood, a contract attorney in her office, represented Herrera and </w:t>
      </w:r>
      <w:r w:rsidR="00851F63">
        <w:rPr>
          <w:bCs/>
        </w:rPr>
        <w:t xml:space="preserve">that </w:t>
      </w:r>
      <w:r>
        <w:rPr>
          <w:bCs/>
        </w:rPr>
        <w:t>she has no professional obligation to non-clients</w:t>
      </w:r>
      <w:r w:rsidR="00851F63">
        <w:rPr>
          <w:bCs/>
        </w:rPr>
        <w:t>, including Herrera</w:t>
      </w:r>
      <w:r>
        <w:rPr>
          <w:bCs/>
        </w:rPr>
        <w:t>.  We agree that Herrera was Sterling Harwood’s client, as evidenced by Harwood</w:t>
      </w:r>
      <w:r w:rsidR="004A6F2B">
        <w:rPr>
          <w:bCs/>
        </w:rPr>
        <w:t>’s actions in</w:t>
      </w:r>
      <w:r>
        <w:rPr>
          <w:bCs/>
        </w:rPr>
        <w:t xml:space="preserve"> obtaining the retainer agreement on his letterhead, depositing Herrera’s fee into his trust account and then continuing to represent Herrera after he left Harley’s office.</w:t>
      </w:r>
      <w:r w:rsidR="002737B9">
        <w:rPr>
          <w:bCs/>
        </w:rPr>
        <w:t xml:space="preserve">  We conclude that Harley did not </w:t>
      </w:r>
      <w:r w:rsidR="006832A8">
        <w:rPr>
          <w:bCs/>
        </w:rPr>
        <w:t xml:space="preserve">represent Herrera and therefore did not </w:t>
      </w:r>
      <w:r w:rsidR="002737B9">
        <w:rPr>
          <w:bCs/>
        </w:rPr>
        <w:t>commit misconduct in the Herrera matter.</w:t>
      </w:r>
      <w:r>
        <w:t xml:space="preserve">  </w:t>
      </w:r>
    </w:p>
    <w:p w:rsidR="007610DB" w:rsidRDefault="007610DB">
      <w:pPr>
        <w:spacing w:line="240" w:lineRule="auto"/>
      </w:pPr>
      <w:r>
        <w:br w:type="page"/>
      </w:r>
    </w:p>
    <w:p w:rsidR="00EC41C1" w:rsidRDefault="00EC41C1" w:rsidP="00E814DB">
      <w:pPr>
        <w:rPr>
          <w:b/>
          <w:bCs/>
        </w:rPr>
      </w:pPr>
      <w:r>
        <w:rPr>
          <w:b/>
        </w:rPr>
        <w:lastRenderedPageBreak/>
        <w:t>D</w:t>
      </w:r>
      <w:r w:rsidRPr="00E814DB">
        <w:rPr>
          <w:b/>
          <w:bCs/>
        </w:rPr>
        <w:t>.</w:t>
      </w:r>
      <w:r>
        <w:rPr>
          <w:b/>
          <w:bCs/>
        </w:rPr>
        <w:tab/>
      </w:r>
      <w:r w:rsidRPr="00E814DB">
        <w:rPr>
          <w:b/>
          <w:bCs/>
        </w:rPr>
        <w:t xml:space="preserve">THE BOYD </w:t>
      </w:r>
      <w:r w:rsidR="004A6F2B">
        <w:rPr>
          <w:b/>
          <w:bCs/>
        </w:rPr>
        <w:t>MATTER</w:t>
      </w:r>
      <w:r w:rsidRPr="00E814DB">
        <w:rPr>
          <w:b/>
          <w:bCs/>
        </w:rPr>
        <w:t xml:space="preserve"> </w:t>
      </w:r>
    </w:p>
    <w:p w:rsidR="00EC41C1" w:rsidRPr="00E814DB" w:rsidRDefault="00EC41C1" w:rsidP="00E814DB">
      <w:r w:rsidRPr="00E814DB">
        <w:tab/>
      </w:r>
      <w:r>
        <w:t xml:space="preserve">The hearing judge found Harley not culpable of violating rule 3-700(B)(2) </w:t>
      </w:r>
      <w:r w:rsidR="004A6F2B">
        <w:t>for</w:t>
      </w:r>
      <w:r>
        <w:t xml:space="preserve"> failing to return unearned fees to Celeste Boyd because the refund issue </w:t>
      </w:r>
      <w:r w:rsidR="004A6F2B">
        <w:t>became</w:t>
      </w:r>
      <w:r>
        <w:t xml:space="preserve"> a fee dispute that has not been resolved.  The State Bar does not challenge this finding and upon review of the record, we adopt it.</w:t>
      </w:r>
      <w:r w:rsidRPr="00E814DB">
        <w:rPr>
          <w:vertAlign w:val="superscript"/>
        </w:rPr>
        <w:footnoteReference w:id="8"/>
      </w:r>
      <w:r>
        <w:t xml:space="preserve"> </w:t>
      </w:r>
    </w:p>
    <w:p w:rsidR="00EC41C1" w:rsidRPr="00E814DB" w:rsidRDefault="00EC41C1" w:rsidP="006B511A">
      <w:pPr>
        <w:jc w:val="center"/>
        <w:rPr>
          <w:b/>
          <w:bCs/>
        </w:rPr>
      </w:pPr>
      <w:r>
        <w:rPr>
          <w:b/>
          <w:bCs/>
        </w:rPr>
        <w:t>I</w:t>
      </w:r>
      <w:r w:rsidRPr="00E814DB">
        <w:rPr>
          <w:b/>
          <w:bCs/>
        </w:rPr>
        <w:t>V</w:t>
      </w:r>
      <w:proofErr w:type="gramStart"/>
      <w:r w:rsidRPr="00E814DB">
        <w:rPr>
          <w:b/>
          <w:bCs/>
        </w:rPr>
        <w:t>.  AGGRAVATION</w:t>
      </w:r>
      <w:proofErr w:type="gramEnd"/>
      <w:r w:rsidRPr="00E814DB">
        <w:rPr>
          <w:b/>
          <w:bCs/>
        </w:rPr>
        <w:t xml:space="preserve"> AND MITIGATION</w:t>
      </w:r>
    </w:p>
    <w:p w:rsidR="00EC41C1" w:rsidRDefault="00EC41C1" w:rsidP="006B511A">
      <w:pPr>
        <w:ind w:firstLine="720"/>
      </w:pPr>
      <w:r w:rsidRPr="00E814DB">
        <w:t xml:space="preserve">We determine the appropriate discipline in light of all relevant circumstances, including mitigating and aggravating factors.  </w:t>
      </w:r>
      <w:proofErr w:type="gramStart"/>
      <w:r w:rsidRPr="00E814DB">
        <w:t>(</w:t>
      </w:r>
      <w:r w:rsidRPr="00E814DB">
        <w:rPr>
          <w:i/>
          <w:iCs/>
        </w:rPr>
        <w:t>Gary v. State Bar</w:t>
      </w:r>
      <w:r w:rsidRPr="00E814DB">
        <w:t xml:space="preserve"> (1988) 44 </w:t>
      </w:r>
      <w:proofErr w:type="spellStart"/>
      <w:r w:rsidRPr="00E814DB">
        <w:t>Cal.3d</w:t>
      </w:r>
      <w:proofErr w:type="spellEnd"/>
      <w:r w:rsidRPr="00E814DB">
        <w:t xml:space="preserve"> 820, 828.)</w:t>
      </w:r>
      <w:proofErr w:type="gramEnd"/>
      <w:r w:rsidRPr="00E814DB">
        <w:t xml:space="preserve">  Harley must establish mitigation by clear and convincing evidence, while the State Bar has the same burden of proof for aggravating circumstances.  </w:t>
      </w:r>
      <w:proofErr w:type="gramStart"/>
      <w:r w:rsidRPr="00E814DB">
        <w:t>(</w:t>
      </w:r>
      <w:proofErr w:type="spellStart"/>
      <w:r w:rsidRPr="00E814DB">
        <w:t>Stds</w:t>
      </w:r>
      <w:proofErr w:type="spellEnd"/>
      <w:r w:rsidRPr="00E814DB">
        <w:t>. 1.2(e) &amp; 1.2(b).)</w:t>
      </w:r>
      <w:proofErr w:type="gramEnd"/>
      <w:r w:rsidRPr="002325E3">
        <w:rPr>
          <w:rStyle w:val="FootnoteReference"/>
        </w:rPr>
        <w:t xml:space="preserve"> </w:t>
      </w:r>
      <w:r>
        <w:rPr>
          <w:rStyle w:val="FootnoteReference"/>
        </w:rPr>
        <w:footnoteReference w:id="9"/>
      </w:r>
      <w:r w:rsidRPr="006A1E92">
        <w:t xml:space="preserve"> </w:t>
      </w:r>
      <w:r>
        <w:t xml:space="preserve"> </w:t>
      </w:r>
    </w:p>
    <w:p w:rsidR="00EC41C1" w:rsidRPr="00E814DB" w:rsidRDefault="00EC41C1" w:rsidP="00E814DB">
      <w:pPr>
        <w:rPr>
          <w:b/>
          <w:bCs/>
        </w:rPr>
      </w:pPr>
      <w:r>
        <w:rPr>
          <w:b/>
          <w:bCs/>
        </w:rPr>
        <w:t>A.</w:t>
      </w:r>
      <w:r>
        <w:rPr>
          <w:b/>
          <w:bCs/>
        </w:rPr>
        <w:tab/>
        <w:t xml:space="preserve">THERE ARE TWO </w:t>
      </w:r>
      <w:r w:rsidRPr="00E814DB">
        <w:rPr>
          <w:b/>
          <w:bCs/>
        </w:rPr>
        <w:t>FACTORS IN AGGRAVATION</w:t>
      </w:r>
    </w:p>
    <w:p w:rsidR="00EC41C1" w:rsidRPr="00E814DB" w:rsidRDefault="00EC41C1" w:rsidP="00E814DB">
      <w:r w:rsidRPr="00E814DB">
        <w:tab/>
        <w:t>The hearing judge found three fact</w:t>
      </w:r>
      <w:r>
        <w:t>ors in aggravation, and we agree with two.</w:t>
      </w:r>
      <w:r w:rsidRPr="00E814DB">
        <w:t xml:space="preserve">  First, Harley committed multiple acts of wrongdoing in six client matters by failing to</w:t>
      </w:r>
      <w:r>
        <w:t xml:space="preserve">: </w:t>
      </w:r>
      <w:r w:rsidRPr="00E814DB">
        <w:t xml:space="preserve"> perform competently</w:t>
      </w:r>
      <w:r>
        <w:t>;</w:t>
      </w:r>
      <w:r w:rsidRPr="00E814DB">
        <w:t xml:space="preserve"> communicate with clients</w:t>
      </w:r>
      <w:r>
        <w:t>;</w:t>
      </w:r>
      <w:r w:rsidRPr="00E814DB">
        <w:t xml:space="preserve"> render an accounting</w:t>
      </w:r>
      <w:r>
        <w:t>;</w:t>
      </w:r>
      <w:r w:rsidRPr="00E814DB">
        <w:t xml:space="preserve"> return unearned fees</w:t>
      </w:r>
      <w:r>
        <w:t>;</w:t>
      </w:r>
      <w:r w:rsidRPr="00E814DB">
        <w:t xml:space="preserve"> return a client’s file</w:t>
      </w:r>
      <w:r>
        <w:t>;</w:t>
      </w:r>
      <w:r w:rsidRPr="00E814DB">
        <w:t xml:space="preserve"> and avoid adverse interests by accepting fees from a third party without the client’s proper consent.  (Std. 1.2(b</w:t>
      </w:r>
      <w:proofErr w:type="gramStart"/>
      <w:r w:rsidRPr="00E814DB">
        <w:t>)(</w:t>
      </w:r>
      <w:proofErr w:type="gramEnd"/>
      <w:r w:rsidRPr="00E814DB">
        <w:t xml:space="preserve">ii).)  Second, Harley’s misconduct significantly </w:t>
      </w:r>
      <w:r>
        <w:t xml:space="preserve">harmed </w:t>
      </w:r>
      <w:r w:rsidRPr="00E814DB">
        <w:t xml:space="preserve">Herbert Hsiao </w:t>
      </w:r>
      <w:r>
        <w:t>when she failed to appear for trial since he w</w:t>
      </w:r>
      <w:r w:rsidRPr="00E814DB">
        <w:t>as found guilty of a Vehicle Code violation and ordered to pay $375.  (Std. 1.2(b</w:t>
      </w:r>
      <w:proofErr w:type="gramStart"/>
      <w:r w:rsidRPr="00E814DB">
        <w:t>)(</w:t>
      </w:r>
      <w:proofErr w:type="gramEnd"/>
      <w:r w:rsidRPr="00E814DB">
        <w:t xml:space="preserve">iv).)  </w:t>
      </w:r>
      <w:r>
        <w:t xml:space="preserve">However, we do not find clear and convincing evidence that </w:t>
      </w:r>
      <w:r w:rsidRPr="00E814DB">
        <w:t xml:space="preserve">Harley demonstrated indifference toward rectification of or atonement for the consequences of her misconduct in the Eagle </w:t>
      </w:r>
      <w:r>
        <w:t>m</w:t>
      </w:r>
      <w:r w:rsidRPr="00E814DB">
        <w:t>atter when she failed to return the unearned fees.  (Std. 1.2(b</w:t>
      </w:r>
      <w:proofErr w:type="gramStart"/>
      <w:r w:rsidRPr="00E814DB">
        <w:t>)(</w:t>
      </w:r>
      <w:proofErr w:type="gramEnd"/>
      <w:r w:rsidRPr="00E814DB">
        <w:t xml:space="preserve">v).) </w:t>
      </w:r>
    </w:p>
    <w:p w:rsidR="00EC41C1" w:rsidRPr="00E814DB" w:rsidRDefault="00EC41C1" w:rsidP="00E814DB">
      <w:r w:rsidRPr="00E814DB">
        <w:lastRenderedPageBreak/>
        <w:tab/>
        <w:t xml:space="preserve">The State Bar urges us to find two </w:t>
      </w:r>
      <w:r>
        <w:t>additional</w:t>
      </w:r>
      <w:r w:rsidRPr="00E814DB">
        <w:t xml:space="preserve"> factors in aggravation </w:t>
      </w:r>
      <w:r>
        <w:t xml:space="preserve">as uncharged misconduct:  (1) </w:t>
      </w:r>
      <w:r w:rsidRPr="00E814DB">
        <w:t xml:space="preserve">failing to obtain the consent of clients for payment of fees in the Hsiao, </w:t>
      </w:r>
      <w:proofErr w:type="spellStart"/>
      <w:r w:rsidRPr="00E814DB">
        <w:t>Ciprian</w:t>
      </w:r>
      <w:proofErr w:type="spellEnd"/>
      <w:r w:rsidRPr="00E814DB">
        <w:t xml:space="preserve"> and Upton </w:t>
      </w:r>
      <w:r w:rsidR="00851F63">
        <w:t>m</w:t>
      </w:r>
      <w:r w:rsidRPr="00E814DB">
        <w:t>atters</w:t>
      </w:r>
      <w:r>
        <w:t xml:space="preserve"> (rule 3-310(F))</w:t>
      </w:r>
      <w:r w:rsidRPr="00E814DB">
        <w:t xml:space="preserve"> and (2) charging an illegal non-refundable flat fee for services</w:t>
      </w:r>
      <w:r>
        <w:t xml:space="preserve"> in </w:t>
      </w:r>
      <w:proofErr w:type="spellStart"/>
      <w:r>
        <w:t>Ciprian</w:t>
      </w:r>
      <w:proofErr w:type="spellEnd"/>
      <w:r>
        <w:t>, Cortez, Eagle, and Upton (rule 4-200(A))</w:t>
      </w:r>
      <w:r w:rsidRPr="00E814DB">
        <w:t xml:space="preserve">.  Evidence of uncharged misconduct may be considered in aggravation where it is elicited for a relevant purpose and is based on the attorney’s own evidence.  </w:t>
      </w:r>
      <w:proofErr w:type="gramStart"/>
      <w:r w:rsidRPr="00E814DB">
        <w:t>(</w:t>
      </w:r>
      <w:r w:rsidRPr="00E814DB">
        <w:rPr>
          <w:i/>
          <w:iCs/>
        </w:rPr>
        <w:t xml:space="preserve">Edwards v. State Bar </w:t>
      </w:r>
      <w:r w:rsidRPr="00E814DB">
        <w:t xml:space="preserve">(1990) 52 </w:t>
      </w:r>
      <w:proofErr w:type="spellStart"/>
      <w:r w:rsidRPr="00E814DB">
        <w:t>Cal.3d</w:t>
      </w:r>
      <w:proofErr w:type="spellEnd"/>
      <w:r w:rsidRPr="00E814DB">
        <w:t xml:space="preserve"> 28, 35-36.)</w:t>
      </w:r>
      <w:proofErr w:type="gramEnd"/>
      <w:r w:rsidRPr="00E814DB">
        <w:t xml:space="preserve">  We agree with the State Bar </w:t>
      </w:r>
      <w:r>
        <w:t>about</w:t>
      </w:r>
      <w:r w:rsidRPr="00E814DB">
        <w:t xml:space="preserve"> the first factor </w:t>
      </w:r>
      <w:r>
        <w:t xml:space="preserve">since Harley </w:t>
      </w:r>
      <w:r w:rsidRPr="00E814DB">
        <w:t xml:space="preserve">stipulated that she did not obtain each client’s written informed consent authorizing family members to pay legal fees </w:t>
      </w:r>
      <w:r>
        <w:t xml:space="preserve">in the Hsiao, </w:t>
      </w:r>
      <w:proofErr w:type="spellStart"/>
      <w:r>
        <w:t>Ciprian</w:t>
      </w:r>
      <w:proofErr w:type="spellEnd"/>
      <w:r>
        <w:t xml:space="preserve"> and Upton </w:t>
      </w:r>
      <w:r w:rsidR="00851F63">
        <w:t>m</w:t>
      </w:r>
      <w:r>
        <w:t xml:space="preserve">atters.  But we </w:t>
      </w:r>
      <w:r w:rsidRPr="00E814DB">
        <w:t xml:space="preserve">find insufficient evidence to assign aggravation </w:t>
      </w:r>
      <w:r>
        <w:t xml:space="preserve">for charging </w:t>
      </w:r>
      <w:r w:rsidR="002737B9">
        <w:t xml:space="preserve">her clients </w:t>
      </w:r>
      <w:r>
        <w:t>illegal fees</w:t>
      </w:r>
      <w:r w:rsidRPr="00E814DB">
        <w:t xml:space="preserve">.  </w:t>
      </w:r>
    </w:p>
    <w:p w:rsidR="00EC41C1" w:rsidRPr="00E814DB" w:rsidRDefault="00EC41C1" w:rsidP="00E814DB">
      <w:pPr>
        <w:rPr>
          <w:b/>
          <w:bCs/>
        </w:rPr>
      </w:pPr>
      <w:r>
        <w:rPr>
          <w:b/>
          <w:bCs/>
        </w:rPr>
        <w:t>B.</w:t>
      </w:r>
      <w:r>
        <w:rPr>
          <w:b/>
          <w:bCs/>
        </w:rPr>
        <w:tab/>
        <w:t xml:space="preserve">THERE ARE FOUR </w:t>
      </w:r>
      <w:r w:rsidRPr="00E814DB">
        <w:rPr>
          <w:b/>
          <w:bCs/>
        </w:rPr>
        <w:t>FACTORS IN MITIGATION</w:t>
      </w:r>
    </w:p>
    <w:p w:rsidR="00EC41C1" w:rsidRDefault="00EC41C1" w:rsidP="00E814DB">
      <w:r w:rsidRPr="00E814DB">
        <w:tab/>
        <w:t>The hearing judge found four factors in mitigation</w:t>
      </w:r>
      <w:r>
        <w:t>,</w:t>
      </w:r>
      <w:r w:rsidRPr="00E814DB">
        <w:t xml:space="preserve"> and we agree.  First, Harley’s 19 years of discipline-free practice prior to her </w:t>
      </w:r>
      <w:r>
        <w:t xml:space="preserve">initial </w:t>
      </w:r>
      <w:r w:rsidRPr="00E814DB">
        <w:t xml:space="preserve">misconduct in the </w:t>
      </w:r>
      <w:proofErr w:type="spellStart"/>
      <w:r w:rsidRPr="00E814DB">
        <w:t>Dragos</w:t>
      </w:r>
      <w:proofErr w:type="spellEnd"/>
      <w:r w:rsidRPr="00E814DB">
        <w:t xml:space="preserve"> </w:t>
      </w:r>
      <w:r w:rsidR="00851F63">
        <w:t>m</w:t>
      </w:r>
      <w:r w:rsidRPr="00E814DB">
        <w:t>atter in 200</w:t>
      </w:r>
      <w:r>
        <w:t>2</w:t>
      </w:r>
      <w:r w:rsidRPr="00E814DB">
        <w:t xml:space="preserve"> is a strong mitigating factor.  (Std. 1.2(e</w:t>
      </w:r>
      <w:proofErr w:type="gramStart"/>
      <w:r w:rsidRPr="00E814DB">
        <w:t>)(</w:t>
      </w:r>
      <w:proofErr w:type="spellStart"/>
      <w:proofErr w:type="gramEnd"/>
      <w:r w:rsidRPr="00E814DB">
        <w:t>i</w:t>
      </w:r>
      <w:proofErr w:type="spellEnd"/>
      <w:r w:rsidRPr="00E814DB">
        <w:t xml:space="preserve">).)  Second, </w:t>
      </w:r>
      <w:r>
        <w:t>she</w:t>
      </w:r>
      <w:r w:rsidRPr="00E814DB">
        <w:t xml:space="preserve"> cooperated with the State Bar by entering into </w:t>
      </w:r>
      <w:r w:rsidR="004A6F2B">
        <w:t>an extensive</w:t>
      </w:r>
      <w:r w:rsidRPr="00E814DB">
        <w:t xml:space="preserve"> stipulation that contained facts material to culpability.  </w:t>
      </w:r>
      <w:proofErr w:type="gramStart"/>
      <w:r w:rsidR="00784B9B">
        <w:t>(</w:t>
      </w:r>
      <w:r>
        <w:rPr>
          <w:i/>
        </w:rPr>
        <w:t xml:space="preserve">In the Matter of </w:t>
      </w:r>
      <w:proofErr w:type="spellStart"/>
      <w:r w:rsidRPr="00784B9B">
        <w:rPr>
          <w:i/>
        </w:rPr>
        <w:t>Spaith</w:t>
      </w:r>
      <w:proofErr w:type="spellEnd"/>
      <w:r>
        <w:t xml:space="preserve"> (Review Dept. 1996) 3 Cal. State Bar Ct. </w:t>
      </w:r>
      <w:proofErr w:type="spellStart"/>
      <w:r>
        <w:t>Rptr</w:t>
      </w:r>
      <w:proofErr w:type="spellEnd"/>
      <w:r>
        <w:t>. 511, 5</w:t>
      </w:r>
      <w:r w:rsidR="00784B9B">
        <w:t>2</w:t>
      </w:r>
      <w:r>
        <w:t>1 [stipulation to facts and culpability is mitigating].)</w:t>
      </w:r>
      <w:proofErr w:type="gramEnd"/>
      <w:r>
        <w:t xml:space="preserve">  </w:t>
      </w:r>
      <w:r w:rsidRPr="002325E3">
        <w:t>This</w:t>
      </w:r>
      <w:r w:rsidRPr="00E814DB">
        <w:t xml:space="preserve"> stipulation greatly assisted the State Bar’s prosecution, entitling Harley to mitigation credit.  (Std. 1.2(e</w:t>
      </w:r>
      <w:proofErr w:type="gramStart"/>
      <w:r w:rsidRPr="00E814DB">
        <w:t>)(</w:t>
      </w:r>
      <w:proofErr w:type="gramEnd"/>
      <w:r w:rsidRPr="00E814DB">
        <w:t xml:space="preserve">v).)  </w:t>
      </w:r>
    </w:p>
    <w:p w:rsidR="00EC41C1" w:rsidRPr="00E814DB" w:rsidRDefault="00EC41C1" w:rsidP="00E814DB">
      <w:r>
        <w:tab/>
      </w:r>
      <w:r w:rsidRPr="00E814DB">
        <w:t xml:space="preserve">Third, Harley showed remorse and willingness to accept responsibility for her misconduct by taking corrective steps to </w:t>
      </w:r>
      <w:r>
        <w:t xml:space="preserve">better </w:t>
      </w:r>
      <w:r w:rsidRPr="00E814DB">
        <w:t>manage her law practice.  (Std. 1.2(e</w:t>
      </w:r>
      <w:proofErr w:type="gramStart"/>
      <w:r w:rsidRPr="00E814DB">
        <w:t>)(</w:t>
      </w:r>
      <w:proofErr w:type="gramEnd"/>
      <w:r w:rsidRPr="00E814DB">
        <w:t xml:space="preserve">vii).) </w:t>
      </w:r>
      <w:r>
        <w:t xml:space="preserve"> For example, Harley now requires a separate written agreement allowing a third-party </w:t>
      </w:r>
      <w:proofErr w:type="spellStart"/>
      <w:r>
        <w:t>payor</w:t>
      </w:r>
      <w:proofErr w:type="spellEnd"/>
      <w:r>
        <w:t xml:space="preserve"> to contribute to the defense of her clients.  She also provides a prompt accounting and sends an explanatory closing letter to all clients</w:t>
      </w:r>
      <w:r w:rsidRPr="00E814DB">
        <w:t xml:space="preserve">.  </w:t>
      </w:r>
      <w:r>
        <w:t xml:space="preserve">We properly </w:t>
      </w:r>
      <w:r w:rsidRPr="00E814DB">
        <w:t>assign mitigating credit</w:t>
      </w:r>
      <w:r>
        <w:t xml:space="preserve"> for these actions</w:t>
      </w:r>
      <w:r w:rsidRPr="00E814DB">
        <w:t>.</w:t>
      </w:r>
    </w:p>
    <w:p w:rsidR="00EC41C1" w:rsidRPr="00E814DB" w:rsidRDefault="00EC41C1" w:rsidP="00E814DB">
      <w:r w:rsidRPr="00E814DB">
        <w:lastRenderedPageBreak/>
        <w:tab/>
        <w:t>Finally</w:t>
      </w:r>
      <w:r>
        <w:t xml:space="preserve">, and </w:t>
      </w:r>
      <w:r w:rsidRPr="00E814DB">
        <w:t>most compelling</w:t>
      </w:r>
      <w:r>
        <w:t>,</w:t>
      </w:r>
      <w:r w:rsidRPr="00E814DB">
        <w:t xml:space="preserve"> is Harley’s strong evidence of good character.  (Std. 1.2(e</w:t>
      </w:r>
      <w:proofErr w:type="gramStart"/>
      <w:r w:rsidRPr="00E814DB">
        <w:t>)(</w:t>
      </w:r>
      <w:proofErr w:type="gramEnd"/>
      <w:r w:rsidRPr="00E814DB">
        <w:t>vi).)  Nine witnesses testified</w:t>
      </w:r>
      <w:r>
        <w:t>,</w:t>
      </w:r>
      <w:r w:rsidRPr="00E814DB">
        <w:t xml:space="preserve"> including three judges, an attorney, a former client, friends</w:t>
      </w:r>
      <w:r>
        <w:t>,</w:t>
      </w:r>
      <w:r w:rsidRPr="00E814DB">
        <w:t xml:space="preserve"> and former law enforcement officers.  </w:t>
      </w:r>
      <w:proofErr w:type="gramStart"/>
      <w:r w:rsidRPr="00E814DB">
        <w:t>(</w:t>
      </w:r>
      <w:r w:rsidRPr="00E814DB">
        <w:rPr>
          <w:i/>
          <w:iCs/>
        </w:rPr>
        <w:t>In the Matter of Brown</w:t>
      </w:r>
      <w:r w:rsidRPr="00E814DB">
        <w:t xml:space="preserve"> (Review Dept. 1993) 2 Cal. State Bar Ct. </w:t>
      </w:r>
      <w:proofErr w:type="spellStart"/>
      <w:r w:rsidRPr="00E814DB">
        <w:t>Rptr</w:t>
      </w:r>
      <w:proofErr w:type="spellEnd"/>
      <w:r w:rsidRPr="00E814DB">
        <w:t xml:space="preserve">. 309, 319 [testimony from members of bench and bar entitled to serious consideration because judges and attorneys have “strong interest in maintaining </w:t>
      </w:r>
      <w:r w:rsidR="00784B9B">
        <w:t xml:space="preserve">the honest </w:t>
      </w:r>
      <w:r w:rsidRPr="00E814DB">
        <w:t>administration of justice”].)</w:t>
      </w:r>
      <w:proofErr w:type="gramEnd"/>
      <w:r w:rsidRPr="00E814DB">
        <w:t xml:space="preserve">  These </w:t>
      </w:r>
      <w:r>
        <w:t xml:space="preserve">character </w:t>
      </w:r>
      <w:r w:rsidRPr="00E814DB">
        <w:t xml:space="preserve">witnesses have known Harley between one to 20 years and attested to her </w:t>
      </w:r>
      <w:r>
        <w:t xml:space="preserve">excellent reputation in the legal community and her </w:t>
      </w:r>
      <w:r w:rsidRPr="00E814DB">
        <w:t xml:space="preserve">honest character.  Their opinions </w:t>
      </w:r>
      <w:r w:rsidR="004A6F2B">
        <w:t>did not change</w:t>
      </w:r>
      <w:r w:rsidRPr="00E814DB">
        <w:t xml:space="preserve"> despite </w:t>
      </w:r>
      <w:r w:rsidR="004A6F2B">
        <w:t xml:space="preserve">knowing about the </w:t>
      </w:r>
      <w:r w:rsidRPr="00E814DB">
        <w:t>charges against her</w:t>
      </w:r>
      <w:r>
        <w:t xml:space="preserve">, and several witnesses have referred friends or family members to Harley for legal representation.  </w:t>
      </w:r>
      <w:r w:rsidRPr="00E814DB">
        <w:t xml:space="preserve">  </w:t>
      </w:r>
    </w:p>
    <w:p w:rsidR="00EC41C1" w:rsidRDefault="00EC41C1" w:rsidP="00E814DB">
      <w:r>
        <w:tab/>
      </w:r>
      <w:r w:rsidRPr="00E814DB">
        <w:t xml:space="preserve">We expressly note the </w:t>
      </w:r>
      <w:r>
        <w:t xml:space="preserve">highly relevant </w:t>
      </w:r>
      <w:r w:rsidRPr="00E814DB">
        <w:t>testimony of three superior court judges</w:t>
      </w:r>
      <w:r>
        <w:t>, all of whom assert that Harley handles very difficult criminal cases and is an outstanding advocate for her clients.</w:t>
      </w:r>
      <w:r w:rsidRPr="00E814DB">
        <w:t xml:space="preserve">  Retired Judge Ray Cunningham</w:t>
      </w:r>
      <w:r>
        <w:t xml:space="preserve"> has</w:t>
      </w:r>
      <w:r w:rsidRPr="00E814DB">
        <w:t xml:space="preserve"> known Harley over 20 years</w:t>
      </w:r>
      <w:r>
        <w:t xml:space="preserve"> and</w:t>
      </w:r>
      <w:r w:rsidRPr="00E814DB">
        <w:t xml:space="preserve"> testified that he would “rank [Harley] among the highest attorneys we have</w:t>
      </w:r>
      <w:r>
        <w:t>.</w:t>
      </w:r>
      <w:r w:rsidRPr="00E814DB">
        <w:t xml:space="preserve">”  Judge Jerome Brock, who has known Harley 18 years, testified that </w:t>
      </w:r>
      <w:r>
        <w:t>her</w:t>
      </w:r>
      <w:r w:rsidRPr="00E814DB">
        <w:t xml:space="preserve"> reputation is </w:t>
      </w:r>
      <w:r>
        <w:t xml:space="preserve">“excellent,” and she </w:t>
      </w:r>
      <w:r w:rsidRPr="00E814DB">
        <w:t xml:space="preserve">does “a great job with her clients.”  </w:t>
      </w:r>
      <w:proofErr w:type="gramStart"/>
      <w:r w:rsidRPr="00E814DB">
        <w:t xml:space="preserve">Finally, Judge Edward Lee has known Harley 20 years and testified that </w:t>
      </w:r>
      <w:r>
        <w:t>she</w:t>
      </w:r>
      <w:r w:rsidRPr="00E814DB">
        <w:t xml:space="preserve"> is </w:t>
      </w:r>
      <w:r>
        <w:t>regarded</w:t>
      </w:r>
      <w:r w:rsidRPr="00E814DB">
        <w:t xml:space="preserve"> as “competent and a good attorney to work with.”</w:t>
      </w:r>
      <w:proofErr w:type="gramEnd"/>
      <w:r w:rsidRPr="00E814DB">
        <w:t xml:space="preserve">  The hearing judge found that this un-rebutted testimony demonstrated an extraordinary showing of good character from a wide range of references</w:t>
      </w:r>
      <w:r>
        <w:t>, and that the mitiga</w:t>
      </w:r>
      <w:r w:rsidR="00692863">
        <w:t>tion overall was “compelling.”</w:t>
      </w:r>
      <w:r w:rsidR="00692863">
        <w:rPr>
          <w:rStyle w:val="FootnoteReference"/>
        </w:rPr>
        <w:footnoteReference w:id="10"/>
      </w:r>
      <w:r>
        <w:t xml:space="preserve">  We agree and assign it significant weight.</w:t>
      </w:r>
    </w:p>
    <w:p w:rsidR="00074117" w:rsidRDefault="00EC41C1" w:rsidP="00E814DB">
      <w:r w:rsidRPr="00E814DB">
        <w:tab/>
        <w:t xml:space="preserve">Harley requests </w:t>
      </w:r>
      <w:r>
        <w:t xml:space="preserve">additional </w:t>
      </w:r>
      <w:r w:rsidRPr="00E814DB">
        <w:t xml:space="preserve">mitigation because </w:t>
      </w:r>
      <w:r>
        <w:t xml:space="preserve">she claims </w:t>
      </w:r>
      <w:r w:rsidRPr="00E814DB">
        <w:t xml:space="preserve">the State Bar delayed bringing disciplinary charges against her.  </w:t>
      </w:r>
      <w:r>
        <w:t>While we do not condone any delay, w</w:t>
      </w:r>
      <w:r w:rsidRPr="00E814DB">
        <w:t xml:space="preserve">e reject this argument as </w:t>
      </w:r>
      <w:r>
        <w:t xml:space="preserve">unsupported.  </w:t>
      </w:r>
      <w:r w:rsidRPr="00E814DB">
        <w:t xml:space="preserve">In order for a delay to constitute a mitigating circumstance, “an attorney must demonstrate that the delay impeded the preparation or presentation of an effective defense.  </w:t>
      </w:r>
      <w:proofErr w:type="gramStart"/>
      <w:r w:rsidRPr="00E814DB">
        <w:lastRenderedPageBreak/>
        <w:t>[Citation.]”</w:t>
      </w:r>
      <w:proofErr w:type="gramEnd"/>
      <w:r w:rsidRPr="00E814DB">
        <w:t xml:space="preserve">  </w:t>
      </w:r>
      <w:proofErr w:type="gramStart"/>
      <w:r w:rsidRPr="00E814DB">
        <w:t>(</w:t>
      </w:r>
      <w:r w:rsidRPr="00E814DB">
        <w:rPr>
          <w:i/>
          <w:iCs/>
        </w:rPr>
        <w:t>In the Matter of Respondent K</w:t>
      </w:r>
      <w:r w:rsidRPr="00E814DB">
        <w:t xml:space="preserve"> (Review Dept. 1993) 2 Cal. State Bar Ct. </w:t>
      </w:r>
      <w:proofErr w:type="spellStart"/>
      <w:r w:rsidRPr="00E814DB">
        <w:t>Rptr</w:t>
      </w:r>
      <w:proofErr w:type="spellEnd"/>
      <w:r w:rsidRPr="00E814DB">
        <w:t>. 335, 361.)</w:t>
      </w:r>
      <w:proofErr w:type="gramEnd"/>
      <w:r w:rsidRPr="00E814DB">
        <w:t xml:space="preserve">  Harley asserts that she was “prejudiced by the mere passage of time, </w:t>
      </w:r>
      <w:r w:rsidR="00784B9B">
        <w:t xml:space="preserve">the </w:t>
      </w:r>
      <w:r w:rsidRPr="00E814DB">
        <w:t>inevitable deterioration of witness memories, and . . . the paucity of records available fr</w:t>
      </w:r>
      <w:r w:rsidR="00784B9B">
        <w:t xml:space="preserve">om events years in the past.” </w:t>
      </w:r>
      <w:r>
        <w:t xml:space="preserve"> </w:t>
      </w:r>
      <w:r w:rsidR="004A6F2B">
        <w:t>However, her</w:t>
      </w:r>
      <w:r w:rsidRPr="00E814DB">
        <w:t xml:space="preserve"> general </w:t>
      </w:r>
      <w:r>
        <w:t xml:space="preserve">claim does not </w:t>
      </w:r>
      <w:r w:rsidRPr="00E814DB">
        <w:t xml:space="preserve">establish the required showing of specific, legally recognizable prejudice.  </w:t>
      </w:r>
    </w:p>
    <w:p w:rsidR="00EC41C1" w:rsidRPr="00E814DB" w:rsidRDefault="00EC41C1" w:rsidP="006B511A">
      <w:pPr>
        <w:jc w:val="center"/>
        <w:rPr>
          <w:b/>
          <w:bCs/>
        </w:rPr>
      </w:pPr>
      <w:r w:rsidRPr="00E814DB">
        <w:rPr>
          <w:b/>
          <w:bCs/>
        </w:rPr>
        <w:t>V.  LEVEL OF DISCIPLINE</w:t>
      </w:r>
    </w:p>
    <w:p w:rsidR="00EC41C1" w:rsidRDefault="00EC41C1" w:rsidP="0053211F">
      <w:pPr>
        <w:pStyle w:val="Default"/>
        <w:spacing w:line="480" w:lineRule="auto"/>
      </w:pPr>
      <w:r w:rsidRPr="00E814DB">
        <w:tab/>
      </w:r>
      <w:r w:rsidRPr="006A1E92">
        <w:t xml:space="preserve">The purpose of attorney discipline is not to punish the attorney, but to protect the public, the courts and the legal profession, to preserve public confidence in the profession and to maintain high standards for attorneys. </w:t>
      </w:r>
      <w:r>
        <w:t xml:space="preserve"> </w:t>
      </w:r>
      <w:proofErr w:type="gramStart"/>
      <w:r w:rsidRPr="006A1E92">
        <w:t>(Std. 1.3.)</w:t>
      </w:r>
      <w:proofErr w:type="gramEnd"/>
      <w:r w:rsidRPr="006A1E92">
        <w:t xml:space="preserve"> </w:t>
      </w:r>
      <w:r>
        <w:t xml:space="preserve"> No fixed formula exists for determining the appropriate level of discipline.  </w:t>
      </w:r>
      <w:proofErr w:type="gramStart"/>
      <w:r>
        <w:t>(</w:t>
      </w:r>
      <w:r w:rsidRPr="00941E20">
        <w:rPr>
          <w:i/>
        </w:rPr>
        <w:t xml:space="preserve">In the Matter of </w:t>
      </w:r>
      <w:proofErr w:type="spellStart"/>
      <w:r w:rsidRPr="00941E20">
        <w:rPr>
          <w:i/>
        </w:rPr>
        <w:t>Brimberry</w:t>
      </w:r>
      <w:proofErr w:type="spellEnd"/>
      <w:r>
        <w:t xml:space="preserve"> (Review Dept. 1995) 3 Cal. State Bar Ct. </w:t>
      </w:r>
      <w:proofErr w:type="spellStart"/>
      <w:r>
        <w:t>Rptr</w:t>
      </w:r>
      <w:proofErr w:type="spellEnd"/>
      <w:r>
        <w:t>. 390, 403.)</w:t>
      </w:r>
      <w:proofErr w:type="gramEnd"/>
      <w:r>
        <w:t xml:space="preserve">  </w:t>
      </w:r>
      <w:r w:rsidRPr="006A1E92">
        <w:t>Ultimately, we balance all relevant factors, including mitigating and aggravating circumstances, on a case-by-case basis to ensure that the discipline imposed is consistent with its purpose.</w:t>
      </w:r>
      <w:r>
        <w:t xml:space="preserve"> </w:t>
      </w:r>
      <w:r w:rsidRPr="006A1E92">
        <w:t xml:space="preserve"> </w:t>
      </w:r>
      <w:proofErr w:type="gramStart"/>
      <w:r w:rsidRPr="006A1E92">
        <w:t>(</w:t>
      </w:r>
      <w:r w:rsidRPr="006A1E92">
        <w:rPr>
          <w:i/>
          <w:iCs/>
        </w:rPr>
        <w:t xml:space="preserve">In re Young </w:t>
      </w:r>
      <w:r w:rsidRPr="006A1E92">
        <w:t xml:space="preserve">(1989) 49 </w:t>
      </w:r>
      <w:proofErr w:type="spellStart"/>
      <w:r w:rsidRPr="006A1E92">
        <w:t>Cal.3</w:t>
      </w:r>
      <w:r>
        <w:t>d</w:t>
      </w:r>
      <w:proofErr w:type="spellEnd"/>
      <w:r w:rsidRPr="006A1E92">
        <w:t xml:space="preserve"> 257, 266; </w:t>
      </w:r>
      <w:r w:rsidRPr="006A1E92">
        <w:rPr>
          <w:i/>
          <w:iCs/>
        </w:rPr>
        <w:t xml:space="preserve">Gary v. State Bar </w:t>
      </w:r>
      <w:r w:rsidRPr="006A1E92">
        <w:t xml:space="preserve">(1988) 44 </w:t>
      </w:r>
      <w:proofErr w:type="spellStart"/>
      <w:r w:rsidRPr="006A1E92">
        <w:t>Cal.3d</w:t>
      </w:r>
      <w:proofErr w:type="spellEnd"/>
      <w:r w:rsidRPr="006A1E92">
        <w:t xml:space="preserve"> 820, 828.)</w:t>
      </w:r>
      <w:proofErr w:type="gramEnd"/>
      <w:r w:rsidRPr="006A1E92">
        <w:t xml:space="preserve"> </w:t>
      </w:r>
    </w:p>
    <w:p w:rsidR="00EC41C1" w:rsidRDefault="00EC41C1" w:rsidP="0053211F">
      <w:pPr>
        <w:pStyle w:val="Default"/>
        <w:spacing w:line="480" w:lineRule="auto"/>
      </w:pPr>
      <w:r>
        <w:tab/>
      </w:r>
      <w:r w:rsidRPr="006A1E92">
        <w:t xml:space="preserve">Our </w:t>
      </w:r>
      <w:r>
        <w:t xml:space="preserve">discipline </w:t>
      </w:r>
      <w:r w:rsidRPr="006A1E92">
        <w:t>analysis begins with the standards.</w:t>
      </w:r>
      <w:r>
        <w:t xml:space="preserve">  </w:t>
      </w:r>
      <w:r w:rsidRPr="006A1E92">
        <w:t xml:space="preserve">While we recognize that they are not binding on us in every case, the Supreme Court has instructed </w:t>
      </w:r>
      <w:r>
        <w:t xml:space="preserve">us to </w:t>
      </w:r>
      <w:r w:rsidRPr="006A1E92">
        <w:t>follow them “whenever possible</w:t>
      </w:r>
      <w:proofErr w:type="gramStart"/>
      <w:r w:rsidRPr="006A1E92">
        <w:t>”</w:t>
      </w:r>
      <w:r>
        <w:t xml:space="preserve"> </w:t>
      </w:r>
      <w:r w:rsidRPr="006A1E92">
        <w:t xml:space="preserve"> (</w:t>
      </w:r>
      <w:proofErr w:type="gramEnd"/>
      <w:r w:rsidRPr="006A1E92">
        <w:rPr>
          <w:i/>
          <w:iCs/>
        </w:rPr>
        <w:t xml:space="preserve">In re Young, supra, </w:t>
      </w:r>
      <w:r w:rsidRPr="006A1E92">
        <w:t xml:space="preserve">49 </w:t>
      </w:r>
      <w:proofErr w:type="spellStart"/>
      <w:r w:rsidRPr="006A1E92">
        <w:t>Cal.3d</w:t>
      </w:r>
      <w:proofErr w:type="spellEnd"/>
      <w:r w:rsidRPr="006A1E92">
        <w:t xml:space="preserve"> at p. 267, fn. 11), and </w:t>
      </w:r>
      <w:r>
        <w:t xml:space="preserve">that </w:t>
      </w:r>
      <w:r w:rsidRPr="006A1E92">
        <w:t>they should be given great weight</w:t>
      </w:r>
      <w:r>
        <w:t xml:space="preserve"> </w:t>
      </w:r>
      <w:r w:rsidRPr="006A1E92">
        <w:t>to promote “</w:t>
      </w:r>
      <w:r w:rsidR="00784B9B">
        <w:t xml:space="preserve"> ‘ “</w:t>
      </w:r>
      <w:r w:rsidRPr="006A1E92">
        <w:t>the consistent and uniform application of disciplinary measures.”</w:t>
      </w:r>
      <w:r w:rsidR="00784B9B">
        <w:t xml:space="preserve"> </w:t>
      </w:r>
      <w:proofErr w:type="gramStart"/>
      <w:r w:rsidR="00784B9B">
        <w:t>’ [Citation.]”</w:t>
      </w:r>
      <w:proofErr w:type="gramEnd"/>
      <w:r>
        <w:t xml:space="preserve"> </w:t>
      </w:r>
      <w:r w:rsidRPr="006A1E92">
        <w:t xml:space="preserve"> </w:t>
      </w:r>
      <w:proofErr w:type="gramStart"/>
      <w:r w:rsidRPr="006A1E92">
        <w:t>(</w:t>
      </w:r>
      <w:r w:rsidRPr="006A1E92">
        <w:rPr>
          <w:i/>
          <w:iCs/>
        </w:rPr>
        <w:t>In re</w:t>
      </w:r>
      <w:r>
        <w:rPr>
          <w:i/>
          <w:iCs/>
        </w:rPr>
        <w:t xml:space="preserve"> </w:t>
      </w:r>
      <w:r w:rsidRPr="006A1E92">
        <w:rPr>
          <w:i/>
          <w:iCs/>
        </w:rPr>
        <w:t xml:space="preserve">Silverton </w:t>
      </w:r>
      <w:r w:rsidRPr="006A1E92">
        <w:t xml:space="preserve">(2005) 36 </w:t>
      </w:r>
      <w:proofErr w:type="spellStart"/>
      <w:r w:rsidRPr="006A1E92">
        <w:t>Cal.4th</w:t>
      </w:r>
      <w:proofErr w:type="spellEnd"/>
      <w:r w:rsidRPr="006A1E92">
        <w:t xml:space="preserve"> 81, 91.)</w:t>
      </w:r>
      <w:proofErr w:type="gramEnd"/>
      <w:r w:rsidRPr="006A1E92">
        <w:t xml:space="preserve"> </w:t>
      </w:r>
      <w:r>
        <w:t xml:space="preserve"> </w:t>
      </w:r>
    </w:p>
    <w:p w:rsidR="00EC41C1" w:rsidRDefault="00EC41C1" w:rsidP="00E814DB">
      <w:r w:rsidRPr="00E814DB">
        <w:tab/>
        <w:t xml:space="preserve">Several </w:t>
      </w:r>
      <w:r>
        <w:t xml:space="preserve">standards apply here, including standards </w:t>
      </w:r>
      <w:r w:rsidRPr="00E814DB">
        <w:t>1.6 (</w:t>
      </w:r>
      <w:r>
        <w:t>imposing the</w:t>
      </w:r>
      <w:r w:rsidRPr="00E814DB">
        <w:t xml:space="preserve"> most severe of two or more applicable sanctions)</w:t>
      </w:r>
      <w:r>
        <w:t>;</w:t>
      </w:r>
      <w:r w:rsidRPr="00E814DB">
        <w:t xml:space="preserve"> 2.2(b) (minimum three months’ actual suspension for violation of rule 4-100)</w:t>
      </w:r>
      <w:r>
        <w:t>;</w:t>
      </w:r>
      <w:r w:rsidRPr="00E814DB">
        <w:t xml:space="preserve"> 2.4 (</w:t>
      </w:r>
      <w:proofErr w:type="spellStart"/>
      <w:r w:rsidRPr="00E814DB">
        <w:t>reproval</w:t>
      </w:r>
      <w:proofErr w:type="spellEnd"/>
      <w:r w:rsidRPr="00E814DB">
        <w:t xml:space="preserve"> or suspension, depending upon extent of misconduct and degree of harm to client, for violation of rule 3-110(A) and </w:t>
      </w:r>
      <w:r>
        <w:t>§</w:t>
      </w:r>
      <w:r w:rsidRPr="00E814DB">
        <w:t xml:space="preserve"> 6068, </w:t>
      </w:r>
      <w:proofErr w:type="spellStart"/>
      <w:r w:rsidRPr="00E814DB">
        <w:t>subd</w:t>
      </w:r>
      <w:proofErr w:type="spellEnd"/>
      <w:r>
        <w:t>.</w:t>
      </w:r>
      <w:r w:rsidRPr="00E814DB">
        <w:t xml:space="preserve"> </w:t>
      </w:r>
      <w:proofErr w:type="gramStart"/>
      <w:r w:rsidRPr="00E814DB">
        <w:t>(m))</w:t>
      </w:r>
      <w:r>
        <w:t>;</w:t>
      </w:r>
      <w:r w:rsidRPr="00E814DB">
        <w:t xml:space="preserve"> and 2.10 (</w:t>
      </w:r>
      <w:proofErr w:type="spellStart"/>
      <w:r w:rsidRPr="00E814DB">
        <w:t>reproval</w:t>
      </w:r>
      <w:proofErr w:type="spellEnd"/>
      <w:r w:rsidRPr="00E814DB">
        <w:t xml:space="preserve"> or suspension, depending upon extent of misconduct and degree of harm to client, for other </w:t>
      </w:r>
      <w:r w:rsidRPr="00E814DB">
        <w:lastRenderedPageBreak/>
        <w:t>unspecified violations).</w:t>
      </w:r>
      <w:proofErr w:type="gramEnd"/>
      <w:r w:rsidRPr="00E814DB">
        <w:t xml:space="preserve">  Under </w:t>
      </w:r>
      <w:r>
        <w:t>these</w:t>
      </w:r>
      <w:r w:rsidRPr="00E814DB">
        <w:t xml:space="preserve"> standards, Harley’s </w:t>
      </w:r>
      <w:r>
        <w:t>misconduct</w:t>
      </w:r>
      <w:r w:rsidRPr="00E814DB">
        <w:t xml:space="preserve"> could result in discipline ranging from three months’ actual suspension to disbarment.  </w:t>
      </w:r>
      <w:r w:rsidRPr="00E814DB">
        <w:tab/>
      </w:r>
    </w:p>
    <w:p w:rsidR="00EC41C1" w:rsidRDefault="00EC41C1" w:rsidP="00E814DB">
      <w:r>
        <w:tab/>
        <w:t>In this case, it is important to chronologically review the five-year time frame during which Harley committed misconduct in order to underscore the periods of time between each act.</w:t>
      </w:r>
      <w:r w:rsidRPr="00E814DB">
        <w:t xml:space="preserve"> </w:t>
      </w:r>
      <w:r>
        <w:t xml:space="preserve">And while </w:t>
      </w:r>
      <w:r w:rsidR="002737B9">
        <w:t xml:space="preserve">some of </w:t>
      </w:r>
      <w:r>
        <w:t xml:space="preserve">her misconduct spanned these years as she failed to communicate or refund fees in ongoing cases, there were significant breaks of time between several of the acts of misconduct in the six client matters.  </w:t>
      </w:r>
    </w:p>
    <w:p w:rsidR="00EC41C1" w:rsidRDefault="00EC41C1" w:rsidP="00E814DB">
      <w:r>
        <w:tab/>
        <w:t xml:space="preserve">Harley committed misconduct for the first time </w:t>
      </w:r>
      <w:r w:rsidRPr="00E814DB">
        <w:t xml:space="preserve">in the </w:t>
      </w:r>
      <w:proofErr w:type="spellStart"/>
      <w:r w:rsidRPr="00E814DB">
        <w:t>Dragos</w:t>
      </w:r>
      <w:proofErr w:type="spellEnd"/>
      <w:r w:rsidRPr="00E814DB">
        <w:t xml:space="preserve"> </w:t>
      </w:r>
      <w:r w:rsidR="00851F63">
        <w:t>m</w:t>
      </w:r>
      <w:r>
        <w:t xml:space="preserve">atter in 2002 </w:t>
      </w:r>
      <w:r w:rsidRPr="00E814DB">
        <w:t>when she had practiced</w:t>
      </w:r>
      <w:r>
        <w:t xml:space="preserve"> for</w:t>
      </w:r>
      <w:r w:rsidRPr="00E814DB">
        <w:t xml:space="preserve"> 19 years with</w:t>
      </w:r>
      <w:r>
        <w:t>out</w:t>
      </w:r>
      <w:r w:rsidRPr="00E814DB">
        <w:t xml:space="preserve"> </w:t>
      </w:r>
      <w:r>
        <w:t>discipline</w:t>
      </w:r>
      <w:r w:rsidRPr="00E814DB">
        <w:t xml:space="preserve">.  </w:t>
      </w:r>
      <w:r w:rsidR="004A6F2B">
        <w:t xml:space="preserve">She </w:t>
      </w:r>
      <w:r w:rsidRPr="00E814DB">
        <w:t>misadvised her client about the prison term he would receive under a plea agreement</w:t>
      </w:r>
      <w:r w:rsidR="004A6F2B">
        <w:t>.</w:t>
      </w:r>
      <w:r w:rsidRPr="00E814DB">
        <w:t xml:space="preserve">  </w:t>
      </w:r>
      <w:r w:rsidR="002737B9">
        <w:t>B</w:t>
      </w:r>
      <w:r>
        <w:t xml:space="preserve">eginning in 2003, </w:t>
      </w:r>
      <w:r w:rsidRPr="00E814DB">
        <w:t xml:space="preserve">Harley committed misconduct in three matters, Cortez, Eagle and Upton, with the most severe occurring in the Cortez </w:t>
      </w:r>
      <w:r w:rsidR="00851F63">
        <w:t>m</w:t>
      </w:r>
      <w:r w:rsidRPr="00E814DB">
        <w:t xml:space="preserve">atter.  In Eagle and Upton, </w:t>
      </w:r>
      <w:r>
        <w:t xml:space="preserve">she inadequately attended to </w:t>
      </w:r>
      <w:r w:rsidRPr="00E814DB">
        <w:t>her clients</w:t>
      </w:r>
      <w:r>
        <w:t>’</w:t>
      </w:r>
      <w:r w:rsidRPr="00E814DB">
        <w:t xml:space="preserve"> requests for </w:t>
      </w:r>
      <w:r w:rsidR="004A6F2B">
        <w:t xml:space="preserve">a file, </w:t>
      </w:r>
      <w:r w:rsidRPr="00E814DB">
        <w:t>information</w:t>
      </w:r>
      <w:r>
        <w:t xml:space="preserve"> and/or refunds. </w:t>
      </w:r>
      <w:r w:rsidRPr="00E814DB">
        <w:t xml:space="preserve"> In Cortez, Harley again gave incorrect </w:t>
      </w:r>
      <w:r>
        <w:t>advice</w:t>
      </w:r>
      <w:r w:rsidRPr="00E814DB">
        <w:t xml:space="preserve"> about the consequences of a plea</w:t>
      </w:r>
      <w:r>
        <w:t xml:space="preserve"> in a serious sex offense case</w:t>
      </w:r>
      <w:r w:rsidRPr="00E814DB">
        <w:t xml:space="preserve">.  </w:t>
      </w:r>
      <w:r>
        <w:t xml:space="preserve">Then in 2006, Harley committed her last two acts of misconduct.  First, she forgot about and failed to </w:t>
      </w:r>
      <w:r w:rsidRPr="00E814DB">
        <w:t>attend Herbert Hsiao’s traffic trial</w:t>
      </w:r>
      <w:r>
        <w:t xml:space="preserve">.  And second, she improperly accepted fees from a third party and failed to provide an accounting to Walter </w:t>
      </w:r>
      <w:proofErr w:type="spellStart"/>
      <w:r>
        <w:t>Bissig</w:t>
      </w:r>
      <w:proofErr w:type="spellEnd"/>
      <w:r w:rsidRPr="00E814DB">
        <w:t xml:space="preserve">.  </w:t>
      </w:r>
    </w:p>
    <w:p w:rsidR="00EC41C1" w:rsidRPr="00E814DB" w:rsidRDefault="00EC41C1" w:rsidP="00E814DB">
      <w:r>
        <w:tab/>
        <w:t>T</w:t>
      </w:r>
      <w:r w:rsidRPr="00E814DB">
        <w:t xml:space="preserve">he range </w:t>
      </w:r>
      <w:r>
        <w:t xml:space="preserve">of </w:t>
      </w:r>
      <w:r w:rsidRPr="00E814DB">
        <w:t xml:space="preserve">discipline for Harley’s </w:t>
      </w:r>
      <w:r>
        <w:t xml:space="preserve">misconduct is very broad since it spans suspension to disbarment.  We therefore </w:t>
      </w:r>
      <w:r w:rsidRPr="00E814DB">
        <w:t>look to case law for guidance.</w:t>
      </w:r>
      <w:r w:rsidR="00784B9B">
        <w:t xml:space="preserve"> </w:t>
      </w:r>
      <w:r w:rsidRPr="00E814DB">
        <w:t xml:space="preserve"> </w:t>
      </w:r>
      <w:proofErr w:type="gramStart"/>
      <w:r w:rsidRPr="006A1E92">
        <w:t xml:space="preserve">(See </w:t>
      </w:r>
      <w:r w:rsidRPr="006A1E92">
        <w:rPr>
          <w:i/>
          <w:iCs/>
        </w:rPr>
        <w:t xml:space="preserve">Snyder v. State Bar </w:t>
      </w:r>
      <w:r w:rsidRPr="006A1E92">
        <w:t xml:space="preserve">(1990) 49 </w:t>
      </w:r>
      <w:proofErr w:type="spellStart"/>
      <w:r w:rsidRPr="006A1E92">
        <w:t>Cal.3d</w:t>
      </w:r>
      <w:proofErr w:type="spellEnd"/>
      <w:r w:rsidRPr="006A1E92">
        <w:t xml:space="preserve"> 1302, 1310-1311).</w:t>
      </w:r>
      <w:proofErr w:type="gramEnd"/>
      <w:r>
        <w:t xml:space="preserve"> </w:t>
      </w:r>
      <w:r w:rsidRPr="00E814DB">
        <w:t xml:space="preserve"> Our research reveals that the </w:t>
      </w:r>
      <w:r>
        <w:t xml:space="preserve">Supreme Court’s </w:t>
      </w:r>
      <w:r w:rsidRPr="00E814DB">
        <w:t xml:space="preserve">guiding case precedent for </w:t>
      </w:r>
      <w:r>
        <w:t xml:space="preserve">similar </w:t>
      </w:r>
      <w:r w:rsidRPr="00E814DB">
        <w:t>violations range</w:t>
      </w:r>
      <w:r w:rsidR="00784B9B">
        <w:t>s</w:t>
      </w:r>
      <w:r w:rsidRPr="00E814DB">
        <w:t xml:space="preserve"> from </w:t>
      </w:r>
      <w:r>
        <w:t xml:space="preserve">three to nine </w:t>
      </w:r>
      <w:r w:rsidRPr="00E814DB">
        <w:t>months</w:t>
      </w:r>
      <w:r>
        <w:t xml:space="preserve"> of actual suspension</w:t>
      </w:r>
      <w:r w:rsidRPr="00E814DB">
        <w:t xml:space="preserve">.  </w:t>
      </w:r>
      <w:r>
        <w:t xml:space="preserve">(See </w:t>
      </w:r>
      <w:r w:rsidRPr="00C83056">
        <w:rPr>
          <w:i/>
        </w:rPr>
        <w:t>King v. State Bar</w:t>
      </w:r>
      <w:r>
        <w:t xml:space="preserve"> (1990) 52 </w:t>
      </w:r>
      <w:proofErr w:type="spellStart"/>
      <w:r>
        <w:t>Cal.3d</w:t>
      </w:r>
      <w:proofErr w:type="spellEnd"/>
      <w:r>
        <w:t xml:space="preserve"> 307 [three-month actual suspension for repeated incompetence in two matters over four years</w:t>
      </w:r>
      <w:r w:rsidR="002737B9">
        <w:t xml:space="preserve"> for</w:t>
      </w:r>
      <w:r>
        <w:t xml:space="preserve"> failing to return files, use diligence, and support the laws resulting in $84,000 default judgment and nominal mitigation]; </w:t>
      </w:r>
      <w:r w:rsidRPr="00BD5C30">
        <w:rPr>
          <w:i/>
        </w:rPr>
        <w:t>Lester v. State Bar</w:t>
      </w:r>
      <w:r>
        <w:t xml:space="preserve"> (1976) 17 </w:t>
      </w:r>
      <w:proofErr w:type="spellStart"/>
      <w:r>
        <w:t>Cal.3d</w:t>
      </w:r>
      <w:proofErr w:type="spellEnd"/>
      <w:r>
        <w:t xml:space="preserve"> 547 [six months’ actual suspension for incompetence and failing to refund fees in four matters over two </w:t>
      </w:r>
      <w:r>
        <w:lastRenderedPageBreak/>
        <w:t xml:space="preserve">years and no showing of remorse, lack of candor and lack of insight into misconduct]; </w:t>
      </w:r>
      <w:r>
        <w:rPr>
          <w:i/>
        </w:rPr>
        <w:t>Lister v. State Bar</w:t>
      </w:r>
      <w:r>
        <w:t xml:space="preserve"> (1990) 51 </w:t>
      </w:r>
      <w:proofErr w:type="spellStart"/>
      <w:r>
        <w:t>Cal.3d</w:t>
      </w:r>
      <w:proofErr w:type="spellEnd"/>
      <w:r>
        <w:t xml:space="preserve"> 1117, [nine-month actual suspension for incompetence in three matters over seven years</w:t>
      </w:r>
      <w:r w:rsidR="002737B9">
        <w:t xml:space="preserve"> for</w:t>
      </w:r>
      <w:r>
        <w:t xml:space="preserve"> failing to promptly return client files, place client funds in safekeeping, maintain record of funds, render accounting, return unearned fees, communicate with client and participate in disciplinary proceedings and a prior record of discipline].</w:t>
      </w:r>
    </w:p>
    <w:p w:rsidR="00EC41C1" w:rsidRPr="00E814DB" w:rsidRDefault="00EC41C1" w:rsidP="00E814DB">
      <w:r w:rsidRPr="00E814DB">
        <w:tab/>
        <w:t xml:space="preserve">The hearing judge recommended </w:t>
      </w:r>
      <w:r>
        <w:t xml:space="preserve">a </w:t>
      </w:r>
      <w:r w:rsidRPr="00E814DB">
        <w:t>one</w:t>
      </w:r>
      <w:r>
        <w:t>-</w:t>
      </w:r>
      <w:r w:rsidRPr="00E814DB">
        <w:t xml:space="preserve">year </w:t>
      </w:r>
      <w:r>
        <w:t xml:space="preserve">actual suspension for Harley </w:t>
      </w:r>
      <w:r w:rsidRPr="00E814DB">
        <w:t xml:space="preserve">relying on </w:t>
      </w:r>
      <w:r w:rsidRPr="00E814DB">
        <w:rPr>
          <w:i/>
          <w:iCs/>
        </w:rPr>
        <w:t xml:space="preserve">Segal v. State Bar </w:t>
      </w:r>
      <w:r w:rsidRPr="00E814DB">
        <w:t xml:space="preserve">(1988) 44 </w:t>
      </w:r>
      <w:proofErr w:type="spellStart"/>
      <w:r w:rsidRPr="00E814DB">
        <w:t>Cal.3d</w:t>
      </w:r>
      <w:proofErr w:type="spellEnd"/>
      <w:r w:rsidRPr="00E814DB">
        <w:t xml:space="preserve"> 1077.  But</w:t>
      </w:r>
      <w:r>
        <w:t xml:space="preserve"> the attorney </w:t>
      </w:r>
      <w:r w:rsidRPr="00E814DB">
        <w:t xml:space="preserve">in </w:t>
      </w:r>
      <w:r w:rsidRPr="00E814DB">
        <w:rPr>
          <w:i/>
          <w:iCs/>
        </w:rPr>
        <w:t>Segal</w:t>
      </w:r>
      <w:r>
        <w:rPr>
          <w:i/>
          <w:iCs/>
        </w:rPr>
        <w:t xml:space="preserve"> </w:t>
      </w:r>
      <w:r>
        <w:rPr>
          <w:iCs/>
        </w:rPr>
        <w:t>i</w:t>
      </w:r>
      <w:r w:rsidRPr="00E814DB">
        <w:t>ssued bad checks</w:t>
      </w:r>
      <w:r>
        <w:t>,</w:t>
      </w:r>
      <w:r w:rsidRPr="00E814DB">
        <w:t xml:space="preserve"> which involves a lack of “common honesty,” had a prior record of discipline </w:t>
      </w:r>
      <w:r w:rsidR="004A6F2B">
        <w:t xml:space="preserve">involving bad checks </w:t>
      </w:r>
      <w:r w:rsidRPr="00E814DB">
        <w:t xml:space="preserve">and </w:t>
      </w:r>
      <w:r>
        <w:t xml:space="preserve">presented only </w:t>
      </w:r>
      <w:r w:rsidRPr="00E814DB">
        <w:t xml:space="preserve">limited mitigation.  We do not find </w:t>
      </w:r>
      <w:r w:rsidRPr="00E814DB">
        <w:rPr>
          <w:i/>
          <w:iCs/>
        </w:rPr>
        <w:t xml:space="preserve">Segal </w:t>
      </w:r>
      <w:r w:rsidRPr="00E814DB">
        <w:t xml:space="preserve">to be </w:t>
      </w:r>
      <w:r w:rsidR="002737B9">
        <w:t>applicable</w:t>
      </w:r>
      <w:r w:rsidRPr="00E814DB">
        <w:t xml:space="preserve"> given Harley’s lack of disciplinary record, significant mitigation and culpability findings that do not in</w:t>
      </w:r>
      <w:r>
        <w:t>clude</w:t>
      </w:r>
      <w:r w:rsidRPr="00E814DB">
        <w:t xml:space="preserve"> dishonesty.  </w:t>
      </w:r>
      <w:r>
        <w:t xml:space="preserve">Instead, looking to the nature and extent of Harley’s misconduct, the significant mitigation and her recognition of wrongdoing we conclude that a lesser actual suspension will protect the public and maintain the high standards of the legal profession.  </w:t>
      </w:r>
      <w:r w:rsidRPr="00E814DB">
        <w:t>In the final analysis we determine disciplinary sanctions after considering all factors in the case.  (</w:t>
      </w:r>
      <w:proofErr w:type="spellStart"/>
      <w:proofErr w:type="gramStart"/>
      <w:r w:rsidRPr="00E814DB">
        <w:rPr>
          <w:i/>
          <w:iCs/>
        </w:rPr>
        <w:t>Codiga</w:t>
      </w:r>
      <w:proofErr w:type="spellEnd"/>
      <w:r w:rsidRPr="00E814DB">
        <w:rPr>
          <w:i/>
          <w:iCs/>
        </w:rPr>
        <w:t xml:space="preserve">  v</w:t>
      </w:r>
      <w:proofErr w:type="gramEnd"/>
      <w:r w:rsidRPr="00E814DB">
        <w:rPr>
          <w:i/>
          <w:iCs/>
        </w:rPr>
        <w:t>. State Bar</w:t>
      </w:r>
      <w:r w:rsidRPr="00E814DB">
        <w:t xml:space="preserve"> (1978) 20 </w:t>
      </w:r>
      <w:proofErr w:type="spellStart"/>
      <w:r w:rsidRPr="00E814DB">
        <w:t>Cal.3d</w:t>
      </w:r>
      <w:proofErr w:type="spellEnd"/>
      <w:r w:rsidRPr="00E814DB">
        <w:t xml:space="preserve"> 788, 796.)  </w:t>
      </w:r>
      <w:r>
        <w:t xml:space="preserve">After evaluating those factors and the guiding case law suggesting an actual suspension between three and nine months, </w:t>
      </w:r>
      <w:r w:rsidRPr="00E814DB">
        <w:t xml:space="preserve">we </w:t>
      </w:r>
      <w:r>
        <w:t>recommend</w:t>
      </w:r>
      <w:r w:rsidRPr="00E814DB">
        <w:t xml:space="preserve"> </w:t>
      </w:r>
      <w:r>
        <w:t>six</w:t>
      </w:r>
      <w:r w:rsidR="004A6BDF">
        <w:t xml:space="preserve"> </w:t>
      </w:r>
      <w:r w:rsidRPr="00E814DB">
        <w:t>month</w:t>
      </w:r>
      <w:r>
        <w:t>s’</w:t>
      </w:r>
      <w:r w:rsidRPr="00E814DB">
        <w:t xml:space="preserve"> actual suspension</w:t>
      </w:r>
      <w:r>
        <w:t>, two</w:t>
      </w:r>
      <w:r w:rsidR="004A6BDF">
        <w:t xml:space="preserve"> </w:t>
      </w:r>
      <w:r>
        <w:t>years’ sta</w:t>
      </w:r>
      <w:r w:rsidR="004A6BDF">
        <w:t xml:space="preserve">yed suspension, and two </w:t>
      </w:r>
      <w:r>
        <w:t xml:space="preserve">years’ probation.  We also recommend that </w:t>
      </w:r>
      <w:r w:rsidRPr="00E814DB">
        <w:t xml:space="preserve">Harley </w:t>
      </w:r>
      <w:r>
        <w:t xml:space="preserve">pay restitution to </w:t>
      </w:r>
      <w:proofErr w:type="spellStart"/>
      <w:r>
        <w:t>Bissig</w:t>
      </w:r>
      <w:proofErr w:type="spellEnd"/>
      <w:r w:rsidR="004A6F2B">
        <w:t xml:space="preserve"> and successfully complete a course in law office management.</w:t>
      </w:r>
      <w:r w:rsidRPr="00E814DB">
        <w:t xml:space="preserve">    </w:t>
      </w:r>
    </w:p>
    <w:p w:rsidR="00EC41C1" w:rsidRPr="00E814DB" w:rsidRDefault="00EC41C1" w:rsidP="006B511A">
      <w:pPr>
        <w:jc w:val="center"/>
        <w:rPr>
          <w:b/>
          <w:bCs/>
        </w:rPr>
      </w:pPr>
      <w:r>
        <w:rPr>
          <w:b/>
          <w:bCs/>
        </w:rPr>
        <w:t>VI</w:t>
      </w:r>
      <w:proofErr w:type="gramStart"/>
      <w:r w:rsidRPr="00E814DB">
        <w:rPr>
          <w:b/>
          <w:bCs/>
        </w:rPr>
        <w:t>.  RECOMMENDATION</w:t>
      </w:r>
      <w:proofErr w:type="gramEnd"/>
    </w:p>
    <w:p w:rsidR="00EC41C1" w:rsidRDefault="00EC41C1" w:rsidP="008D3558">
      <w:r w:rsidRPr="00E814DB">
        <w:tab/>
        <w:t xml:space="preserve">For the foregoing reasons, we recommend that Jamie Leigh Harley be suspended from the practice of law in California for </w:t>
      </w:r>
      <w:r w:rsidR="00784B9B">
        <w:t xml:space="preserve">two </w:t>
      </w:r>
      <w:r w:rsidRPr="00E814DB">
        <w:t>year</w:t>
      </w:r>
      <w:r w:rsidR="00784B9B">
        <w:t>s</w:t>
      </w:r>
      <w:r w:rsidRPr="00E814DB">
        <w:t xml:space="preserve">, that execution of that period of suspension be stayed, and that she be placed on probation for </w:t>
      </w:r>
      <w:r w:rsidR="00784B9B">
        <w:t xml:space="preserve">two </w:t>
      </w:r>
      <w:r w:rsidRPr="00E814DB">
        <w:t>year</w:t>
      </w:r>
      <w:r w:rsidR="00784B9B">
        <w:t>s</w:t>
      </w:r>
      <w:r w:rsidRPr="00E814DB">
        <w:t xml:space="preserve"> subject to the following conditions:</w:t>
      </w:r>
    </w:p>
    <w:p w:rsidR="00EC41C1" w:rsidRDefault="00EC41C1" w:rsidP="00CF1957">
      <w:r>
        <w:t xml:space="preserve">1.  </w:t>
      </w:r>
      <w:r w:rsidRPr="00E814DB">
        <w:t xml:space="preserve">She must be suspended from the practice of law for the first </w:t>
      </w:r>
      <w:r>
        <w:t>six</w:t>
      </w:r>
      <w:r w:rsidRPr="00E814DB">
        <w:t xml:space="preserve"> months of probation</w:t>
      </w:r>
      <w:r>
        <w:t xml:space="preserve"> and:</w:t>
      </w:r>
    </w:p>
    <w:p w:rsidR="00EC41C1" w:rsidRDefault="00904932" w:rsidP="002325E3">
      <w:pPr>
        <w:spacing w:line="240" w:lineRule="auto"/>
        <w:ind w:left="288"/>
      </w:pPr>
      <w:r>
        <w:t>(</w:t>
      </w:r>
      <w:r w:rsidR="00EC41C1">
        <w:t xml:space="preserve">a)  </w:t>
      </w:r>
      <w:r>
        <w:t>Until s</w:t>
      </w:r>
      <w:r w:rsidR="00EC41C1">
        <w:t xml:space="preserve">he makes restitution to Walter </w:t>
      </w:r>
      <w:proofErr w:type="spellStart"/>
      <w:r w:rsidR="00EC41C1">
        <w:t>Bissig</w:t>
      </w:r>
      <w:proofErr w:type="spellEnd"/>
      <w:r w:rsidR="00EC41C1">
        <w:t xml:space="preserve"> in the amount of $4,500, plus 10 percent interest per year from the date of the fee arbitration award (or reimburse the Client Security </w:t>
      </w:r>
      <w:r w:rsidR="00EC41C1">
        <w:lastRenderedPageBreak/>
        <w:t xml:space="preserve">Fund, to the extent of any payment from the fund to Walter </w:t>
      </w:r>
      <w:proofErr w:type="spellStart"/>
      <w:r w:rsidR="00EC41C1">
        <w:t>Bissig</w:t>
      </w:r>
      <w:proofErr w:type="spellEnd"/>
      <w:r w:rsidR="00EC41C1">
        <w:t>, in accordance with Business and Professions Code section 6145.5), and provide proof to the Office of Probation in Los Angeles.</w:t>
      </w:r>
    </w:p>
    <w:p w:rsidR="00EC41C1" w:rsidRDefault="00EC41C1" w:rsidP="002325E3">
      <w:pPr>
        <w:spacing w:line="240" w:lineRule="auto"/>
        <w:ind w:left="288"/>
      </w:pPr>
    </w:p>
    <w:p w:rsidR="00EC41C1" w:rsidRDefault="00904932" w:rsidP="002325E3">
      <w:pPr>
        <w:spacing w:line="240" w:lineRule="auto"/>
        <w:ind w:left="288"/>
      </w:pPr>
      <w:r>
        <w:t>(b</w:t>
      </w:r>
      <w:r w:rsidR="00EC41C1">
        <w:t xml:space="preserve">)  If she </w:t>
      </w:r>
      <w:r w:rsidR="00132E86">
        <w:t>remains suspended for two years or more as a result of not satisfying the preceding condition, she must also provide proof to the State Bar Court of her rehabilitation, fitness to practice and learning and ability in the general law before her suspension</w:t>
      </w:r>
      <w:r w:rsidR="00784B9B">
        <w:t xml:space="preserve"> will be terminated.  (Std. 1.4</w:t>
      </w:r>
      <w:r w:rsidR="00132E86">
        <w:t>(c</w:t>
      </w:r>
      <w:proofErr w:type="gramStart"/>
      <w:r w:rsidR="00132E86">
        <w:t>)(</w:t>
      </w:r>
      <w:proofErr w:type="gramEnd"/>
      <w:r w:rsidR="00132E86">
        <w:t>ii).)</w:t>
      </w:r>
    </w:p>
    <w:p w:rsidR="00904932" w:rsidRDefault="00904932" w:rsidP="00904932">
      <w:pPr>
        <w:spacing w:line="240" w:lineRule="auto"/>
      </w:pPr>
    </w:p>
    <w:p w:rsidR="00904932" w:rsidRDefault="00904932" w:rsidP="00904932">
      <w:pPr>
        <w:spacing w:line="240" w:lineRule="auto"/>
        <w:ind w:left="288" w:hanging="288"/>
      </w:pPr>
      <w:r>
        <w:t xml:space="preserve">2.  She must place $1,500 in trust and resolve </w:t>
      </w:r>
      <w:r w:rsidR="00252978">
        <w:t xml:space="preserve">the fee dispute </w:t>
      </w:r>
      <w:r>
        <w:t>or offer to enter into fee arbitration with Eric Eagle, and provide proof to the Office of Probation within 60 days of the effective date of this order.</w:t>
      </w:r>
    </w:p>
    <w:p w:rsidR="00EC41C1" w:rsidRPr="00E814DB" w:rsidRDefault="00EC41C1" w:rsidP="006B511A">
      <w:pPr>
        <w:spacing w:line="240" w:lineRule="auto"/>
      </w:pPr>
    </w:p>
    <w:p w:rsidR="00EC41C1" w:rsidRPr="00E814DB" w:rsidRDefault="00904932" w:rsidP="006B511A">
      <w:pPr>
        <w:spacing w:line="240" w:lineRule="auto"/>
        <w:ind w:left="288" w:hanging="288"/>
      </w:pPr>
      <w:r>
        <w:t>3</w:t>
      </w:r>
      <w:r w:rsidR="00EC41C1">
        <w:t xml:space="preserve">.  </w:t>
      </w:r>
      <w:r w:rsidR="00EC41C1" w:rsidRPr="00E814DB">
        <w:t>During the period of probation, she must comply with the State Bar Act and the Rules of Professional Conduct;</w:t>
      </w:r>
    </w:p>
    <w:p w:rsidR="00EC41C1" w:rsidRPr="00E814DB" w:rsidRDefault="00EC41C1" w:rsidP="006B511A">
      <w:pPr>
        <w:spacing w:line="240" w:lineRule="auto"/>
      </w:pPr>
    </w:p>
    <w:p w:rsidR="00EC41C1" w:rsidRPr="00E814DB" w:rsidRDefault="00252978" w:rsidP="006B511A">
      <w:pPr>
        <w:spacing w:line="240" w:lineRule="auto"/>
        <w:ind w:left="288" w:hanging="288"/>
      </w:pPr>
      <w:r>
        <w:t>4</w:t>
      </w:r>
      <w:r w:rsidR="00EC41C1">
        <w:t xml:space="preserve">.  </w:t>
      </w:r>
      <w:r w:rsidR="00EC41C1" w:rsidRPr="00E814DB">
        <w:t xml:space="preserve">She must maintain, with the State Bar Membership Records Office and the State Bar’s Office of Probation in Los Angeles, her current office address and telephone number or, </w:t>
      </w:r>
      <w:r w:rsidR="00EC41C1" w:rsidRPr="006B511A">
        <w:t>if no office is maintained</w:t>
      </w:r>
      <w:r w:rsidR="00EC41C1" w:rsidRPr="00E814DB">
        <w:t xml:space="preserve">, an address to be used for State Bar purposes.  (Bus. </w:t>
      </w:r>
      <w:proofErr w:type="gramStart"/>
      <w:r w:rsidR="00EC41C1" w:rsidRPr="00E814DB">
        <w:t xml:space="preserve">&amp; Prof. Code, § 6002.1, </w:t>
      </w:r>
      <w:proofErr w:type="spellStart"/>
      <w:r w:rsidR="00EC41C1" w:rsidRPr="00E814DB">
        <w:t>subd</w:t>
      </w:r>
      <w:proofErr w:type="spellEnd"/>
      <w:r w:rsidR="00EC41C1" w:rsidRPr="00E814DB">
        <w:t>.</w:t>
      </w:r>
      <w:proofErr w:type="gramEnd"/>
      <w:r w:rsidR="00EC41C1" w:rsidRPr="00E814DB">
        <w:t xml:space="preserve"> (a)(1).</w:t>
      </w:r>
      <w:proofErr w:type="gramStart"/>
      <w:r w:rsidR="00EC41C1" w:rsidRPr="00E814DB">
        <w:t>)  She</w:t>
      </w:r>
      <w:proofErr w:type="gramEnd"/>
      <w:r w:rsidR="00EC41C1" w:rsidRPr="00E814DB">
        <w:t xml:space="preserve"> must also maintain, with the State Bar’s Membership Records Office </w:t>
      </w:r>
      <w:r w:rsidR="00EC41C1" w:rsidRPr="006B511A">
        <w:t>and</w:t>
      </w:r>
      <w:r w:rsidR="00EC41C1" w:rsidRPr="00E814DB">
        <w:t xml:space="preserve"> the State Bar’s Office of Probation in Los Angeles, her current home address and telephone number.  (Bus. </w:t>
      </w:r>
      <w:proofErr w:type="gramStart"/>
      <w:r w:rsidR="00EC41C1" w:rsidRPr="00E814DB">
        <w:t xml:space="preserve">&amp; Prof. Code, § 6002.1, </w:t>
      </w:r>
      <w:proofErr w:type="spellStart"/>
      <w:r w:rsidR="00EC41C1" w:rsidRPr="00E814DB">
        <w:t>subd</w:t>
      </w:r>
      <w:proofErr w:type="spellEnd"/>
      <w:r w:rsidR="00EC41C1" w:rsidRPr="00E814DB">
        <w:t>.</w:t>
      </w:r>
      <w:proofErr w:type="gramEnd"/>
      <w:r w:rsidR="00EC41C1" w:rsidRPr="00E814DB">
        <w:t xml:space="preserve"> (a)(5).</w:t>
      </w:r>
      <w:proofErr w:type="gramStart"/>
      <w:r w:rsidR="00EC41C1" w:rsidRPr="00E814DB">
        <w:t>)  Her</w:t>
      </w:r>
      <w:proofErr w:type="gramEnd"/>
      <w:r w:rsidR="00EC41C1" w:rsidRPr="00E814DB">
        <w:t xml:space="preserve"> home address and telephone number will </w:t>
      </w:r>
      <w:r w:rsidR="00EC41C1" w:rsidRPr="00E814DB">
        <w:rPr>
          <w:i/>
          <w:iCs/>
        </w:rPr>
        <w:t>not</w:t>
      </w:r>
      <w:r w:rsidR="00EC41C1" w:rsidRPr="00E814DB">
        <w:t xml:space="preserve"> be made available to the general public.  (Bus. </w:t>
      </w:r>
      <w:proofErr w:type="gramStart"/>
      <w:r w:rsidR="00EC41C1" w:rsidRPr="00E814DB">
        <w:t xml:space="preserve">&amp; Prof. Code, § 6002.1, </w:t>
      </w:r>
      <w:proofErr w:type="spellStart"/>
      <w:r w:rsidR="00EC41C1" w:rsidRPr="00E814DB">
        <w:t>subd</w:t>
      </w:r>
      <w:proofErr w:type="spellEnd"/>
      <w:r w:rsidR="00EC41C1" w:rsidRPr="00E814DB">
        <w:t>.</w:t>
      </w:r>
      <w:proofErr w:type="gramEnd"/>
      <w:r w:rsidR="00EC41C1" w:rsidRPr="00E814DB">
        <w:t xml:space="preserve"> (d).)  She must notify the Membership Records Office and the Office of Probation of any change in any of this information no later than 10 days after the change;</w:t>
      </w:r>
    </w:p>
    <w:p w:rsidR="00EC41C1" w:rsidRPr="00E814DB" w:rsidRDefault="00EC41C1" w:rsidP="006B511A">
      <w:pPr>
        <w:spacing w:line="240" w:lineRule="auto"/>
      </w:pPr>
    </w:p>
    <w:p w:rsidR="00EC41C1" w:rsidRPr="00E814DB" w:rsidRDefault="00252978" w:rsidP="006B511A">
      <w:pPr>
        <w:spacing w:line="240" w:lineRule="auto"/>
        <w:ind w:left="288" w:hanging="288"/>
      </w:pPr>
      <w:r>
        <w:t>5</w:t>
      </w:r>
      <w:r w:rsidR="00EC41C1">
        <w:t xml:space="preserve">.  </w:t>
      </w:r>
      <w:r w:rsidR="00EC41C1" w:rsidRPr="00E814DB">
        <w:t xml:space="preserve">She must submit written quarterly reports to the Office of Probation on each January 10, April 10, July 10, and October 10 of the period of probation.  Under penalty of perjury, she must state whether </w:t>
      </w:r>
      <w:r w:rsidR="00784B9B">
        <w:t>s</w:t>
      </w:r>
      <w:r w:rsidR="00EC41C1" w:rsidRPr="00E814DB">
        <w:t xml:space="preserve">he has complied with the State Bar Act, the Rules of Professional Conduct, and all conditions of probation during the preceding calendar quarter.  If the first report will cover less than 30 days, that report must be submitted on the next following quarter date, and cover the extended period.  In addition to all quarterly reports, a final report, containing the same information, is due no earlier than 20 days before the last day of the probation period and no later than the last day of the probation period. </w:t>
      </w:r>
    </w:p>
    <w:p w:rsidR="00EC41C1" w:rsidRPr="00E814DB" w:rsidRDefault="00EC41C1" w:rsidP="006B511A">
      <w:pPr>
        <w:spacing w:line="240" w:lineRule="auto"/>
      </w:pPr>
    </w:p>
    <w:p w:rsidR="00EC41C1" w:rsidRDefault="00252978" w:rsidP="006B511A">
      <w:pPr>
        <w:spacing w:line="240" w:lineRule="auto"/>
        <w:ind w:left="288" w:hanging="288"/>
      </w:pPr>
      <w:r>
        <w:t>6</w:t>
      </w:r>
      <w:r w:rsidR="00EC41C1">
        <w:t xml:space="preserve">.  </w:t>
      </w:r>
      <w:r w:rsidR="00EC41C1" w:rsidRPr="00E814DB">
        <w:t>Subject to the assertion of applicable privileges, she must answer fully, promptly, and truthfully, any inquiries of the State Bar Office of Probation which are directed to her personally or in writing, relating to whether she is complying or has complied with the conditions contained herein;</w:t>
      </w:r>
    </w:p>
    <w:p w:rsidR="004A6F2B" w:rsidRDefault="004A6F2B" w:rsidP="006B511A">
      <w:pPr>
        <w:spacing w:line="240" w:lineRule="auto"/>
        <w:ind w:left="288" w:hanging="288"/>
      </w:pPr>
    </w:p>
    <w:p w:rsidR="004A6F2B" w:rsidRPr="00E814DB" w:rsidRDefault="00252978" w:rsidP="006B511A">
      <w:pPr>
        <w:spacing w:line="240" w:lineRule="auto"/>
        <w:ind w:left="288" w:hanging="288"/>
      </w:pPr>
      <w:r>
        <w:t>7</w:t>
      </w:r>
      <w:r w:rsidR="004A6F2B">
        <w:t xml:space="preserve">.  Within six months of </w:t>
      </w:r>
      <w:r w:rsidR="00750B43">
        <w:t>t</w:t>
      </w:r>
      <w:r w:rsidR="004A6F2B">
        <w:t xml:space="preserve">he effective date of the discipline, she must submit to the Office of Probation satisfactory </w:t>
      </w:r>
      <w:r w:rsidR="00750B43">
        <w:t>evidence</w:t>
      </w:r>
      <w:r w:rsidR="004A6F2B">
        <w:t xml:space="preserve"> of completion of no less than three hours of Minimum Continuing Legal Education</w:t>
      </w:r>
      <w:r w:rsidR="00750B43">
        <w:t xml:space="preserve"> (</w:t>
      </w:r>
      <w:proofErr w:type="spellStart"/>
      <w:r w:rsidR="00750B43">
        <w:t>MCLE</w:t>
      </w:r>
      <w:proofErr w:type="spellEnd"/>
      <w:r w:rsidR="00750B43">
        <w:t xml:space="preserve">) in law office management.  This requirement is separate from any </w:t>
      </w:r>
      <w:proofErr w:type="spellStart"/>
      <w:r w:rsidR="00750B43">
        <w:t>MCLE</w:t>
      </w:r>
      <w:proofErr w:type="spellEnd"/>
      <w:r w:rsidR="00750B43">
        <w:t xml:space="preserve"> requirement, and she will not receive </w:t>
      </w:r>
      <w:proofErr w:type="spellStart"/>
      <w:r w:rsidR="00750B43">
        <w:t>MCLE</w:t>
      </w:r>
      <w:proofErr w:type="spellEnd"/>
      <w:r w:rsidR="00750B43">
        <w:t xml:space="preserve"> credit for attending the class;</w:t>
      </w:r>
    </w:p>
    <w:p w:rsidR="00EC41C1" w:rsidRPr="00E814DB" w:rsidRDefault="00EC41C1" w:rsidP="006B511A">
      <w:pPr>
        <w:spacing w:line="240" w:lineRule="auto"/>
      </w:pPr>
    </w:p>
    <w:p w:rsidR="00EC41C1" w:rsidRPr="00E814DB" w:rsidRDefault="00252978" w:rsidP="006B511A">
      <w:pPr>
        <w:spacing w:line="240" w:lineRule="auto"/>
        <w:ind w:left="288" w:hanging="288"/>
      </w:pPr>
      <w:r>
        <w:t>8</w:t>
      </w:r>
      <w:r w:rsidR="00EC41C1">
        <w:t xml:space="preserve">.  </w:t>
      </w:r>
      <w:r w:rsidR="00EC41C1" w:rsidRPr="00E814DB">
        <w:t>Within one year of the e</w:t>
      </w:r>
      <w:r w:rsidR="00750B43">
        <w:t>ffective date of the discipline</w:t>
      </w:r>
      <w:r w:rsidR="00EC41C1" w:rsidRPr="00E814DB">
        <w:t xml:space="preserve">, she must submit to the Office of Probation satisfactory evidence of completion the State Bar’s Ethics School and passage of the test given at the end of that session.  This requirement is separate from any Minimum </w:t>
      </w:r>
      <w:r w:rsidR="00EC41C1" w:rsidRPr="00E814DB">
        <w:lastRenderedPageBreak/>
        <w:t>Continuing Legal Education Requirement (</w:t>
      </w:r>
      <w:proofErr w:type="spellStart"/>
      <w:r w:rsidR="00EC41C1" w:rsidRPr="00E814DB">
        <w:t>MCLE</w:t>
      </w:r>
      <w:proofErr w:type="spellEnd"/>
      <w:r w:rsidR="00EC41C1" w:rsidRPr="00E814DB">
        <w:t xml:space="preserve">) requirement, and he shall not receive </w:t>
      </w:r>
      <w:proofErr w:type="spellStart"/>
      <w:r w:rsidR="00EC41C1" w:rsidRPr="00E814DB">
        <w:t>MCLE</w:t>
      </w:r>
      <w:proofErr w:type="spellEnd"/>
      <w:r w:rsidR="00EC41C1" w:rsidRPr="00E814DB">
        <w:t xml:space="preserve"> credit for attending Ethics School (Rules Proc. of State Bar, rule 3201).</w:t>
      </w:r>
    </w:p>
    <w:p w:rsidR="00EC41C1" w:rsidRPr="00E814DB" w:rsidRDefault="00EC41C1" w:rsidP="006B511A">
      <w:pPr>
        <w:spacing w:line="240" w:lineRule="auto"/>
      </w:pPr>
    </w:p>
    <w:p w:rsidR="00074117" w:rsidRDefault="00EC41C1" w:rsidP="006B511A">
      <w:pPr>
        <w:spacing w:line="240" w:lineRule="auto"/>
        <w:ind w:left="288" w:hanging="288"/>
      </w:pPr>
      <w:r>
        <w:t xml:space="preserve">9.  </w:t>
      </w:r>
      <w:r w:rsidRPr="00E814DB">
        <w:t xml:space="preserve">Her probation will commence on the effective date of the Supreme Court order imposing discipline in this matter.  At the end of the probationary term, if she has complied with the conditions of probation, the Supreme Court order suspending her from the practice of law for </w:t>
      </w:r>
      <w:r w:rsidR="00784B9B">
        <w:t>two</w:t>
      </w:r>
      <w:r w:rsidRPr="00E814DB">
        <w:t xml:space="preserve"> year</w:t>
      </w:r>
      <w:r w:rsidR="00784B9B">
        <w:t>s</w:t>
      </w:r>
      <w:r w:rsidRPr="00E814DB">
        <w:t xml:space="preserve"> will be satisfied, and the suspension will be terminated.</w:t>
      </w:r>
    </w:p>
    <w:p w:rsidR="00074117" w:rsidRDefault="00074117">
      <w:pPr>
        <w:spacing w:line="240" w:lineRule="auto"/>
      </w:pPr>
    </w:p>
    <w:p w:rsidR="00EC41C1" w:rsidRDefault="00EC41C1">
      <w:pPr>
        <w:ind w:firstLine="288"/>
        <w:jc w:val="center"/>
        <w:rPr>
          <w:b/>
        </w:rPr>
      </w:pPr>
      <w:r>
        <w:rPr>
          <w:b/>
        </w:rPr>
        <w:t>VII</w:t>
      </w:r>
      <w:proofErr w:type="gramStart"/>
      <w:r>
        <w:rPr>
          <w:b/>
        </w:rPr>
        <w:t>.  PROFESSIONAL</w:t>
      </w:r>
      <w:proofErr w:type="gramEnd"/>
      <w:r>
        <w:rPr>
          <w:b/>
        </w:rPr>
        <w:t xml:space="preserve"> RESPONSIBILITY EXAMINATION</w:t>
      </w:r>
    </w:p>
    <w:p w:rsidR="00EC41C1" w:rsidRDefault="00EC41C1">
      <w:pPr>
        <w:ind w:firstLine="720"/>
      </w:pPr>
      <w:r w:rsidRPr="00E814DB">
        <w:t>We further recommend that Jamie Leigh Harley be ordered to take and pass the Multistate Professional Responsibility Examination within one year after the effective date of the Supreme Court order in this matter and provide satisfactory proof of such passage to the State Bar’s Office of Probation in Los Angeles within the same period.  Failure to do so may result in an automatic suspension.  (Cal. Rules of Court, rule 9.10(b).)</w:t>
      </w:r>
    </w:p>
    <w:p w:rsidR="00EC41C1" w:rsidRDefault="00EC41C1">
      <w:pPr>
        <w:jc w:val="center"/>
      </w:pPr>
      <w:r>
        <w:rPr>
          <w:b/>
        </w:rPr>
        <w:t>VIII</w:t>
      </w:r>
      <w:proofErr w:type="gramStart"/>
      <w:r>
        <w:rPr>
          <w:b/>
        </w:rPr>
        <w:t>.  RULE</w:t>
      </w:r>
      <w:proofErr w:type="gramEnd"/>
      <w:r>
        <w:rPr>
          <w:b/>
        </w:rPr>
        <w:t xml:space="preserve"> 9.20</w:t>
      </w:r>
    </w:p>
    <w:p w:rsidR="00784B9B" w:rsidRDefault="00EC41C1">
      <w:pPr>
        <w:ind w:firstLine="720"/>
      </w:pPr>
      <w:r w:rsidRPr="00E814DB">
        <w:t>We further recommend that Jamie Leigh Harley be ordered to comply with rule 9.20 of the California Rules of Court and perform the acts specified in subdivisions (a) and (c) of that rule, within 30 and 40 calendar days, respectively, after the effective date of the Supreme Court order herein.  Failure to do so may result in disbarment or suspension.</w:t>
      </w:r>
    </w:p>
    <w:p w:rsidR="00EC41C1" w:rsidRDefault="00EC41C1">
      <w:pPr>
        <w:jc w:val="center"/>
      </w:pPr>
      <w:r>
        <w:rPr>
          <w:b/>
        </w:rPr>
        <w:t>IX</w:t>
      </w:r>
      <w:proofErr w:type="gramStart"/>
      <w:r>
        <w:rPr>
          <w:b/>
        </w:rPr>
        <w:t>.  COSTS</w:t>
      </w:r>
      <w:proofErr w:type="gramEnd"/>
    </w:p>
    <w:p w:rsidR="00EC41C1" w:rsidRDefault="00EC41C1">
      <w:pPr>
        <w:ind w:firstLine="720"/>
      </w:pPr>
      <w:r w:rsidRPr="00E814DB">
        <w:t xml:space="preserve">Finally, we recommend that costs be awarded to the State Bar in accordance with Business and Professions Code section 6086.10, such costs being enforceable both as provided in </w:t>
      </w:r>
      <w:r>
        <w:t>s</w:t>
      </w:r>
      <w:r w:rsidRPr="00E814DB">
        <w:t>ection 6140.7 and as a money judgment.</w:t>
      </w:r>
    </w:p>
    <w:p w:rsidR="00EC41C1" w:rsidRDefault="00EC41C1" w:rsidP="00C11CC8">
      <w:r w:rsidRPr="007768C9">
        <w:tab/>
      </w:r>
      <w:r w:rsidRPr="007768C9">
        <w:tab/>
      </w:r>
      <w:r w:rsidRPr="007768C9">
        <w:tab/>
      </w:r>
      <w:r w:rsidRPr="007768C9">
        <w:tab/>
      </w:r>
      <w:r w:rsidRPr="007768C9">
        <w:tab/>
      </w:r>
      <w:r w:rsidRPr="007768C9">
        <w:tab/>
      </w:r>
      <w:r w:rsidRPr="007768C9">
        <w:tab/>
      </w:r>
      <w:bookmarkStart w:id="5" w:name="judge"/>
      <w:bookmarkEnd w:id="5"/>
      <w:r>
        <w:t>PURCELL, J.</w:t>
      </w:r>
    </w:p>
    <w:p w:rsidR="00EC41C1" w:rsidRDefault="00EC41C1" w:rsidP="00C11CC8">
      <w:r>
        <w:t>We concur:</w:t>
      </w:r>
    </w:p>
    <w:p w:rsidR="00EC41C1" w:rsidRDefault="00EC41C1" w:rsidP="00C11CC8">
      <w:r>
        <w:t>REMKE, P. J.</w:t>
      </w:r>
    </w:p>
    <w:p w:rsidR="00EC41C1" w:rsidRDefault="00EC41C1" w:rsidP="00C11CC8">
      <w:r>
        <w:t>EPSTEIN, J.</w:t>
      </w:r>
    </w:p>
    <w:p w:rsidR="00252978" w:rsidRPr="008A154E" w:rsidRDefault="00252978" w:rsidP="00C11CC8"/>
    <w:sectPr w:rsidR="00252978" w:rsidRPr="008A154E" w:rsidSect="00FA30BE">
      <w:footerReference w:type="default" r:id="rId8"/>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78" w:rsidRDefault="00252978" w:rsidP="00783AF1">
      <w:pPr>
        <w:spacing w:line="240" w:lineRule="auto"/>
      </w:pPr>
      <w:r>
        <w:separator/>
      </w:r>
    </w:p>
  </w:endnote>
  <w:endnote w:type="continuationSeparator" w:id="0">
    <w:p w:rsidR="00252978" w:rsidRDefault="00252978"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78" w:rsidRDefault="00252978" w:rsidP="00783AF1">
    <w:pPr>
      <w:pStyle w:val="Footer"/>
      <w:spacing w:before="120" w:line="240" w:lineRule="auto"/>
      <w:jc w:val="center"/>
    </w:pPr>
    <w:r>
      <w:t>-</w:t>
    </w:r>
    <w:fldSimple w:instr=" PAGE   \* MERGEFORMAT ">
      <w:r w:rsidR="00A2688C">
        <w:rPr>
          <w:noProof/>
        </w:rPr>
        <w:t>21</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78" w:rsidRDefault="00252978" w:rsidP="00783AF1">
      <w:pPr>
        <w:spacing w:line="240" w:lineRule="auto"/>
      </w:pPr>
      <w:r>
        <w:separator/>
      </w:r>
    </w:p>
  </w:footnote>
  <w:footnote w:type="continuationSeparator" w:id="0">
    <w:p w:rsidR="00252978" w:rsidRDefault="00252978" w:rsidP="00783AF1">
      <w:pPr>
        <w:spacing w:line="240" w:lineRule="auto"/>
      </w:pPr>
      <w:r>
        <w:continuationSeparator/>
      </w:r>
    </w:p>
  </w:footnote>
  <w:footnote w:type="continuationNotice" w:id="1">
    <w:p w:rsidR="00252978" w:rsidRDefault="00252978">
      <w:pPr>
        <w:spacing w:line="240" w:lineRule="auto"/>
      </w:pPr>
    </w:p>
  </w:footnote>
  <w:footnote w:id="2">
    <w:p w:rsidR="00252978" w:rsidRDefault="00252978" w:rsidP="00252978">
      <w:pPr>
        <w:keepLines/>
        <w:spacing w:after="120" w:line="240" w:lineRule="auto"/>
        <w:ind w:firstLine="720"/>
      </w:pPr>
      <w:r>
        <w:rPr>
          <w:vertAlign w:val="superscript"/>
        </w:rPr>
        <w:footnoteRef/>
      </w:r>
      <w:r>
        <w:t xml:space="preserve">Because we present the matters in chronological order rather than the order in which they were charged, the numbers assigned to the various counts are not listed sequentially throughout the opinion.  </w:t>
      </w:r>
    </w:p>
  </w:footnote>
  <w:footnote w:id="3">
    <w:p w:rsidR="00252978" w:rsidRDefault="00252978">
      <w:pPr>
        <w:spacing w:line="240" w:lineRule="auto"/>
        <w:ind w:firstLine="720"/>
      </w:pPr>
      <w:r>
        <w:rPr>
          <w:rStyle w:val="FootnoteReference"/>
        </w:rPr>
        <w:footnoteRef/>
      </w:r>
      <w:r>
        <w:t>Unless otherwise noted, all further references to “rule(s)” are to the Rules of Professional Conduct of the State Bar.</w:t>
      </w:r>
    </w:p>
  </w:footnote>
  <w:footnote w:id="4">
    <w:p w:rsidR="00252978" w:rsidRDefault="00252978" w:rsidP="001B1E1B">
      <w:pPr>
        <w:spacing w:line="240" w:lineRule="auto"/>
        <w:ind w:firstLine="720"/>
      </w:pPr>
      <w:r>
        <w:rPr>
          <w:vertAlign w:val="superscript"/>
        </w:rPr>
        <w:footnoteRef/>
      </w:r>
      <w:r>
        <w:t>The State Bar also alleged that Harley’s false advice constituted moral turpitude in violation of Business and Professions Code section 6106, but it does not challenge the hearing judge’s conclusion that Harley was not culpable.  Upon review of the record, we adopt that conclusion.  Unless otherwise noted, all further references to “section(s)” are to the Business and Professions Code.</w:t>
      </w:r>
    </w:p>
  </w:footnote>
  <w:footnote w:id="5">
    <w:p w:rsidR="00252978" w:rsidRDefault="00252978" w:rsidP="00544156">
      <w:pPr>
        <w:pStyle w:val="FootnoteText"/>
      </w:pPr>
      <w:r>
        <w:rPr>
          <w:vertAlign w:val="superscript"/>
        </w:rPr>
        <w:footnoteRef/>
      </w:r>
      <w:r>
        <w:t xml:space="preserve">The State Bar also alleged that Harley violated rule 3-110(A) (Failure to Perform Competently) because she did not advise Upton about the results of the habeas petition nor did she counsel him further.  The State Bar does not challenge the hearing judge’s non-culpability finding.  Upon review of the record, we adopt the hearing judge’s finding. </w:t>
      </w:r>
    </w:p>
  </w:footnote>
  <w:footnote w:id="6">
    <w:p w:rsidR="00252978" w:rsidRDefault="00252978" w:rsidP="00CF1957">
      <w:pPr>
        <w:pStyle w:val="FootnoteText"/>
      </w:pPr>
      <w:r>
        <w:rPr>
          <w:vertAlign w:val="superscript"/>
        </w:rPr>
        <w:footnoteRef/>
      </w:r>
      <w:r>
        <w:t>While Harley had no obligation to discuss the case with her client’s mother, she did have a fiduciary duty to contact Herbert after his mother made numerous inquiries.</w:t>
      </w:r>
    </w:p>
  </w:footnote>
  <w:footnote w:id="7">
    <w:p w:rsidR="00252978" w:rsidRDefault="00252978" w:rsidP="00D259FF">
      <w:pPr>
        <w:spacing w:line="240" w:lineRule="auto"/>
        <w:ind w:firstLine="720"/>
      </w:pPr>
      <w:r>
        <w:rPr>
          <w:rStyle w:val="FootnoteReference"/>
        </w:rPr>
        <w:footnoteRef/>
      </w:r>
      <w:r w:rsidRPr="00E814DB">
        <w:t xml:space="preserve">The State Bar </w:t>
      </w:r>
      <w:r>
        <w:t>also</w:t>
      </w:r>
      <w:r w:rsidRPr="00E814DB">
        <w:t xml:space="preserve"> alleged</w:t>
      </w:r>
      <w:r>
        <w:t xml:space="preserve"> </w:t>
      </w:r>
      <w:r w:rsidRPr="00E814DB">
        <w:t xml:space="preserve">that Harley violated rule 3-110(A) by performing incompetently </w:t>
      </w:r>
      <w:r>
        <w:t>for</w:t>
      </w:r>
      <w:r w:rsidRPr="00E814DB">
        <w:t xml:space="preserve"> failing to</w:t>
      </w:r>
      <w:r>
        <w:t xml:space="preserve">:  (1) have </w:t>
      </w:r>
      <w:proofErr w:type="spellStart"/>
      <w:r>
        <w:t>Zac</w:t>
      </w:r>
      <w:proofErr w:type="spellEnd"/>
      <w:r>
        <w:t xml:space="preserve"> examined by an expert; (2) </w:t>
      </w:r>
      <w:r w:rsidRPr="00E814DB">
        <w:t xml:space="preserve">present expert and character testimony at </w:t>
      </w:r>
      <w:proofErr w:type="spellStart"/>
      <w:r>
        <w:t>Zac’s</w:t>
      </w:r>
      <w:proofErr w:type="spellEnd"/>
      <w:r>
        <w:t xml:space="preserve"> sentencing; and (3) visit </w:t>
      </w:r>
      <w:r w:rsidRPr="00E814DB">
        <w:t>him in jail</w:t>
      </w:r>
      <w:r>
        <w:t xml:space="preserve">.  No challenge is made to the hearing </w:t>
      </w:r>
      <w:r w:rsidRPr="00E814DB">
        <w:t xml:space="preserve">judge’s </w:t>
      </w:r>
      <w:r>
        <w:t>non-culpability finding and we adopt it.</w:t>
      </w:r>
    </w:p>
  </w:footnote>
  <w:footnote w:id="8">
    <w:p w:rsidR="00252978" w:rsidRDefault="00252978" w:rsidP="00CF1957">
      <w:pPr>
        <w:pStyle w:val="FootnoteText"/>
      </w:pPr>
      <w:r>
        <w:rPr>
          <w:vertAlign w:val="superscript"/>
        </w:rPr>
        <w:footnoteRef/>
      </w:r>
      <w:r>
        <w:t>Having reviewed de novo all of the arguments set forth by Harley and the State Bar, any arguments not specifically addressed in this opinion have been considered and rejected.</w:t>
      </w:r>
    </w:p>
    <w:p w:rsidR="007610DB" w:rsidRDefault="007610DB" w:rsidP="00CF1957">
      <w:pPr>
        <w:pStyle w:val="FootnoteText"/>
      </w:pPr>
    </w:p>
  </w:footnote>
  <w:footnote w:id="9">
    <w:p w:rsidR="00252978" w:rsidRDefault="00252978" w:rsidP="002325E3">
      <w:pPr>
        <w:pStyle w:val="FootnoteText"/>
      </w:pPr>
      <w:r>
        <w:rPr>
          <w:rStyle w:val="FootnoteReference"/>
        </w:rPr>
        <w:footnoteRef/>
      </w:r>
      <w:r>
        <w:t>Unless otherwise noted, all references to “standard(s)” are to the Rules of Procedure of the State Bar, title IV, Standards for Attorney Sanctions for Professional Misconduct.</w:t>
      </w:r>
    </w:p>
  </w:footnote>
  <w:footnote w:id="10">
    <w:p w:rsidR="00252978" w:rsidRDefault="00252978">
      <w:pPr>
        <w:pStyle w:val="FootnoteText"/>
      </w:pPr>
      <w:r>
        <w:rPr>
          <w:rStyle w:val="FootnoteReference"/>
        </w:rPr>
        <w:footnoteRef/>
      </w:r>
      <w:r>
        <w:t>The State Bar concurs that the mitigation evidence is compelling.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76577"/>
    <w:multiLevelType w:val="hybridMultilevel"/>
    <w:tmpl w:val="B26673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 w:id="1"/>
  </w:footnotePr>
  <w:endnotePr>
    <w:endnote w:id="-1"/>
    <w:endnote w:id="0"/>
  </w:endnotePr>
  <w:compat/>
  <w:rsids>
    <w:rsidRoot w:val="00E814DB"/>
    <w:rsid w:val="0000156B"/>
    <w:rsid w:val="00001B48"/>
    <w:rsid w:val="00015A96"/>
    <w:rsid w:val="00020F69"/>
    <w:rsid w:val="00021B12"/>
    <w:rsid w:val="00034375"/>
    <w:rsid w:val="000361D3"/>
    <w:rsid w:val="000367FE"/>
    <w:rsid w:val="00052BBE"/>
    <w:rsid w:val="00057B9D"/>
    <w:rsid w:val="0006405C"/>
    <w:rsid w:val="00066A47"/>
    <w:rsid w:val="00070007"/>
    <w:rsid w:val="00074117"/>
    <w:rsid w:val="000A21FD"/>
    <w:rsid w:val="000A3B5B"/>
    <w:rsid w:val="000A5EBE"/>
    <w:rsid w:val="000B1B80"/>
    <w:rsid w:val="000B3408"/>
    <w:rsid w:val="000B54C3"/>
    <w:rsid w:val="000B79EB"/>
    <w:rsid w:val="000C4D8A"/>
    <w:rsid w:val="000C5595"/>
    <w:rsid w:val="000E6B48"/>
    <w:rsid w:val="000F0F74"/>
    <w:rsid w:val="000F20CD"/>
    <w:rsid w:val="00100011"/>
    <w:rsid w:val="001013D0"/>
    <w:rsid w:val="00112BCA"/>
    <w:rsid w:val="001206DC"/>
    <w:rsid w:val="00122A25"/>
    <w:rsid w:val="001274A1"/>
    <w:rsid w:val="00132E86"/>
    <w:rsid w:val="00136583"/>
    <w:rsid w:val="001370BB"/>
    <w:rsid w:val="00172A84"/>
    <w:rsid w:val="0018793E"/>
    <w:rsid w:val="001939D9"/>
    <w:rsid w:val="001B1E1B"/>
    <w:rsid w:val="001B536F"/>
    <w:rsid w:val="001C5319"/>
    <w:rsid w:val="001D671D"/>
    <w:rsid w:val="001E3570"/>
    <w:rsid w:val="001F4E47"/>
    <w:rsid w:val="00207B70"/>
    <w:rsid w:val="00207FCE"/>
    <w:rsid w:val="002128C2"/>
    <w:rsid w:val="0021451A"/>
    <w:rsid w:val="00216456"/>
    <w:rsid w:val="002325E3"/>
    <w:rsid w:val="00232CCF"/>
    <w:rsid w:val="00237DE8"/>
    <w:rsid w:val="00243DA6"/>
    <w:rsid w:val="002447A9"/>
    <w:rsid w:val="00247F75"/>
    <w:rsid w:val="00250F2B"/>
    <w:rsid w:val="00252978"/>
    <w:rsid w:val="00265CAE"/>
    <w:rsid w:val="002706A8"/>
    <w:rsid w:val="002737B9"/>
    <w:rsid w:val="00275313"/>
    <w:rsid w:val="00276211"/>
    <w:rsid w:val="00277DD4"/>
    <w:rsid w:val="00283F8E"/>
    <w:rsid w:val="00294581"/>
    <w:rsid w:val="002950E4"/>
    <w:rsid w:val="0029758E"/>
    <w:rsid w:val="002A25D7"/>
    <w:rsid w:val="002A7BDC"/>
    <w:rsid w:val="002C3942"/>
    <w:rsid w:val="002C6403"/>
    <w:rsid w:val="002C7099"/>
    <w:rsid w:val="002E0CD3"/>
    <w:rsid w:val="002E3D3C"/>
    <w:rsid w:val="002E7623"/>
    <w:rsid w:val="003015C6"/>
    <w:rsid w:val="0032064A"/>
    <w:rsid w:val="003238E3"/>
    <w:rsid w:val="00324526"/>
    <w:rsid w:val="003324E4"/>
    <w:rsid w:val="00334DA4"/>
    <w:rsid w:val="00340C19"/>
    <w:rsid w:val="00343B71"/>
    <w:rsid w:val="00353927"/>
    <w:rsid w:val="003673F8"/>
    <w:rsid w:val="00393577"/>
    <w:rsid w:val="003963C0"/>
    <w:rsid w:val="003B46EE"/>
    <w:rsid w:val="003B77EB"/>
    <w:rsid w:val="003D21F9"/>
    <w:rsid w:val="003D69D1"/>
    <w:rsid w:val="003E4315"/>
    <w:rsid w:val="003E75F0"/>
    <w:rsid w:val="003F1BBC"/>
    <w:rsid w:val="003F5D92"/>
    <w:rsid w:val="004053DC"/>
    <w:rsid w:val="00412303"/>
    <w:rsid w:val="00421E65"/>
    <w:rsid w:val="004310E7"/>
    <w:rsid w:val="004332A9"/>
    <w:rsid w:val="00435446"/>
    <w:rsid w:val="00462C08"/>
    <w:rsid w:val="004811EB"/>
    <w:rsid w:val="0048392F"/>
    <w:rsid w:val="00486986"/>
    <w:rsid w:val="00491D87"/>
    <w:rsid w:val="004927C6"/>
    <w:rsid w:val="00495416"/>
    <w:rsid w:val="00495595"/>
    <w:rsid w:val="00497A94"/>
    <w:rsid w:val="004A6BDF"/>
    <w:rsid w:val="004A6F2B"/>
    <w:rsid w:val="004C6D8A"/>
    <w:rsid w:val="004D4245"/>
    <w:rsid w:val="004D6011"/>
    <w:rsid w:val="005038C3"/>
    <w:rsid w:val="00504A9D"/>
    <w:rsid w:val="00505128"/>
    <w:rsid w:val="00507617"/>
    <w:rsid w:val="00510035"/>
    <w:rsid w:val="00513391"/>
    <w:rsid w:val="00515844"/>
    <w:rsid w:val="00516135"/>
    <w:rsid w:val="0052227F"/>
    <w:rsid w:val="005264F8"/>
    <w:rsid w:val="0053211F"/>
    <w:rsid w:val="005345C8"/>
    <w:rsid w:val="00534E98"/>
    <w:rsid w:val="0054062C"/>
    <w:rsid w:val="00542FE9"/>
    <w:rsid w:val="00543759"/>
    <w:rsid w:val="00544156"/>
    <w:rsid w:val="00557B79"/>
    <w:rsid w:val="0056081B"/>
    <w:rsid w:val="005641A5"/>
    <w:rsid w:val="005745DD"/>
    <w:rsid w:val="005802BE"/>
    <w:rsid w:val="00580670"/>
    <w:rsid w:val="005A11DB"/>
    <w:rsid w:val="005C0A74"/>
    <w:rsid w:val="005C4CBF"/>
    <w:rsid w:val="005E38B9"/>
    <w:rsid w:val="005F1A58"/>
    <w:rsid w:val="005F295F"/>
    <w:rsid w:val="006065C7"/>
    <w:rsid w:val="00611E60"/>
    <w:rsid w:val="006147BF"/>
    <w:rsid w:val="006248F4"/>
    <w:rsid w:val="0063168A"/>
    <w:rsid w:val="00636803"/>
    <w:rsid w:val="00643EEB"/>
    <w:rsid w:val="00663970"/>
    <w:rsid w:val="00665368"/>
    <w:rsid w:val="00670673"/>
    <w:rsid w:val="00672CBA"/>
    <w:rsid w:val="00676C27"/>
    <w:rsid w:val="006816E5"/>
    <w:rsid w:val="00682961"/>
    <w:rsid w:val="006832A8"/>
    <w:rsid w:val="00690EE8"/>
    <w:rsid w:val="00691D9B"/>
    <w:rsid w:val="00692863"/>
    <w:rsid w:val="006A1E92"/>
    <w:rsid w:val="006B511A"/>
    <w:rsid w:val="006C12F0"/>
    <w:rsid w:val="006C296F"/>
    <w:rsid w:val="006C3E32"/>
    <w:rsid w:val="006C5A21"/>
    <w:rsid w:val="006E2808"/>
    <w:rsid w:val="006E371C"/>
    <w:rsid w:val="006E6EE5"/>
    <w:rsid w:val="00710FB5"/>
    <w:rsid w:val="00714B40"/>
    <w:rsid w:val="00714F2A"/>
    <w:rsid w:val="00722696"/>
    <w:rsid w:val="00724BE1"/>
    <w:rsid w:val="007349B7"/>
    <w:rsid w:val="00737CC2"/>
    <w:rsid w:val="0075096B"/>
    <w:rsid w:val="00750B43"/>
    <w:rsid w:val="00753956"/>
    <w:rsid w:val="0075432A"/>
    <w:rsid w:val="007610DB"/>
    <w:rsid w:val="007623D7"/>
    <w:rsid w:val="00762D35"/>
    <w:rsid w:val="0076623C"/>
    <w:rsid w:val="007768C9"/>
    <w:rsid w:val="00776E7B"/>
    <w:rsid w:val="00781A12"/>
    <w:rsid w:val="00783AF1"/>
    <w:rsid w:val="00784B9B"/>
    <w:rsid w:val="007A12C4"/>
    <w:rsid w:val="007D4DF4"/>
    <w:rsid w:val="007E216A"/>
    <w:rsid w:val="007E3081"/>
    <w:rsid w:val="007F537A"/>
    <w:rsid w:val="00807AE1"/>
    <w:rsid w:val="0081217A"/>
    <w:rsid w:val="008156A1"/>
    <w:rsid w:val="008165A1"/>
    <w:rsid w:val="008168EC"/>
    <w:rsid w:val="008359C0"/>
    <w:rsid w:val="00835F54"/>
    <w:rsid w:val="00842725"/>
    <w:rsid w:val="00851F63"/>
    <w:rsid w:val="00855BE5"/>
    <w:rsid w:val="00862B76"/>
    <w:rsid w:val="00874370"/>
    <w:rsid w:val="0089193C"/>
    <w:rsid w:val="008940AD"/>
    <w:rsid w:val="00895E9D"/>
    <w:rsid w:val="00895F68"/>
    <w:rsid w:val="008A154E"/>
    <w:rsid w:val="008B1231"/>
    <w:rsid w:val="008B1AB6"/>
    <w:rsid w:val="008B708F"/>
    <w:rsid w:val="008C4879"/>
    <w:rsid w:val="008C51CE"/>
    <w:rsid w:val="008C6869"/>
    <w:rsid w:val="008D3558"/>
    <w:rsid w:val="008E3451"/>
    <w:rsid w:val="008E3541"/>
    <w:rsid w:val="008E4725"/>
    <w:rsid w:val="008F00CB"/>
    <w:rsid w:val="00904932"/>
    <w:rsid w:val="0092010F"/>
    <w:rsid w:val="009216E0"/>
    <w:rsid w:val="00941E20"/>
    <w:rsid w:val="00942FEE"/>
    <w:rsid w:val="00943692"/>
    <w:rsid w:val="0094653D"/>
    <w:rsid w:val="009637FD"/>
    <w:rsid w:val="00971993"/>
    <w:rsid w:val="0097567A"/>
    <w:rsid w:val="00984349"/>
    <w:rsid w:val="00990DF9"/>
    <w:rsid w:val="009924E0"/>
    <w:rsid w:val="009A2E54"/>
    <w:rsid w:val="009A47C7"/>
    <w:rsid w:val="009B2937"/>
    <w:rsid w:val="009C0B80"/>
    <w:rsid w:val="009C2D49"/>
    <w:rsid w:val="009E1016"/>
    <w:rsid w:val="009E3081"/>
    <w:rsid w:val="009F0944"/>
    <w:rsid w:val="009F098D"/>
    <w:rsid w:val="00A07497"/>
    <w:rsid w:val="00A11E25"/>
    <w:rsid w:val="00A13B0E"/>
    <w:rsid w:val="00A14225"/>
    <w:rsid w:val="00A2688C"/>
    <w:rsid w:val="00A3632F"/>
    <w:rsid w:val="00A41F4E"/>
    <w:rsid w:val="00A601E6"/>
    <w:rsid w:val="00A6036C"/>
    <w:rsid w:val="00A619D5"/>
    <w:rsid w:val="00A66C35"/>
    <w:rsid w:val="00A67728"/>
    <w:rsid w:val="00A71493"/>
    <w:rsid w:val="00A738BD"/>
    <w:rsid w:val="00A841C6"/>
    <w:rsid w:val="00A8451B"/>
    <w:rsid w:val="00A97CBA"/>
    <w:rsid w:val="00AB0202"/>
    <w:rsid w:val="00AB6E7C"/>
    <w:rsid w:val="00AD39D8"/>
    <w:rsid w:val="00AD3D4A"/>
    <w:rsid w:val="00AD5BE5"/>
    <w:rsid w:val="00B02155"/>
    <w:rsid w:val="00B06B36"/>
    <w:rsid w:val="00B1252D"/>
    <w:rsid w:val="00B1288A"/>
    <w:rsid w:val="00B1751A"/>
    <w:rsid w:val="00B20581"/>
    <w:rsid w:val="00B32B26"/>
    <w:rsid w:val="00B421AC"/>
    <w:rsid w:val="00B4368B"/>
    <w:rsid w:val="00B62426"/>
    <w:rsid w:val="00B645B2"/>
    <w:rsid w:val="00B74221"/>
    <w:rsid w:val="00B92689"/>
    <w:rsid w:val="00BA5B0C"/>
    <w:rsid w:val="00BB458A"/>
    <w:rsid w:val="00BD5C30"/>
    <w:rsid w:val="00BF510A"/>
    <w:rsid w:val="00C032CE"/>
    <w:rsid w:val="00C10A06"/>
    <w:rsid w:val="00C11CC8"/>
    <w:rsid w:val="00C13EA9"/>
    <w:rsid w:val="00C234B3"/>
    <w:rsid w:val="00C2402F"/>
    <w:rsid w:val="00C4380C"/>
    <w:rsid w:val="00C55E45"/>
    <w:rsid w:val="00C614A8"/>
    <w:rsid w:val="00C630F5"/>
    <w:rsid w:val="00C63D3F"/>
    <w:rsid w:val="00C67A4B"/>
    <w:rsid w:val="00C775AE"/>
    <w:rsid w:val="00C803D3"/>
    <w:rsid w:val="00C83056"/>
    <w:rsid w:val="00C83672"/>
    <w:rsid w:val="00C83DEC"/>
    <w:rsid w:val="00C87253"/>
    <w:rsid w:val="00C91D4E"/>
    <w:rsid w:val="00CD3FC4"/>
    <w:rsid w:val="00CD4E56"/>
    <w:rsid w:val="00CE0E59"/>
    <w:rsid w:val="00CE7B0C"/>
    <w:rsid w:val="00CE7EAE"/>
    <w:rsid w:val="00CF1957"/>
    <w:rsid w:val="00CF63ED"/>
    <w:rsid w:val="00CF7A07"/>
    <w:rsid w:val="00D05499"/>
    <w:rsid w:val="00D06F6F"/>
    <w:rsid w:val="00D16607"/>
    <w:rsid w:val="00D259FF"/>
    <w:rsid w:val="00D328D2"/>
    <w:rsid w:val="00D36BDC"/>
    <w:rsid w:val="00D40CFF"/>
    <w:rsid w:val="00D46FEE"/>
    <w:rsid w:val="00D5476A"/>
    <w:rsid w:val="00D57AD0"/>
    <w:rsid w:val="00D64B0A"/>
    <w:rsid w:val="00D74FC6"/>
    <w:rsid w:val="00D86388"/>
    <w:rsid w:val="00D91225"/>
    <w:rsid w:val="00DA53A2"/>
    <w:rsid w:val="00DB5A30"/>
    <w:rsid w:val="00DC0D07"/>
    <w:rsid w:val="00DC16E4"/>
    <w:rsid w:val="00DF48B7"/>
    <w:rsid w:val="00E036D2"/>
    <w:rsid w:val="00E101C7"/>
    <w:rsid w:val="00E1138B"/>
    <w:rsid w:val="00E13DFC"/>
    <w:rsid w:val="00E20835"/>
    <w:rsid w:val="00E26377"/>
    <w:rsid w:val="00E27D46"/>
    <w:rsid w:val="00E33236"/>
    <w:rsid w:val="00E363CE"/>
    <w:rsid w:val="00E37377"/>
    <w:rsid w:val="00E40250"/>
    <w:rsid w:val="00E41F52"/>
    <w:rsid w:val="00E43BF6"/>
    <w:rsid w:val="00E5403F"/>
    <w:rsid w:val="00E74A91"/>
    <w:rsid w:val="00E814DB"/>
    <w:rsid w:val="00E81D6C"/>
    <w:rsid w:val="00E91088"/>
    <w:rsid w:val="00E945D4"/>
    <w:rsid w:val="00E97AC6"/>
    <w:rsid w:val="00EC41C1"/>
    <w:rsid w:val="00EC4A1B"/>
    <w:rsid w:val="00ED0F69"/>
    <w:rsid w:val="00EE0332"/>
    <w:rsid w:val="00EE4776"/>
    <w:rsid w:val="00EE4CF4"/>
    <w:rsid w:val="00EE725B"/>
    <w:rsid w:val="00EF21C8"/>
    <w:rsid w:val="00EF3C85"/>
    <w:rsid w:val="00EF624C"/>
    <w:rsid w:val="00EF67FF"/>
    <w:rsid w:val="00F018B0"/>
    <w:rsid w:val="00F43B38"/>
    <w:rsid w:val="00F46758"/>
    <w:rsid w:val="00F46D99"/>
    <w:rsid w:val="00F613FE"/>
    <w:rsid w:val="00F81D5C"/>
    <w:rsid w:val="00F82D88"/>
    <w:rsid w:val="00FA1BEE"/>
    <w:rsid w:val="00FA30BE"/>
    <w:rsid w:val="00FB3DB2"/>
    <w:rsid w:val="00FC00E9"/>
    <w:rsid w:val="00FE6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line="480" w:lineRule="auto"/>
    </w:pPr>
    <w:rPr>
      <w:sz w:val="24"/>
      <w:szCs w:val="24"/>
    </w:rPr>
  </w:style>
  <w:style w:type="paragraph" w:styleId="Heading1">
    <w:name w:val="heading 1"/>
    <w:basedOn w:val="Normal"/>
    <w:next w:val="Normal"/>
    <w:link w:val="Heading1Char"/>
    <w:uiPriority w:val="99"/>
    <w:qFormat/>
    <w:rsid w:val="008E4725"/>
    <w:pPr>
      <w:keepNext/>
      <w:jc w:val="center"/>
      <w:outlineLvl w:val="0"/>
    </w:pPr>
    <w:rPr>
      <w:b/>
      <w:bCs/>
      <w:caps/>
    </w:rPr>
  </w:style>
  <w:style w:type="paragraph" w:styleId="Heading2">
    <w:name w:val="heading 2"/>
    <w:basedOn w:val="Normal"/>
    <w:next w:val="Normal"/>
    <w:link w:val="Heading2Char"/>
    <w:uiPriority w:val="99"/>
    <w:qFormat/>
    <w:rsid w:val="008156A1"/>
    <w:pPr>
      <w:keepNext/>
      <w:keepLines/>
      <w:outlineLvl w:val="1"/>
    </w:pPr>
    <w:rPr>
      <w:rFonts w:ascii="Calibri" w:hAnsi="Calibri"/>
      <w:b/>
      <w:bCs/>
      <w:szCs w:val="26"/>
    </w:rPr>
  </w:style>
  <w:style w:type="paragraph" w:styleId="Heading3">
    <w:name w:val="heading 3"/>
    <w:basedOn w:val="Normal"/>
    <w:next w:val="Normal"/>
    <w:link w:val="Heading3Char"/>
    <w:uiPriority w:val="99"/>
    <w:qFormat/>
    <w:rsid w:val="008E4725"/>
    <w:pPr>
      <w:keepNext/>
      <w:keepLines/>
      <w:outlineLvl w:val="2"/>
    </w:pPr>
    <w:rPr>
      <w:rFonts w:ascii="Calibri" w:hAnsi="Calibr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725"/>
    <w:rPr>
      <w:rFonts w:ascii="Times New Roman" w:hAnsi="Times New Roman" w:cs="Times New Roman"/>
      <w:b/>
      <w:bCs/>
      <w:caps/>
      <w:sz w:val="24"/>
      <w:szCs w:val="24"/>
    </w:rPr>
  </w:style>
  <w:style w:type="character" w:customStyle="1" w:styleId="Heading2Char">
    <w:name w:val="Heading 2 Char"/>
    <w:basedOn w:val="DefaultParagraphFont"/>
    <w:link w:val="Heading2"/>
    <w:uiPriority w:val="99"/>
    <w:locked/>
    <w:rsid w:val="008156A1"/>
    <w:rPr>
      <w:rFonts w:eastAsia="Times New Roman" w:cs="Times New Roman"/>
      <w:b/>
      <w:bCs/>
      <w:sz w:val="26"/>
      <w:szCs w:val="26"/>
    </w:rPr>
  </w:style>
  <w:style w:type="character" w:customStyle="1" w:styleId="Heading3Char">
    <w:name w:val="Heading 3 Char"/>
    <w:basedOn w:val="DefaultParagraphFont"/>
    <w:link w:val="Heading3"/>
    <w:uiPriority w:val="99"/>
    <w:locked/>
    <w:rsid w:val="008E4725"/>
    <w:rPr>
      <w:rFonts w:eastAsia="Times New Roman" w:cs="Times New Roman"/>
      <w:bCs/>
      <w:sz w:val="24"/>
      <w:szCs w:val="24"/>
      <w:u w:val="single"/>
    </w:rPr>
  </w:style>
  <w:style w:type="paragraph" w:customStyle="1" w:styleId="Multipleheadings">
    <w:name w:val="Multiple headings"/>
    <w:basedOn w:val="Normal"/>
    <w:link w:val="MultipleheadingsChar"/>
    <w:uiPriority w:val="99"/>
    <w:rsid w:val="008156A1"/>
    <w:pPr>
      <w:keepNext/>
      <w:jc w:val="center"/>
    </w:pPr>
    <w:rPr>
      <w:b/>
      <w:bCs/>
    </w:rPr>
  </w:style>
  <w:style w:type="character" w:customStyle="1" w:styleId="MultipleheadingsChar">
    <w:name w:val="Multiple headings Char"/>
    <w:basedOn w:val="DefaultParagraphFont"/>
    <w:link w:val="Multipleheadings"/>
    <w:uiPriority w:val="99"/>
    <w:locked/>
    <w:rsid w:val="008156A1"/>
    <w:rPr>
      <w:rFonts w:ascii="Times New Roman" w:hAnsi="Times New Roman" w:cs="Times New Roman"/>
      <w:b/>
      <w:bCs/>
      <w:sz w:val="24"/>
      <w:szCs w:val="24"/>
    </w:rPr>
  </w:style>
  <w:style w:type="paragraph" w:customStyle="1" w:styleId="Mainheading">
    <w:name w:val="Main heading"/>
    <w:basedOn w:val="Normal"/>
    <w:link w:val="MainheadingChar"/>
    <w:uiPriority w:val="99"/>
    <w:rsid w:val="008156A1"/>
    <w:pPr>
      <w:keepNext/>
      <w:jc w:val="center"/>
    </w:pPr>
    <w:rPr>
      <w:b/>
      <w:bCs/>
    </w:rPr>
  </w:style>
  <w:style w:type="character" w:customStyle="1" w:styleId="MainheadingChar">
    <w:name w:val="Main heading Char"/>
    <w:basedOn w:val="DefaultParagraphFont"/>
    <w:link w:val="Mainheading"/>
    <w:uiPriority w:val="99"/>
    <w:locked/>
    <w:rsid w:val="008156A1"/>
    <w:rPr>
      <w:rFonts w:ascii="Times New Roman" w:hAnsi="Times New Roman" w:cs="Times New Roman"/>
      <w:b/>
      <w:bCs/>
      <w:sz w:val="24"/>
      <w:szCs w:val="24"/>
    </w:rPr>
  </w:style>
  <w:style w:type="paragraph" w:styleId="FootnoteText">
    <w:name w:val="footnote text"/>
    <w:basedOn w:val="Normal"/>
    <w:link w:val="FootnoteTextChar"/>
    <w:autoRedefine/>
    <w:uiPriority w:val="99"/>
    <w:rsid w:val="00CF1957"/>
    <w:pPr>
      <w:keepLines/>
      <w:spacing w:line="240" w:lineRule="auto"/>
      <w:ind w:firstLine="720"/>
    </w:pPr>
  </w:style>
  <w:style w:type="character" w:customStyle="1" w:styleId="FootnoteTextChar">
    <w:name w:val="Footnote Text Char"/>
    <w:basedOn w:val="DefaultParagraphFont"/>
    <w:link w:val="FootnoteText"/>
    <w:uiPriority w:val="99"/>
    <w:locked/>
    <w:rsid w:val="00CF1957"/>
    <w:rPr>
      <w:rFonts w:cs="Times New Roman"/>
      <w:sz w:val="24"/>
      <w:szCs w:val="24"/>
    </w:rPr>
  </w:style>
  <w:style w:type="paragraph" w:customStyle="1" w:styleId="Footnote">
    <w:name w:val="Footnote"/>
    <w:basedOn w:val="Normal"/>
    <w:link w:val="FootnoteChar"/>
    <w:autoRedefine/>
    <w:uiPriority w:val="99"/>
    <w:rsid w:val="00497A94"/>
    <w:pPr>
      <w:spacing w:after="120" w:line="240" w:lineRule="auto"/>
    </w:pPr>
    <w:rPr>
      <w:b/>
    </w:rPr>
  </w:style>
  <w:style w:type="character" w:customStyle="1" w:styleId="FootnoteChar">
    <w:name w:val="Footnote Char"/>
    <w:basedOn w:val="DefaultParagraphFont"/>
    <w:link w:val="Footnote"/>
    <w:uiPriority w:val="99"/>
    <w:locked/>
    <w:rsid w:val="00497A94"/>
    <w:rPr>
      <w:rFonts w:cs="Times New Roman"/>
      <w:b/>
    </w:rPr>
  </w:style>
  <w:style w:type="table" w:styleId="TableGrid">
    <w:name w:val="Table Grid"/>
    <w:basedOn w:val="TableNormal"/>
    <w:uiPriority w:val="99"/>
    <w:rsid w:val="00C11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783AF1"/>
    <w:rPr>
      <w:rFonts w:cs="Times New Roman"/>
      <w:vertAlign w:val="superscript"/>
    </w:rPr>
  </w:style>
  <w:style w:type="paragraph" w:styleId="Header">
    <w:name w:val="header"/>
    <w:basedOn w:val="Normal"/>
    <w:link w:val="HeaderChar"/>
    <w:uiPriority w:val="99"/>
    <w:semiHidden/>
    <w:rsid w:val="00783AF1"/>
    <w:pPr>
      <w:tabs>
        <w:tab w:val="center" w:pos="4680"/>
        <w:tab w:val="right" w:pos="9360"/>
      </w:tabs>
    </w:pPr>
  </w:style>
  <w:style w:type="character" w:customStyle="1" w:styleId="HeaderChar">
    <w:name w:val="Header Char"/>
    <w:basedOn w:val="DefaultParagraphFont"/>
    <w:link w:val="Header"/>
    <w:uiPriority w:val="99"/>
    <w:semiHidden/>
    <w:locked/>
    <w:rsid w:val="00783AF1"/>
    <w:rPr>
      <w:rFonts w:cs="Times New Roman"/>
    </w:rPr>
  </w:style>
  <w:style w:type="paragraph" w:styleId="Footer">
    <w:name w:val="footer"/>
    <w:basedOn w:val="Normal"/>
    <w:link w:val="FooterChar"/>
    <w:uiPriority w:val="99"/>
    <w:rsid w:val="00783AF1"/>
    <w:pPr>
      <w:tabs>
        <w:tab w:val="center" w:pos="4680"/>
        <w:tab w:val="right" w:pos="9360"/>
      </w:tabs>
    </w:pPr>
  </w:style>
  <w:style w:type="character" w:customStyle="1" w:styleId="FooterChar">
    <w:name w:val="Footer Char"/>
    <w:basedOn w:val="DefaultParagraphFont"/>
    <w:link w:val="Footer"/>
    <w:uiPriority w:val="99"/>
    <w:locked/>
    <w:rsid w:val="00783AF1"/>
    <w:rPr>
      <w:rFonts w:cs="Times New Roman"/>
    </w:rPr>
  </w:style>
  <w:style w:type="paragraph" w:customStyle="1" w:styleId="Default">
    <w:name w:val="Default"/>
    <w:uiPriority w:val="99"/>
    <w:rsid w:val="0053211F"/>
    <w:pPr>
      <w:autoSpaceDE w:val="0"/>
      <w:autoSpaceDN w:val="0"/>
      <w:adjustRightInd w:val="0"/>
    </w:pPr>
    <w:rPr>
      <w:color w:val="000000"/>
      <w:sz w:val="24"/>
      <w:szCs w:val="24"/>
    </w:rPr>
  </w:style>
  <w:style w:type="paragraph" w:styleId="ListParagraph">
    <w:name w:val="List Paragraph"/>
    <w:basedOn w:val="Normal"/>
    <w:uiPriority w:val="99"/>
    <w:qFormat/>
    <w:rsid w:val="008D35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C729-46D1-4C98-A5C4-10AAEDE6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1</TotalTime>
  <Pages>21</Pages>
  <Words>6585</Words>
  <Characters>34734</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41237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Jenice Housman</dc:creator>
  <cp:keywords/>
  <dc:description/>
  <cp:lastModifiedBy>Rosalie Ruiz</cp:lastModifiedBy>
  <cp:revision>2</cp:revision>
  <cp:lastPrinted>2010-05-10T18:28:00Z</cp:lastPrinted>
  <dcterms:created xsi:type="dcterms:W3CDTF">2010-05-10T22:49:00Z</dcterms:created>
  <dcterms:modified xsi:type="dcterms:W3CDTF">2010-05-10T22:49:00Z</dcterms:modified>
</cp:coreProperties>
</file>