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FD777B" w:rsidP="00497A94">
      <w:pPr>
        <w:pStyle w:val="Footnote"/>
      </w:pPr>
      <w:bookmarkStart w:id="0" w:name="designation"/>
      <w:bookmarkEnd w:id="0"/>
      <w:r>
        <w:t>PUBLIC MATTER - NOT DESIGNATED FOR PUBLICATION</w:t>
      </w:r>
    </w:p>
    <w:p w:rsidR="00975CB3" w:rsidRDefault="00975CB3">
      <w:pPr>
        <w:spacing w:line="240" w:lineRule="auto"/>
        <w:rPr>
          <w:rFonts w:cstheme="minorBidi"/>
          <w:b/>
        </w:rPr>
      </w:pPr>
    </w:p>
    <w:p w:rsidR="00E062D5" w:rsidRPr="00E758C5" w:rsidRDefault="00E758C5" w:rsidP="00E758C5">
      <w:pPr>
        <w:spacing w:line="240" w:lineRule="auto"/>
        <w:jc w:val="right"/>
        <w:rPr>
          <w:b/>
        </w:rPr>
      </w:pPr>
      <w:r w:rsidRPr="00E758C5">
        <w:rPr>
          <w:b/>
        </w:rPr>
        <w:t>FILED DECEMBER 2, 2010</w:t>
      </w:r>
    </w:p>
    <w:p w:rsidR="00E7519C" w:rsidRDefault="00E7519C" w:rsidP="00E7519C">
      <w:pPr>
        <w:spacing w:line="240" w:lineRule="auto"/>
      </w:pPr>
    </w:p>
    <w:p w:rsidR="00C11CC8" w:rsidRPr="00C11CC8" w:rsidRDefault="00C11CC8" w:rsidP="00C11CC8">
      <w:pPr>
        <w:spacing w:line="240" w:lineRule="auto"/>
        <w:jc w:val="center"/>
        <w:rPr>
          <w:b/>
        </w:rPr>
      </w:pPr>
      <w:r w:rsidRPr="00C11CC8">
        <w:rPr>
          <w:b/>
        </w:rPr>
        <w:t>REVIEW DEPARTMENT OF THE STATE BAR COURT</w:t>
      </w:r>
    </w:p>
    <w:tbl>
      <w:tblPr>
        <w:tblStyle w:val="TableGrid"/>
        <w:tblW w:w="0" w:type="auto"/>
        <w:tblLook w:val="04A0"/>
      </w:tblPr>
      <w:tblGrid>
        <w:gridCol w:w="4368"/>
        <w:gridCol w:w="899"/>
        <w:gridCol w:w="4201"/>
      </w:tblGrid>
      <w:tr w:rsidR="00C11CC8" w:rsidRPr="00C11CC8" w:rsidTr="001073B8">
        <w:tc>
          <w:tcPr>
            <w:tcW w:w="4368" w:type="dxa"/>
            <w:tcBorders>
              <w:top w:val="nil"/>
              <w:left w:val="nil"/>
              <w:right w:val="nil"/>
            </w:tcBorders>
            <w:tcMar>
              <w:left w:w="0" w:type="dxa"/>
              <w:right w:w="0" w:type="dxa"/>
            </w:tcMar>
          </w:tcPr>
          <w:p w:rsidR="001073B8" w:rsidRDefault="001073B8" w:rsidP="009216E0">
            <w:pPr>
              <w:spacing w:line="240" w:lineRule="auto"/>
            </w:pPr>
          </w:p>
          <w:p w:rsidR="001073B8" w:rsidRDefault="001073B8" w:rsidP="009216E0">
            <w:pPr>
              <w:spacing w:line="240" w:lineRule="auto"/>
            </w:pPr>
          </w:p>
          <w:p w:rsidR="00C11CC8" w:rsidRDefault="00C11CC8" w:rsidP="009216E0">
            <w:pPr>
              <w:spacing w:line="240" w:lineRule="auto"/>
            </w:pPr>
            <w:r>
              <w:t>In the Matter of</w:t>
            </w:r>
          </w:p>
          <w:p w:rsidR="009216E0" w:rsidRDefault="009216E0" w:rsidP="009216E0">
            <w:pPr>
              <w:spacing w:line="240" w:lineRule="auto"/>
            </w:pPr>
          </w:p>
          <w:p w:rsidR="00C11CC8" w:rsidRDefault="0028441E" w:rsidP="009216E0">
            <w:pPr>
              <w:spacing w:line="240" w:lineRule="auto"/>
              <w:rPr>
                <w:b/>
              </w:rPr>
            </w:pPr>
            <w:bookmarkStart w:id="1" w:name="Respondent"/>
            <w:bookmarkEnd w:id="1"/>
            <w:r>
              <w:rPr>
                <w:b/>
              </w:rPr>
              <w:t>BENJAMIN ROBINSON</w:t>
            </w:r>
            <w:r w:rsidR="00C11CC8" w:rsidRPr="00497A94">
              <w:rPr>
                <w:b/>
              </w:rPr>
              <w:t>,</w:t>
            </w:r>
          </w:p>
          <w:p w:rsidR="009C112F" w:rsidRPr="00497A94" w:rsidRDefault="009C112F" w:rsidP="009216E0">
            <w:pPr>
              <w:spacing w:line="240" w:lineRule="auto"/>
              <w:rPr>
                <w:b/>
              </w:rPr>
            </w:pPr>
          </w:p>
          <w:p w:rsidR="009216E0" w:rsidRDefault="009C112F" w:rsidP="009216E0">
            <w:pPr>
              <w:spacing w:line="240" w:lineRule="auto"/>
            </w:pPr>
            <w:r>
              <w:t>Member No. 107550</w:t>
            </w:r>
          </w:p>
          <w:p w:rsidR="009216E0" w:rsidRPr="00C11CC8" w:rsidRDefault="00FD777B" w:rsidP="005947C4">
            <w:pPr>
              <w:spacing w:line="240" w:lineRule="auto"/>
            </w:pPr>
            <w:bookmarkStart w:id="2" w:name="type"/>
            <w:bookmarkEnd w:id="2"/>
            <w:r>
              <w:t>A Member of the State Bar.</w:t>
            </w:r>
          </w:p>
        </w:tc>
        <w:tc>
          <w:tcPr>
            <w:tcW w:w="899" w:type="dxa"/>
            <w:tcBorders>
              <w:top w:val="nil"/>
              <w:left w:val="nil"/>
              <w:bottom w:val="nil"/>
              <w:right w:val="nil"/>
            </w:tcBorders>
            <w:tcMar>
              <w:left w:w="0" w:type="dxa"/>
              <w:right w:w="0" w:type="dxa"/>
            </w:tcMar>
          </w:tcPr>
          <w:p w:rsidR="001073B8" w:rsidRDefault="001073B8" w:rsidP="009216E0">
            <w:pPr>
              <w:spacing w:line="240" w:lineRule="auto"/>
              <w:rPr>
                <w:b/>
              </w:rPr>
            </w:pPr>
          </w:p>
          <w:p w:rsidR="001073B8" w:rsidRDefault="001073B8" w:rsidP="009216E0">
            <w:pPr>
              <w:spacing w:line="240" w:lineRule="auto"/>
              <w:rPr>
                <w:b/>
              </w:rPr>
            </w:pPr>
          </w:p>
          <w:p w:rsidR="00C11CC8" w:rsidRDefault="00C11CC8" w:rsidP="009216E0">
            <w:pPr>
              <w:spacing w:line="240" w:lineRule="auto"/>
              <w:rPr>
                <w:b/>
              </w:rPr>
            </w:pPr>
            <w:r>
              <w:rPr>
                <w:b/>
              </w:rPr>
              <w:t>)</w:t>
            </w:r>
          </w:p>
          <w:p w:rsidR="009216E0" w:rsidRDefault="009216E0" w:rsidP="009216E0">
            <w:pPr>
              <w:spacing w:line="240" w:lineRule="auto"/>
              <w:rPr>
                <w:b/>
              </w:rPr>
            </w:pPr>
            <w:r>
              <w:rPr>
                <w:b/>
              </w:rPr>
              <w:t>)</w:t>
            </w:r>
            <w:r>
              <w:rPr>
                <w:b/>
              </w:rPr>
              <w:br/>
              <w:t>)</w:t>
            </w:r>
            <w:r>
              <w:rPr>
                <w:b/>
              </w:rPr>
              <w:br/>
              <w:t>)</w:t>
            </w:r>
            <w:r>
              <w:rPr>
                <w:b/>
              </w:rPr>
              <w:br/>
              <w:t>)</w:t>
            </w:r>
            <w:r>
              <w:rPr>
                <w:b/>
              </w:rPr>
              <w:br/>
              <w:t>)</w:t>
            </w:r>
          </w:p>
          <w:p w:rsidR="009C112F" w:rsidRPr="00C11CC8" w:rsidRDefault="009C112F" w:rsidP="009216E0">
            <w:pPr>
              <w:spacing w:line="240" w:lineRule="auto"/>
              <w:rPr>
                <w:b/>
              </w:rPr>
            </w:pPr>
            <w:r>
              <w:rPr>
                <w:b/>
              </w:rPr>
              <w:t>)</w:t>
            </w:r>
          </w:p>
        </w:tc>
        <w:tc>
          <w:tcPr>
            <w:tcW w:w="4201" w:type="dxa"/>
            <w:tcBorders>
              <w:top w:val="nil"/>
              <w:left w:val="nil"/>
              <w:bottom w:val="nil"/>
              <w:right w:val="nil"/>
            </w:tcBorders>
          </w:tcPr>
          <w:p w:rsidR="001073B8" w:rsidRDefault="001073B8" w:rsidP="009216E0">
            <w:pPr>
              <w:spacing w:line="240" w:lineRule="auto"/>
            </w:pPr>
          </w:p>
          <w:p w:rsidR="001073B8" w:rsidRDefault="001073B8" w:rsidP="009216E0">
            <w:pPr>
              <w:spacing w:line="240" w:lineRule="auto"/>
            </w:pPr>
          </w:p>
          <w:p w:rsidR="009216E0" w:rsidRDefault="00C11CC8" w:rsidP="009216E0">
            <w:pPr>
              <w:spacing w:line="240" w:lineRule="auto"/>
            </w:pPr>
            <w:r w:rsidRPr="003542E6">
              <w:rPr>
                <w:b/>
              </w:rPr>
              <w:t>No.</w:t>
            </w:r>
            <w:r w:rsidR="009216E0" w:rsidRPr="00497A94">
              <w:rPr>
                <w:b/>
              </w:rPr>
              <w:t xml:space="preserve"> </w:t>
            </w:r>
            <w:bookmarkStart w:id="3" w:name="caseno"/>
            <w:bookmarkEnd w:id="3"/>
            <w:r w:rsidR="00FD777B">
              <w:rPr>
                <w:b/>
              </w:rPr>
              <w:t>05-O-03475</w:t>
            </w:r>
            <w:r w:rsidR="009C112F">
              <w:rPr>
                <w:b/>
              </w:rPr>
              <w:t>; 05-O-04281</w:t>
            </w:r>
          </w:p>
          <w:p w:rsidR="007F537A" w:rsidRDefault="007F537A" w:rsidP="009216E0">
            <w:pPr>
              <w:spacing w:line="240" w:lineRule="auto"/>
            </w:pPr>
          </w:p>
          <w:p w:rsidR="007F537A" w:rsidRPr="009216E0" w:rsidRDefault="00FD777B" w:rsidP="009C112F">
            <w:pPr>
              <w:spacing w:line="240" w:lineRule="auto"/>
              <w:rPr>
                <w:b/>
              </w:rPr>
            </w:pPr>
            <w:bookmarkStart w:id="4" w:name="title"/>
            <w:bookmarkEnd w:id="4"/>
            <w:r>
              <w:rPr>
                <w:b/>
              </w:rPr>
              <w:t xml:space="preserve">OPINION </w:t>
            </w:r>
          </w:p>
        </w:tc>
      </w:tr>
    </w:tbl>
    <w:p w:rsidR="005947C4" w:rsidRDefault="005947C4" w:rsidP="005657C8">
      <w:pPr>
        <w:ind w:firstLine="720"/>
      </w:pPr>
    </w:p>
    <w:p w:rsidR="00E811A4" w:rsidRDefault="00E811A4" w:rsidP="005657C8">
      <w:pPr>
        <w:ind w:firstLine="720"/>
      </w:pPr>
      <w:r>
        <w:t>In his second disciplinary proceeding, respondent Benjamin Robinson requests review of a hearing judge’s recommendation that he be actually suspended from practicing law for two years</w:t>
      </w:r>
      <w:r w:rsidR="00061FDF">
        <w:t xml:space="preserve"> and until he establishes his rehabilitation and fitness to practice</w:t>
      </w:r>
      <w:r>
        <w:t>.</w:t>
      </w:r>
      <w:r w:rsidR="00CC6A4F">
        <w:t xml:space="preserve">  The hearing judge found Robinson culpable of nine counts of misconduct based on </w:t>
      </w:r>
      <w:r w:rsidR="00975CB3">
        <w:t xml:space="preserve">his </w:t>
      </w:r>
      <w:r w:rsidR="00CC6A4F">
        <w:t xml:space="preserve">improper handling </w:t>
      </w:r>
      <w:r w:rsidR="00975CB3">
        <w:t xml:space="preserve">of </w:t>
      </w:r>
      <w:r w:rsidR="00CC6A4F">
        <w:t>money, including c</w:t>
      </w:r>
      <w:r w:rsidR="00485069">
        <w:t>om</w:t>
      </w:r>
      <w:r w:rsidR="008936EE">
        <w:t>m</w:t>
      </w:r>
      <w:r w:rsidR="00485069">
        <w:t xml:space="preserve">ingling personal funds </w:t>
      </w:r>
      <w:r w:rsidR="005657C8">
        <w:t>in his</w:t>
      </w:r>
      <w:r w:rsidR="00CC6A4F">
        <w:t xml:space="preserve"> client trust account (CTA), </w:t>
      </w:r>
      <w:r w:rsidR="00BF7A1E">
        <w:t xml:space="preserve">issuing checks against insufficient funds, </w:t>
      </w:r>
      <w:r w:rsidR="00CC6A4F">
        <w:t xml:space="preserve">misappropriating entrusted </w:t>
      </w:r>
      <w:r w:rsidR="005657C8">
        <w:t xml:space="preserve">client </w:t>
      </w:r>
      <w:r w:rsidR="00CC6A4F">
        <w:t>funds and failing to promptly refund advanced fees or costs</w:t>
      </w:r>
      <w:r w:rsidR="005657C8">
        <w:t>.</w:t>
      </w:r>
      <w:r w:rsidR="00CC6A4F">
        <w:t xml:space="preserve">  </w:t>
      </w:r>
      <w:r w:rsidR="00CC6A4F" w:rsidRPr="00CC6A4F">
        <w:t>Robinson seeks review, contesting most of the hearing judge’s culpability determinations and arguing that any actual suspension is excessive discipline</w:t>
      </w:r>
      <w:r w:rsidR="005657C8">
        <w:t>.</w:t>
      </w:r>
      <w:r w:rsidR="00CC6A4F" w:rsidRPr="00CC6A4F">
        <w:t xml:space="preserve">  The State Bar supports the hearing judge’s decision.</w:t>
      </w:r>
      <w:r w:rsidR="00CC6A4F">
        <w:t xml:space="preserve"> </w:t>
      </w:r>
      <w:r>
        <w:t xml:space="preserve">  </w:t>
      </w:r>
    </w:p>
    <w:p w:rsidR="00975CB3" w:rsidRDefault="00E811A4" w:rsidP="00E12055">
      <w:pPr>
        <w:ind w:firstLine="720"/>
      </w:pPr>
      <w:r>
        <w:t>Upon our independent review of the record (</w:t>
      </w:r>
      <w:r w:rsidR="00CC1DA1">
        <w:t>Cal. Rules of Court, rule 9.12</w:t>
      </w:r>
      <w:r>
        <w:t xml:space="preserve">), we </w:t>
      </w:r>
      <w:r w:rsidR="00485069">
        <w:t xml:space="preserve">uphold the hearing judge’s </w:t>
      </w:r>
      <w:r w:rsidR="006C6C4E">
        <w:t xml:space="preserve">factual and culpability </w:t>
      </w:r>
      <w:r w:rsidR="00485069">
        <w:t xml:space="preserve">findings, and </w:t>
      </w:r>
      <w:r w:rsidR="006C6C4E">
        <w:t xml:space="preserve">agree that a </w:t>
      </w:r>
      <w:r w:rsidR="00485069">
        <w:t>two-year actual suspension</w:t>
      </w:r>
      <w:r w:rsidR="00CC6A4F">
        <w:t xml:space="preserve"> </w:t>
      </w:r>
      <w:r w:rsidR="00E12055">
        <w:t xml:space="preserve">is </w:t>
      </w:r>
      <w:r>
        <w:t>supported by the record, the Standards for Attorney Sanctions for Professional Misconduct</w:t>
      </w:r>
      <w:r w:rsidR="008936EE">
        <w:rPr>
          <w:rStyle w:val="FootnoteReference"/>
        </w:rPr>
        <w:footnoteReference w:id="2"/>
      </w:r>
      <w:r>
        <w:t xml:space="preserve"> and the decisional law.  </w:t>
      </w:r>
    </w:p>
    <w:p w:rsidR="001073B8" w:rsidRDefault="001073B8" w:rsidP="001073B8"/>
    <w:p w:rsidR="00975CB3" w:rsidRDefault="008936EE" w:rsidP="008936EE">
      <w:pPr>
        <w:pStyle w:val="ListParagraph"/>
        <w:jc w:val="center"/>
        <w:rPr>
          <w:b/>
        </w:rPr>
      </w:pPr>
      <w:r>
        <w:rPr>
          <w:b/>
        </w:rPr>
        <w:t>I.  F</w:t>
      </w:r>
      <w:r w:rsidR="00063C0C">
        <w:rPr>
          <w:b/>
        </w:rPr>
        <w:t>INDINGS OF FACT AND CONCLUSIONS OF LAW</w:t>
      </w:r>
    </w:p>
    <w:p w:rsidR="00975CB3" w:rsidRDefault="00F1257E" w:rsidP="00E12055">
      <w:pPr>
        <w:ind w:firstLine="720"/>
      </w:pPr>
      <w:r>
        <w:t xml:space="preserve">Robinson </w:t>
      </w:r>
      <w:r w:rsidR="00E811A4">
        <w:t xml:space="preserve">was </w:t>
      </w:r>
      <w:r>
        <w:t>admitted to practice law in 1983</w:t>
      </w:r>
      <w:r w:rsidR="008936EE">
        <w:t>, and worked on</w:t>
      </w:r>
      <w:r w:rsidR="00E811A4">
        <w:t xml:space="preserve"> probate</w:t>
      </w:r>
      <w:r w:rsidR="005657C8">
        <w:t>,</w:t>
      </w:r>
      <w:r w:rsidR="00975CB3">
        <w:t xml:space="preserve"> </w:t>
      </w:r>
      <w:r w:rsidR="00066B99">
        <w:t xml:space="preserve">civil, </w:t>
      </w:r>
      <w:r w:rsidR="005657C8">
        <w:t xml:space="preserve">and </w:t>
      </w:r>
      <w:r>
        <w:t>employment law</w:t>
      </w:r>
      <w:r w:rsidR="008936EE">
        <w:t xml:space="preserve"> matters</w:t>
      </w:r>
      <w:r w:rsidR="00E811A4">
        <w:t>.  These</w:t>
      </w:r>
      <w:r>
        <w:t xml:space="preserve"> proceedings commenced on October 31, 2007,</w:t>
      </w:r>
      <w:r w:rsidR="00E811A4">
        <w:t xml:space="preserve"> when the State Bar filed a Notice of Disciplinary Charges (NDC) in </w:t>
      </w:r>
      <w:r>
        <w:t xml:space="preserve">correlated </w:t>
      </w:r>
      <w:r w:rsidR="00E811A4">
        <w:t>case number</w:t>
      </w:r>
      <w:r>
        <w:t>s</w:t>
      </w:r>
      <w:r w:rsidR="00E811A4">
        <w:t xml:space="preserve"> </w:t>
      </w:r>
      <w:r>
        <w:t xml:space="preserve">05-0-03475 </w:t>
      </w:r>
      <w:r w:rsidR="00E12055">
        <w:t xml:space="preserve">      </w:t>
      </w:r>
      <w:r>
        <w:t>(05-O-03781; 06-O-15286)</w:t>
      </w:r>
      <w:r w:rsidR="00E811A4" w:rsidRPr="005947C4">
        <w:t>.</w:t>
      </w:r>
      <w:r w:rsidR="00E811A4">
        <w:rPr>
          <w:b/>
        </w:rPr>
        <w:t xml:space="preserve">  </w:t>
      </w:r>
      <w:r w:rsidR="00E811A4">
        <w:t>A secon</w:t>
      </w:r>
      <w:r>
        <w:t>d NDC was filed on November 16, 2007</w:t>
      </w:r>
      <w:r w:rsidR="00E811A4">
        <w:t xml:space="preserve">, in case number </w:t>
      </w:r>
      <w:r>
        <w:t>05-O-04281</w:t>
      </w:r>
      <w:r w:rsidR="00E811A4">
        <w:t>, and the two matters w</w:t>
      </w:r>
      <w:r>
        <w:t xml:space="preserve">ere consolidated.  </w:t>
      </w:r>
      <w:r w:rsidR="008A4522">
        <w:t xml:space="preserve">Prior to trial, the hearing judge granted the State Bar’s motion to dismiss </w:t>
      </w:r>
      <w:r w:rsidR="008936EE">
        <w:t xml:space="preserve">nine counts </w:t>
      </w:r>
      <w:r w:rsidR="008A4522">
        <w:t xml:space="preserve">with prejudice.  </w:t>
      </w:r>
    </w:p>
    <w:p w:rsidR="008936EE" w:rsidRDefault="002B3A74" w:rsidP="008936EE">
      <w:pPr>
        <w:ind w:firstLine="720"/>
      </w:pPr>
      <w:r>
        <w:t xml:space="preserve">The parties stipulated to many relevant facts at the beginning of the trial.  The hearing judge made additional factual findings after </w:t>
      </w:r>
      <w:r w:rsidR="00303A7E">
        <w:t>rejecting</w:t>
      </w:r>
      <w:r>
        <w:t xml:space="preserve"> much of Robinson’s testimony, which he found </w:t>
      </w:r>
      <w:r w:rsidR="00303A7E">
        <w:t xml:space="preserve">to </w:t>
      </w:r>
      <w:r w:rsidR="00F51F2F">
        <w:t xml:space="preserve">be </w:t>
      </w:r>
      <w:r w:rsidR="00303A7E">
        <w:t xml:space="preserve">not </w:t>
      </w:r>
      <w:r>
        <w:t>credible.</w:t>
      </w:r>
      <w:r w:rsidR="00F51F2F">
        <w:rPr>
          <w:rStyle w:val="FootnoteReference"/>
        </w:rPr>
        <w:footnoteReference w:id="3"/>
      </w:r>
      <w:r>
        <w:t xml:space="preserve">  Upon our review of the record, we give great deference to the</w:t>
      </w:r>
      <w:r w:rsidR="00DB41D4">
        <w:t xml:space="preserve"> </w:t>
      </w:r>
      <w:r>
        <w:t>hearing judge’s findings based on testimonial credibility.  (</w:t>
      </w:r>
      <w:r w:rsidRPr="002B3A74">
        <w:t>Rules Proc. of State Bar, rule 305(a</w:t>
      </w:r>
      <w:r w:rsidR="00C9043A">
        <w:t>)</w:t>
      </w:r>
      <w:r>
        <w:t xml:space="preserve">.) </w:t>
      </w:r>
    </w:p>
    <w:p w:rsidR="008936EE" w:rsidRDefault="008936EE" w:rsidP="008936EE">
      <w:pPr>
        <w:rPr>
          <w:b/>
        </w:rPr>
      </w:pPr>
      <w:r>
        <w:rPr>
          <w:b/>
        </w:rPr>
        <w:t>A.</w:t>
      </w:r>
      <w:r>
        <w:rPr>
          <w:b/>
        </w:rPr>
        <w:tab/>
      </w:r>
      <w:r w:rsidR="00063C0C" w:rsidRPr="00391240">
        <w:rPr>
          <w:b/>
        </w:rPr>
        <w:t>THE RANDALL MATTER</w:t>
      </w:r>
      <w:r w:rsidR="00A45268" w:rsidRPr="00391240">
        <w:rPr>
          <w:b/>
        </w:rPr>
        <w:t xml:space="preserve"> </w:t>
      </w:r>
    </w:p>
    <w:p w:rsidR="002156E3" w:rsidRPr="008936EE" w:rsidRDefault="008936EE" w:rsidP="008936EE">
      <w:r>
        <w:rPr>
          <w:b/>
        </w:rPr>
        <w:tab/>
        <w:t>1.</w:t>
      </w:r>
      <w:r>
        <w:rPr>
          <w:b/>
        </w:rPr>
        <w:tab/>
      </w:r>
      <w:r w:rsidR="002156E3" w:rsidRPr="008E262A">
        <w:rPr>
          <w:b/>
        </w:rPr>
        <w:t>Findings of Fact</w:t>
      </w:r>
    </w:p>
    <w:p w:rsidR="004260F2" w:rsidRDefault="00FD777B" w:rsidP="00940D6A">
      <w:pPr>
        <w:ind w:firstLine="720"/>
      </w:pPr>
      <w:r w:rsidRPr="00FD777B">
        <w:t>In February 2001</w:t>
      </w:r>
      <w:r>
        <w:t>, Frank Randall</w:t>
      </w:r>
      <w:r w:rsidR="00840153">
        <w:t xml:space="preserve"> (Randall)</w:t>
      </w:r>
      <w:r>
        <w:t>, who was the executor of his deceased brother Floyd Randall’s estate</w:t>
      </w:r>
      <w:r w:rsidR="001C4310">
        <w:t xml:space="preserve"> (the Estate)</w:t>
      </w:r>
      <w:r>
        <w:t xml:space="preserve">, hired Robinson to represent him in probate.  </w:t>
      </w:r>
      <w:r w:rsidR="00840153">
        <w:t>Und</w:t>
      </w:r>
      <w:r w:rsidR="00485069">
        <w:t xml:space="preserve">er Floyd’s 1999 </w:t>
      </w:r>
      <w:r w:rsidR="00975CB3">
        <w:t>w</w:t>
      </w:r>
      <w:r w:rsidR="00485069">
        <w:t xml:space="preserve">ill </w:t>
      </w:r>
      <w:r w:rsidR="00840153">
        <w:t xml:space="preserve">and trust agreement, Randall and Rosa Mundy </w:t>
      </w:r>
      <w:r w:rsidR="00836BC5">
        <w:t xml:space="preserve">(daughter of Floyd’s previously deceased wife) </w:t>
      </w:r>
      <w:r w:rsidR="00CA4396">
        <w:t xml:space="preserve">would </w:t>
      </w:r>
      <w:r w:rsidR="00840153">
        <w:t xml:space="preserve">each receive one-half interest in Floyd’s real property in Inglewood, California.  </w:t>
      </w:r>
      <w:r w:rsidR="00485069">
        <w:t>Over</w:t>
      </w:r>
      <w:r w:rsidR="00D11681">
        <w:t xml:space="preserve"> two years, Robinson represented Randall in </w:t>
      </w:r>
      <w:r w:rsidR="001C4310">
        <w:t xml:space="preserve">three litigation matters involving the Estate: </w:t>
      </w:r>
      <w:r w:rsidR="00836BC5">
        <w:t xml:space="preserve"> </w:t>
      </w:r>
      <w:r w:rsidR="001C4310">
        <w:t xml:space="preserve">a </w:t>
      </w:r>
      <w:r w:rsidR="001F5A3D">
        <w:t xml:space="preserve">contest of </w:t>
      </w:r>
      <w:r w:rsidR="00061FDF">
        <w:t xml:space="preserve">the </w:t>
      </w:r>
      <w:r w:rsidR="001F5A3D">
        <w:t>w</w:t>
      </w:r>
      <w:r w:rsidR="001C4310">
        <w:t>ill, a foreclosure action against the Ingelwood property, and a contest to the au</w:t>
      </w:r>
      <w:r w:rsidR="00434541">
        <w:t>thority to sell that property.</w:t>
      </w:r>
      <w:r w:rsidR="00F063CF">
        <w:t xml:space="preserve">  </w:t>
      </w:r>
    </w:p>
    <w:p w:rsidR="000132B7" w:rsidRDefault="00C477E2" w:rsidP="00940D6A">
      <w:pPr>
        <w:ind w:firstLine="720"/>
      </w:pPr>
      <w:r>
        <w:t>T</w:t>
      </w:r>
      <w:r w:rsidR="00434541">
        <w:t>he litigation</w:t>
      </w:r>
      <w:r w:rsidR="001C4310">
        <w:t xml:space="preserve"> matters were resolved </w:t>
      </w:r>
      <w:r>
        <w:t xml:space="preserve">in </w:t>
      </w:r>
      <w:r w:rsidR="00CA4396">
        <w:t xml:space="preserve">Randall’s </w:t>
      </w:r>
      <w:r>
        <w:t xml:space="preserve">favor </w:t>
      </w:r>
      <w:r w:rsidR="001C4310">
        <w:t>in July 2003</w:t>
      </w:r>
      <w:r>
        <w:t>.  On July 18, 2003,</w:t>
      </w:r>
      <w:r w:rsidR="005221A4">
        <w:t xml:space="preserve"> </w:t>
      </w:r>
      <w:r w:rsidR="00E12055">
        <w:t>Randall</w:t>
      </w:r>
      <w:r w:rsidR="005221A4">
        <w:t xml:space="preserve"> deposited $30,000 in a Bank of America account created for the sale of the Ingelwood property (the Estate Account).  </w:t>
      </w:r>
      <w:r w:rsidR="00205E27">
        <w:t xml:space="preserve">Shortly thereafter, Mundy filed a creditor’s claim in the amount of $3,582 against the Inglewood property.  </w:t>
      </w:r>
      <w:r w:rsidR="005221A4">
        <w:t>On September 24, 2003, Randall issued a $3,582 check from the Estate Account to the “Benjami</w:t>
      </w:r>
      <w:r>
        <w:t>n Robinson Client Trust Account</w:t>
      </w:r>
      <w:r w:rsidR="005221A4">
        <w:t>”</w:t>
      </w:r>
      <w:r>
        <w:t xml:space="preserve"> </w:t>
      </w:r>
      <w:r w:rsidR="00061FDF">
        <w:t>with a notation:</w:t>
      </w:r>
      <w:r>
        <w:t xml:space="preserve"> “</w:t>
      </w:r>
      <w:r w:rsidR="00F063CF">
        <w:t>deposit re: Mundy lien,</w:t>
      </w:r>
      <w:r w:rsidR="006E2D99">
        <w:t>”</w:t>
      </w:r>
      <w:r w:rsidR="00F063CF">
        <w:t xml:space="preserve"> and Robinson deposited the check into his CTA.  Mundy’s claim was rejected by the Estate.  However, t</w:t>
      </w:r>
      <w:r w:rsidR="001F5A3D">
        <w:t xml:space="preserve">he $3,582 was to remain in trust for 90 days from </w:t>
      </w:r>
      <w:r w:rsidR="00F063CF">
        <w:t xml:space="preserve">the date the claim was rejected (i.e., </w:t>
      </w:r>
      <w:r w:rsidR="001F5A3D">
        <w:t>September 29, 200</w:t>
      </w:r>
      <w:r w:rsidR="00C714C7">
        <w:t>3</w:t>
      </w:r>
      <w:r w:rsidR="00F063CF">
        <w:t>)</w:t>
      </w:r>
      <w:r w:rsidR="001F5A3D">
        <w:t>, during whic</w:t>
      </w:r>
      <w:r w:rsidR="00F063CF">
        <w:t>h time Mundy could contest the E</w:t>
      </w:r>
      <w:r w:rsidR="001F5A3D">
        <w:t xml:space="preserve">state’s rejection of </w:t>
      </w:r>
      <w:r w:rsidR="00F063CF">
        <w:t xml:space="preserve">her </w:t>
      </w:r>
      <w:r w:rsidR="001F5A3D">
        <w:t>claim</w:t>
      </w:r>
      <w:r w:rsidR="00F063CF">
        <w:t>.  (Prob. Code,</w:t>
      </w:r>
      <w:r w:rsidR="001F5A3D">
        <w:t xml:space="preserve"> </w:t>
      </w:r>
      <w:r w:rsidR="00F063CF">
        <w:t xml:space="preserve">§ </w:t>
      </w:r>
      <w:r w:rsidR="001F5A3D">
        <w:t>9353, subd</w:t>
      </w:r>
      <w:r w:rsidR="00F063CF">
        <w:t xml:space="preserve">. </w:t>
      </w:r>
      <w:r w:rsidR="001F5A3D">
        <w:t>(a)(1).</w:t>
      </w:r>
      <w:r w:rsidR="00F063CF">
        <w:t>)</w:t>
      </w:r>
      <w:r w:rsidR="001F5A3D">
        <w:t xml:space="preserve">  Despite this requirement, within a week of depositing the check into his CTA</w:t>
      </w:r>
      <w:r w:rsidR="00C714C7">
        <w:t>,</w:t>
      </w:r>
      <w:r w:rsidR="001F5A3D">
        <w:t xml:space="preserve"> Robinson </w:t>
      </w:r>
      <w:r w:rsidR="00C714C7">
        <w:t xml:space="preserve">withdrew the funds </w:t>
      </w:r>
      <w:r w:rsidR="00626822">
        <w:t xml:space="preserve">on October 1, 2003, </w:t>
      </w:r>
      <w:r w:rsidR="00C714C7">
        <w:t xml:space="preserve">and his </w:t>
      </w:r>
      <w:r w:rsidR="001F5A3D">
        <w:t>C</w:t>
      </w:r>
      <w:r w:rsidR="00EE09F3">
        <w:t xml:space="preserve">TA balance dropped to $130.64.  </w:t>
      </w:r>
    </w:p>
    <w:p w:rsidR="00CA4396" w:rsidRDefault="00937291" w:rsidP="00CA4396">
      <w:pPr>
        <w:ind w:firstLine="720"/>
      </w:pPr>
      <w:r>
        <w:t>Robinson testified that Randall authorized the money to be used for attorney’s fees</w:t>
      </w:r>
      <w:r w:rsidR="004260F2">
        <w:t>,</w:t>
      </w:r>
      <w:r w:rsidR="00EE6271">
        <w:t xml:space="preserve"> and </w:t>
      </w:r>
      <w:r w:rsidR="004260F2">
        <w:t xml:space="preserve">that </w:t>
      </w:r>
      <w:r w:rsidR="00EE6271">
        <w:t xml:space="preserve">he </w:t>
      </w:r>
      <w:r w:rsidR="004260F2">
        <w:t xml:space="preserve">withdrew the money and </w:t>
      </w:r>
      <w:r w:rsidR="00EE6271">
        <w:t xml:space="preserve">placed </w:t>
      </w:r>
      <w:r w:rsidR="004260F2">
        <w:t>it</w:t>
      </w:r>
      <w:r w:rsidR="00EE6271">
        <w:t xml:space="preserve"> in his safe deposit box at ho</w:t>
      </w:r>
      <w:r w:rsidR="00F57151">
        <w:t>me to protect it from an unidentified</w:t>
      </w:r>
      <w:r w:rsidR="00EE6271">
        <w:t xml:space="preserve"> </w:t>
      </w:r>
      <w:r w:rsidR="007D2A4E">
        <w:t>female roommate w</w:t>
      </w:r>
      <w:r w:rsidR="004260F2">
        <w:t>ho</w:t>
      </w:r>
      <w:r w:rsidR="00F57151">
        <w:t>m</w:t>
      </w:r>
      <w:r w:rsidR="004260F2">
        <w:t xml:space="preserve"> he feared would access his CTA</w:t>
      </w:r>
      <w:r>
        <w:t xml:space="preserve">.  </w:t>
      </w:r>
      <w:r w:rsidR="00EE09F3">
        <w:t xml:space="preserve">Robinson </w:t>
      </w:r>
      <w:r w:rsidR="00626822">
        <w:t xml:space="preserve">also </w:t>
      </w:r>
      <w:r w:rsidR="002B2F73">
        <w:t xml:space="preserve">testified that he </w:t>
      </w:r>
      <w:r w:rsidR="00EE6271">
        <w:t xml:space="preserve">eventually </w:t>
      </w:r>
      <w:r w:rsidR="002B2F73">
        <w:t xml:space="preserve">returned the </w:t>
      </w:r>
      <w:r w:rsidR="00EE09F3">
        <w:t xml:space="preserve">funds as part of the final accounting </w:t>
      </w:r>
      <w:r w:rsidR="00541F32">
        <w:t xml:space="preserve">of the Estate </w:t>
      </w:r>
      <w:r w:rsidR="00EE09F3">
        <w:t>and his request for attorney’s fees</w:t>
      </w:r>
      <w:r w:rsidR="002B2F73">
        <w:t xml:space="preserve"> in 2006</w:t>
      </w:r>
      <w:r w:rsidR="00EE09F3">
        <w:t>.</w:t>
      </w:r>
    </w:p>
    <w:p w:rsidR="002156E3" w:rsidRPr="00CA4396" w:rsidRDefault="00CA4396" w:rsidP="00CA4396">
      <w:r>
        <w:tab/>
      </w:r>
      <w:r>
        <w:rPr>
          <w:b/>
        </w:rPr>
        <w:t>2.</w:t>
      </w:r>
      <w:r>
        <w:rPr>
          <w:b/>
        </w:rPr>
        <w:tab/>
      </w:r>
      <w:r w:rsidR="008E262A" w:rsidRPr="00C714C7">
        <w:rPr>
          <w:b/>
        </w:rPr>
        <w:t>Conclusions of Law</w:t>
      </w:r>
    </w:p>
    <w:p w:rsidR="00901A7D" w:rsidRPr="00901A7D" w:rsidRDefault="001D6AFC" w:rsidP="00901A7D">
      <w:pPr>
        <w:ind w:left="720"/>
        <w:rPr>
          <w:b/>
        </w:rPr>
      </w:pPr>
      <w:r>
        <w:rPr>
          <w:b/>
        </w:rPr>
        <w:t>Count 4</w:t>
      </w:r>
      <w:r w:rsidR="00485069">
        <w:rPr>
          <w:b/>
        </w:rPr>
        <w:t xml:space="preserve">: </w:t>
      </w:r>
      <w:r w:rsidR="00EC725D">
        <w:rPr>
          <w:b/>
        </w:rPr>
        <w:t xml:space="preserve"> </w:t>
      </w:r>
      <w:r w:rsidR="0057231F">
        <w:rPr>
          <w:b/>
        </w:rPr>
        <w:t>Improper Use of CTA F</w:t>
      </w:r>
      <w:r w:rsidR="00485069">
        <w:rPr>
          <w:b/>
        </w:rPr>
        <w:t>unds</w:t>
      </w:r>
      <w:r>
        <w:rPr>
          <w:b/>
        </w:rPr>
        <w:t xml:space="preserve"> </w:t>
      </w:r>
      <w:r w:rsidR="00901A7D">
        <w:rPr>
          <w:b/>
        </w:rPr>
        <w:t>(</w:t>
      </w:r>
      <w:r w:rsidR="0057231F">
        <w:rPr>
          <w:b/>
        </w:rPr>
        <w:t>R</w:t>
      </w:r>
      <w:r w:rsidR="00901A7D">
        <w:rPr>
          <w:b/>
        </w:rPr>
        <w:t>ule</w:t>
      </w:r>
      <w:r w:rsidR="005947C4">
        <w:rPr>
          <w:b/>
        </w:rPr>
        <w:t xml:space="preserve">s Prof. Conduct, rule </w:t>
      </w:r>
      <w:r w:rsidR="00901A7D">
        <w:rPr>
          <w:b/>
        </w:rPr>
        <w:t>4-100(A</w:t>
      </w:r>
      <w:r w:rsidR="00901A7D" w:rsidRPr="008A4522">
        <w:rPr>
          <w:b/>
        </w:rPr>
        <w:t>)</w:t>
      </w:r>
      <w:r w:rsidR="008A4522" w:rsidRPr="008A4522">
        <w:rPr>
          <w:rStyle w:val="FootnoteReference"/>
          <w:b/>
        </w:rPr>
        <w:footnoteReference w:id="4"/>
      </w:r>
      <w:r w:rsidR="00901A7D" w:rsidRPr="008A4522">
        <w:rPr>
          <w:b/>
        </w:rPr>
        <w:t>)</w:t>
      </w:r>
    </w:p>
    <w:p w:rsidR="00901A7D" w:rsidRDefault="001D6AFC" w:rsidP="00940D6A">
      <w:pPr>
        <w:ind w:firstLine="720"/>
      </w:pPr>
      <w:r>
        <w:t>Under rule 4-100(A),</w:t>
      </w:r>
      <w:r w:rsidRPr="001D6AFC">
        <w:t xml:space="preserve"> funds received for the benefit of clients shall be deposited into a trust account. </w:t>
      </w:r>
      <w:r w:rsidR="004260F2">
        <w:t xml:space="preserve"> </w:t>
      </w:r>
      <w:r w:rsidR="00532489">
        <w:t xml:space="preserve">The estate funds were entrusted to Robinson to cover a claim </w:t>
      </w:r>
      <w:r w:rsidR="0057231F">
        <w:t xml:space="preserve">asserted by </w:t>
      </w:r>
      <w:r w:rsidR="00532489">
        <w:t xml:space="preserve">Mundy and Robinson was required to maintain them in trust </w:t>
      </w:r>
      <w:r w:rsidR="0057231F">
        <w:t>while t</w:t>
      </w:r>
      <w:r w:rsidR="00532489">
        <w:t>h</w:t>
      </w:r>
      <w:r w:rsidR="0057231F">
        <w:t>at</w:t>
      </w:r>
      <w:r w:rsidR="00532489">
        <w:t xml:space="preserve"> claim was</w:t>
      </w:r>
      <w:r w:rsidR="0057231F">
        <w:t xml:space="preserve"> pending</w:t>
      </w:r>
      <w:r w:rsidR="00532489">
        <w:t xml:space="preserve">.  </w:t>
      </w:r>
      <w:r w:rsidR="0057231F">
        <w:t>His</w:t>
      </w:r>
      <w:r>
        <w:t xml:space="preserve"> withdrawal of any portion of the $3,582</w:t>
      </w:r>
      <w:r w:rsidR="0057231F">
        <w:t xml:space="preserve"> before resolution of Mundy’s claim </w:t>
      </w:r>
      <w:r>
        <w:t xml:space="preserve">violated rule 4-100(A).  </w:t>
      </w:r>
    </w:p>
    <w:p w:rsidR="00C714C7" w:rsidRDefault="00C714C7" w:rsidP="00C714C7">
      <w:pPr>
        <w:ind w:firstLine="720"/>
      </w:pPr>
      <w:r>
        <w:t xml:space="preserve">Like the hearing judge, we reject as unbelievable Robinson’s testimony that he removed the money and placed it in his </w:t>
      </w:r>
      <w:r w:rsidR="0057231F">
        <w:t xml:space="preserve">home </w:t>
      </w:r>
      <w:r>
        <w:t xml:space="preserve">safe deposit box.  Further, even if Randall had authorized </w:t>
      </w:r>
      <w:r w:rsidR="0057231F">
        <w:t xml:space="preserve">using </w:t>
      </w:r>
      <w:r>
        <w:t xml:space="preserve">the money to </w:t>
      </w:r>
      <w:r w:rsidR="00626822">
        <w:t>pay</w:t>
      </w:r>
      <w:r>
        <w:t xml:space="preserve"> attorney’s fees, it did not excuse </w:t>
      </w:r>
      <w:r w:rsidR="00626822">
        <w:t xml:space="preserve">Robinson’s </w:t>
      </w:r>
      <w:r>
        <w:t xml:space="preserve">use of the funds before the 90-day statutory period expired. </w:t>
      </w:r>
      <w:r w:rsidR="004260F2">
        <w:t xml:space="preserve"> </w:t>
      </w:r>
      <w:r>
        <w:t>(</w:t>
      </w:r>
      <w:r w:rsidRPr="00A46D73">
        <w:rPr>
          <w:i/>
        </w:rPr>
        <w:t>Guzzetta v. State Bar</w:t>
      </w:r>
      <w:r>
        <w:rPr>
          <w:i/>
        </w:rPr>
        <w:t xml:space="preserve"> </w:t>
      </w:r>
      <w:r w:rsidRPr="00A46D73">
        <w:t>(1987) 43 Cal.3d 962</w:t>
      </w:r>
      <w:r>
        <w:t>, 9</w:t>
      </w:r>
      <w:r w:rsidR="005947C4">
        <w:t>77-979</w:t>
      </w:r>
      <w:r>
        <w:t xml:space="preserve"> [lack of intent to deceive or good faith not defenses to misappropriation].)</w:t>
      </w:r>
    </w:p>
    <w:p w:rsidR="00975CB3" w:rsidRDefault="00901A7D">
      <w:pPr>
        <w:tabs>
          <w:tab w:val="left" w:pos="720"/>
        </w:tabs>
        <w:rPr>
          <w:b/>
        </w:rPr>
      </w:pPr>
      <w:r>
        <w:tab/>
      </w:r>
      <w:r>
        <w:rPr>
          <w:b/>
        </w:rPr>
        <w:t>Count 5: Moral Turpitude (</w:t>
      </w:r>
      <w:r w:rsidR="005947C4">
        <w:rPr>
          <w:b/>
        </w:rPr>
        <w:t xml:space="preserve">Bus. &amp; Prof. Code, </w:t>
      </w:r>
      <w:r w:rsidR="00B84AFE">
        <w:rPr>
          <w:b/>
        </w:rPr>
        <w:t>§</w:t>
      </w:r>
      <w:r>
        <w:rPr>
          <w:b/>
        </w:rPr>
        <w:t xml:space="preserve"> 6106</w:t>
      </w:r>
      <w:r w:rsidR="00485069">
        <w:rPr>
          <w:rStyle w:val="FootnoteReference"/>
          <w:b/>
        </w:rPr>
        <w:footnoteReference w:id="5"/>
      </w:r>
      <w:r w:rsidR="003542E6">
        <w:rPr>
          <w:b/>
        </w:rPr>
        <w:t>)</w:t>
      </w:r>
    </w:p>
    <w:p w:rsidR="00A64F1D" w:rsidRDefault="001D6AFC" w:rsidP="0057231F">
      <w:pPr>
        <w:ind w:firstLine="720"/>
      </w:pPr>
      <w:r>
        <w:t>“[A]n attorney’</w:t>
      </w:r>
      <w:r w:rsidRPr="00347239">
        <w:t>s failure to use entrusted funds for the purpose for which they were entrusted constitutes misappropriation</w:t>
      </w:r>
      <w:r>
        <w:t xml:space="preserve">. </w:t>
      </w:r>
      <w:r w:rsidR="00C522A8">
        <w:t xml:space="preserve"> </w:t>
      </w:r>
      <w:r>
        <w:t xml:space="preserve">[Citation.]” </w:t>
      </w:r>
      <w:r w:rsidR="0057231F">
        <w:t xml:space="preserve"> </w:t>
      </w:r>
      <w:r>
        <w:t>(</w:t>
      </w:r>
      <w:r>
        <w:rPr>
          <w:i/>
        </w:rPr>
        <w:t>Baca v. State Bar</w:t>
      </w:r>
      <w:r>
        <w:t xml:space="preserve"> (1990) 52 Cal.3d 294, 304.)  </w:t>
      </w:r>
      <w:r w:rsidR="002D4F41">
        <w:t xml:space="preserve">The estate funds were entrusted to Robinson to </w:t>
      </w:r>
      <w:r w:rsidR="00485069">
        <w:t xml:space="preserve">cover </w:t>
      </w:r>
      <w:r w:rsidR="002D4F41">
        <w:t xml:space="preserve">a claim Mundy had asserted to them.  </w:t>
      </w:r>
      <w:r>
        <w:t xml:space="preserve">Although Mundy was not his client, Robinson owed her a fiduciary duty as a potential creditor of the estate. </w:t>
      </w:r>
      <w:r w:rsidR="002556DC">
        <w:t xml:space="preserve"> </w:t>
      </w:r>
      <w:r>
        <w:t>(</w:t>
      </w:r>
      <w:r>
        <w:rPr>
          <w:i/>
        </w:rPr>
        <w:t>In the Matter of Dyson</w:t>
      </w:r>
      <w:r>
        <w:t xml:space="preserve"> (Review Dept. 1990) 1 Cal. State Bar Ct. Rptr. 280,</w:t>
      </w:r>
      <w:r w:rsidR="004260F2">
        <w:t xml:space="preserve"> </w:t>
      </w:r>
      <w:r w:rsidR="00C522A8">
        <w:t xml:space="preserve">285-286 </w:t>
      </w:r>
      <w:r>
        <w:t>[fiduciary duty to maintain in trust funds to pay medical liens on behalf of clients].)</w:t>
      </w:r>
      <w:r w:rsidR="005676AC">
        <w:t xml:space="preserve">  </w:t>
      </w:r>
      <w:r w:rsidR="0057231F">
        <w:t>We find that b</w:t>
      </w:r>
      <w:r w:rsidR="00C714C7">
        <w:t xml:space="preserve">y withdrawing these funds for his own personal use, Robinson misappropriated </w:t>
      </w:r>
      <w:r w:rsidR="00626822">
        <w:t xml:space="preserve">them </w:t>
      </w:r>
      <w:r w:rsidR="00391240">
        <w:t>in violation of section 6106.  (</w:t>
      </w:r>
      <w:r w:rsidR="00391240" w:rsidRPr="000C4477">
        <w:rPr>
          <w:i/>
        </w:rPr>
        <w:t>McKnight v. State Bar</w:t>
      </w:r>
      <w:r w:rsidR="00391240" w:rsidRPr="000C4477">
        <w:t xml:space="preserve"> (1991) 53 Cal.3d 1025, 1033-1034 [attorney who withdrew CTA funds under mistaken belief that client had authorized use of funds for fees culpable of willful misappropriation and moral turpitude]</w:t>
      </w:r>
      <w:r w:rsidR="004260F2">
        <w:t>.)</w:t>
      </w:r>
    </w:p>
    <w:p w:rsidR="001073B8" w:rsidRDefault="001073B8" w:rsidP="0057231F">
      <w:pPr>
        <w:rPr>
          <w:b/>
        </w:rPr>
      </w:pPr>
    </w:p>
    <w:p w:rsidR="001073B8" w:rsidRDefault="001073B8" w:rsidP="0057231F">
      <w:pPr>
        <w:rPr>
          <w:b/>
        </w:rPr>
      </w:pPr>
    </w:p>
    <w:p w:rsidR="001073B8" w:rsidRDefault="001073B8" w:rsidP="0057231F">
      <w:pPr>
        <w:rPr>
          <w:b/>
        </w:rPr>
      </w:pPr>
    </w:p>
    <w:p w:rsidR="0057231F" w:rsidRDefault="0057231F" w:rsidP="0057231F">
      <w:pPr>
        <w:rPr>
          <w:b/>
        </w:rPr>
      </w:pPr>
      <w:r>
        <w:rPr>
          <w:b/>
        </w:rPr>
        <w:t>B.</w:t>
      </w:r>
      <w:r>
        <w:rPr>
          <w:b/>
        </w:rPr>
        <w:tab/>
      </w:r>
      <w:r w:rsidR="00063C0C" w:rsidRPr="000132B7">
        <w:rPr>
          <w:b/>
        </w:rPr>
        <w:t>MISUSE OF CTA</w:t>
      </w:r>
    </w:p>
    <w:p w:rsidR="00366DA9" w:rsidRPr="0057231F" w:rsidRDefault="0057231F" w:rsidP="0057231F">
      <w:r>
        <w:rPr>
          <w:b/>
        </w:rPr>
        <w:tab/>
        <w:t>1.</w:t>
      </w:r>
      <w:r>
        <w:rPr>
          <w:b/>
        </w:rPr>
        <w:tab/>
      </w:r>
      <w:r w:rsidR="00366DA9">
        <w:rPr>
          <w:b/>
        </w:rPr>
        <w:t>Findings of Fact</w:t>
      </w:r>
    </w:p>
    <w:p w:rsidR="00C714C7" w:rsidRDefault="00A5557F" w:rsidP="00940D6A">
      <w:pPr>
        <w:ind w:firstLine="720"/>
      </w:pPr>
      <w:r>
        <w:t xml:space="preserve">For </w:t>
      </w:r>
      <w:r w:rsidR="00485069">
        <w:t xml:space="preserve">over </w:t>
      </w:r>
      <w:r>
        <w:t xml:space="preserve">three years from April 2003 until June 2006, </w:t>
      </w:r>
      <w:r w:rsidR="00376FD2">
        <w:t xml:space="preserve">Robinson frequently used his CTA </w:t>
      </w:r>
      <w:r w:rsidR="004C5F9A">
        <w:t xml:space="preserve">as a </w:t>
      </w:r>
      <w:r w:rsidR="00376FD2">
        <w:t>personal checking account.</w:t>
      </w:r>
      <w:r w:rsidR="002C6CF2">
        <w:t xml:space="preserve">  He did not promptly withdr</w:t>
      </w:r>
      <w:r w:rsidR="007A6BF7">
        <w:t>aw earned fees</w:t>
      </w:r>
      <w:r w:rsidR="000A38DA">
        <w:t xml:space="preserve"> from his CTA.  He also issued</w:t>
      </w:r>
      <w:r w:rsidR="00366DA9">
        <w:t xml:space="preserve"> the following</w:t>
      </w:r>
      <w:r w:rsidR="000A38DA">
        <w:t xml:space="preserve"> 23 checks for personal expenses</w:t>
      </w:r>
      <w:r w:rsidR="00366DA9">
        <w:t>, totaling $9,007.29:</w:t>
      </w:r>
    </w:p>
    <w:tbl>
      <w:tblPr>
        <w:tblStyle w:val="TableGrid"/>
        <w:tblW w:w="0" w:type="auto"/>
        <w:tblLook w:val="04A0"/>
      </w:tblPr>
      <w:tblGrid>
        <w:gridCol w:w="2178"/>
        <w:gridCol w:w="2340"/>
        <w:gridCol w:w="1980"/>
        <w:gridCol w:w="3078"/>
      </w:tblGrid>
      <w:tr w:rsidR="00063C0C" w:rsidTr="0057231F">
        <w:tc>
          <w:tcPr>
            <w:tcW w:w="2178" w:type="dxa"/>
          </w:tcPr>
          <w:p w:rsidR="00063C0C" w:rsidRPr="00485069" w:rsidRDefault="00063C0C" w:rsidP="00485069">
            <w:pPr>
              <w:spacing w:line="240" w:lineRule="auto"/>
              <w:rPr>
                <w:b/>
              </w:rPr>
            </w:pPr>
            <w:r w:rsidRPr="00485069">
              <w:rPr>
                <w:b/>
              </w:rPr>
              <w:t>Withdrawal Date</w:t>
            </w:r>
          </w:p>
        </w:tc>
        <w:tc>
          <w:tcPr>
            <w:tcW w:w="2340" w:type="dxa"/>
          </w:tcPr>
          <w:p w:rsidR="00063C0C" w:rsidRPr="00485069" w:rsidRDefault="00063C0C" w:rsidP="0057231F">
            <w:pPr>
              <w:spacing w:line="240" w:lineRule="auto"/>
              <w:jc w:val="center"/>
              <w:rPr>
                <w:b/>
              </w:rPr>
            </w:pPr>
            <w:r w:rsidRPr="00485069">
              <w:rPr>
                <w:b/>
              </w:rPr>
              <w:t>Amount Withdrawn</w:t>
            </w:r>
          </w:p>
        </w:tc>
        <w:tc>
          <w:tcPr>
            <w:tcW w:w="1980" w:type="dxa"/>
          </w:tcPr>
          <w:p w:rsidR="00063C0C" w:rsidRPr="00485069" w:rsidRDefault="00063C0C" w:rsidP="0057231F">
            <w:pPr>
              <w:spacing w:line="240" w:lineRule="auto"/>
              <w:rPr>
                <w:b/>
              </w:rPr>
            </w:pPr>
            <w:r w:rsidRPr="00485069">
              <w:rPr>
                <w:b/>
              </w:rPr>
              <w:t xml:space="preserve">CTA Check </w:t>
            </w:r>
            <w:r w:rsidR="0057231F">
              <w:rPr>
                <w:b/>
              </w:rPr>
              <w:t>No.</w:t>
            </w:r>
            <w:r w:rsidRPr="00485069">
              <w:rPr>
                <w:b/>
              </w:rPr>
              <w:t xml:space="preserve"> </w:t>
            </w:r>
          </w:p>
        </w:tc>
        <w:tc>
          <w:tcPr>
            <w:tcW w:w="3078" w:type="dxa"/>
          </w:tcPr>
          <w:p w:rsidR="00063C0C" w:rsidRPr="00485069" w:rsidRDefault="00063C0C" w:rsidP="0057231F">
            <w:pPr>
              <w:spacing w:line="240" w:lineRule="auto"/>
              <w:jc w:val="center"/>
              <w:rPr>
                <w:b/>
              </w:rPr>
            </w:pPr>
            <w:r w:rsidRPr="00485069">
              <w:rPr>
                <w:b/>
              </w:rPr>
              <w:t>Payee</w:t>
            </w:r>
          </w:p>
        </w:tc>
      </w:tr>
      <w:tr w:rsidR="00063C0C" w:rsidTr="0057231F">
        <w:tc>
          <w:tcPr>
            <w:tcW w:w="2178" w:type="dxa"/>
          </w:tcPr>
          <w:p w:rsidR="00063C0C" w:rsidRDefault="00FA56BE" w:rsidP="00FA56BE">
            <w:pPr>
              <w:spacing w:line="240" w:lineRule="auto"/>
              <w:jc w:val="center"/>
            </w:pPr>
            <w:r>
              <w:t>4/8/03</w:t>
            </w:r>
          </w:p>
        </w:tc>
        <w:tc>
          <w:tcPr>
            <w:tcW w:w="2340" w:type="dxa"/>
          </w:tcPr>
          <w:p w:rsidR="00063C0C" w:rsidRDefault="00063C0C" w:rsidP="0057231F">
            <w:pPr>
              <w:spacing w:line="240" w:lineRule="auto"/>
              <w:jc w:val="center"/>
            </w:pPr>
            <w:r>
              <w:t>$1,941.94</w:t>
            </w:r>
          </w:p>
        </w:tc>
        <w:tc>
          <w:tcPr>
            <w:tcW w:w="1980" w:type="dxa"/>
          </w:tcPr>
          <w:p w:rsidR="00063C0C" w:rsidRDefault="00063C0C" w:rsidP="0057231F">
            <w:pPr>
              <w:spacing w:line="240" w:lineRule="auto"/>
              <w:jc w:val="center"/>
            </w:pPr>
            <w:r>
              <w:t>1053</w:t>
            </w:r>
          </w:p>
        </w:tc>
        <w:tc>
          <w:tcPr>
            <w:tcW w:w="3078" w:type="dxa"/>
          </w:tcPr>
          <w:p w:rsidR="00063C0C" w:rsidRDefault="00063C0C" w:rsidP="00B84AFE">
            <w:pPr>
              <w:spacing w:line="240" w:lineRule="auto"/>
              <w:jc w:val="center"/>
            </w:pPr>
            <w:r>
              <w:t>Mercedes-Benz/Long Beach</w:t>
            </w:r>
          </w:p>
        </w:tc>
      </w:tr>
      <w:tr w:rsidR="00063C0C" w:rsidTr="0057231F">
        <w:tc>
          <w:tcPr>
            <w:tcW w:w="2178" w:type="dxa"/>
          </w:tcPr>
          <w:p w:rsidR="00063C0C" w:rsidRDefault="00FA56BE" w:rsidP="00FA56BE">
            <w:pPr>
              <w:spacing w:line="240" w:lineRule="auto"/>
              <w:jc w:val="center"/>
            </w:pPr>
            <w:r>
              <w:t>8/5/03</w:t>
            </w:r>
          </w:p>
        </w:tc>
        <w:tc>
          <w:tcPr>
            <w:tcW w:w="2340" w:type="dxa"/>
          </w:tcPr>
          <w:p w:rsidR="00063C0C" w:rsidRDefault="00063C0C" w:rsidP="0057231F">
            <w:pPr>
              <w:spacing w:line="240" w:lineRule="auto"/>
              <w:jc w:val="center"/>
            </w:pPr>
            <w:r>
              <w:t>$421.95</w:t>
            </w:r>
          </w:p>
        </w:tc>
        <w:tc>
          <w:tcPr>
            <w:tcW w:w="1980" w:type="dxa"/>
          </w:tcPr>
          <w:p w:rsidR="00063C0C" w:rsidRDefault="00063C0C" w:rsidP="0057231F">
            <w:pPr>
              <w:spacing w:line="240" w:lineRule="auto"/>
              <w:jc w:val="center"/>
            </w:pPr>
            <w:r>
              <w:t>1079</w:t>
            </w:r>
          </w:p>
        </w:tc>
        <w:tc>
          <w:tcPr>
            <w:tcW w:w="3078" w:type="dxa"/>
          </w:tcPr>
          <w:p w:rsidR="00063C0C" w:rsidRDefault="00063C0C" w:rsidP="00B84AFE">
            <w:pPr>
              <w:spacing w:line="240" w:lineRule="auto"/>
              <w:jc w:val="center"/>
            </w:pPr>
            <w:r>
              <w:t>Costco</w:t>
            </w:r>
          </w:p>
        </w:tc>
      </w:tr>
      <w:tr w:rsidR="00063C0C" w:rsidTr="0057231F">
        <w:tc>
          <w:tcPr>
            <w:tcW w:w="2178" w:type="dxa"/>
          </w:tcPr>
          <w:p w:rsidR="00063C0C" w:rsidRDefault="00FA56BE" w:rsidP="00FA56BE">
            <w:pPr>
              <w:spacing w:line="240" w:lineRule="auto"/>
              <w:jc w:val="center"/>
            </w:pPr>
            <w:r>
              <w:t>9/3/03</w:t>
            </w:r>
          </w:p>
        </w:tc>
        <w:tc>
          <w:tcPr>
            <w:tcW w:w="2340" w:type="dxa"/>
          </w:tcPr>
          <w:p w:rsidR="00063C0C" w:rsidRDefault="00063C0C" w:rsidP="0057231F">
            <w:pPr>
              <w:spacing w:line="240" w:lineRule="auto"/>
              <w:jc w:val="center"/>
            </w:pPr>
            <w:r>
              <w:t>$56.18</w:t>
            </w:r>
          </w:p>
        </w:tc>
        <w:tc>
          <w:tcPr>
            <w:tcW w:w="1980" w:type="dxa"/>
          </w:tcPr>
          <w:p w:rsidR="00063C0C" w:rsidRDefault="00063C0C" w:rsidP="0057231F">
            <w:pPr>
              <w:spacing w:line="240" w:lineRule="auto"/>
              <w:jc w:val="center"/>
            </w:pPr>
            <w:r>
              <w:t>1091</w:t>
            </w:r>
          </w:p>
        </w:tc>
        <w:tc>
          <w:tcPr>
            <w:tcW w:w="3078" w:type="dxa"/>
          </w:tcPr>
          <w:p w:rsidR="00063C0C" w:rsidRDefault="00063C0C" w:rsidP="00B84AFE">
            <w:pPr>
              <w:spacing w:line="240" w:lineRule="auto"/>
              <w:jc w:val="center"/>
            </w:pPr>
            <w:r>
              <w:t>Ralph’s</w:t>
            </w:r>
          </w:p>
        </w:tc>
      </w:tr>
      <w:tr w:rsidR="00063C0C" w:rsidTr="0057231F">
        <w:tc>
          <w:tcPr>
            <w:tcW w:w="2178" w:type="dxa"/>
          </w:tcPr>
          <w:p w:rsidR="00063C0C" w:rsidRDefault="00FA56BE" w:rsidP="00FA56BE">
            <w:pPr>
              <w:spacing w:line="240" w:lineRule="auto"/>
              <w:jc w:val="center"/>
            </w:pPr>
            <w:r>
              <w:t>1/26/04</w:t>
            </w:r>
          </w:p>
        </w:tc>
        <w:tc>
          <w:tcPr>
            <w:tcW w:w="2340" w:type="dxa"/>
          </w:tcPr>
          <w:p w:rsidR="00063C0C" w:rsidRDefault="00063C0C" w:rsidP="0057231F">
            <w:pPr>
              <w:spacing w:line="240" w:lineRule="auto"/>
              <w:jc w:val="center"/>
            </w:pPr>
            <w:r>
              <w:t>$240.29</w:t>
            </w:r>
          </w:p>
        </w:tc>
        <w:tc>
          <w:tcPr>
            <w:tcW w:w="1980" w:type="dxa"/>
          </w:tcPr>
          <w:p w:rsidR="00063C0C" w:rsidRDefault="00063C0C" w:rsidP="0057231F">
            <w:pPr>
              <w:spacing w:line="240" w:lineRule="auto"/>
              <w:jc w:val="center"/>
            </w:pPr>
            <w:r>
              <w:t>1101</w:t>
            </w:r>
          </w:p>
        </w:tc>
        <w:tc>
          <w:tcPr>
            <w:tcW w:w="3078" w:type="dxa"/>
          </w:tcPr>
          <w:p w:rsidR="00063C0C" w:rsidRDefault="00063C0C" w:rsidP="00B84AFE">
            <w:pPr>
              <w:spacing w:line="240" w:lineRule="auto"/>
              <w:jc w:val="center"/>
            </w:pPr>
            <w:r>
              <w:t>Costco</w:t>
            </w:r>
          </w:p>
        </w:tc>
      </w:tr>
      <w:tr w:rsidR="00063C0C" w:rsidTr="0057231F">
        <w:tc>
          <w:tcPr>
            <w:tcW w:w="2178" w:type="dxa"/>
          </w:tcPr>
          <w:p w:rsidR="00063C0C" w:rsidRDefault="00FA56BE" w:rsidP="00FA56BE">
            <w:pPr>
              <w:spacing w:line="240" w:lineRule="auto"/>
              <w:jc w:val="center"/>
            </w:pPr>
            <w:r>
              <w:t>3/25/04</w:t>
            </w:r>
          </w:p>
        </w:tc>
        <w:tc>
          <w:tcPr>
            <w:tcW w:w="2340" w:type="dxa"/>
          </w:tcPr>
          <w:p w:rsidR="00063C0C" w:rsidRDefault="00E147CA" w:rsidP="0057231F">
            <w:pPr>
              <w:spacing w:line="240" w:lineRule="auto"/>
              <w:jc w:val="center"/>
            </w:pPr>
            <w:r>
              <w:t>$74.27</w:t>
            </w:r>
          </w:p>
        </w:tc>
        <w:tc>
          <w:tcPr>
            <w:tcW w:w="1980" w:type="dxa"/>
          </w:tcPr>
          <w:p w:rsidR="00063C0C" w:rsidRDefault="00E147CA" w:rsidP="0057231F">
            <w:pPr>
              <w:spacing w:line="240" w:lineRule="auto"/>
              <w:jc w:val="center"/>
            </w:pPr>
            <w:r>
              <w:t>1107</w:t>
            </w:r>
          </w:p>
        </w:tc>
        <w:tc>
          <w:tcPr>
            <w:tcW w:w="3078" w:type="dxa"/>
          </w:tcPr>
          <w:p w:rsidR="00063C0C" w:rsidRDefault="00E147CA" w:rsidP="00B84AFE">
            <w:pPr>
              <w:spacing w:line="240" w:lineRule="auto"/>
              <w:jc w:val="center"/>
            </w:pPr>
            <w:r>
              <w:t>Ralph’s</w:t>
            </w:r>
          </w:p>
        </w:tc>
      </w:tr>
      <w:tr w:rsidR="00063C0C" w:rsidTr="0057231F">
        <w:tc>
          <w:tcPr>
            <w:tcW w:w="2178" w:type="dxa"/>
          </w:tcPr>
          <w:p w:rsidR="00063C0C" w:rsidRDefault="00FA56BE" w:rsidP="00FA56BE">
            <w:pPr>
              <w:spacing w:line="240" w:lineRule="auto"/>
              <w:jc w:val="center"/>
            </w:pPr>
            <w:r>
              <w:t>3/25/04</w:t>
            </w:r>
          </w:p>
        </w:tc>
        <w:tc>
          <w:tcPr>
            <w:tcW w:w="2340" w:type="dxa"/>
          </w:tcPr>
          <w:p w:rsidR="00063C0C" w:rsidRDefault="00E147CA" w:rsidP="0057231F">
            <w:pPr>
              <w:spacing w:line="240" w:lineRule="auto"/>
              <w:jc w:val="center"/>
            </w:pPr>
            <w:r>
              <w:t>$85.80</w:t>
            </w:r>
          </w:p>
        </w:tc>
        <w:tc>
          <w:tcPr>
            <w:tcW w:w="1980" w:type="dxa"/>
          </w:tcPr>
          <w:p w:rsidR="00063C0C" w:rsidRDefault="00E147CA" w:rsidP="0057231F">
            <w:pPr>
              <w:spacing w:line="240" w:lineRule="auto"/>
              <w:jc w:val="center"/>
            </w:pPr>
            <w:r>
              <w:t>1113</w:t>
            </w:r>
          </w:p>
        </w:tc>
        <w:tc>
          <w:tcPr>
            <w:tcW w:w="3078" w:type="dxa"/>
          </w:tcPr>
          <w:p w:rsidR="00063C0C" w:rsidRDefault="00E147CA" w:rsidP="00B84AFE">
            <w:pPr>
              <w:spacing w:line="240" w:lineRule="auto"/>
              <w:jc w:val="center"/>
            </w:pPr>
            <w:r>
              <w:t>French Hand Laundry</w:t>
            </w:r>
          </w:p>
        </w:tc>
      </w:tr>
      <w:tr w:rsidR="00063C0C" w:rsidTr="0057231F">
        <w:tc>
          <w:tcPr>
            <w:tcW w:w="2178" w:type="dxa"/>
          </w:tcPr>
          <w:p w:rsidR="00063C0C" w:rsidRDefault="00FA56BE" w:rsidP="00FA56BE">
            <w:pPr>
              <w:spacing w:line="240" w:lineRule="auto"/>
              <w:jc w:val="center"/>
            </w:pPr>
            <w:r>
              <w:t>4/26/04</w:t>
            </w:r>
          </w:p>
        </w:tc>
        <w:tc>
          <w:tcPr>
            <w:tcW w:w="2340" w:type="dxa"/>
          </w:tcPr>
          <w:p w:rsidR="00063C0C" w:rsidRDefault="00E147CA" w:rsidP="0057231F">
            <w:pPr>
              <w:spacing w:line="240" w:lineRule="auto"/>
              <w:jc w:val="center"/>
            </w:pPr>
            <w:r>
              <w:t>$123.75</w:t>
            </w:r>
          </w:p>
        </w:tc>
        <w:tc>
          <w:tcPr>
            <w:tcW w:w="1980" w:type="dxa"/>
          </w:tcPr>
          <w:p w:rsidR="00063C0C" w:rsidRDefault="00E147CA" w:rsidP="0057231F">
            <w:pPr>
              <w:spacing w:line="240" w:lineRule="auto"/>
              <w:jc w:val="center"/>
            </w:pPr>
            <w:r>
              <w:t>1138</w:t>
            </w:r>
          </w:p>
        </w:tc>
        <w:tc>
          <w:tcPr>
            <w:tcW w:w="3078" w:type="dxa"/>
          </w:tcPr>
          <w:p w:rsidR="00063C0C" w:rsidRDefault="00E147CA" w:rsidP="00B84AFE">
            <w:pPr>
              <w:spacing w:line="240" w:lineRule="auto"/>
              <w:jc w:val="center"/>
            </w:pPr>
            <w:r>
              <w:t>French Hand Laundry</w:t>
            </w:r>
          </w:p>
        </w:tc>
      </w:tr>
      <w:tr w:rsidR="00063C0C" w:rsidTr="0057231F">
        <w:tc>
          <w:tcPr>
            <w:tcW w:w="2178" w:type="dxa"/>
          </w:tcPr>
          <w:p w:rsidR="00063C0C" w:rsidRDefault="00FA56BE" w:rsidP="00FA56BE">
            <w:pPr>
              <w:spacing w:line="240" w:lineRule="auto"/>
              <w:jc w:val="center"/>
            </w:pPr>
            <w:r>
              <w:t>6/1/04</w:t>
            </w:r>
          </w:p>
        </w:tc>
        <w:tc>
          <w:tcPr>
            <w:tcW w:w="2340" w:type="dxa"/>
          </w:tcPr>
          <w:p w:rsidR="00063C0C" w:rsidRDefault="00E147CA" w:rsidP="0057231F">
            <w:pPr>
              <w:spacing w:line="240" w:lineRule="auto"/>
              <w:jc w:val="center"/>
            </w:pPr>
            <w:r>
              <w:t>$13.10</w:t>
            </w:r>
          </w:p>
        </w:tc>
        <w:tc>
          <w:tcPr>
            <w:tcW w:w="1980" w:type="dxa"/>
          </w:tcPr>
          <w:p w:rsidR="00063C0C" w:rsidRDefault="00E147CA" w:rsidP="0057231F">
            <w:pPr>
              <w:spacing w:line="240" w:lineRule="auto"/>
              <w:jc w:val="center"/>
            </w:pPr>
            <w:r>
              <w:t>1169</w:t>
            </w:r>
          </w:p>
        </w:tc>
        <w:tc>
          <w:tcPr>
            <w:tcW w:w="3078" w:type="dxa"/>
          </w:tcPr>
          <w:p w:rsidR="00063C0C" w:rsidRDefault="00E147CA" w:rsidP="00B84AFE">
            <w:pPr>
              <w:spacing w:line="240" w:lineRule="auto"/>
              <w:jc w:val="center"/>
            </w:pPr>
            <w:r>
              <w:t>Trader Joe’s</w:t>
            </w:r>
          </w:p>
        </w:tc>
      </w:tr>
      <w:tr w:rsidR="00063C0C" w:rsidTr="0057231F">
        <w:tc>
          <w:tcPr>
            <w:tcW w:w="2178" w:type="dxa"/>
          </w:tcPr>
          <w:p w:rsidR="00063C0C" w:rsidRDefault="00FA56BE" w:rsidP="00FA56BE">
            <w:pPr>
              <w:spacing w:line="240" w:lineRule="auto"/>
              <w:jc w:val="center"/>
            </w:pPr>
            <w:r>
              <w:t>8/16/04</w:t>
            </w:r>
          </w:p>
        </w:tc>
        <w:tc>
          <w:tcPr>
            <w:tcW w:w="2340" w:type="dxa"/>
          </w:tcPr>
          <w:p w:rsidR="00063C0C" w:rsidRDefault="00C105FB" w:rsidP="0057231F">
            <w:pPr>
              <w:spacing w:line="240" w:lineRule="auto"/>
              <w:jc w:val="center"/>
            </w:pPr>
            <w:r>
              <w:t>$259.99</w:t>
            </w:r>
          </w:p>
        </w:tc>
        <w:tc>
          <w:tcPr>
            <w:tcW w:w="1980" w:type="dxa"/>
          </w:tcPr>
          <w:p w:rsidR="00063C0C" w:rsidRDefault="00C105FB" w:rsidP="0057231F">
            <w:pPr>
              <w:spacing w:line="240" w:lineRule="auto"/>
              <w:jc w:val="center"/>
            </w:pPr>
            <w:r>
              <w:t>1252</w:t>
            </w:r>
          </w:p>
        </w:tc>
        <w:tc>
          <w:tcPr>
            <w:tcW w:w="3078" w:type="dxa"/>
          </w:tcPr>
          <w:p w:rsidR="00063C0C" w:rsidRDefault="00C105FB" w:rsidP="00B84AFE">
            <w:pPr>
              <w:spacing w:line="240" w:lineRule="auto"/>
              <w:jc w:val="center"/>
            </w:pPr>
            <w:r>
              <w:t>Mervyn’s</w:t>
            </w:r>
          </w:p>
        </w:tc>
      </w:tr>
      <w:tr w:rsidR="00063C0C" w:rsidTr="0057231F">
        <w:tc>
          <w:tcPr>
            <w:tcW w:w="2178" w:type="dxa"/>
          </w:tcPr>
          <w:p w:rsidR="00063C0C" w:rsidRDefault="00FA56BE" w:rsidP="00FA56BE">
            <w:pPr>
              <w:spacing w:line="240" w:lineRule="auto"/>
              <w:jc w:val="center"/>
            </w:pPr>
            <w:r>
              <w:t>11/26/04</w:t>
            </w:r>
          </w:p>
        </w:tc>
        <w:tc>
          <w:tcPr>
            <w:tcW w:w="2340" w:type="dxa"/>
          </w:tcPr>
          <w:p w:rsidR="00063C0C" w:rsidRDefault="00C105FB" w:rsidP="0057231F">
            <w:pPr>
              <w:spacing w:line="240" w:lineRule="auto"/>
              <w:jc w:val="center"/>
            </w:pPr>
            <w:r>
              <w:t>$95.49</w:t>
            </w:r>
          </w:p>
        </w:tc>
        <w:tc>
          <w:tcPr>
            <w:tcW w:w="1980" w:type="dxa"/>
          </w:tcPr>
          <w:p w:rsidR="00063C0C" w:rsidRDefault="00C105FB" w:rsidP="0057231F">
            <w:pPr>
              <w:spacing w:line="240" w:lineRule="auto"/>
              <w:jc w:val="center"/>
            </w:pPr>
            <w:r>
              <w:t>1378</w:t>
            </w:r>
          </w:p>
        </w:tc>
        <w:tc>
          <w:tcPr>
            <w:tcW w:w="3078" w:type="dxa"/>
          </w:tcPr>
          <w:p w:rsidR="00063C0C" w:rsidRDefault="00C105FB" w:rsidP="00B84AFE">
            <w:pPr>
              <w:spacing w:line="240" w:lineRule="auto"/>
              <w:jc w:val="center"/>
            </w:pPr>
            <w:r>
              <w:t>Ralph’s</w:t>
            </w:r>
          </w:p>
        </w:tc>
      </w:tr>
      <w:tr w:rsidR="00063C0C" w:rsidTr="0057231F">
        <w:tc>
          <w:tcPr>
            <w:tcW w:w="2178" w:type="dxa"/>
          </w:tcPr>
          <w:p w:rsidR="00063C0C" w:rsidRDefault="00FA56BE" w:rsidP="00FA56BE">
            <w:pPr>
              <w:spacing w:line="240" w:lineRule="auto"/>
              <w:jc w:val="center"/>
            </w:pPr>
            <w:r>
              <w:t>12/6/04</w:t>
            </w:r>
          </w:p>
        </w:tc>
        <w:tc>
          <w:tcPr>
            <w:tcW w:w="2340" w:type="dxa"/>
          </w:tcPr>
          <w:p w:rsidR="00063C0C" w:rsidRDefault="00C105FB" w:rsidP="0057231F">
            <w:pPr>
              <w:spacing w:line="240" w:lineRule="auto"/>
              <w:jc w:val="center"/>
            </w:pPr>
            <w:r>
              <w:t>$48.67</w:t>
            </w:r>
          </w:p>
        </w:tc>
        <w:tc>
          <w:tcPr>
            <w:tcW w:w="1980" w:type="dxa"/>
          </w:tcPr>
          <w:p w:rsidR="00063C0C" w:rsidRDefault="00C105FB" w:rsidP="0057231F">
            <w:pPr>
              <w:spacing w:line="240" w:lineRule="auto"/>
              <w:jc w:val="center"/>
            </w:pPr>
            <w:r>
              <w:t>1394</w:t>
            </w:r>
          </w:p>
        </w:tc>
        <w:tc>
          <w:tcPr>
            <w:tcW w:w="3078" w:type="dxa"/>
          </w:tcPr>
          <w:p w:rsidR="00063C0C" w:rsidRDefault="00C105FB" w:rsidP="00B84AFE">
            <w:pPr>
              <w:spacing w:line="240" w:lineRule="auto"/>
              <w:jc w:val="center"/>
            </w:pPr>
            <w:r>
              <w:t>Tower Records</w:t>
            </w:r>
          </w:p>
        </w:tc>
      </w:tr>
      <w:tr w:rsidR="00063C0C" w:rsidTr="0057231F">
        <w:tc>
          <w:tcPr>
            <w:tcW w:w="2178" w:type="dxa"/>
          </w:tcPr>
          <w:p w:rsidR="00063C0C" w:rsidRDefault="00FA56BE" w:rsidP="00FA56BE">
            <w:pPr>
              <w:spacing w:line="240" w:lineRule="auto"/>
              <w:jc w:val="center"/>
            </w:pPr>
            <w:r>
              <w:t>12/27/04</w:t>
            </w:r>
          </w:p>
        </w:tc>
        <w:tc>
          <w:tcPr>
            <w:tcW w:w="2340" w:type="dxa"/>
          </w:tcPr>
          <w:p w:rsidR="00063C0C" w:rsidRDefault="00C105FB" w:rsidP="0057231F">
            <w:pPr>
              <w:spacing w:line="240" w:lineRule="auto"/>
              <w:jc w:val="center"/>
            </w:pPr>
            <w:r>
              <w:t>$339.91</w:t>
            </w:r>
          </w:p>
        </w:tc>
        <w:tc>
          <w:tcPr>
            <w:tcW w:w="1980" w:type="dxa"/>
          </w:tcPr>
          <w:p w:rsidR="00063C0C" w:rsidRDefault="00C105FB" w:rsidP="0057231F">
            <w:pPr>
              <w:spacing w:line="240" w:lineRule="auto"/>
              <w:jc w:val="center"/>
            </w:pPr>
            <w:r>
              <w:t>1376</w:t>
            </w:r>
          </w:p>
        </w:tc>
        <w:tc>
          <w:tcPr>
            <w:tcW w:w="3078" w:type="dxa"/>
          </w:tcPr>
          <w:p w:rsidR="00063C0C" w:rsidRDefault="00C105FB" w:rsidP="00B84AFE">
            <w:pPr>
              <w:spacing w:line="240" w:lineRule="auto"/>
              <w:jc w:val="center"/>
            </w:pPr>
            <w:r>
              <w:t>Nordstrom</w:t>
            </w:r>
          </w:p>
        </w:tc>
      </w:tr>
      <w:tr w:rsidR="00063C0C" w:rsidTr="0057231F">
        <w:tc>
          <w:tcPr>
            <w:tcW w:w="2178" w:type="dxa"/>
          </w:tcPr>
          <w:p w:rsidR="00063C0C" w:rsidRDefault="00FA56BE" w:rsidP="00FA56BE">
            <w:pPr>
              <w:spacing w:line="240" w:lineRule="auto"/>
              <w:jc w:val="center"/>
            </w:pPr>
            <w:r>
              <w:t>12/27/04</w:t>
            </w:r>
          </w:p>
        </w:tc>
        <w:tc>
          <w:tcPr>
            <w:tcW w:w="2340" w:type="dxa"/>
          </w:tcPr>
          <w:p w:rsidR="00063C0C" w:rsidRDefault="00C105FB" w:rsidP="0057231F">
            <w:pPr>
              <w:spacing w:line="240" w:lineRule="auto"/>
              <w:jc w:val="center"/>
            </w:pPr>
            <w:r>
              <w:t>$603.00</w:t>
            </w:r>
          </w:p>
        </w:tc>
        <w:tc>
          <w:tcPr>
            <w:tcW w:w="1980" w:type="dxa"/>
          </w:tcPr>
          <w:p w:rsidR="00063C0C" w:rsidRDefault="00C105FB" w:rsidP="0057231F">
            <w:pPr>
              <w:spacing w:line="240" w:lineRule="auto"/>
              <w:jc w:val="center"/>
            </w:pPr>
            <w:r>
              <w:t>1398</w:t>
            </w:r>
          </w:p>
        </w:tc>
        <w:tc>
          <w:tcPr>
            <w:tcW w:w="3078" w:type="dxa"/>
          </w:tcPr>
          <w:p w:rsidR="00063C0C" w:rsidRDefault="00C105FB" w:rsidP="00B84AFE">
            <w:pPr>
              <w:spacing w:line="240" w:lineRule="auto"/>
              <w:jc w:val="center"/>
            </w:pPr>
            <w:r>
              <w:t>DMV</w:t>
            </w:r>
          </w:p>
        </w:tc>
      </w:tr>
      <w:tr w:rsidR="00063C0C" w:rsidTr="0057231F">
        <w:tc>
          <w:tcPr>
            <w:tcW w:w="2178" w:type="dxa"/>
          </w:tcPr>
          <w:p w:rsidR="00063C0C" w:rsidRDefault="00FA56BE" w:rsidP="00FA56BE">
            <w:pPr>
              <w:spacing w:line="240" w:lineRule="auto"/>
              <w:jc w:val="center"/>
            </w:pPr>
            <w:r>
              <w:t>1/6/05</w:t>
            </w:r>
          </w:p>
        </w:tc>
        <w:tc>
          <w:tcPr>
            <w:tcW w:w="2340" w:type="dxa"/>
          </w:tcPr>
          <w:p w:rsidR="00063C0C" w:rsidRDefault="00C105FB" w:rsidP="0057231F">
            <w:pPr>
              <w:spacing w:line="240" w:lineRule="auto"/>
              <w:jc w:val="center"/>
            </w:pPr>
            <w:r>
              <w:t>$270.52</w:t>
            </w:r>
          </w:p>
        </w:tc>
        <w:tc>
          <w:tcPr>
            <w:tcW w:w="1980" w:type="dxa"/>
          </w:tcPr>
          <w:p w:rsidR="00063C0C" w:rsidRDefault="00C105FB" w:rsidP="0057231F">
            <w:pPr>
              <w:spacing w:line="240" w:lineRule="auto"/>
              <w:jc w:val="center"/>
            </w:pPr>
            <w:r>
              <w:t>1417</w:t>
            </w:r>
          </w:p>
        </w:tc>
        <w:tc>
          <w:tcPr>
            <w:tcW w:w="3078" w:type="dxa"/>
          </w:tcPr>
          <w:p w:rsidR="00063C0C" w:rsidRDefault="00C105FB" w:rsidP="00B84AFE">
            <w:pPr>
              <w:spacing w:line="240" w:lineRule="auto"/>
              <w:jc w:val="center"/>
            </w:pPr>
            <w:r>
              <w:t>Nordstrom</w:t>
            </w:r>
          </w:p>
        </w:tc>
      </w:tr>
      <w:tr w:rsidR="00063C0C" w:rsidTr="0057231F">
        <w:tc>
          <w:tcPr>
            <w:tcW w:w="2178" w:type="dxa"/>
          </w:tcPr>
          <w:p w:rsidR="00063C0C" w:rsidRDefault="00FA56BE" w:rsidP="00FA56BE">
            <w:pPr>
              <w:spacing w:line="240" w:lineRule="auto"/>
              <w:jc w:val="center"/>
            </w:pPr>
            <w:r>
              <w:t>2/15/05</w:t>
            </w:r>
          </w:p>
        </w:tc>
        <w:tc>
          <w:tcPr>
            <w:tcW w:w="2340" w:type="dxa"/>
          </w:tcPr>
          <w:p w:rsidR="00063C0C" w:rsidRDefault="00C105FB" w:rsidP="0057231F">
            <w:pPr>
              <w:spacing w:line="240" w:lineRule="auto"/>
              <w:jc w:val="center"/>
            </w:pPr>
            <w:r>
              <w:t>$60.85</w:t>
            </w:r>
          </w:p>
        </w:tc>
        <w:tc>
          <w:tcPr>
            <w:tcW w:w="1980" w:type="dxa"/>
          </w:tcPr>
          <w:p w:rsidR="00063C0C" w:rsidRDefault="00C105FB" w:rsidP="0057231F">
            <w:pPr>
              <w:spacing w:line="240" w:lineRule="auto"/>
              <w:jc w:val="center"/>
            </w:pPr>
            <w:r>
              <w:t>1451</w:t>
            </w:r>
          </w:p>
        </w:tc>
        <w:tc>
          <w:tcPr>
            <w:tcW w:w="3078" w:type="dxa"/>
          </w:tcPr>
          <w:p w:rsidR="00063C0C" w:rsidRDefault="00C105FB" w:rsidP="00B84AFE">
            <w:pPr>
              <w:spacing w:line="240" w:lineRule="auto"/>
              <w:jc w:val="center"/>
            </w:pPr>
            <w:r>
              <w:t>French Hand Laundry</w:t>
            </w:r>
          </w:p>
        </w:tc>
      </w:tr>
      <w:tr w:rsidR="00063C0C" w:rsidTr="0057231F">
        <w:tc>
          <w:tcPr>
            <w:tcW w:w="2178" w:type="dxa"/>
          </w:tcPr>
          <w:p w:rsidR="00063C0C" w:rsidRDefault="00FA56BE" w:rsidP="00FA56BE">
            <w:pPr>
              <w:spacing w:line="240" w:lineRule="auto"/>
              <w:jc w:val="center"/>
            </w:pPr>
            <w:r>
              <w:t>3/1/05</w:t>
            </w:r>
          </w:p>
        </w:tc>
        <w:tc>
          <w:tcPr>
            <w:tcW w:w="2340" w:type="dxa"/>
          </w:tcPr>
          <w:p w:rsidR="00063C0C" w:rsidRDefault="00C105FB" w:rsidP="0057231F">
            <w:pPr>
              <w:spacing w:line="240" w:lineRule="auto"/>
              <w:jc w:val="center"/>
            </w:pPr>
            <w:r>
              <w:t>$290.93</w:t>
            </w:r>
          </w:p>
        </w:tc>
        <w:tc>
          <w:tcPr>
            <w:tcW w:w="1980" w:type="dxa"/>
          </w:tcPr>
          <w:p w:rsidR="00063C0C" w:rsidRDefault="00C105FB" w:rsidP="0057231F">
            <w:pPr>
              <w:spacing w:line="240" w:lineRule="auto"/>
              <w:jc w:val="center"/>
            </w:pPr>
            <w:r>
              <w:t>1477</w:t>
            </w:r>
          </w:p>
        </w:tc>
        <w:tc>
          <w:tcPr>
            <w:tcW w:w="3078" w:type="dxa"/>
          </w:tcPr>
          <w:p w:rsidR="00063C0C" w:rsidRDefault="00C105FB" w:rsidP="00B84AFE">
            <w:pPr>
              <w:spacing w:line="240" w:lineRule="auto"/>
              <w:jc w:val="center"/>
            </w:pPr>
            <w:r>
              <w:t>Mercedes-Benz/Long Beach</w:t>
            </w:r>
          </w:p>
        </w:tc>
      </w:tr>
      <w:tr w:rsidR="00063C0C" w:rsidTr="0057231F">
        <w:tc>
          <w:tcPr>
            <w:tcW w:w="2178" w:type="dxa"/>
          </w:tcPr>
          <w:p w:rsidR="00063C0C" w:rsidRDefault="00FA56BE" w:rsidP="00FA56BE">
            <w:pPr>
              <w:spacing w:line="240" w:lineRule="auto"/>
              <w:jc w:val="center"/>
            </w:pPr>
            <w:r>
              <w:t>5/18/05</w:t>
            </w:r>
          </w:p>
        </w:tc>
        <w:tc>
          <w:tcPr>
            <w:tcW w:w="2340" w:type="dxa"/>
          </w:tcPr>
          <w:p w:rsidR="00063C0C" w:rsidRDefault="00C105FB" w:rsidP="0057231F">
            <w:pPr>
              <w:spacing w:line="240" w:lineRule="auto"/>
              <w:jc w:val="center"/>
            </w:pPr>
            <w:r>
              <w:t>$136.38</w:t>
            </w:r>
          </w:p>
        </w:tc>
        <w:tc>
          <w:tcPr>
            <w:tcW w:w="1980" w:type="dxa"/>
          </w:tcPr>
          <w:p w:rsidR="00063C0C" w:rsidRDefault="00C105FB" w:rsidP="0057231F">
            <w:pPr>
              <w:spacing w:line="240" w:lineRule="auto"/>
              <w:jc w:val="center"/>
            </w:pPr>
            <w:r>
              <w:t>1572</w:t>
            </w:r>
          </w:p>
        </w:tc>
        <w:tc>
          <w:tcPr>
            <w:tcW w:w="3078" w:type="dxa"/>
          </w:tcPr>
          <w:p w:rsidR="00063C0C" w:rsidRDefault="00C105FB" w:rsidP="00B84AFE">
            <w:pPr>
              <w:spacing w:line="240" w:lineRule="auto"/>
              <w:jc w:val="center"/>
            </w:pPr>
            <w:r>
              <w:t>Costco</w:t>
            </w:r>
          </w:p>
        </w:tc>
      </w:tr>
      <w:tr w:rsidR="00063C0C" w:rsidTr="0057231F">
        <w:tc>
          <w:tcPr>
            <w:tcW w:w="2178" w:type="dxa"/>
          </w:tcPr>
          <w:p w:rsidR="00063C0C" w:rsidRDefault="00FA56BE" w:rsidP="00FA56BE">
            <w:pPr>
              <w:spacing w:line="240" w:lineRule="auto"/>
              <w:jc w:val="center"/>
            </w:pPr>
            <w:r>
              <w:t>5/31/05</w:t>
            </w:r>
          </w:p>
        </w:tc>
        <w:tc>
          <w:tcPr>
            <w:tcW w:w="2340" w:type="dxa"/>
          </w:tcPr>
          <w:p w:rsidR="00063C0C" w:rsidRDefault="00C105FB" w:rsidP="0057231F">
            <w:pPr>
              <w:spacing w:line="240" w:lineRule="auto"/>
              <w:jc w:val="center"/>
            </w:pPr>
            <w:r>
              <w:t>$354.86</w:t>
            </w:r>
          </w:p>
        </w:tc>
        <w:tc>
          <w:tcPr>
            <w:tcW w:w="1980" w:type="dxa"/>
          </w:tcPr>
          <w:p w:rsidR="00063C0C" w:rsidRDefault="00C105FB" w:rsidP="0057231F">
            <w:pPr>
              <w:spacing w:line="240" w:lineRule="auto"/>
              <w:jc w:val="center"/>
            </w:pPr>
            <w:r>
              <w:t>1578</w:t>
            </w:r>
          </w:p>
        </w:tc>
        <w:tc>
          <w:tcPr>
            <w:tcW w:w="3078" w:type="dxa"/>
          </w:tcPr>
          <w:p w:rsidR="00063C0C" w:rsidRDefault="00C105FB" w:rsidP="00B84AFE">
            <w:pPr>
              <w:spacing w:line="240" w:lineRule="auto"/>
              <w:jc w:val="center"/>
            </w:pPr>
            <w:r>
              <w:t>Mercedes-Benz/Long Beach</w:t>
            </w:r>
          </w:p>
        </w:tc>
      </w:tr>
      <w:tr w:rsidR="00063C0C" w:rsidTr="0057231F">
        <w:tc>
          <w:tcPr>
            <w:tcW w:w="2178" w:type="dxa"/>
          </w:tcPr>
          <w:p w:rsidR="00063C0C" w:rsidRDefault="00FA56BE" w:rsidP="00FA56BE">
            <w:pPr>
              <w:spacing w:line="240" w:lineRule="auto"/>
              <w:jc w:val="center"/>
            </w:pPr>
            <w:r>
              <w:t>6/05</w:t>
            </w:r>
          </w:p>
        </w:tc>
        <w:tc>
          <w:tcPr>
            <w:tcW w:w="2340" w:type="dxa"/>
          </w:tcPr>
          <w:p w:rsidR="00063C0C" w:rsidRDefault="00575F15" w:rsidP="0057231F">
            <w:pPr>
              <w:spacing w:line="240" w:lineRule="auto"/>
              <w:jc w:val="center"/>
            </w:pPr>
            <w:r>
              <w:t>$63.36</w:t>
            </w:r>
          </w:p>
        </w:tc>
        <w:tc>
          <w:tcPr>
            <w:tcW w:w="1980" w:type="dxa"/>
          </w:tcPr>
          <w:p w:rsidR="00063C0C" w:rsidRDefault="00575F15" w:rsidP="0057231F">
            <w:pPr>
              <w:spacing w:line="240" w:lineRule="auto"/>
              <w:jc w:val="center"/>
            </w:pPr>
            <w:r>
              <w:t>1596</w:t>
            </w:r>
          </w:p>
        </w:tc>
        <w:tc>
          <w:tcPr>
            <w:tcW w:w="3078" w:type="dxa"/>
          </w:tcPr>
          <w:p w:rsidR="00063C0C" w:rsidRDefault="00575F15" w:rsidP="00B84AFE">
            <w:pPr>
              <w:spacing w:line="240" w:lineRule="auto"/>
              <w:jc w:val="center"/>
            </w:pPr>
            <w:r>
              <w:t>Santa Monica Seafood</w:t>
            </w:r>
          </w:p>
        </w:tc>
      </w:tr>
      <w:tr w:rsidR="00FA56BE" w:rsidTr="009C112F">
        <w:tc>
          <w:tcPr>
            <w:tcW w:w="2178" w:type="dxa"/>
          </w:tcPr>
          <w:p w:rsidR="00FA56BE" w:rsidRDefault="00FA56BE" w:rsidP="00FA56BE">
            <w:pPr>
              <w:spacing w:line="240" w:lineRule="auto"/>
              <w:jc w:val="center"/>
            </w:pPr>
            <w:r>
              <w:t>8/31/05</w:t>
            </w:r>
          </w:p>
        </w:tc>
        <w:tc>
          <w:tcPr>
            <w:tcW w:w="2340" w:type="dxa"/>
          </w:tcPr>
          <w:p w:rsidR="00FA56BE" w:rsidRDefault="00FA56BE" w:rsidP="009C112F">
            <w:pPr>
              <w:spacing w:line="240" w:lineRule="auto"/>
              <w:jc w:val="center"/>
            </w:pPr>
            <w:r>
              <w:t>$3,171.24</w:t>
            </w:r>
          </w:p>
        </w:tc>
        <w:tc>
          <w:tcPr>
            <w:tcW w:w="1980" w:type="dxa"/>
          </w:tcPr>
          <w:p w:rsidR="00FA56BE" w:rsidRDefault="00FA56BE" w:rsidP="009C112F">
            <w:pPr>
              <w:spacing w:line="240" w:lineRule="auto"/>
              <w:jc w:val="center"/>
            </w:pPr>
            <w:r>
              <w:t>1625</w:t>
            </w:r>
          </w:p>
        </w:tc>
        <w:tc>
          <w:tcPr>
            <w:tcW w:w="3078" w:type="dxa"/>
          </w:tcPr>
          <w:p w:rsidR="00FA56BE" w:rsidRDefault="00FA56BE" w:rsidP="009C112F">
            <w:pPr>
              <w:spacing w:line="240" w:lineRule="auto"/>
              <w:jc w:val="center"/>
            </w:pPr>
            <w:r>
              <w:t>Mercedes-Benz/Long Beach</w:t>
            </w:r>
          </w:p>
        </w:tc>
      </w:tr>
      <w:tr w:rsidR="00063C0C" w:rsidTr="0057231F">
        <w:tc>
          <w:tcPr>
            <w:tcW w:w="2178" w:type="dxa"/>
          </w:tcPr>
          <w:p w:rsidR="00063C0C" w:rsidRDefault="00FA56BE" w:rsidP="00FA56BE">
            <w:pPr>
              <w:spacing w:line="240" w:lineRule="auto"/>
              <w:jc w:val="center"/>
            </w:pPr>
            <w:r>
              <w:t>1/17/06</w:t>
            </w:r>
          </w:p>
        </w:tc>
        <w:tc>
          <w:tcPr>
            <w:tcW w:w="2340" w:type="dxa"/>
          </w:tcPr>
          <w:p w:rsidR="00063C0C" w:rsidRDefault="00575F15" w:rsidP="0057231F">
            <w:pPr>
              <w:spacing w:line="240" w:lineRule="auto"/>
              <w:jc w:val="center"/>
            </w:pPr>
            <w:r>
              <w:t>$119.78</w:t>
            </w:r>
          </w:p>
        </w:tc>
        <w:tc>
          <w:tcPr>
            <w:tcW w:w="1980" w:type="dxa"/>
          </w:tcPr>
          <w:p w:rsidR="00063C0C" w:rsidRDefault="00575F15" w:rsidP="0057231F">
            <w:pPr>
              <w:spacing w:line="240" w:lineRule="auto"/>
              <w:jc w:val="center"/>
            </w:pPr>
            <w:r>
              <w:t>1654</w:t>
            </w:r>
          </w:p>
        </w:tc>
        <w:tc>
          <w:tcPr>
            <w:tcW w:w="3078" w:type="dxa"/>
          </w:tcPr>
          <w:p w:rsidR="00063C0C" w:rsidRDefault="00575F15" w:rsidP="00B84AFE">
            <w:pPr>
              <w:spacing w:line="240" w:lineRule="auto"/>
              <w:jc w:val="center"/>
            </w:pPr>
            <w:r>
              <w:t>Costco</w:t>
            </w:r>
          </w:p>
        </w:tc>
      </w:tr>
      <w:tr w:rsidR="00063C0C" w:rsidTr="0057231F">
        <w:tc>
          <w:tcPr>
            <w:tcW w:w="2178" w:type="dxa"/>
          </w:tcPr>
          <w:p w:rsidR="00063C0C" w:rsidRDefault="00FA56BE" w:rsidP="00FA56BE">
            <w:pPr>
              <w:spacing w:line="240" w:lineRule="auto"/>
              <w:jc w:val="center"/>
            </w:pPr>
            <w:r>
              <w:t>2/3/06</w:t>
            </w:r>
          </w:p>
        </w:tc>
        <w:tc>
          <w:tcPr>
            <w:tcW w:w="2340" w:type="dxa"/>
          </w:tcPr>
          <w:p w:rsidR="00063C0C" w:rsidRDefault="00575F15" w:rsidP="0057231F">
            <w:pPr>
              <w:spacing w:line="240" w:lineRule="auto"/>
              <w:jc w:val="center"/>
            </w:pPr>
            <w:r>
              <w:t>$180.96</w:t>
            </w:r>
          </w:p>
        </w:tc>
        <w:tc>
          <w:tcPr>
            <w:tcW w:w="1980" w:type="dxa"/>
          </w:tcPr>
          <w:p w:rsidR="00063C0C" w:rsidRDefault="00575F15" w:rsidP="0057231F">
            <w:pPr>
              <w:spacing w:line="240" w:lineRule="auto"/>
              <w:jc w:val="center"/>
            </w:pPr>
            <w:r>
              <w:t>1663</w:t>
            </w:r>
          </w:p>
        </w:tc>
        <w:tc>
          <w:tcPr>
            <w:tcW w:w="3078" w:type="dxa"/>
          </w:tcPr>
          <w:p w:rsidR="00063C0C" w:rsidRDefault="00575F15" w:rsidP="00B84AFE">
            <w:pPr>
              <w:spacing w:line="240" w:lineRule="auto"/>
              <w:jc w:val="center"/>
            </w:pPr>
            <w:r>
              <w:t>Costco</w:t>
            </w:r>
          </w:p>
        </w:tc>
      </w:tr>
      <w:tr w:rsidR="00063C0C" w:rsidTr="0057231F">
        <w:tc>
          <w:tcPr>
            <w:tcW w:w="2178" w:type="dxa"/>
          </w:tcPr>
          <w:p w:rsidR="00063C0C" w:rsidRDefault="00FA56BE" w:rsidP="00FA56BE">
            <w:pPr>
              <w:spacing w:line="240" w:lineRule="auto"/>
              <w:jc w:val="center"/>
            </w:pPr>
            <w:r>
              <w:t>6/15/06</w:t>
            </w:r>
          </w:p>
        </w:tc>
        <w:tc>
          <w:tcPr>
            <w:tcW w:w="2340" w:type="dxa"/>
          </w:tcPr>
          <w:p w:rsidR="00063C0C" w:rsidRDefault="00575F15" w:rsidP="0057231F">
            <w:pPr>
              <w:spacing w:line="240" w:lineRule="auto"/>
              <w:jc w:val="center"/>
            </w:pPr>
            <w:r>
              <w:t>$54.07</w:t>
            </w:r>
          </w:p>
        </w:tc>
        <w:tc>
          <w:tcPr>
            <w:tcW w:w="1980" w:type="dxa"/>
          </w:tcPr>
          <w:p w:rsidR="00063C0C" w:rsidRDefault="00366DA9" w:rsidP="0057231F">
            <w:pPr>
              <w:spacing w:line="240" w:lineRule="auto"/>
              <w:jc w:val="center"/>
            </w:pPr>
            <w:r>
              <w:t>1647</w:t>
            </w:r>
          </w:p>
        </w:tc>
        <w:tc>
          <w:tcPr>
            <w:tcW w:w="3078" w:type="dxa"/>
          </w:tcPr>
          <w:p w:rsidR="00063C0C" w:rsidRDefault="00366DA9" w:rsidP="00B84AFE">
            <w:pPr>
              <w:spacing w:line="240" w:lineRule="auto"/>
              <w:jc w:val="center"/>
            </w:pPr>
            <w:r>
              <w:t>Albertson’s</w:t>
            </w:r>
          </w:p>
        </w:tc>
      </w:tr>
    </w:tbl>
    <w:p w:rsidR="00C32D95" w:rsidRDefault="00C32D95" w:rsidP="00C32D95">
      <w:pPr>
        <w:spacing w:line="240" w:lineRule="auto"/>
        <w:ind w:firstLine="720"/>
      </w:pPr>
    </w:p>
    <w:p w:rsidR="00DE1D7B" w:rsidRDefault="008D163E" w:rsidP="00061FDF">
      <w:pPr>
        <w:ind w:firstLine="720"/>
      </w:pPr>
      <w:r>
        <w:t xml:space="preserve">Between July 2003 and May 2005, Robinson issued </w:t>
      </w:r>
      <w:r w:rsidR="00DE1D7B">
        <w:t xml:space="preserve">the following </w:t>
      </w:r>
      <w:r>
        <w:t xml:space="preserve">18 additional checks that were </w:t>
      </w:r>
      <w:r w:rsidR="004260F2">
        <w:t>returned</w:t>
      </w:r>
      <w:r>
        <w:t xml:space="preserve"> or </w:t>
      </w:r>
      <w:r w:rsidR="00DE1D7B">
        <w:t>paid against insufficient funds:</w:t>
      </w:r>
    </w:p>
    <w:tbl>
      <w:tblPr>
        <w:tblStyle w:val="TableGrid"/>
        <w:tblW w:w="9450" w:type="dxa"/>
        <w:tblInd w:w="108" w:type="dxa"/>
        <w:tblLook w:val="04A0"/>
      </w:tblPr>
      <w:tblGrid>
        <w:gridCol w:w="2070"/>
        <w:gridCol w:w="2340"/>
        <w:gridCol w:w="1980"/>
        <w:gridCol w:w="3060"/>
      </w:tblGrid>
      <w:tr w:rsidR="00C32D95" w:rsidTr="00C32D95">
        <w:tc>
          <w:tcPr>
            <w:tcW w:w="2070" w:type="dxa"/>
          </w:tcPr>
          <w:p w:rsidR="00C32D95" w:rsidRPr="00485069" w:rsidRDefault="00C32D95" w:rsidP="00C32D95">
            <w:pPr>
              <w:spacing w:line="240" w:lineRule="auto"/>
              <w:jc w:val="center"/>
              <w:rPr>
                <w:b/>
              </w:rPr>
            </w:pPr>
            <w:r w:rsidRPr="00485069">
              <w:rPr>
                <w:b/>
              </w:rPr>
              <w:t>Date Presented</w:t>
            </w:r>
          </w:p>
        </w:tc>
        <w:tc>
          <w:tcPr>
            <w:tcW w:w="2340" w:type="dxa"/>
          </w:tcPr>
          <w:p w:rsidR="00C32D95" w:rsidRPr="00485069" w:rsidRDefault="00C32D95" w:rsidP="00C32D95">
            <w:pPr>
              <w:spacing w:line="240" w:lineRule="auto"/>
              <w:jc w:val="center"/>
              <w:rPr>
                <w:b/>
              </w:rPr>
            </w:pPr>
            <w:r w:rsidRPr="00485069">
              <w:rPr>
                <w:b/>
              </w:rPr>
              <w:t>Check Amount</w:t>
            </w:r>
          </w:p>
        </w:tc>
        <w:tc>
          <w:tcPr>
            <w:tcW w:w="1980" w:type="dxa"/>
          </w:tcPr>
          <w:p w:rsidR="00C32D95" w:rsidRPr="00485069" w:rsidRDefault="00C32D95" w:rsidP="00C32D95">
            <w:pPr>
              <w:spacing w:line="240" w:lineRule="auto"/>
              <w:jc w:val="center"/>
              <w:rPr>
                <w:b/>
              </w:rPr>
            </w:pPr>
            <w:r>
              <w:rPr>
                <w:b/>
              </w:rPr>
              <w:t>Check No.</w:t>
            </w:r>
          </w:p>
        </w:tc>
        <w:tc>
          <w:tcPr>
            <w:tcW w:w="3060" w:type="dxa"/>
          </w:tcPr>
          <w:p w:rsidR="00C32D95" w:rsidRPr="00485069" w:rsidRDefault="00C32D95" w:rsidP="00C32D95">
            <w:pPr>
              <w:spacing w:line="240" w:lineRule="auto"/>
              <w:jc w:val="center"/>
              <w:rPr>
                <w:b/>
              </w:rPr>
            </w:pPr>
            <w:r w:rsidRPr="00485069">
              <w:rPr>
                <w:b/>
              </w:rPr>
              <w:t>Payee</w:t>
            </w:r>
          </w:p>
        </w:tc>
      </w:tr>
      <w:tr w:rsidR="00C32D95" w:rsidTr="00C32D95">
        <w:tc>
          <w:tcPr>
            <w:tcW w:w="2070" w:type="dxa"/>
          </w:tcPr>
          <w:p w:rsidR="00C32D95" w:rsidRDefault="00C32D95" w:rsidP="00C32D95">
            <w:pPr>
              <w:spacing w:line="240" w:lineRule="auto"/>
              <w:jc w:val="center"/>
            </w:pPr>
            <w:r>
              <w:t>7/21/03</w:t>
            </w:r>
          </w:p>
        </w:tc>
        <w:tc>
          <w:tcPr>
            <w:tcW w:w="2340" w:type="dxa"/>
          </w:tcPr>
          <w:p w:rsidR="00C32D95" w:rsidRDefault="00C32D95" w:rsidP="00C32D95">
            <w:pPr>
              <w:spacing w:line="240" w:lineRule="auto"/>
              <w:jc w:val="center"/>
            </w:pPr>
            <w:r>
              <w:t>$16.62</w:t>
            </w:r>
          </w:p>
        </w:tc>
        <w:tc>
          <w:tcPr>
            <w:tcW w:w="1980" w:type="dxa"/>
          </w:tcPr>
          <w:p w:rsidR="00C32D95" w:rsidRDefault="00C32D95" w:rsidP="00C32D95">
            <w:pPr>
              <w:spacing w:line="240" w:lineRule="auto"/>
              <w:jc w:val="center"/>
            </w:pPr>
            <w:r>
              <w:t>1067</w:t>
            </w:r>
          </w:p>
        </w:tc>
        <w:tc>
          <w:tcPr>
            <w:tcW w:w="3060" w:type="dxa"/>
          </w:tcPr>
          <w:p w:rsidR="00C32D95" w:rsidRDefault="00C32D95" w:rsidP="00B84AFE">
            <w:pPr>
              <w:spacing w:line="240" w:lineRule="auto"/>
              <w:jc w:val="center"/>
            </w:pPr>
            <w:r>
              <w:t>LASC</w:t>
            </w:r>
          </w:p>
        </w:tc>
      </w:tr>
      <w:tr w:rsidR="00C32D95" w:rsidTr="00C32D95">
        <w:tc>
          <w:tcPr>
            <w:tcW w:w="2070" w:type="dxa"/>
          </w:tcPr>
          <w:p w:rsidR="00C32D95" w:rsidRDefault="00C32D95" w:rsidP="00C32D95">
            <w:pPr>
              <w:spacing w:line="240" w:lineRule="auto"/>
              <w:jc w:val="center"/>
            </w:pPr>
            <w:r>
              <w:t>3/16/04</w:t>
            </w:r>
          </w:p>
        </w:tc>
        <w:tc>
          <w:tcPr>
            <w:tcW w:w="2340" w:type="dxa"/>
          </w:tcPr>
          <w:p w:rsidR="00C32D95" w:rsidRDefault="00C32D95" w:rsidP="00C32D95">
            <w:pPr>
              <w:spacing w:line="240" w:lineRule="auto"/>
              <w:jc w:val="center"/>
            </w:pPr>
            <w:r>
              <w:t>$65.10</w:t>
            </w:r>
          </w:p>
        </w:tc>
        <w:tc>
          <w:tcPr>
            <w:tcW w:w="1980" w:type="dxa"/>
          </w:tcPr>
          <w:p w:rsidR="00C32D95" w:rsidRDefault="00C32D95" w:rsidP="00C32D95">
            <w:pPr>
              <w:spacing w:line="240" w:lineRule="auto"/>
              <w:jc w:val="center"/>
            </w:pPr>
            <w:r>
              <w:t>1105</w:t>
            </w:r>
          </w:p>
        </w:tc>
        <w:tc>
          <w:tcPr>
            <w:tcW w:w="3060" w:type="dxa"/>
          </w:tcPr>
          <w:p w:rsidR="00C32D95" w:rsidRDefault="00C32D95" w:rsidP="00B84AFE">
            <w:pPr>
              <w:spacing w:line="240" w:lineRule="auto"/>
              <w:jc w:val="center"/>
            </w:pPr>
            <w:r>
              <w:t>Costco</w:t>
            </w:r>
          </w:p>
        </w:tc>
      </w:tr>
      <w:tr w:rsidR="00C32D95" w:rsidTr="00C32D95">
        <w:tc>
          <w:tcPr>
            <w:tcW w:w="2070" w:type="dxa"/>
          </w:tcPr>
          <w:p w:rsidR="00C32D95" w:rsidRDefault="00C32D95" w:rsidP="00C32D95">
            <w:pPr>
              <w:spacing w:line="240" w:lineRule="auto"/>
              <w:jc w:val="center"/>
            </w:pPr>
            <w:r>
              <w:t>4/5/04</w:t>
            </w:r>
          </w:p>
        </w:tc>
        <w:tc>
          <w:tcPr>
            <w:tcW w:w="2340" w:type="dxa"/>
          </w:tcPr>
          <w:p w:rsidR="00C32D95" w:rsidRDefault="00C32D95" w:rsidP="00C32D95">
            <w:pPr>
              <w:spacing w:line="240" w:lineRule="auto"/>
              <w:jc w:val="center"/>
            </w:pPr>
            <w:r>
              <w:t>$29.02</w:t>
            </w:r>
          </w:p>
        </w:tc>
        <w:tc>
          <w:tcPr>
            <w:tcW w:w="1980" w:type="dxa"/>
          </w:tcPr>
          <w:p w:rsidR="00C32D95" w:rsidRDefault="00C32D95" w:rsidP="00C32D95">
            <w:pPr>
              <w:spacing w:line="240" w:lineRule="auto"/>
              <w:jc w:val="center"/>
            </w:pPr>
            <w:r>
              <w:t>1117</w:t>
            </w:r>
          </w:p>
        </w:tc>
        <w:tc>
          <w:tcPr>
            <w:tcW w:w="3060" w:type="dxa"/>
          </w:tcPr>
          <w:p w:rsidR="00C32D95" w:rsidRDefault="00C32D95" w:rsidP="00B84AFE">
            <w:pPr>
              <w:spacing w:line="240" w:lineRule="auto"/>
              <w:jc w:val="center"/>
            </w:pPr>
            <w:r>
              <w:t>Ralph’s</w:t>
            </w:r>
          </w:p>
        </w:tc>
      </w:tr>
      <w:tr w:rsidR="00C32D95" w:rsidTr="00C32D95">
        <w:tc>
          <w:tcPr>
            <w:tcW w:w="2070" w:type="dxa"/>
          </w:tcPr>
          <w:p w:rsidR="00C32D95" w:rsidRDefault="00C32D95" w:rsidP="00C32D95">
            <w:pPr>
              <w:spacing w:line="240" w:lineRule="auto"/>
              <w:jc w:val="center"/>
            </w:pPr>
            <w:r>
              <w:t>4/9/04</w:t>
            </w:r>
          </w:p>
        </w:tc>
        <w:tc>
          <w:tcPr>
            <w:tcW w:w="2340" w:type="dxa"/>
          </w:tcPr>
          <w:p w:rsidR="00C32D95" w:rsidRDefault="00C32D95" w:rsidP="00C32D95">
            <w:pPr>
              <w:spacing w:line="240" w:lineRule="auto"/>
              <w:jc w:val="center"/>
            </w:pPr>
            <w:r>
              <w:t>$74.74</w:t>
            </w:r>
          </w:p>
        </w:tc>
        <w:tc>
          <w:tcPr>
            <w:tcW w:w="1980" w:type="dxa"/>
          </w:tcPr>
          <w:p w:rsidR="00C32D95" w:rsidRDefault="00C32D95" w:rsidP="00C32D95">
            <w:pPr>
              <w:spacing w:line="240" w:lineRule="auto"/>
              <w:jc w:val="center"/>
            </w:pPr>
            <w:r>
              <w:t>1126</w:t>
            </w:r>
          </w:p>
        </w:tc>
        <w:tc>
          <w:tcPr>
            <w:tcW w:w="3060" w:type="dxa"/>
          </w:tcPr>
          <w:p w:rsidR="00C32D95" w:rsidRDefault="00C32D95" w:rsidP="00B84AFE">
            <w:pPr>
              <w:spacing w:line="240" w:lineRule="auto"/>
              <w:jc w:val="center"/>
            </w:pPr>
            <w:r>
              <w:t>Kinko’s</w:t>
            </w:r>
          </w:p>
        </w:tc>
      </w:tr>
      <w:tr w:rsidR="00C32D95" w:rsidTr="00C32D95">
        <w:tc>
          <w:tcPr>
            <w:tcW w:w="2070" w:type="dxa"/>
          </w:tcPr>
          <w:p w:rsidR="00C32D95" w:rsidRDefault="00C32D95" w:rsidP="00C32D95">
            <w:pPr>
              <w:spacing w:line="240" w:lineRule="auto"/>
              <w:jc w:val="center"/>
            </w:pPr>
            <w:r>
              <w:t>4/19/04</w:t>
            </w:r>
          </w:p>
        </w:tc>
        <w:tc>
          <w:tcPr>
            <w:tcW w:w="2340" w:type="dxa"/>
          </w:tcPr>
          <w:p w:rsidR="00C32D95" w:rsidRDefault="00C32D95" w:rsidP="00C32D95">
            <w:pPr>
              <w:spacing w:line="240" w:lineRule="auto"/>
              <w:jc w:val="center"/>
            </w:pPr>
            <w:r>
              <w:t>$200</w:t>
            </w:r>
          </w:p>
        </w:tc>
        <w:tc>
          <w:tcPr>
            <w:tcW w:w="1980" w:type="dxa"/>
          </w:tcPr>
          <w:p w:rsidR="00C32D95" w:rsidRDefault="00C32D95" w:rsidP="00C32D95">
            <w:pPr>
              <w:spacing w:line="240" w:lineRule="auto"/>
              <w:jc w:val="center"/>
            </w:pPr>
            <w:r>
              <w:t>1132</w:t>
            </w:r>
          </w:p>
        </w:tc>
        <w:tc>
          <w:tcPr>
            <w:tcW w:w="3060" w:type="dxa"/>
          </w:tcPr>
          <w:p w:rsidR="00C32D95" w:rsidRDefault="00C32D95" w:rsidP="00B84AFE">
            <w:pPr>
              <w:spacing w:line="240" w:lineRule="auto"/>
              <w:jc w:val="center"/>
            </w:pPr>
            <w:r>
              <w:t>Ralph’s</w:t>
            </w:r>
          </w:p>
        </w:tc>
      </w:tr>
      <w:tr w:rsidR="00C32D95" w:rsidTr="00C32D95">
        <w:tc>
          <w:tcPr>
            <w:tcW w:w="2070" w:type="dxa"/>
          </w:tcPr>
          <w:p w:rsidR="00C32D95" w:rsidRDefault="00C32D95" w:rsidP="00C32D95">
            <w:pPr>
              <w:spacing w:line="240" w:lineRule="auto"/>
              <w:jc w:val="center"/>
            </w:pPr>
            <w:r>
              <w:t>5/6/04</w:t>
            </w:r>
          </w:p>
        </w:tc>
        <w:tc>
          <w:tcPr>
            <w:tcW w:w="2340" w:type="dxa"/>
          </w:tcPr>
          <w:p w:rsidR="00C32D95" w:rsidRDefault="00C32D95" w:rsidP="00C32D95">
            <w:pPr>
              <w:spacing w:line="240" w:lineRule="auto"/>
              <w:jc w:val="center"/>
            </w:pPr>
            <w:r>
              <w:t>$40</w:t>
            </w:r>
          </w:p>
        </w:tc>
        <w:tc>
          <w:tcPr>
            <w:tcW w:w="1980" w:type="dxa"/>
          </w:tcPr>
          <w:p w:rsidR="00C32D95" w:rsidRDefault="00C32D95" w:rsidP="00C32D95">
            <w:pPr>
              <w:spacing w:line="240" w:lineRule="auto"/>
              <w:jc w:val="center"/>
            </w:pPr>
            <w:r>
              <w:t>1148</w:t>
            </w:r>
          </w:p>
        </w:tc>
        <w:tc>
          <w:tcPr>
            <w:tcW w:w="3060" w:type="dxa"/>
          </w:tcPr>
          <w:p w:rsidR="00C32D95" w:rsidRDefault="00C32D95" w:rsidP="00B84AFE">
            <w:pPr>
              <w:spacing w:line="240" w:lineRule="auto"/>
              <w:jc w:val="center"/>
            </w:pPr>
            <w:r>
              <w:t>Cash</w:t>
            </w:r>
          </w:p>
        </w:tc>
      </w:tr>
      <w:tr w:rsidR="00C32D95" w:rsidTr="00C32D95">
        <w:tc>
          <w:tcPr>
            <w:tcW w:w="2070" w:type="dxa"/>
          </w:tcPr>
          <w:p w:rsidR="00C32D95" w:rsidRDefault="00C32D95" w:rsidP="00C32D95">
            <w:pPr>
              <w:spacing w:line="240" w:lineRule="auto"/>
              <w:jc w:val="center"/>
            </w:pPr>
            <w:r>
              <w:t>5/19/04</w:t>
            </w:r>
          </w:p>
        </w:tc>
        <w:tc>
          <w:tcPr>
            <w:tcW w:w="2340" w:type="dxa"/>
          </w:tcPr>
          <w:p w:rsidR="00C32D95" w:rsidRDefault="00C32D95" w:rsidP="00C32D95">
            <w:pPr>
              <w:spacing w:line="240" w:lineRule="auto"/>
              <w:jc w:val="center"/>
            </w:pPr>
            <w:r>
              <w:t>$17.49</w:t>
            </w:r>
          </w:p>
        </w:tc>
        <w:tc>
          <w:tcPr>
            <w:tcW w:w="1980" w:type="dxa"/>
          </w:tcPr>
          <w:p w:rsidR="00C32D95" w:rsidRDefault="00C32D95" w:rsidP="00C32D95">
            <w:pPr>
              <w:spacing w:line="240" w:lineRule="auto"/>
              <w:jc w:val="center"/>
            </w:pPr>
            <w:r>
              <w:t>1153</w:t>
            </w:r>
          </w:p>
        </w:tc>
        <w:tc>
          <w:tcPr>
            <w:tcW w:w="3060" w:type="dxa"/>
          </w:tcPr>
          <w:p w:rsidR="00C32D95" w:rsidRDefault="00C32D95" w:rsidP="00B84AFE">
            <w:pPr>
              <w:spacing w:line="240" w:lineRule="auto"/>
              <w:jc w:val="center"/>
            </w:pPr>
            <w:r>
              <w:t>Fed Ex</w:t>
            </w:r>
          </w:p>
        </w:tc>
      </w:tr>
      <w:tr w:rsidR="00C32D95" w:rsidTr="00C32D95">
        <w:tc>
          <w:tcPr>
            <w:tcW w:w="2070" w:type="dxa"/>
          </w:tcPr>
          <w:p w:rsidR="00C32D95" w:rsidRDefault="00C32D95" w:rsidP="00C32D95">
            <w:pPr>
              <w:spacing w:line="240" w:lineRule="auto"/>
              <w:jc w:val="center"/>
            </w:pPr>
            <w:r>
              <w:t>6/8/04</w:t>
            </w:r>
          </w:p>
        </w:tc>
        <w:tc>
          <w:tcPr>
            <w:tcW w:w="2340" w:type="dxa"/>
          </w:tcPr>
          <w:p w:rsidR="00C32D95" w:rsidRDefault="00C32D95" w:rsidP="00C32D95">
            <w:pPr>
              <w:spacing w:line="240" w:lineRule="auto"/>
              <w:jc w:val="center"/>
            </w:pPr>
            <w:r>
              <w:t>$15.91</w:t>
            </w:r>
          </w:p>
        </w:tc>
        <w:tc>
          <w:tcPr>
            <w:tcW w:w="1980" w:type="dxa"/>
          </w:tcPr>
          <w:p w:rsidR="00C32D95" w:rsidRDefault="00C32D95" w:rsidP="00C32D95">
            <w:pPr>
              <w:spacing w:line="240" w:lineRule="auto"/>
              <w:jc w:val="center"/>
            </w:pPr>
            <w:r>
              <w:t>1179</w:t>
            </w:r>
          </w:p>
        </w:tc>
        <w:tc>
          <w:tcPr>
            <w:tcW w:w="3060" w:type="dxa"/>
          </w:tcPr>
          <w:p w:rsidR="00C32D95" w:rsidRDefault="00C32D95" w:rsidP="00B84AFE">
            <w:pPr>
              <w:spacing w:line="240" w:lineRule="auto"/>
              <w:jc w:val="center"/>
            </w:pPr>
            <w:r>
              <w:t>Kinko’s</w:t>
            </w:r>
          </w:p>
        </w:tc>
      </w:tr>
      <w:tr w:rsidR="00C32D95" w:rsidTr="00C32D95">
        <w:tc>
          <w:tcPr>
            <w:tcW w:w="2070" w:type="dxa"/>
          </w:tcPr>
          <w:p w:rsidR="00C32D95" w:rsidRDefault="00C32D95" w:rsidP="00C32D95">
            <w:pPr>
              <w:spacing w:line="240" w:lineRule="auto"/>
              <w:jc w:val="center"/>
            </w:pPr>
            <w:r>
              <w:t>6/9/04</w:t>
            </w:r>
          </w:p>
        </w:tc>
        <w:tc>
          <w:tcPr>
            <w:tcW w:w="2340" w:type="dxa"/>
          </w:tcPr>
          <w:p w:rsidR="00C32D95" w:rsidRDefault="00C32D95" w:rsidP="00C32D95">
            <w:pPr>
              <w:spacing w:line="240" w:lineRule="auto"/>
              <w:jc w:val="center"/>
            </w:pPr>
            <w:r>
              <w:t>$59.97</w:t>
            </w:r>
          </w:p>
        </w:tc>
        <w:tc>
          <w:tcPr>
            <w:tcW w:w="1980" w:type="dxa"/>
          </w:tcPr>
          <w:p w:rsidR="00C32D95" w:rsidRDefault="00C32D95" w:rsidP="00C32D95">
            <w:pPr>
              <w:spacing w:line="240" w:lineRule="auto"/>
              <w:jc w:val="center"/>
            </w:pPr>
            <w:r>
              <w:t>1175</w:t>
            </w:r>
          </w:p>
        </w:tc>
        <w:tc>
          <w:tcPr>
            <w:tcW w:w="3060" w:type="dxa"/>
          </w:tcPr>
          <w:p w:rsidR="00C32D95" w:rsidRDefault="00C32D95" w:rsidP="00B84AFE">
            <w:pPr>
              <w:spacing w:line="240" w:lineRule="auto"/>
              <w:jc w:val="center"/>
            </w:pPr>
            <w:r>
              <w:t>Santa Monica Seafood</w:t>
            </w:r>
          </w:p>
        </w:tc>
      </w:tr>
      <w:tr w:rsidR="00C32D95" w:rsidTr="00C32D95">
        <w:tc>
          <w:tcPr>
            <w:tcW w:w="2070" w:type="dxa"/>
          </w:tcPr>
          <w:p w:rsidR="00C32D95" w:rsidRDefault="00C32D95" w:rsidP="00C32D95">
            <w:pPr>
              <w:spacing w:line="240" w:lineRule="auto"/>
              <w:jc w:val="center"/>
            </w:pPr>
            <w:r>
              <w:t>8/24/04</w:t>
            </w:r>
          </w:p>
        </w:tc>
        <w:tc>
          <w:tcPr>
            <w:tcW w:w="2340" w:type="dxa"/>
          </w:tcPr>
          <w:p w:rsidR="00C32D95" w:rsidRDefault="00C32D95" w:rsidP="00C32D95">
            <w:pPr>
              <w:spacing w:line="240" w:lineRule="auto"/>
              <w:jc w:val="center"/>
            </w:pPr>
            <w:r>
              <w:t>$500</w:t>
            </w:r>
          </w:p>
        </w:tc>
        <w:tc>
          <w:tcPr>
            <w:tcW w:w="1980" w:type="dxa"/>
          </w:tcPr>
          <w:p w:rsidR="00C32D95" w:rsidRDefault="00C32D95" w:rsidP="00C32D95">
            <w:pPr>
              <w:spacing w:line="240" w:lineRule="auto"/>
              <w:jc w:val="center"/>
            </w:pPr>
            <w:r>
              <w:t>1261</w:t>
            </w:r>
          </w:p>
        </w:tc>
        <w:tc>
          <w:tcPr>
            <w:tcW w:w="3060" w:type="dxa"/>
          </w:tcPr>
          <w:p w:rsidR="00C32D95" w:rsidRDefault="00C32D95" w:rsidP="00B84AFE">
            <w:pPr>
              <w:spacing w:line="240" w:lineRule="auto"/>
              <w:jc w:val="center"/>
            </w:pPr>
            <w:r>
              <w:t>Class Auto Center</w:t>
            </w:r>
          </w:p>
        </w:tc>
      </w:tr>
      <w:tr w:rsidR="00C32D95" w:rsidTr="00C32D95">
        <w:tc>
          <w:tcPr>
            <w:tcW w:w="2070" w:type="dxa"/>
          </w:tcPr>
          <w:p w:rsidR="00C32D95" w:rsidRDefault="00C32D95" w:rsidP="00C32D95">
            <w:pPr>
              <w:spacing w:line="240" w:lineRule="auto"/>
              <w:jc w:val="center"/>
            </w:pPr>
            <w:r>
              <w:t>10/21/04</w:t>
            </w:r>
          </w:p>
        </w:tc>
        <w:tc>
          <w:tcPr>
            <w:tcW w:w="2340" w:type="dxa"/>
          </w:tcPr>
          <w:p w:rsidR="00C32D95" w:rsidRDefault="00C32D95" w:rsidP="00C32D95">
            <w:pPr>
              <w:spacing w:line="240" w:lineRule="auto"/>
              <w:jc w:val="center"/>
            </w:pPr>
            <w:r>
              <w:t>$15.40</w:t>
            </w:r>
          </w:p>
        </w:tc>
        <w:tc>
          <w:tcPr>
            <w:tcW w:w="1980" w:type="dxa"/>
          </w:tcPr>
          <w:p w:rsidR="00C32D95" w:rsidRDefault="00C32D95" w:rsidP="00C32D95">
            <w:pPr>
              <w:spacing w:line="240" w:lineRule="auto"/>
              <w:jc w:val="center"/>
            </w:pPr>
            <w:r>
              <w:t>1332</w:t>
            </w:r>
          </w:p>
        </w:tc>
        <w:tc>
          <w:tcPr>
            <w:tcW w:w="3060" w:type="dxa"/>
          </w:tcPr>
          <w:p w:rsidR="00C32D95" w:rsidRDefault="00C32D95" w:rsidP="00B84AFE">
            <w:pPr>
              <w:spacing w:line="240" w:lineRule="auto"/>
              <w:jc w:val="center"/>
            </w:pPr>
            <w:r>
              <w:t>LASC</w:t>
            </w:r>
          </w:p>
        </w:tc>
      </w:tr>
      <w:tr w:rsidR="00C32D95" w:rsidTr="00C32D95">
        <w:tc>
          <w:tcPr>
            <w:tcW w:w="2070" w:type="dxa"/>
          </w:tcPr>
          <w:p w:rsidR="00C32D95" w:rsidRDefault="00C32D95" w:rsidP="00C32D95">
            <w:pPr>
              <w:spacing w:line="240" w:lineRule="auto"/>
              <w:jc w:val="center"/>
            </w:pPr>
            <w:r>
              <w:t>11/23/04</w:t>
            </w:r>
          </w:p>
        </w:tc>
        <w:tc>
          <w:tcPr>
            <w:tcW w:w="2340" w:type="dxa"/>
          </w:tcPr>
          <w:p w:rsidR="00C32D95" w:rsidRDefault="00C32D95" w:rsidP="00C32D95">
            <w:pPr>
              <w:spacing w:line="240" w:lineRule="auto"/>
              <w:jc w:val="center"/>
            </w:pPr>
            <w:r>
              <w:t>$220</w:t>
            </w:r>
          </w:p>
        </w:tc>
        <w:tc>
          <w:tcPr>
            <w:tcW w:w="1980" w:type="dxa"/>
          </w:tcPr>
          <w:p w:rsidR="00C32D95" w:rsidRDefault="00C32D95" w:rsidP="00C32D95">
            <w:pPr>
              <w:spacing w:line="240" w:lineRule="auto"/>
              <w:jc w:val="center"/>
            </w:pPr>
            <w:r>
              <w:t>1370</w:t>
            </w:r>
          </w:p>
        </w:tc>
        <w:tc>
          <w:tcPr>
            <w:tcW w:w="3060" w:type="dxa"/>
          </w:tcPr>
          <w:p w:rsidR="00C32D95" w:rsidRDefault="00C32D95" w:rsidP="00B84AFE">
            <w:pPr>
              <w:spacing w:line="240" w:lineRule="auto"/>
              <w:jc w:val="center"/>
            </w:pPr>
            <w:r>
              <w:t>LASC</w:t>
            </w:r>
          </w:p>
        </w:tc>
      </w:tr>
      <w:tr w:rsidR="00C32D95" w:rsidTr="00C32D95">
        <w:tc>
          <w:tcPr>
            <w:tcW w:w="2070" w:type="dxa"/>
          </w:tcPr>
          <w:p w:rsidR="00C32D95" w:rsidRDefault="00C32D95" w:rsidP="00C32D95">
            <w:pPr>
              <w:spacing w:line="240" w:lineRule="auto"/>
              <w:jc w:val="center"/>
            </w:pPr>
            <w:r>
              <w:t>11/26/04</w:t>
            </w:r>
          </w:p>
        </w:tc>
        <w:tc>
          <w:tcPr>
            <w:tcW w:w="2340" w:type="dxa"/>
          </w:tcPr>
          <w:p w:rsidR="00C32D95" w:rsidRDefault="00C32D95" w:rsidP="00C32D95">
            <w:pPr>
              <w:spacing w:line="240" w:lineRule="auto"/>
              <w:jc w:val="center"/>
            </w:pPr>
            <w:r>
              <w:t>$95.41</w:t>
            </w:r>
          </w:p>
        </w:tc>
        <w:tc>
          <w:tcPr>
            <w:tcW w:w="1980" w:type="dxa"/>
          </w:tcPr>
          <w:p w:rsidR="00C32D95" w:rsidRDefault="00C32D95" w:rsidP="00C32D95">
            <w:pPr>
              <w:spacing w:line="240" w:lineRule="auto"/>
              <w:jc w:val="center"/>
            </w:pPr>
            <w:r>
              <w:t>1383</w:t>
            </w:r>
          </w:p>
        </w:tc>
        <w:tc>
          <w:tcPr>
            <w:tcW w:w="3060" w:type="dxa"/>
          </w:tcPr>
          <w:p w:rsidR="00C32D95" w:rsidRDefault="00C32D95" w:rsidP="00B84AFE">
            <w:pPr>
              <w:spacing w:line="240" w:lineRule="auto"/>
              <w:jc w:val="center"/>
            </w:pPr>
            <w:r>
              <w:t>Ralph’s</w:t>
            </w:r>
          </w:p>
        </w:tc>
      </w:tr>
      <w:tr w:rsidR="00C32D95" w:rsidTr="00C32D95">
        <w:tc>
          <w:tcPr>
            <w:tcW w:w="2070" w:type="dxa"/>
          </w:tcPr>
          <w:p w:rsidR="00C32D95" w:rsidRDefault="00C32D95" w:rsidP="00C32D95">
            <w:pPr>
              <w:spacing w:line="240" w:lineRule="auto"/>
              <w:jc w:val="center"/>
            </w:pPr>
            <w:r>
              <w:t>12/7/04</w:t>
            </w:r>
          </w:p>
        </w:tc>
        <w:tc>
          <w:tcPr>
            <w:tcW w:w="2340" w:type="dxa"/>
          </w:tcPr>
          <w:p w:rsidR="00C32D95" w:rsidRDefault="00C32D95" w:rsidP="00C32D95">
            <w:pPr>
              <w:spacing w:line="240" w:lineRule="auto"/>
              <w:jc w:val="center"/>
            </w:pPr>
            <w:r>
              <w:t>$2,200</w:t>
            </w:r>
          </w:p>
        </w:tc>
        <w:tc>
          <w:tcPr>
            <w:tcW w:w="1980" w:type="dxa"/>
          </w:tcPr>
          <w:p w:rsidR="00C32D95" w:rsidRDefault="00C32D95" w:rsidP="00C32D95">
            <w:pPr>
              <w:spacing w:line="240" w:lineRule="auto"/>
              <w:jc w:val="center"/>
            </w:pPr>
            <w:r>
              <w:t>1357</w:t>
            </w:r>
          </w:p>
        </w:tc>
        <w:tc>
          <w:tcPr>
            <w:tcW w:w="3060" w:type="dxa"/>
          </w:tcPr>
          <w:p w:rsidR="00C32D95" w:rsidRDefault="00C32D95" w:rsidP="00B84AFE">
            <w:pPr>
              <w:spacing w:line="240" w:lineRule="auto"/>
              <w:jc w:val="center"/>
            </w:pPr>
            <w:r>
              <w:t>William S. Epps</w:t>
            </w:r>
          </w:p>
        </w:tc>
      </w:tr>
      <w:tr w:rsidR="00C32D95" w:rsidTr="00C32D95">
        <w:tc>
          <w:tcPr>
            <w:tcW w:w="2070" w:type="dxa"/>
          </w:tcPr>
          <w:p w:rsidR="00C32D95" w:rsidRDefault="00C32D95" w:rsidP="00C32D95">
            <w:pPr>
              <w:spacing w:line="240" w:lineRule="auto"/>
              <w:jc w:val="center"/>
            </w:pPr>
            <w:r>
              <w:t>12/16/04</w:t>
            </w:r>
          </w:p>
        </w:tc>
        <w:tc>
          <w:tcPr>
            <w:tcW w:w="2340" w:type="dxa"/>
          </w:tcPr>
          <w:p w:rsidR="00C32D95" w:rsidRDefault="00C32D95" w:rsidP="00C32D95">
            <w:pPr>
              <w:spacing w:line="240" w:lineRule="auto"/>
              <w:jc w:val="center"/>
            </w:pPr>
            <w:r>
              <w:t>$421.18</w:t>
            </w:r>
          </w:p>
        </w:tc>
        <w:tc>
          <w:tcPr>
            <w:tcW w:w="1980" w:type="dxa"/>
          </w:tcPr>
          <w:p w:rsidR="00C32D95" w:rsidRDefault="00C32D95" w:rsidP="00C32D95">
            <w:pPr>
              <w:spacing w:line="240" w:lineRule="auto"/>
              <w:jc w:val="center"/>
            </w:pPr>
            <w:r>
              <w:t>1389</w:t>
            </w:r>
          </w:p>
        </w:tc>
        <w:tc>
          <w:tcPr>
            <w:tcW w:w="3060" w:type="dxa"/>
          </w:tcPr>
          <w:p w:rsidR="00C32D95" w:rsidRDefault="00C32D95" w:rsidP="00B84AFE">
            <w:pPr>
              <w:spacing w:line="240" w:lineRule="auto"/>
              <w:jc w:val="center"/>
            </w:pPr>
            <w:r>
              <w:t>Fretze Majied</w:t>
            </w:r>
          </w:p>
        </w:tc>
      </w:tr>
      <w:tr w:rsidR="00C32D95" w:rsidTr="00C32D95">
        <w:tc>
          <w:tcPr>
            <w:tcW w:w="2070" w:type="dxa"/>
          </w:tcPr>
          <w:p w:rsidR="00C32D95" w:rsidRDefault="00C32D95" w:rsidP="00C32D95">
            <w:pPr>
              <w:spacing w:line="240" w:lineRule="auto"/>
              <w:jc w:val="center"/>
            </w:pPr>
            <w:r>
              <w:t>3/21/05</w:t>
            </w:r>
          </w:p>
        </w:tc>
        <w:tc>
          <w:tcPr>
            <w:tcW w:w="2340" w:type="dxa"/>
          </w:tcPr>
          <w:p w:rsidR="00C32D95" w:rsidRDefault="00C32D95" w:rsidP="00C32D95">
            <w:pPr>
              <w:spacing w:line="240" w:lineRule="auto"/>
              <w:jc w:val="center"/>
            </w:pPr>
            <w:r>
              <w:t>$32.89</w:t>
            </w:r>
          </w:p>
        </w:tc>
        <w:tc>
          <w:tcPr>
            <w:tcW w:w="1980" w:type="dxa"/>
          </w:tcPr>
          <w:p w:rsidR="00C32D95" w:rsidRDefault="00C32D95" w:rsidP="00C32D95">
            <w:pPr>
              <w:spacing w:line="240" w:lineRule="auto"/>
              <w:jc w:val="center"/>
            </w:pPr>
            <w:r>
              <w:t>1502</w:t>
            </w:r>
          </w:p>
        </w:tc>
        <w:tc>
          <w:tcPr>
            <w:tcW w:w="3060" w:type="dxa"/>
          </w:tcPr>
          <w:p w:rsidR="00C32D95" w:rsidRDefault="00C32D95" w:rsidP="00B84AFE">
            <w:pPr>
              <w:spacing w:line="240" w:lineRule="auto"/>
              <w:jc w:val="center"/>
            </w:pPr>
            <w:r>
              <w:t>Albertson’s</w:t>
            </w:r>
          </w:p>
        </w:tc>
      </w:tr>
      <w:tr w:rsidR="00C32D95" w:rsidTr="00C32D95">
        <w:tc>
          <w:tcPr>
            <w:tcW w:w="2070" w:type="dxa"/>
          </w:tcPr>
          <w:p w:rsidR="00C32D95" w:rsidRDefault="00C32D95" w:rsidP="00C32D95">
            <w:pPr>
              <w:spacing w:line="240" w:lineRule="auto"/>
              <w:jc w:val="center"/>
            </w:pPr>
            <w:r>
              <w:t>4/25/05</w:t>
            </w:r>
          </w:p>
        </w:tc>
        <w:tc>
          <w:tcPr>
            <w:tcW w:w="2340" w:type="dxa"/>
          </w:tcPr>
          <w:p w:rsidR="00C32D95" w:rsidRDefault="00C32D95" w:rsidP="00C32D95">
            <w:pPr>
              <w:spacing w:line="240" w:lineRule="auto"/>
              <w:jc w:val="center"/>
            </w:pPr>
            <w:r>
              <w:t>$75.78</w:t>
            </w:r>
          </w:p>
        </w:tc>
        <w:tc>
          <w:tcPr>
            <w:tcW w:w="1980" w:type="dxa"/>
          </w:tcPr>
          <w:p w:rsidR="00C32D95" w:rsidRDefault="00C32D95" w:rsidP="00C32D95">
            <w:pPr>
              <w:spacing w:line="240" w:lineRule="auto"/>
              <w:jc w:val="center"/>
            </w:pPr>
            <w:r>
              <w:t>1546</w:t>
            </w:r>
          </w:p>
        </w:tc>
        <w:tc>
          <w:tcPr>
            <w:tcW w:w="3060" w:type="dxa"/>
          </w:tcPr>
          <w:p w:rsidR="00C32D95" w:rsidRDefault="00C32D95" w:rsidP="00B84AFE">
            <w:pPr>
              <w:spacing w:line="240" w:lineRule="auto"/>
              <w:jc w:val="center"/>
            </w:pPr>
            <w:r>
              <w:t>Ralph’s</w:t>
            </w:r>
          </w:p>
        </w:tc>
      </w:tr>
      <w:tr w:rsidR="00C32D95" w:rsidTr="00C32D95">
        <w:tc>
          <w:tcPr>
            <w:tcW w:w="2070" w:type="dxa"/>
          </w:tcPr>
          <w:p w:rsidR="00C32D95" w:rsidRDefault="00C32D95" w:rsidP="00C32D95">
            <w:pPr>
              <w:spacing w:line="240" w:lineRule="auto"/>
              <w:jc w:val="center"/>
            </w:pPr>
            <w:r>
              <w:t>5/26/05</w:t>
            </w:r>
          </w:p>
        </w:tc>
        <w:tc>
          <w:tcPr>
            <w:tcW w:w="2340" w:type="dxa"/>
          </w:tcPr>
          <w:p w:rsidR="00C32D95" w:rsidRDefault="00C32D95" w:rsidP="00C32D95">
            <w:pPr>
              <w:spacing w:line="240" w:lineRule="auto"/>
              <w:jc w:val="center"/>
            </w:pPr>
            <w:r>
              <w:t>$25</w:t>
            </w:r>
          </w:p>
        </w:tc>
        <w:tc>
          <w:tcPr>
            <w:tcW w:w="1980" w:type="dxa"/>
          </w:tcPr>
          <w:p w:rsidR="00C32D95" w:rsidRDefault="00C32D95" w:rsidP="00C32D95">
            <w:pPr>
              <w:spacing w:line="240" w:lineRule="auto"/>
              <w:jc w:val="center"/>
            </w:pPr>
            <w:r>
              <w:t>1575</w:t>
            </w:r>
          </w:p>
        </w:tc>
        <w:tc>
          <w:tcPr>
            <w:tcW w:w="3060" w:type="dxa"/>
          </w:tcPr>
          <w:p w:rsidR="00C32D95" w:rsidRDefault="00C32D95" w:rsidP="00B84AFE">
            <w:pPr>
              <w:spacing w:line="240" w:lineRule="auto"/>
              <w:jc w:val="center"/>
            </w:pPr>
            <w:r>
              <w:t>Kaiser</w:t>
            </w:r>
          </w:p>
        </w:tc>
      </w:tr>
    </w:tbl>
    <w:p w:rsidR="00A64F1D" w:rsidRDefault="00A64F1D" w:rsidP="00A64F1D">
      <w:pPr>
        <w:spacing w:line="240" w:lineRule="auto"/>
        <w:ind w:firstLine="720"/>
      </w:pPr>
    </w:p>
    <w:p w:rsidR="00C32D95" w:rsidRDefault="00C32D95" w:rsidP="00A64F1D">
      <w:pPr>
        <w:ind w:firstLine="720"/>
      </w:pPr>
      <w:r>
        <w:t>Robinson claims that a</w:t>
      </w:r>
      <w:r w:rsidR="007A6BF7">
        <w:t xml:space="preserve">t the time of these violations, </w:t>
      </w:r>
      <w:r w:rsidR="00C714C7">
        <w:t xml:space="preserve">he </w:t>
      </w:r>
      <w:r w:rsidR="007A6BF7">
        <w:t>was unaware of the rules prohibiting use of personal funds in his CTA</w:t>
      </w:r>
      <w:r w:rsidR="004260F2">
        <w:t xml:space="preserve">.  He </w:t>
      </w:r>
      <w:r w:rsidR="00C714C7">
        <w:t xml:space="preserve">testified that he </w:t>
      </w:r>
      <w:r w:rsidR="007A6BF7">
        <w:t>has since stopped using the CTA for personal purposes.</w:t>
      </w:r>
      <w:r w:rsidR="00F57151">
        <w:t xml:space="preserve">  As for the NSF, Robinson </w:t>
      </w:r>
      <w:r w:rsidR="00904856">
        <w:t>indicted his</w:t>
      </w:r>
      <w:r w:rsidR="00B77ECC">
        <w:t xml:space="preserve"> </w:t>
      </w:r>
      <w:r w:rsidR="00F57151">
        <w:t xml:space="preserve">unidentified </w:t>
      </w:r>
      <w:r w:rsidR="007D2A4E">
        <w:t xml:space="preserve">female roommate, </w:t>
      </w:r>
      <w:r w:rsidR="00F57151">
        <w:t>whom he feared would access his CTA</w:t>
      </w:r>
      <w:r w:rsidR="00B77ECC">
        <w:t xml:space="preserve">.  According to Robinson, he was concerned about leaving money in the CTA, so he maintained a minimum balance and would deposit money to cover a check only after it was issued.  If he forgot to deposit the funds, </w:t>
      </w:r>
      <w:r w:rsidR="004560BF">
        <w:t>Robinson</w:t>
      </w:r>
      <w:r w:rsidR="00B77ECC">
        <w:t xml:space="preserve"> testified that he had an a</w:t>
      </w:r>
      <w:r w:rsidR="004560BF">
        <w:t>rrangement</w:t>
      </w:r>
      <w:r w:rsidR="00B77ECC">
        <w:t xml:space="preserve"> with </w:t>
      </w:r>
      <w:r w:rsidR="00D84F35">
        <w:t xml:space="preserve">a bank representative, </w:t>
      </w:r>
      <w:r w:rsidR="007D2A4E">
        <w:t xml:space="preserve">who would </w:t>
      </w:r>
      <w:r>
        <w:t>call</w:t>
      </w:r>
      <w:r w:rsidR="007D2A4E">
        <w:t xml:space="preserve"> him personally to </w:t>
      </w:r>
      <w:r w:rsidR="00B77ECC">
        <w:t xml:space="preserve">notify </w:t>
      </w:r>
      <w:r w:rsidR="004560BF">
        <w:t xml:space="preserve">him </w:t>
      </w:r>
      <w:r w:rsidR="00B42AE2">
        <w:t xml:space="preserve">of </w:t>
      </w:r>
      <w:r w:rsidR="004560BF">
        <w:t>insufficient funds.</w:t>
      </w:r>
      <w:r w:rsidR="00B77ECC">
        <w:t xml:space="preserve">  Robinson testified that he did not think there was any other option available to him</w:t>
      </w:r>
      <w:r w:rsidR="00BD38A9">
        <w:t>,</w:t>
      </w:r>
      <w:r w:rsidR="00061FDF">
        <w:t xml:space="preserve"> and this practice continued for almost two years</w:t>
      </w:r>
      <w:r w:rsidR="00B77ECC">
        <w:t>.</w:t>
      </w:r>
    </w:p>
    <w:p w:rsidR="00366DA9" w:rsidRPr="00C32D95" w:rsidRDefault="00C32D95" w:rsidP="00C32D95">
      <w:pPr>
        <w:ind w:firstLine="720"/>
      </w:pPr>
      <w:r>
        <w:rPr>
          <w:b/>
        </w:rPr>
        <w:t>2.</w:t>
      </w:r>
      <w:r>
        <w:rPr>
          <w:b/>
        </w:rPr>
        <w:tab/>
      </w:r>
      <w:r w:rsidR="00366DA9">
        <w:rPr>
          <w:b/>
        </w:rPr>
        <w:t>Conclusions of Law</w:t>
      </w:r>
    </w:p>
    <w:p w:rsidR="00975CB3" w:rsidRDefault="008C2920">
      <w:pPr>
        <w:pStyle w:val="ListParagraph"/>
        <w:ind w:left="1440" w:hanging="720"/>
        <w:rPr>
          <w:b/>
        </w:rPr>
      </w:pPr>
      <w:r>
        <w:rPr>
          <w:b/>
        </w:rPr>
        <w:t>Count 9</w:t>
      </w:r>
      <w:r w:rsidR="007A6BF7">
        <w:rPr>
          <w:b/>
        </w:rPr>
        <w:t xml:space="preserve">: </w:t>
      </w:r>
      <w:r w:rsidR="005147DF">
        <w:rPr>
          <w:b/>
        </w:rPr>
        <w:t xml:space="preserve"> </w:t>
      </w:r>
      <w:r w:rsidR="007A6BF7">
        <w:rPr>
          <w:b/>
        </w:rPr>
        <w:t>Commingling</w:t>
      </w:r>
      <w:r w:rsidR="00C32D95">
        <w:rPr>
          <w:b/>
        </w:rPr>
        <w:t xml:space="preserve"> (R</w:t>
      </w:r>
      <w:r>
        <w:rPr>
          <w:b/>
        </w:rPr>
        <w:t>ule 4-100(A))</w:t>
      </w:r>
    </w:p>
    <w:p w:rsidR="00EE1512" w:rsidRDefault="00D020BF" w:rsidP="00940D6A">
      <w:pPr>
        <w:ind w:firstLine="720"/>
      </w:pPr>
      <w:r>
        <w:t>Rule 4-100(A)</w:t>
      </w:r>
      <w:r w:rsidR="00A522A6" w:rsidRPr="00A522A6">
        <w:t xml:space="preserve"> requires that “[n</w:t>
      </w:r>
      <w:r w:rsidR="00C522A8">
        <w:t>]</w:t>
      </w:r>
      <w:r w:rsidR="00A522A6" w:rsidRPr="00A522A6">
        <w:t xml:space="preserve">o funds belonging to the [attorney] </w:t>
      </w:r>
      <w:r w:rsidR="00C32D95">
        <w:t>. . .</w:t>
      </w:r>
      <w:r w:rsidR="00A522A6" w:rsidRPr="00A522A6">
        <w:t xml:space="preserve"> be deposited </w:t>
      </w:r>
      <w:r w:rsidR="007A6BF7">
        <w:t>[in his CTA]</w:t>
      </w:r>
      <w:r w:rsidR="00A522A6" w:rsidRPr="00A522A6">
        <w:t xml:space="preserve"> or ot</w:t>
      </w:r>
      <w:r>
        <w:t>herwise commingled therewith . . . .</w:t>
      </w:r>
      <w:r w:rsidR="00A522A6" w:rsidRPr="00A522A6">
        <w:t>”</w:t>
      </w:r>
      <w:r>
        <w:t xml:space="preserve">  </w:t>
      </w:r>
      <w:r w:rsidR="00A522A6" w:rsidRPr="00A522A6">
        <w:t>“The rule absolutely bars use of the trust account for personal purposes, even if client funds are not on deposit.”</w:t>
      </w:r>
      <w:r>
        <w:t xml:space="preserve">  (</w:t>
      </w:r>
      <w:r w:rsidRPr="00D020BF">
        <w:rPr>
          <w:i/>
        </w:rPr>
        <w:t>Doyle v. State Bar</w:t>
      </w:r>
      <w:r w:rsidRPr="00A522A6">
        <w:t xml:space="preserve"> (1982) 32 Cal.3d 12, 22-23</w:t>
      </w:r>
      <w:r>
        <w:t xml:space="preserve">.)  Robinson stipulated that he violated the rule by not promptly withdrawing </w:t>
      </w:r>
      <w:r w:rsidR="00C714C7">
        <w:t xml:space="preserve">earned fees </w:t>
      </w:r>
      <w:r w:rsidR="00D41AA9">
        <w:t xml:space="preserve">from his CTA </w:t>
      </w:r>
      <w:r w:rsidR="00C714C7">
        <w:t xml:space="preserve">and by </w:t>
      </w:r>
      <w:r>
        <w:t xml:space="preserve">depositing personal funds into </w:t>
      </w:r>
      <w:r w:rsidR="00D41AA9">
        <w:t>it</w:t>
      </w:r>
      <w:r>
        <w:t>.</w:t>
      </w:r>
      <w:r w:rsidR="007A6BF7">
        <w:t xml:space="preserve">  He also issued</w:t>
      </w:r>
      <w:r w:rsidR="005147DF">
        <w:t xml:space="preserve"> </w:t>
      </w:r>
      <w:r w:rsidR="00A64F1D">
        <w:t xml:space="preserve">23 CTA checks </w:t>
      </w:r>
      <w:r w:rsidR="005147DF">
        <w:t>for personal purposes</w:t>
      </w:r>
      <w:r w:rsidR="007A6BF7">
        <w:t xml:space="preserve"> in violation of the rule</w:t>
      </w:r>
      <w:r w:rsidR="00474426">
        <w:t xml:space="preserve">. </w:t>
      </w:r>
      <w:r w:rsidR="005147DF">
        <w:t xml:space="preserve"> </w:t>
      </w:r>
    </w:p>
    <w:p w:rsidR="001073B8" w:rsidRDefault="001073B8">
      <w:pPr>
        <w:ind w:firstLine="720"/>
        <w:rPr>
          <w:b/>
        </w:rPr>
      </w:pPr>
    </w:p>
    <w:p w:rsidR="00975CB3" w:rsidRDefault="008C2920">
      <w:pPr>
        <w:ind w:firstLine="720"/>
        <w:rPr>
          <w:b/>
        </w:rPr>
      </w:pPr>
      <w:r>
        <w:rPr>
          <w:b/>
        </w:rPr>
        <w:t>Count 10</w:t>
      </w:r>
      <w:r w:rsidR="007A6BF7">
        <w:rPr>
          <w:b/>
        </w:rPr>
        <w:t>: Moral Turpitude</w:t>
      </w:r>
      <w:r w:rsidR="00E90A90">
        <w:rPr>
          <w:b/>
        </w:rPr>
        <w:t xml:space="preserve"> (</w:t>
      </w:r>
      <w:r w:rsidR="00A64F1D">
        <w:rPr>
          <w:b/>
        </w:rPr>
        <w:t>§</w:t>
      </w:r>
      <w:r>
        <w:rPr>
          <w:b/>
        </w:rPr>
        <w:t xml:space="preserve"> 6106)</w:t>
      </w:r>
    </w:p>
    <w:p w:rsidR="00D84F35" w:rsidRDefault="00EE1512" w:rsidP="00D84F35">
      <w:pPr>
        <w:ind w:firstLine="720"/>
      </w:pPr>
      <w:r>
        <w:t xml:space="preserve">An attorney who issues checks </w:t>
      </w:r>
      <w:r w:rsidR="00940D6A">
        <w:t>knowing that they</w:t>
      </w:r>
      <w:r>
        <w:t xml:space="preserve"> will not be honored acts disho</w:t>
      </w:r>
      <w:r w:rsidR="008C2920">
        <w:t>nestly and with moral turpitude</w:t>
      </w:r>
      <w:r w:rsidR="00940D6A">
        <w:t xml:space="preserve">.  </w:t>
      </w:r>
      <w:r>
        <w:t>(</w:t>
      </w:r>
      <w:r>
        <w:rPr>
          <w:i/>
        </w:rPr>
        <w:t>In the Matter of McKiernan</w:t>
      </w:r>
      <w:r>
        <w:t xml:space="preserve"> (Review Dept. 1995) 3 Cal. State Bar Ct. Rptr. 420, </w:t>
      </w:r>
      <w:r w:rsidR="008C2920">
        <w:t xml:space="preserve">426.)  </w:t>
      </w:r>
      <w:r>
        <w:t>“</w:t>
      </w:r>
      <w:r w:rsidRPr="00C25751">
        <w:t>Knowledge that a check was issued without sufficient funds is an integral element of a charge of moral turpitude premised on writing a bad check.</w:t>
      </w:r>
      <w:r w:rsidR="003542E6">
        <w:t xml:space="preserve"> </w:t>
      </w:r>
      <w:r w:rsidR="00C522A8">
        <w:t>[Citation.]</w:t>
      </w:r>
      <w:r>
        <w:t xml:space="preserve">” </w:t>
      </w:r>
      <w:r w:rsidR="005147DF">
        <w:t xml:space="preserve"> </w:t>
      </w:r>
      <w:r>
        <w:t>(</w:t>
      </w:r>
      <w:r>
        <w:rPr>
          <w:i/>
        </w:rPr>
        <w:t>Read v. State Bar</w:t>
      </w:r>
      <w:r w:rsidR="005E0749">
        <w:t xml:space="preserve"> (1991) 53 Cal.3d 394, 409.)  Here, Robinson issued </w:t>
      </w:r>
      <w:r w:rsidR="00940D6A">
        <w:t xml:space="preserve">18 </w:t>
      </w:r>
      <w:r w:rsidR="005E0749">
        <w:t xml:space="preserve">checks with knowledge that </w:t>
      </w:r>
      <w:r w:rsidR="00A64F1D">
        <w:t>his CTA might have i</w:t>
      </w:r>
      <w:r w:rsidR="005E0749">
        <w:t xml:space="preserve">nsufficient funds </w:t>
      </w:r>
      <w:r w:rsidR="0068016E">
        <w:t xml:space="preserve">and </w:t>
      </w:r>
      <w:r w:rsidR="00A64F1D">
        <w:t xml:space="preserve">he </w:t>
      </w:r>
      <w:r w:rsidR="0068016E">
        <w:t>disregarded the ethical rules governing CTA use</w:t>
      </w:r>
      <w:r w:rsidR="005E0749">
        <w:t>.</w:t>
      </w:r>
      <w:r w:rsidR="0068016E">
        <w:t xml:space="preserve">  This conduct was grossly negligent and amounted to moral turpitude in violation of section 6016.  (</w:t>
      </w:r>
      <w:r w:rsidR="0068016E">
        <w:rPr>
          <w:i/>
        </w:rPr>
        <w:t>In the Matter of Doran</w:t>
      </w:r>
      <w:r w:rsidR="0068016E">
        <w:t xml:space="preserve"> (Review Dept. 1998) 3 Cal. State Bar Ct. Rptr. 871, 876 [attorney who used CTA for personal expenses and issued several NSF checks acted with gross negligence where he made no effort to track CTA balances or to </w:t>
      </w:r>
      <w:r w:rsidR="00D84F35">
        <w:t xml:space="preserve">determine proper use of CTA].) </w:t>
      </w:r>
    </w:p>
    <w:p w:rsidR="00A64F1D" w:rsidRDefault="0092602B" w:rsidP="00A64F1D">
      <w:pPr>
        <w:ind w:firstLine="720"/>
      </w:pPr>
      <w:r>
        <w:t>In defense of this charge, Robinson asserts</w:t>
      </w:r>
      <w:r w:rsidR="0068016E">
        <w:t xml:space="preserve"> </w:t>
      </w:r>
      <w:r w:rsidR="00B42AE2">
        <w:t>a</w:t>
      </w:r>
      <w:r w:rsidR="005E0749">
        <w:t xml:space="preserve"> bank rep</w:t>
      </w:r>
      <w:r w:rsidR="0068016E">
        <w:t>resentative reminded</w:t>
      </w:r>
      <w:r w:rsidR="005E0749">
        <w:t xml:space="preserve"> him to</w:t>
      </w:r>
      <w:r w:rsidR="00D84F35">
        <w:t xml:space="preserve"> </w:t>
      </w:r>
      <w:r w:rsidR="005E0749">
        <w:t>deposit funds into the C</w:t>
      </w:r>
      <w:r w:rsidR="0068016E">
        <w:t>TA when</w:t>
      </w:r>
      <w:r>
        <w:t>ever</w:t>
      </w:r>
      <w:r w:rsidR="0068016E">
        <w:t xml:space="preserve"> checks were </w:t>
      </w:r>
      <w:r w:rsidR="005E0749">
        <w:t>presented against insufficient funds</w:t>
      </w:r>
      <w:r>
        <w:t xml:space="preserve">.  But, </w:t>
      </w:r>
      <w:r w:rsidR="00E90A90">
        <w:t xml:space="preserve">even if we were to accept </w:t>
      </w:r>
      <w:r w:rsidR="00061FDF">
        <w:t>Robinson’s explanation,</w:t>
      </w:r>
      <w:r w:rsidR="00E90A90">
        <w:t xml:space="preserve"> </w:t>
      </w:r>
      <w:r w:rsidR="0068016E">
        <w:t xml:space="preserve">it was </w:t>
      </w:r>
      <w:r w:rsidR="00E90A90">
        <w:t>un</w:t>
      </w:r>
      <w:r w:rsidR="0068016E">
        <w:t>re</w:t>
      </w:r>
      <w:r w:rsidR="007A6BF7">
        <w:t>asonable for him to rely on any such</w:t>
      </w:r>
      <w:r w:rsidR="0068016E">
        <w:t xml:space="preserve"> reminder after he repeatedly issued NSF checks</w:t>
      </w:r>
      <w:r w:rsidR="00E90A90">
        <w:t xml:space="preserve"> for almost two years</w:t>
      </w:r>
      <w:r w:rsidR="0068016E">
        <w:t>.  (</w:t>
      </w:r>
      <w:r w:rsidR="0068016E">
        <w:rPr>
          <w:i/>
        </w:rPr>
        <w:t>In the Matter of McKiernan</w:t>
      </w:r>
      <w:r w:rsidR="0068016E">
        <w:t xml:space="preserve">, </w:t>
      </w:r>
      <w:r w:rsidR="0068016E">
        <w:rPr>
          <w:i/>
        </w:rPr>
        <w:t>supra</w:t>
      </w:r>
      <w:r w:rsidR="0068016E">
        <w:t>, 3 Cal. State Bar Ct. Rptr. at p. 426 [</w:t>
      </w:r>
      <w:r w:rsidR="00EE1512">
        <w:t xml:space="preserve">“a justifiable and reasonable belief that </w:t>
      </w:r>
      <w:r w:rsidR="00C522A8">
        <w:t>a</w:t>
      </w:r>
      <w:r w:rsidR="00EE1512">
        <w:t xml:space="preserve"> check will be honored is a defense” to charge that attorney acted with moral turpitude by issuing NSF checks</w:t>
      </w:r>
      <w:r w:rsidR="0068016E">
        <w:t>].)</w:t>
      </w:r>
      <w:r w:rsidR="00D84F35">
        <w:t xml:space="preserve">  </w:t>
      </w:r>
      <w:r w:rsidR="00B42AE2">
        <w:t xml:space="preserve">Likewise, we reject </w:t>
      </w:r>
      <w:r w:rsidR="00D84F35">
        <w:t>Robinson</w:t>
      </w:r>
      <w:r w:rsidR="00B42AE2">
        <w:t xml:space="preserve">’s argument </w:t>
      </w:r>
      <w:r w:rsidR="00D84F35">
        <w:t xml:space="preserve">that he did not commit misconduct </w:t>
      </w:r>
      <w:r w:rsidR="00A64F1D">
        <w:t>by</w:t>
      </w:r>
      <w:r w:rsidR="00D84F35">
        <w:t xml:space="preserve"> issuing NSF checks because his </w:t>
      </w:r>
      <w:r w:rsidR="00A64F1D">
        <w:t xml:space="preserve">trust account </w:t>
      </w:r>
      <w:r w:rsidR="00D84F35">
        <w:t xml:space="preserve">overdraft protection paid the check amounts due.  Overdraft protection for a client trust account may be a “good idea” for occasional bank or accounting errors.  (Ops. State Bar of Cal., No. 169 (2005) p. 4.)  But here, Robinson repeatedly used </w:t>
      </w:r>
      <w:r w:rsidR="00A64F1D">
        <w:t>it</w:t>
      </w:r>
      <w:r w:rsidR="00D84F35">
        <w:t xml:space="preserve"> for an impermissible and non-delegable purpose – to manage his </w:t>
      </w:r>
      <w:r w:rsidR="00A64F1D">
        <w:t>CTA</w:t>
      </w:r>
      <w:r w:rsidR="00D84F35">
        <w:t>.  (</w:t>
      </w:r>
      <w:r w:rsidR="00D84F35">
        <w:rPr>
          <w:i/>
        </w:rPr>
        <w:t>Ibid</w:t>
      </w:r>
      <w:r w:rsidR="00D84F35">
        <w:t>.)</w:t>
      </w:r>
    </w:p>
    <w:p w:rsidR="001073B8" w:rsidRDefault="001073B8" w:rsidP="00A64F1D">
      <w:pPr>
        <w:rPr>
          <w:b/>
        </w:rPr>
      </w:pPr>
    </w:p>
    <w:p w:rsidR="001073B8" w:rsidRDefault="001073B8" w:rsidP="00A64F1D">
      <w:pPr>
        <w:rPr>
          <w:b/>
        </w:rPr>
      </w:pPr>
    </w:p>
    <w:p w:rsidR="00A64F1D" w:rsidRDefault="00A64F1D" w:rsidP="00A64F1D">
      <w:pPr>
        <w:rPr>
          <w:b/>
        </w:rPr>
      </w:pPr>
      <w:r>
        <w:rPr>
          <w:b/>
        </w:rPr>
        <w:t>C.</w:t>
      </w:r>
      <w:r>
        <w:rPr>
          <w:b/>
        </w:rPr>
        <w:tab/>
      </w:r>
      <w:r w:rsidR="00063C0C">
        <w:rPr>
          <w:b/>
        </w:rPr>
        <w:t>THE ADDISON MATTER</w:t>
      </w:r>
      <w:r w:rsidR="003542E6">
        <w:rPr>
          <w:b/>
        </w:rPr>
        <w:t xml:space="preserve"> </w:t>
      </w:r>
    </w:p>
    <w:p w:rsidR="00977DC8" w:rsidRPr="00A64F1D" w:rsidRDefault="00A64F1D" w:rsidP="00A64F1D">
      <w:r>
        <w:rPr>
          <w:b/>
        </w:rPr>
        <w:tab/>
        <w:t>1.</w:t>
      </w:r>
      <w:r>
        <w:rPr>
          <w:b/>
        </w:rPr>
        <w:tab/>
      </w:r>
      <w:r w:rsidR="00977DC8">
        <w:rPr>
          <w:b/>
        </w:rPr>
        <w:t>Findings of Fact</w:t>
      </w:r>
    </w:p>
    <w:p w:rsidR="00975CB3" w:rsidRDefault="00C81592">
      <w:pPr>
        <w:ind w:firstLine="720"/>
      </w:pPr>
      <w:r>
        <w:t xml:space="preserve">In June 2004, Joseph Addison hired Robinson to file suit against </w:t>
      </w:r>
      <w:r w:rsidR="00A64F1D">
        <w:t>Addison’s</w:t>
      </w:r>
      <w:r>
        <w:t xml:space="preserve"> employer, the Department of Publi</w:t>
      </w:r>
      <w:r w:rsidR="005F7E74">
        <w:t>c Works of Los Angeles County</w:t>
      </w:r>
      <w:r w:rsidR="007A6BF7">
        <w:t xml:space="preserve"> (DPW)</w:t>
      </w:r>
      <w:r w:rsidR="005F7E74">
        <w:t xml:space="preserve">.  Addison agreed to pay Robinson a </w:t>
      </w:r>
      <w:r w:rsidR="00912737">
        <w:t>“</w:t>
      </w:r>
      <w:r w:rsidR="005F7E74">
        <w:t>retainer</w:t>
      </w:r>
      <w:r w:rsidR="00912737">
        <w:t>”</w:t>
      </w:r>
      <w:r w:rsidR="005F7E74">
        <w:t xml:space="preserve"> of $8,000, and on June 6, 2004, </w:t>
      </w:r>
      <w:r w:rsidR="0007098C">
        <w:t xml:space="preserve">he </w:t>
      </w:r>
      <w:r w:rsidR="005F7E74">
        <w:t xml:space="preserve">paid Robinson $1,000 in fees.  On June 14, 2004, Addison </w:t>
      </w:r>
      <w:r w:rsidR="00912737">
        <w:t xml:space="preserve">signed a written contract, which included the agreement to pay a “non-refundable retainer fee” of $8,000. </w:t>
      </w:r>
      <w:r w:rsidR="005F7E74">
        <w:t xml:space="preserve"> </w:t>
      </w:r>
      <w:r w:rsidR="00912737">
        <w:t xml:space="preserve">At the same time, he paid </w:t>
      </w:r>
      <w:r w:rsidR="005F7E74">
        <w:t>Robinson an additional $7,000.</w:t>
      </w:r>
      <w:r w:rsidR="007A6BF7">
        <w:t xml:space="preserve">  </w:t>
      </w:r>
      <w:r w:rsidR="00A64F1D">
        <w:t>When</w:t>
      </w:r>
      <w:r w:rsidR="0007098C">
        <w:t xml:space="preserve"> Robinson </w:t>
      </w:r>
      <w:r w:rsidR="00A64F1D">
        <w:t xml:space="preserve">requested money to file the complaint he </w:t>
      </w:r>
      <w:r w:rsidR="00061FDF">
        <w:t xml:space="preserve">claimed he </w:t>
      </w:r>
      <w:r w:rsidR="00A64F1D">
        <w:t xml:space="preserve">had completed, </w:t>
      </w:r>
      <w:r w:rsidR="007A6BF7">
        <w:t xml:space="preserve">Addison </w:t>
      </w:r>
      <w:r w:rsidR="001A6434">
        <w:t xml:space="preserve">gave </w:t>
      </w:r>
      <w:r w:rsidR="00A64F1D">
        <w:t>him</w:t>
      </w:r>
      <w:r w:rsidR="001A6434">
        <w:t xml:space="preserve"> a</w:t>
      </w:r>
      <w:r w:rsidR="007A6BF7">
        <w:t>nother</w:t>
      </w:r>
      <w:r w:rsidR="001A6434">
        <w:t xml:space="preserve"> check for $500 on August 9, 2004.  This check bore the notation “filing fees and incidentals.”  Robinson deposited this check into his CTA on August 15, 2004.  On October 5, 2004, Robinson’s CTA had a negative balance</w:t>
      </w:r>
      <w:r w:rsidR="00940D6A">
        <w:t xml:space="preserve"> of </w:t>
      </w:r>
      <w:r w:rsidR="001A6434">
        <w:t>$299.96.</w:t>
      </w:r>
    </w:p>
    <w:p w:rsidR="00607957" w:rsidRDefault="00607957" w:rsidP="00940D6A">
      <w:pPr>
        <w:ind w:firstLine="720"/>
      </w:pPr>
      <w:r>
        <w:t xml:space="preserve">Addison intended for Robinson to file a lawsuit against DPW as soon as possible.  He </w:t>
      </w:r>
      <w:r w:rsidR="00940D6A">
        <w:t xml:space="preserve">had </w:t>
      </w:r>
      <w:r>
        <w:t xml:space="preserve">received a “Right to </w:t>
      </w:r>
      <w:r w:rsidR="007A6BF7">
        <w:t xml:space="preserve">Sue </w:t>
      </w:r>
      <w:r>
        <w:t xml:space="preserve">Notice” on July 15, 2004, </w:t>
      </w:r>
      <w:r w:rsidR="00351DD9">
        <w:t>that</w:t>
      </w:r>
      <w:r>
        <w:t xml:space="preserve"> allowed him to </w:t>
      </w:r>
      <w:r w:rsidR="007A6BF7">
        <w:t>file a discrimination action</w:t>
      </w:r>
      <w:r w:rsidR="00351DD9">
        <w:t xml:space="preserve">, </w:t>
      </w:r>
      <w:r w:rsidR="00061FDF">
        <w:t>and</w:t>
      </w:r>
      <w:r w:rsidR="00940D6A">
        <w:t xml:space="preserve"> he </w:t>
      </w:r>
      <w:r w:rsidR="00CB3E20">
        <w:t xml:space="preserve">repeatedly requested that </w:t>
      </w:r>
      <w:r w:rsidR="001A6434">
        <w:t>Robinson</w:t>
      </w:r>
      <w:r w:rsidR="00CB3E20">
        <w:t xml:space="preserve"> </w:t>
      </w:r>
      <w:r w:rsidR="009E0357">
        <w:t>do</w:t>
      </w:r>
      <w:r w:rsidR="00061FDF">
        <w:t xml:space="preserve"> so</w:t>
      </w:r>
      <w:r w:rsidR="00CB3E20">
        <w:t xml:space="preserve">.  Robinson </w:t>
      </w:r>
      <w:r w:rsidR="007A6BF7">
        <w:t xml:space="preserve">never filed </w:t>
      </w:r>
      <w:r w:rsidR="00CB3E20">
        <w:t>the</w:t>
      </w:r>
      <w:r w:rsidR="007A6BF7">
        <w:t xml:space="preserve"> action</w:t>
      </w:r>
      <w:r w:rsidR="00B36FCB">
        <w:t xml:space="preserve">, despite </w:t>
      </w:r>
      <w:r w:rsidR="007A6BF7">
        <w:t xml:space="preserve">his statement that </w:t>
      </w:r>
      <w:r w:rsidR="00B36FCB">
        <w:t>the complaint</w:t>
      </w:r>
      <w:r w:rsidR="007A6BF7">
        <w:t xml:space="preserve"> was complete</w:t>
      </w:r>
      <w:r w:rsidR="00061FDF">
        <w:t>d</w:t>
      </w:r>
      <w:r w:rsidR="007A6BF7">
        <w:t xml:space="preserve"> on August 9, 2004</w:t>
      </w:r>
      <w:r w:rsidR="001A6434">
        <w:t>.</w:t>
      </w:r>
      <w:r w:rsidR="00B36FCB">
        <w:t xml:space="preserve">  </w:t>
      </w:r>
      <w:r w:rsidR="001A6434">
        <w:t xml:space="preserve">On October 1, 2004, Addison hand-delivered a letter terminating Robinson, requesting a </w:t>
      </w:r>
      <w:r w:rsidR="00CB3E20">
        <w:t xml:space="preserve">full </w:t>
      </w:r>
      <w:r w:rsidR="001A6434">
        <w:t>refund</w:t>
      </w:r>
      <w:r w:rsidR="00CB3E20">
        <w:t xml:space="preserve"> of $8,500</w:t>
      </w:r>
      <w:r w:rsidR="001A6434">
        <w:t>, and offering to reimburse him for fees and costs substantiated by adequate receipts.</w:t>
      </w:r>
      <w:r w:rsidR="00D30396">
        <w:t xml:space="preserve">  At some point, Robinson </w:t>
      </w:r>
      <w:r w:rsidR="00BD38A9">
        <w:t xml:space="preserve">had </w:t>
      </w:r>
      <w:r w:rsidR="00D30396">
        <w:t xml:space="preserve">prepared a draft complaint, but Addison did not see </w:t>
      </w:r>
      <w:r w:rsidR="009E0357">
        <w:t>i</w:t>
      </w:r>
      <w:r w:rsidR="00D30396">
        <w:t xml:space="preserve">t until Robinson provided it, along with a statement of fees, during the State Bar investigation in 2006. </w:t>
      </w:r>
      <w:r w:rsidR="001A6434">
        <w:t xml:space="preserve">  </w:t>
      </w:r>
      <w:r>
        <w:t xml:space="preserve">  </w:t>
      </w:r>
    </w:p>
    <w:p w:rsidR="004A756C" w:rsidRDefault="007A6BF7" w:rsidP="00940D6A">
      <w:pPr>
        <w:ind w:firstLine="720"/>
      </w:pPr>
      <w:r>
        <w:t xml:space="preserve">Robinson did not refund Addison’s $8,500 for five years.  </w:t>
      </w:r>
      <w:r w:rsidR="009E0357">
        <w:t xml:space="preserve">In 2007, </w:t>
      </w:r>
      <w:r w:rsidR="001A6434">
        <w:t xml:space="preserve">Addison sought to recover </w:t>
      </w:r>
      <w:r>
        <w:t xml:space="preserve">these funds in </w:t>
      </w:r>
      <w:r w:rsidR="001A6434">
        <w:t xml:space="preserve">fee arbitration proceedings before the Committee of Arbitration of the Los Angeles County Bar Association Dispute Resolution Services.  Robinson did not participate in </w:t>
      </w:r>
      <w:r w:rsidR="009E0357">
        <w:t>tho</w:t>
      </w:r>
      <w:r w:rsidR="00CB3E20">
        <w:t xml:space="preserve">se proceedings and </w:t>
      </w:r>
      <w:r w:rsidR="00871230">
        <w:t xml:space="preserve">Addison won an arbitration award of $8,975, representing the $8,500 plus arbitration costs.  Robinson </w:t>
      </w:r>
      <w:r w:rsidR="00D30396">
        <w:t xml:space="preserve">unsuccessfully </w:t>
      </w:r>
      <w:r w:rsidR="00871230">
        <w:t>sought to set aside the award in the Los Angeles County Superior Court and</w:t>
      </w:r>
      <w:r w:rsidR="00D30396">
        <w:t xml:space="preserve"> </w:t>
      </w:r>
      <w:r w:rsidR="006A4FD7">
        <w:t xml:space="preserve">the </w:t>
      </w:r>
      <w:r w:rsidR="00D30396">
        <w:t xml:space="preserve">Court of Appeals.  </w:t>
      </w:r>
      <w:r w:rsidR="00CB3E20">
        <w:t>H</w:t>
      </w:r>
      <w:r w:rsidR="00D30396">
        <w:t>e</w:t>
      </w:r>
      <w:r w:rsidR="00871230">
        <w:t xml:space="preserve"> paid the award in full on September 21, 2009</w:t>
      </w:r>
      <w:r w:rsidR="00CB3E20">
        <w:t>,</w:t>
      </w:r>
      <w:r w:rsidR="00871230">
        <w:t xml:space="preserve"> after he was placed on involuntary inactive status by the State Bar </w:t>
      </w:r>
      <w:r w:rsidR="00090158">
        <w:t xml:space="preserve">Court </w:t>
      </w:r>
      <w:r w:rsidR="00871230">
        <w:t xml:space="preserve">for failing to comply with the arbitration award.  </w:t>
      </w:r>
    </w:p>
    <w:p w:rsidR="00975CB3" w:rsidRDefault="00E93874">
      <w:pPr>
        <w:ind w:firstLine="720"/>
      </w:pPr>
      <w:r>
        <w:t>Pursuant to Addison’s complaint</w:t>
      </w:r>
      <w:r w:rsidR="0031703B">
        <w:t>,</w:t>
      </w:r>
      <w:r w:rsidR="00CB51FB">
        <w:t xml:space="preserve"> the State </w:t>
      </w:r>
      <w:r w:rsidR="0031703B">
        <w:t>Bar opened an investigation on September 16, 2005.  The investigator sent Robinson letters on October 5, 2005 and November 1, 2005, requesting a written response to allegations in the Addison complaint</w:t>
      </w:r>
      <w:r w:rsidR="00B03255">
        <w:t xml:space="preserve"> and reminding him of his duty to cooperate with the investigation</w:t>
      </w:r>
      <w:r w:rsidR="0031703B">
        <w:t xml:space="preserve">.  On November 17, 2005, Robinson </w:t>
      </w:r>
      <w:r w:rsidR="009E0357">
        <w:t>called</w:t>
      </w:r>
      <w:r w:rsidR="0031703B">
        <w:t xml:space="preserve"> the investigator and </w:t>
      </w:r>
      <w:r w:rsidR="009E0357">
        <w:t xml:space="preserve">told him that </w:t>
      </w:r>
      <w:r w:rsidR="00110055">
        <w:t>he would provide a written response by December 1, 2005</w:t>
      </w:r>
      <w:r>
        <w:t>, but failed to do so</w:t>
      </w:r>
      <w:r w:rsidR="00110055">
        <w:t xml:space="preserve">.  </w:t>
      </w:r>
      <w:r>
        <w:t>After the State Bar filed the NDC on April 7, 2006, Robinson</w:t>
      </w:r>
      <w:r w:rsidR="00110055">
        <w:t xml:space="preserve"> sent let</w:t>
      </w:r>
      <w:r>
        <w:t>ters to the State Bar on April 26</w:t>
      </w:r>
      <w:r w:rsidR="00110055">
        <w:t xml:space="preserve">, </w:t>
      </w:r>
      <w:r>
        <w:t xml:space="preserve">2006, and May 3, 2006. </w:t>
      </w:r>
    </w:p>
    <w:p w:rsidR="00975CB3" w:rsidRDefault="00110055">
      <w:pPr>
        <w:ind w:firstLine="720"/>
      </w:pPr>
      <w:r>
        <w:t>On June 27, 2006, Robinson and the State Bar entered into an Agreement in Lieu of Discipline (ALD) for his conduct in the Addison matter.  Part of the ALD required Robinson to comply with conditions over the course of one year, including timely filing quarterly reports and attending the State Bar Ethics School.</w:t>
      </w:r>
      <w:r w:rsidR="00977DC8">
        <w:t xml:space="preserve">  On July 7, 2006, the Office of Probation sent Robinson a reminder of these ALD terms.</w:t>
      </w:r>
      <w:r>
        <w:t xml:space="preserve">  Over the course of that year, Robinson filed all four quarterly reports late</w:t>
      </w:r>
      <w:r w:rsidR="00977DC8">
        <w:t xml:space="preserve"> as follows:</w:t>
      </w:r>
    </w:p>
    <w:tbl>
      <w:tblPr>
        <w:tblStyle w:val="TableGrid"/>
        <w:tblW w:w="0" w:type="auto"/>
        <w:tblInd w:w="108" w:type="dxa"/>
        <w:tblLook w:val="04A0"/>
      </w:tblPr>
      <w:tblGrid>
        <w:gridCol w:w="3177"/>
        <w:gridCol w:w="3181"/>
        <w:gridCol w:w="2912"/>
      </w:tblGrid>
      <w:tr w:rsidR="009E0357" w:rsidTr="009E0357">
        <w:tc>
          <w:tcPr>
            <w:tcW w:w="3177" w:type="dxa"/>
          </w:tcPr>
          <w:p w:rsidR="009E0357" w:rsidRPr="00977DC8" w:rsidRDefault="009E0357" w:rsidP="009E0357">
            <w:pPr>
              <w:spacing w:line="240" w:lineRule="auto"/>
              <w:jc w:val="center"/>
              <w:rPr>
                <w:b/>
              </w:rPr>
            </w:pPr>
            <w:r>
              <w:rPr>
                <w:b/>
              </w:rPr>
              <w:t xml:space="preserve">Report Due </w:t>
            </w:r>
            <w:r w:rsidRPr="00977DC8">
              <w:rPr>
                <w:b/>
              </w:rPr>
              <w:t>Date</w:t>
            </w:r>
          </w:p>
        </w:tc>
        <w:tc>
          <w:tcPr>
            <w:tcW w:w="3181" w:type="dxa"/>
          </w:tcPr>
          <w:p w:rsidR="009E0357" w:rsidRPr="00977DC8" w:rsidRDefault="009E0357" w:rsidP="00351DD9">
            <w:pPr>
              <w:spacing w:line="240" w:lineRule="auto"/>
              <w:jc w:val="center"/>
              <w:rPr>
                <w:b/>
              </w:rPr>
            </w:pPr>
            <w:r w:rsidRPr="00977DC8">
              <w:rPr>
                <w:b/>
              </w:rPr>
              <w:t>Date</w:t>
            </w:r>
            <w:r>
              <w:rPr>
                <w:b/>
              </w:rPr>
              <w:t xml:space="preserve"> Report</w:t>
            </w:r>
            <w:r w:rsidRPr="00977DC8">
              <w:rPr>
                <w:b/>
              </w:rPr>
              <w:t xml:space="preserve"> Filed</w:t>
            </w:r>
          </w:p>
        </w:tc>
        <w:tc>
          <w:tcPr>
            <w:tcW w:w="2912" w:type="dxa"/>
          </w:tcPr>
          <w:p w:rsidR="009E0357" w:rsidRPr="00977DC8" w:rsidRDefault="009E0357" w:rsidP="00351DD9">
            <w:pPr>
              <w:spacing w:line="240" w:lineRule="auto"/>
              <w:jc w:val="center"/>
              <w:rPr>
                <w:b/>
              </w:rPr>
            </w:pPr>
            <w:r>
              <w:rPr>
                <w:b/>
              </w:rPr>
              <w:t>Days Overdue</w:t>
            </w:r>
          </w:p>
        </w:tc>
      </w:tr>
      <w:tr w:rsidR="009E0357" w:rsidTr="009E0357">
        <w:tc>
          <w:tcPr>
            <w:tcW w:w="3177" w:type="dxa"/>
          </w:tcPr>
          <w:p w:rsidR="009E0357" w:rsidRDefault="00EB151E" w:rsidP="00EB151E">
            <w:pPr>
              <w:spacing w:line="240" w:lineRule="auto"/>
              <w:jc w:val="center"/>
            </w:pPr>
            <w:r>
              <w:t>10/10/06</w:t>
            </w:r>
          </w:p>
        </w:tc>
        <w:tc>
          <w:tcPr>
            <w:tcW w:w="3181" w:type="dxa"/>
          </w:tcPr>
          <w:p w:rsidR="009E0357" w:rsidRDefault="00EB151E" w:rsidP="00351DD9">
            <w:pPr>
              <w:spacing w:line="240" w:lineRule="auto"/>
              <w:jc w:val="center"/>
            </w:pPr>
            <w:r>
              <w:t>11/13/06</w:t>
            </w:r>
          </w:p>
        </w:tc>
        <w:tc>
          <w:tcPr>
            <w:tcW w:w="2912" w:type="dxa"/>
          </w:tcPr>
          <w:p w:rsidR="009E0357" w:rsidRDefault="004F2E56" w:rsidP="004F2E56">
            <w:pPr>
              <w:spacing w:line="240" w:lineRule="auto"/>
              <w:jc w:val="center"/>
            </w:pPr>
            <w:r>
              <w:t>34</w:t>
            </w:r>
          </w:p>
        </w:tc>
      </w:tr>
      <w:tr w:rsidR="009E0357" w:rsidTr="009E0357">
        <w:tc>
          <w:tcPr>
            <w:tcW w:w="3177" w:type="dxa"/>
          </w:tcPr>
          <w:p w:rsidR="009E0357" w:rsidRDefault="00EB151E" w:rsidP="009E0357">
            <w:pPr>
              <w:spacing w:line="240" w:lineRule="auto"/>
              <w:jc w:val="center"/>
            </w:pPr>
            <w:r>
              <w:t>1/10/07</w:t>
            </w:r>
          </w:p>
        </w:tc>
        <w:tc>
          <w:tcPr>
            <w:tcW w:w="3181" w:type="dxa"/>
          </w:tcPr>
          <w:p w:rsidR="009E0357" w:rsidRDefault="00EB151E" w:rsidP="00351DD9">
            <w:pPr>
              <w:spacing w:line="240" w:lineRule="auto"/>
              <w:jc w:val="center"/>
            </w:pPr>
            <w:r>
              <w:t>7/26/07</w:t>
            </w:r>
          </w:p>
        </w:tc>
        <w:tc>
          <w:tcPr>
            <w:tcW w:w="2912" w:type="dxa"/>
          </w:tcPr>
          <w:p w:rsidR="009E0357" w:rsidRDefault="004F2E56" w:rsidP="004F2E56">
            <w:pPr>
              <w:spacing w:line="240" w:lineRule="auto"/>
              <w:jc w:val="center"/>
            </w:pPr>
            <w:r>
              <w:t>197</w:t>
            </w:r>
          </w:p>
        </w:tc>
      </w:tr>
      <w:tr w:rsidR="009E0357" w:rsidTr="009E0357">
        <w:tc>
          <w:tcPr>
            <w:tcW w:w="3177" w:type="dxa"/>
          </w:tcPr>
          <w:p w:rsidR="009E0357" w:rsidRDefault="00EB151E" w:rsidP="009E0357">
            <w:pPr>
              <w:spacing w:line="240" w:lineRule="auto"/>
              <w:jc w:val="center"/>
            </w:pPr>
            <w:r>
              <w:t>4/10/07</w:t>
            </w:r>
          </w:p>
        </w:tc>
        <w:tc>
          <w:tcPr>
            <w:tcW w:w="3181" w:type="dxa"/>
          </w:tcPr>
          <w:p w:rsidR="009E0357" w:rsidRDefault="00EB151E" w:rsidP="00351DD9">
            <w:pPr>
              <w:spacing w:line="240" w:lineRule="auto"/>
              <w:jc w:val="center"/>
            </w:pPr>
            <w:r>
              <w:t>5/9/07</w:t>
            </w:r>
          </w:p>
        </w:tc>
        <w:tc>
          <w:tcPr>
            <w:tcW w:w="2912" w:type="dxa"/>
          </w:tcPr>
          <w:p w:rsidR="009E0357" w:rsidRDefault="004F2E56" w:rsidP="004F2E56">
            <w:pPr>
              <w:spacing w:line="240" w:lineRule="auto"/>
              <w:jc w:val="center"/>
            </w:pPr>
            <w:r>
              <w:t>29</w:t>
            </w:r>
          </w:p>
        </w:tc>
      </w:tr>
      <w:tr w:rsidR="009E0357" w:rsidTr="009E0357">
        <w:tc>
          <w:tcPr>
            <w:tcW w:w="3177" w:type="dxa"/>
          </w:tcPr>
          <w:p w:rsidR="009E0357" w:rsidRDefault="00EB151E" w:rsidP="009E0357">
            <w:pPr>
              <w:spacing w:line="240" w:lineRule="auto"/>
              <w:jc w:val="center"/>
            </w:pPr>
            <w:r>
              <w:t>6/27/07</w:t>
            </w:r>
          </w:p>
        </w:tc>
        <w:tc>
          <w:tcPr>
            <w:tcW w:w="3181" w:type="dxa"/>
          </w:tcPr>
          <w:p w:rsidR="009E0357" w:rsidRDefault="00EB151E" w:rsidP="009E0357">
            <w:pPr>
              <w:spacing w:line="240" w:lineRule="auto"/>
              <w:jc w:val="center"/>
            </w:pPr>
            <w:r>
              <w:t>6/29/07</w:t>
            </w:r>
          </w:p>
        </w:tc>
        <w:tc>
          <w:tcPr>
            <w:tcW w:w="2912" w:type="dxa"/>
          </w:tcPr>
          <w:p w:rsidR="009E0357" w:rsidRDefault="004F2E56" w:rsidP="004F2E56">
            <w:pPr>
              <w:pStyle w:val="ListParagraph"/>
              <w:spacing w:line="240" w:lineRule="auto"/>
              <w:ind w:left="0"/>
              <w:jc w:val="center"/>
            </w:pPr>
            <w:r>
              <w:t>2</w:t>
            </w:r>
          </w:p>
        </w:tc>
      </w:tr>
    </w:tbl>
    <w:p w:rsidR="00977DC8" w:rsidRDefault="00977DC8" w:rsidP="009E0357">
      <w:pPr>
        <w:spacing w:line="240" w:lineRule="auto"/>
        <w:ind w:firstLine="360"/>
        <w:jc w:val="center"/>
      </w:pPr>
    </w:p>
    <w:p w:rsidR="009E0357" w:rsidRDefault="00977DC8" w:rsidP="009E0357">
      <w:pPr>
        <w:ind w:firstLine="720"/>
      </w:pPr>
      <w:r>
        <w:t>Robinson submitt</w:t>
      </w:r>
      <w:r w:rsidR="00B03255">
        <w:t>ed the January 2007</w:t>
      </w:r>
      <w:r>
        <w:t xml:space="preserve"> quarterly report and completed the Ethics School only after the Office of Probation called him on July 14, 2007, to remind him of these obligations.  He completed the Ethics School requirement on August 24, 2007, almost two months aft</w:t>
      </w:r>
      <w:r w:rsidR="009E0357">
        <w:t xml:space="preserve">er the June 27, 2007 deadline. </w:t>
      </w:r>
    </w:p>
    <w:p w:rsidR="009E0357" w:rsidRDefault="009E0357" w:rsidP="009E0357">
      <w:pPr>
        <w:ind w:firstLine="720"/>
      </w:pPr>
    </w:p>
    <w:p w:rsidR="00977DC8" w:rsidRPr="009E0357" w:rsidRDefault="009E0357" w:rsidP="009E0357">
      <w:pPr>
        <w:ind w:firstLine="720"/>
      </w:pPr>
      <w:r>
        <w:rPr>
          <w:b/>
        </w:rPr>
        <w:t>2.</w:t>
      </w:r>
      <w:r>
        <w:rPr>
          <w:b/>
        </w:rPr>
        <w:tab/>
      </w:r>
      <w:r w:rsidR="00977DC8">
        <w:rPr>
          <w:b/>
        </w:rPr>
        <w:t>Conclusions of Law</w:t>
      </w:r>
    </w:p>
    <w:p w:rsidR="00977DC8" w:rsidRDefault="00977DC8" w:rsidP="001D69ED">
      <w:pPr>
        <w:ind w:left="1080" w:hanging="360"/>
        <w:rPr>
          <w:b/>
        </w:rPr>
      </w:pPr>
      <w:r>
        <w:rPr>
          <w:b/>
        </w:rPr>
        <w:t xml:space="preserve">Count 1: </w:t>
      </w:r>
      <w:r w:rsidR="00D422A1">
        <w:rPr>
          <w:b/>
        </w:rPr>
        <w:t xml:space="preserve"> </w:t>
      </w:r>
      <w:r>
        <w:rPr>
          <w:b/>
        </w:rPr>
        <w:t>Failure to Perform with Competence (</w:t>
      </w:r>
      <w:r w:rsidR="009E0357">
        <w:rPr>
          <w:b/>
        </w:rPr>
        <w:t>R</w:t>
      </w:r>
      <w:r>
        <w:rPr>
          <w:b/>
        </w:rPr>
        <w:t>ule 3-110(A))</w:t>
      </w:r>
    </w:p>
    <w:p w:rsidR="00B36FCB" w:rsidRDefault="00B36FCB" w:rsidP="00B36FCB">
      <w:pPr>
        <w:ind w:firstLine="720"/>
      </w:pPr>
      <w:r>
        <w:t>Rule 3-110(A) prohibits intentional, reckless, or repeated failures to perform legal services with competence.</w:t>
      </w:r>
      <w:r w:rsidR="00724527">
        <w:t xml:space="preserve">  Robinson </w:t>
      </w:r>
      <w:r w:rsidR="00B03255">
        <w:t xml:space="preserve">violated this rule by </w:t>
      </w:r>
      <w:r w:rsidR="00724527">
        <w:t>repeatedly and recklessly fail</w:t>
      </w:r>
      <w:r w:rsidR="00D422A1">
        <w:t>ing</w:t>
      </w:r>
      <w:r w:rsidR="00724527">
        <w:t xml:space="preserve"> to file Addison’s complaint as promised, despite </w:t>
      </w:r>
      <w:r w:rsidR="00D422A1">
        <w:t xml:space="preserve">his </w:t>
      </w:r>
      <w:r w:rsidR="009E0357">
        <w:t>assertion</w:t>
      </w:r>
      <w:r w:rsidR="00D422A1">
        <w:t xml:space="preserve"> that </w:t>
      </w:r>
      <w:r w:rsidR="00724527">
        <w:t>he had completed it.  (</w:t>
      </w:r>
      <w:r w:rsidR="00674A5F">
        <w:rPr>
          <w:i/>
        </w:rPr>
        <w:t>Guzzetta v. State</w:t>
      </w:r>
      <w:r w:rsidR="008271FC">
        <w:rPr>
          <w:i/>
        </w:rPr>
        <w:t xml:space="preserve"> Bar, supra,</w:t>
      </w:r>
      <w:r w:rsidR="00674A5F">
        <w:t xml:space="preserve"> 43 Cal.3d </w:t>
      </w:r>
      <w:r w:rsidR="008271FC">
        <w:t xml:space="preserve">at p. </w:t>
      </w:r>
      <w:r w:rsidR="00674A5F">
        <w:t>9</w:t>
      </w:r>
      <w:r w:rsidR="00C522A8">
        <w:t>79</w:t>
      </w:r>
      <w:r w:rsidR="00674A5F">
        <w:t xml:space="preserve"> [attorney failed to perform competently by taking no action towards purpose client retained him to accomplish])</w:t>
      </w:r>
      <w:r w:rsidR="00724527">
        <w:t>.)</w:t>
      </w:r>
    </w:p>
    <w:p w:rsidR="00977DC8" w:rsidRDefault="00977DC8" w:rsidP="00496476">
      <w:pPr>
        <w:ind w:left="720"/>
        <w:rPr>
          <w:b/>
        </w:rPr>
      </w:pPr>
      <w:r>
        <w:rPr>
          <w:b/>
        </w:rPr>
        <w:t xml:space="preserve">Count 2: </w:t>
      </w:r>
      <w:r w:rsidR="00D422A1">
        <w:rPr>
          <w:b/>
        </w:rPr>
        <w:t xml:space="preserve"> </w:t>
      </w:r>
      <w:r>
        <w:rPr>
          <w:b/>
        </w:rPr>
        <w:t>Fa</w:t>
      </w:r>
      <w:r w:rsidR="009E0357">
        <w:rPr>
          <w:b/>
        </w:rPr>
        <w:t>ilure to Refund Unearned Fees (R</w:t>
      </w:r>
      <w:r>
        <w:rPr>
          <w:b/>
        </w:rPr>
        <w:t>ule 3-700(D)(2))</w:t>
      </w:r>
    </w:p>
    <w:p w:rsidR="00724527" w:rsidRPr="00724527" w:rsidRDefault="00724527" w:rsidP="00724527">
      <w:r>
        <w:rPr>
          <w:b/>
        </w:rPr>
        <w:tab/>
      </w:r>
      <w:r w:rsidR="000B693B">
        <w:t xml:space="preserve">Rule 3-700(D)(2) provides that an attorney must “promptly refund any part of a fee paid in advance that has not been earned.”  </w:t>
      </w:r>
      <w:r w:rsidR="00912737">
        <w:t>Ro</w:t>
      </w:r>
      <w:r w:rsidR="007112F3">
        <w:t>binson argues he did not fail to refund unearned fees</w:t>
      </w:r>
      <w:r w:rsidR="00912737">
        <w:t xml:space="preserve"> because the $8,000 was a non-refundable retainer fee</w:t>
      </w:r>
      <w:r w:rsidR="007112F3">
        <w:t xml:space="preserve">.  </w:t>
      </w:r>
      <w:r w:rsidR="00BD38A9">
        <w:t>However, t</w:t>
      </w:r>
      <w:r w:rsidR="007112F3">
        <w:t xml:space="preserve">he attorney-client fee </w:t>
      </w:r>
      <w:r w:rsidR="00912737">
        <w:t xml:space="preserve">contract </w:t>
      </w:r>
      <w:r w:rsidR="006A4FD7">
        <w:t>does not contain any of the elements necessary to create a true retainer fee</w:t>
      </w:r>
      <w:r w:rsidR="00BD38A9">
        <w:t>;</w:t>
      </w:r>
      <w:r w:rsidR="006A4FD7">
        <w:t xml:space="preserve"> it </w:t>
      </w:r>
      <w:r w:rsidR="00912737">
        <w:t>does not define “retainer fee,” state payment</w:t>
      </w:r>
      <w:r w:rsidR="00912737" w:rsidRPr="00912737">
        <w:t xml:space="preserve"> </w:t>
      </w:r>
      <w:r w:rsidR="00912737">
        <w:t xml:space="preserve">was due even if </w:t>
      </w:r>
      <w:r w:rsidR="00912737" w:rsidRPr="00912737">
        <w:t>pro</w:t>
      </w:r>
      <w:r w:rsidR="00912737">
        <w:t>fessional services were not rendered</w:t>
      </w:r>
      <w:r w:rsidR="00BD38A9">
        <w:t xml:space="preserve">, or set aside </w:t>
      </w:r>
      <w:r w:rsidR="006A4FD7">
        <w:t>b</w:t>
      </w:r>
      <w:r w:rsidR="007112F3">
        <w:t>locks of Robinson’s time to devote to Addison’s case</w:t>
      </w:r>
      <w:r w:rsidR="00912737">
        <w:t xml:space="preserve">.  </w:t>
      </w:r>
      <w:r w:rsidR="00BD38A9">
        <w:t>(</w:t>
      </w:r>
      <w:r w:rsidR="00BD38A9">
        <w:rPr>
          <w:i/>
        </w:rPr>
        <w:t>In the Matter of Brockway</w:t>
      </w:r>
      <w:r w:rsidR="00BD38A9">
        <w:t xml:space="preserve"> (Review Dept. 2006) 4 Cal. State Bar Ct. Rptr. 944, 950-51.)  Thus, we</w:t>
      </w:r>
      <w:r w:rsidR="00040BFC">
        <w:t xml:space="preserve"> find </w:t>
      </w:r>
      <w:r w:rsidR="007112F3">
        <w:t>the $8,000 was an advanced fee an</w:t>
      </w:r>
      <w:r w:rsidR="00B03255">
        <w:t>d not a true retainer</w:t>
      </w:r>
      <w:r w:rsidR="002B663E">
        <w:t xml:space="preserve">.  </w:t>
      </w:r>
      <w:r w:rsidR="00780716">
        <w:t xml:space="preserve">Robinson did not return the unearned fees for five years, and then </w:t>
      </w:r>
      <w:r w:rsidR="00E12055">
        <w:t xml:space="preserve">did so </w:t>
      </w:r>
      <w:r w:rsidR="00780716">
        <w:t>only after he was placed on inacti</w:t>
      </w:r>
      <w:r w:rsidR="00955FC9">
        <w:t xml:space="preserve">ve status </w:t>
      </w:r>
      <w:r w:rsidR="009E0357">
        <w:t>for failing</w:t>
      </w:r>
      <w:r w:rsidR="00955FC9">
        <w:t xml:space="preserve"> to satisfy a fee arbitration award</w:t>
      </w:r>
      <w:r w:rsidR="00780716">
        <w:t xml:space="preserve">.  </w:t>
      </w:r>
      <w:r w:rsidR="002B663E">
        <w:t xml:space="preserve">Thus, we find </w:t>
      </w:r>
      <w:r w:rsidR="007112F3">
        <w:t>Robinson violated rule 3-700(D)(2)</w:t>
      </w:r>
      <w:r w:rsidR="007112F3" w:rsidRPr="00724527">
        <w:t>.</w:t>
      </w:r>
    </w:p>
    <w:p w:rsidR="00977DC8" w:rsidRDefault="00977DC8" w:rsidP="00496476">
      <w:pPr>
        <w:ind w:left="720"/>
        <w:rPr>
          <w:b/>
        </w:rPr>
      </w:pPr>
      <w:r>
        <w:rPr>
          <w:b/>
        </w:rPr>
        <w:t xml:space="preserve">Count 3: </w:t>
      </w:r>
      <w:r w:rsidR="00D422A1">
        <w:rPr>
          <w:b/>
        </w:rPr>
        <w:t xml:space="preserve"> </w:t>
      </w:r>
      <w:r>
        <w:rPr>
          <w:b/>
        </w:rPr>
        <w:t>Failure to Pay Client Funds Promptly (</w:t>
      </w:r>
      <w:r w:rsidR="00351DD9">
        <w:rPr>
          <w:b/>
        </w:rPr>
        <w:t>R</w:t>
      </w:r>
      <w:r>
        <w:rPr>
          <w:b/>
        </w:rPr>
        <w:t xml:space="preserve">ule </w:t>
      </w:r>
      <w:r w:rsidR="002C7D49">
        <w:rPr>
          <w:b/>
        </w:rPr>
        <w:t>4-100(B)(4))</w:t>
      </w:r>
    </w:p>
    <w:p w:rsidR="00975CB3" w:rsidRPr="001900CF" w:rsidRDefault="000B693B">
      <w:pPr>
        <w:ind w:firstLine="720"/>
      </w:pPr>
      <w:r>
        <w:t>Rule 4-100(B)(4) requires prompt payment</w:t>
      </w:r>
      <w:r w:rsidR="00351DD9">
        <w:t>,</w:t>
      </w:r>
      <w:r>
        <w:t xml:space="preserve"> as requested by the client, of funds, securities or other property being held by the attorney that the client is entitled to receive.  </w:t>
      </w:r>
      <w:r w:rsidR="00572F0C">
        <w:t>Robinson failed to refund</w:t>
      </w:r>
      <w:r w:rsidR="00724527" w:rsidRPr="00F80978">
        <w:t xml:space="preserve"> </w:t>
      </w:r>
      <w:r w:rsidR="00572F0C">
        <w:t>the $500 advanced costs upon Addison’s request.  Addison was entitled to receive these funds and Robinson’</w:t>
      </w:r>
      <w:r w:rsidR="00351DD9">
        <w:t>s failure to promptly pay them as requested by</w:t>
      </w:r>
      <w:r w:rsidR="00572F0C">
        <w:t xml:space="preserve"> Addison violated rule 4-100(B)(4).  (</w:t>
      </w:r>
      <w:r w:rsidR="005A4695">
        <w:rPr>
          <w:i/>
        </w:rPr>
        <w:t>In the Matter of Lais</w:t>
      </w:r>
      <w:r w:rsidR="001900CF">
        <w:rPr>
          <w:i/>
        </w:rPr>
        <w:t xml:space="preserve"> </w:t>
      </w:r>
      <w:r w:rsidR="001900CF">
        <w:t>(Review Dept. 1998) 3</w:t>
      </w:r>
      <w:r w:rsidR="005A4695">
        <w:t xml:space="preserve"> State Bar Ct. Rptr. </w:t>
      </w:r>
      <w:r w:rsidR="001900CF">
        <w:t>907,</w:t>
      </w:r>
      <w:r w:rsidR="005A4695">
        <w:t xml:space="preserve"> 923 </w:t>
      </w:r>
      <w:r w:rsidR="00572F0C">
        <w:t>[</w:t>
      </w:r>
      <w:r w:rsidR="004C5F9A">
        <w:t>rule</w:t>
      </w:r>
      <w:r w:rsidR="008C2920">
        <w:t xml:space="preserve"> 4-100(B)(4)</w:t>
      </w:r>
      <w:r w:rsidR="004C5F9A">
        <w:t xml:space="preserve"> applies to advanced costs].)</w:t>
      </w:r>
      <w:r w:rsidR="001900CF">
        <w:t xml:space="preserve">  </w:t>
      </w:r>
    </w:p>
    <w:p w:rsidR="00E811A4" w:rsidRDefault="002C7D49" w:rsidP="00496476">
      <w:pPr>
        <w:ind w:left="720"/>
        <w:rPr>
          <w:b/>
        </w:rPr>
      </w:pPr>
      <w:r>
        <w:rPr>
          <w:b/>
        </w:rPr>
        <w:t xml:space="preserve">Count 4: </w:t>
      </w:r>
      <w:r w:rsidR="00D422A1">
        <w:rPr>
          <w:b/>
        </w:rPr>
        <w:t xml:space="preserve"> </w:t>
      </w:r>
      <w:r>
        <w:rPr>
          <w:b/>
        </w:rPr>
        <w:t xml:space="preserve">Failure to Cooperate </w:t>
      </w:r>
      <w:r w:rsidR="00D422A1">
        <w:rPr>
          <w:b/>
        </w:rPr>
        <w:t>w</w:t>
      </w:r>
      <w:r w:rsidR="00B03255">
        <w:rPr>
          <w:b/>
        </w:rPr>
        <w:t>ith</w:t>
      </w:r>
      <w:r>
        <w:rPr>
          <w:b/>
        </w:rPr>
        <w:t xml:space="preserve"> State Bar Investigation (</w:t>
      </w:r>
      <w:r w:rsidR="00351DD9">
        <w:rPr>
          <w:b/>
        </w:rPr>
        <w:t>§</w:t>
      </w:r>
      <w:r>
        <w:rPr>
          <w:b/>
        </w:rPr>
        <w:t xml:space="preserve"> 6068, subd. (i))</w:t>
      </w:r>
    </w:p>
    <w:p w:rsidR="00E811A4" w:rsidRDefault="00E811A4" w:rsidP="00E811A4">
      <w:r>
        <w:tab/>
      </w:r>
      <w:r w:rsidR="00955FC9">
        <w:t xml:space="preserve">Robinson also failed to cooperate with the State Bar’s investigation in violation </w:t>
      </w:r>
      <w:r w:rsidR="00351DD9">
        <w:t xml:space="preserve">of  </w:t>
      </w:r>
      <w:r w:rsidR="00955FC9">
        <w:t>s</w:t>
      </w:r>
      <w:r w:rsidR="000B693B">
        <w:t>ection 6068</w:t>
      </w:r>
      <w:r w:rsidR="00351DD9">
        <w:t xml:space="preserve">, subdivision </w:t>
      </w:r>
      <w:r w:rsidR="000B693B">
        <w:t>(i)</w:t>
      </w:r>
      <w:r w:rsidR="00955FC9">
        <w:t>, which</w:t>
      </w:r>
      <w:r w:rsidR="000B693B">
        <w:t xml:space="preserve"> requires an attorney to cooperate and participate in disciplinary proceedings.  </w:t>
      </w:r>
      <w:r w:rsidR="00EC6859">
        <w:t>H</w:t>
      </w:r>
      <w:r>
        <w:t xml:space="preserve">e did not respond in writing to the State Bar’s </w:t>
      </w:r>
      <w:r w:rsidR="004C5F9A">
        <w:t>October 5 and November 1,</w:t>
      </w:r>
      <w:r>
        <w:t xml:space="preserve"> 2005 letters, even though he was expressly warned that failure to do so could result in additional disciplinary action. </w:t>
      </w:r>
      <w:r w:rsidR="00D422A1">
        <w:t xml:space="preserve"> </w:t>
      </w:r>
      <w:r w:rsidRPr="006B67B2">
        <w:t>(</w:t>
      </w:r>
      <w:r w:rsidRPr="006B67B2">
        <w:rPr>
          <w:i/>
        </w:rPr>
        <w:t xml:space="preserve">In the Matter of Bach </w:t>
      </w:r>
      <w:r w:rsidRPr="006B67B2">
        <w:t>(Review Dept. 1991) 1 Cal. State Bar Ct. Rptr.</w:t>
      </w:r>
      <w:r w:rsidRPr="006B67B2">
        <w:rPr>
          <w:i/>
        </w:rPr>
        <w:t xml:space="preserve"> </w:t>
      </w:r>
      <w:r w:rsidRPr="006B67B2">
        <w:t>631</w:t>
      </w:r>
      <w:r>
        <w:t xml:space="preserve">, 644 </w:t>
      </w:r>
      <w:r w:rsidRPr="006B67B2">
        <w:t xml:space="preserve">[attorney may be found culpable of violating </w:t>
      </w:r>
      <w:r>
        <w:t>§</w:t>
      </w:r>
      <w:r w:rsidRPr="006B67B2">
        <w:t xml:space="preserve"> 6068, subd</w:t>
      </w:r>
      <w:r>
        <w:t>.</w:t>
      </w:r>
      <w:r w:rsidRPr="006B67B2">
        <w:t xml:space="preserve"> (i), </w:t>
      </w:r>
      <w:r>
        <w:t>for</w:t>
      </w:r>
      <w:r w:rsidRPr="006B67B2">
        <w:t xml:space="preserve"> failing to respond to State Bar investigator’s letter, even if attorney later appears and fully participates in formal disciplinary proceeding].)</w:t>
      </w:r>
    </w:p>
    <w:p w:rsidR="002C7D49" w:rsidRDefault="002C7D49" w:rsidP="00496476">
      <w:pPr>
        <w:ind w:left="720"/>
        <w:rPr>
          <w:b/>
        </w:rPr>
      </w:pPr>
      <w:r>
        <w:rPr>
          <w:b/>
        </w:rPr>
        <w:t xml:space="preserve">Count 5: </w:t>
      </w:r>
      <w:r w:rsidR="006A4FD7">
        <w:rPr>
          <w:b/>
        </w:rPr>
        <w:t xml:space="preserve"> </w:t>
      </w:r>
      <w:r w:rsidR="00351DD9">
        <w:rPr>
          <w:b/>
        </w:rPr>
        <w:t>Failure to Comply with ALD (§</w:t>
      </w:r>
      <w:r>
        <w:rPr>
          <w:b/>
        </w:rPr>
        <w:t xml:space="preserve"> 6068, subd. (l))</w:t>
      </w:r>
    </w:p>
    <w:p w:rsidR="00EC6859" w:rsidRDefault="000B693B" w:rsidP="00272C7A">
      <w:pPr>
        <w:ind w:firstLine="720"/>
      </w:pPr>
      <w:r w:rsidRPr="00D422A1">
        <w:t>Section 6068</w:t>
      </w:r>
      <w:r w:rsidR="00351DD9">
        <w:t xml:space="preserve">, subdivision </w:t>
      </w:r>
      <w:r w:rsidRPr="00D422A1">
        <w:t>(</w:t>
      </w:r>
      <w:r w:rsidR="00255F1F" w:rsidRPr="00D422A1">
        <w:t>l</w:t>
      </w:r>
      <w:r w:rsidRPr="00D422A1">
        <w:t>) requires an attorney to keep all agreements mad</w:t>
      </w:r>
      <w:r w:rsidR="00255F1F" w:rsidRPr="00D422A1">
        <w:t>e</w:t>
      </w:r>
      <w:r w:rsidRPr="00D422A1">
        <w:t xml:space="preserve"> in an ALD.</w:t>
      </w:r>
      <w:r>
        <w:rPr>
          <w:color w:val="365F91" w:themeColor="accent1" w:themeShade="BF"/>
        </w:rPr>
        <w:t xml:space="preserve">  </w:t>
      </w:r>
      <w:r w:rsidR="00EC6859">
        <w:t>Robinson concedes</w:t>
      </w:r>
      <w:r w:rsidR="009151A1">
        <w:t>, and the record supports,</w:t>
      </w:r>
      <w:r w:rsidR="00EC6859">
        <w:t xml:space="preserve"> culpability for failing to comply with</w:t>
      </w:r>
      <w:r w:rsidR="009151A1">
        <w:t xml:space="preserve"> the conditions of </w:t>
      </w:r>
      <w:r w:rsidR="00C24FE2">
        <w:t>his</w:t>
      </w:r>
      <w:r w:rsidR="009151A1">
        <w:t xml:space="preserve"> ALD</w:t>
      </w:r>
      <w:r w:rsidR="00D422A1">
        <w:t>,</w:t>
      </w:r>
      <w:r w:rsidR="00496476">
        <w:t xml:space="preserve"> </w:t>
      </w:r>
      <w:r w:rsidR="00C24FE2">
        <w:t xml:space="preserve">including repeatedly filing quarterly reports late and attending ethics school almost two months late.  </w:t>
      </w:r>
    </w:p>
    <w:p w:rsidR="008E262A" w:rsidRPr="008E262A" w:rsidRDefault="00351DD9" w:rsidP="00351DD9">
      <w:pPr>
        <w:pStyle w:val="ListParagraph"/>
        <w:ind w:left="0"/>
        <w:rPr>
          <w:b/>
        </w:rPr>
      </w:pPr>
      <w:r>
        <w:rPr>
          <w:b/>
        </w:rPr>
        <w:t>D.</w:t>
      </w:r>
      <w:r>
        <w:rPr>
          <w:b/>
        </w:rPr>
        <w:tab/>
      </w:r>
      <w:r w:rsidR="008E262A" w:rsidRPr="008E262A">
        <w:rPr>
          <w:b/>
        </w:rPr>
        <w:t>AGGRAVATION AND MITIGATION</w:t>
      </w:r>
    </w:p>
    <w:p w:rsidR="00351DD9" w:rsidRDefault="008E262A" w:rsidP="00351DD9">
      <w:r>
        <w:rPr>
          <w:b/>
        </w:rPr>
        <w:tab/>
      </w:r>
      <w:r w:rsidRPr="006B67B2">
        <w:t>We determine the appropriate discipline in light of all relevant circumstances, including</w:t>
      </w:r>
      <w:r w:rsidRPr="00156F3D">
        <w:t xml:space="preserve"> </w:t>
      </w:r>
      <w:r w:rsidRPr="006B67B2">
        <w:t>aggravat</w:t>
      </w:r>
      <w:r>
        <w:t>ion and</w:t>
      </w:r>
      <w:r w:rsidRPr="006B67B2">
        <w:t xml:space="preserve"> mitigati</w:t>
      </w:r>
      <w:r>
        <w:t xml:space="preserve">on.  </w:t>
      </w:r>
      <w:r w:rsidRPr="006B67B2">
        <w:t>(</w:t>
      </w:r>
      <w:r w:rsidRPr="006B67B2">
        <w:rPr>
          <w:i/>
        </w:rPr>
        <w:t>Gary v. State Bar</w:t>
      </w:r>
      <w:r w:rsidRPr="006B67B2">
        <w:t xml:space="preserve"> (1988) 44 Cal.3d 820, 828.)  </w:t>
      </w:r>
      <w:r>
        <w:t>T</w:t>
      </w:r>
      <w:r w:rsidRPr="006B67B2">
        <w:t>he State Bar must establish</w:t>
      </w:r>
      <w:r w:rsidRPr="00156F3D">
        <w:t xml:space="preserve"> </w:t>
      </w:r>
      <w:r>
        <w:t>aggravation</w:t>
      </w:r>
      <w:r w:rsidRPr="006B67B2">
        <w:t xml:space="preserve"> by clear and convincing evidence (</w:t>
      </w:r>
      <w:r>
        <w:t>std. 1.2(b))</w:t>
      </w:r>
      <w:r w:rsidRPr="006B67B2">
        <w:t>, while</w:t>
      </w:r>
      <w:r w:rsidRPr="00ED0797">
        <w:t xml:space="preserve"> </w:t>
      </w:r>
      <w:r>
        <w:t>Robinson</w:t>
      </w:r>
      <w:r w:rsidRPr="006B67B2">
        <w:t xml:space="preserve"> has the same burden of proof for mitigati</w:t>
      </w:r>
      <w:r>
        <w:t>ng</w:t>
      </w:r>
      <w:r w:rsidRPr="006B67B2">
        <w:t xml:space="preserve"> </w:t>
      </w:r>
      <w:r>
        <w:t>circumstances.  (Std. 1.2(e</w:t>
      </w:r>
      <w:r w:rsidRPr="006B67B2">
        <w:t>).)</w:t>
      </w:r>
    </w:p>
    <w:p w:rsidR="00F74E3D" w:rsidRPr="00351DD9" w:rsidRDefault="00351DD9" w:rsidP="00351DD9">
      <w:r>
        <w:rPr>
          <w:b/>
        </w:rPr>
        <w:tab/>
        <w:t>1.</w:t>
      </w:r>
      <w:r>
        <w:rPr>
          <w:b/>
        </w:rPr>
        <w:tab/>
      </w:r>
      <w:r w:rsidR="00F74E3D" w:rsidRPr="00351DD9">
        <w:rPr>
          <w:b/>
        </w:rPr>
        <w:t>Mitigation</w:t>
      </w:r>
      <w:r w:rsidR="00937291" w:rsidRPr="00351DD9">
        <w:rPr>
          <w:b/>
        </w:rPr>
        <w:t xml:space="preserve"> for Stipulation</w:t>
      </w:r>
    </w:p>
    <w:p w:rsidR="00351DD9" w:rsidRDefault="00F74E3D" w:rsidP="00351DD9">
      <w:r>
        <w:tab/>
      </w:r>
      <w:r w:rsidR="00937291">
        <w:t xml:space="preserve">Although the hearing judge found no factors in mitigation, we give Robinson </w:t>
      </w:r>
      <w:r w:rsidR="00272C7A">
        <w:t>minimal</w:t>
      </w:r>
      <w:r w:rsidR="00937291">
        <w:t xml:space="preserve"> mitigating credit for entering into a partial </w:t>
      </w:r>
      <w:r w:rsidR="00C24FE2">
        <w:t xml:space="preserve">pre-trial </w:t>
      </w:r>
      <w:r w:rsidR="00937291">
        <w:t>stipulation with the State Bar</w:t>
      </w:r>
      <w:r w:rsidR="000132B7">
        <w:t xml:space="preserve">, but </w:t>
      </w:r>
      <w:r w:rsidR="00351DD9">
        <w:t xml:space="preserve">we </w:t>
      </w:r>
      <w:r w:rsidR="000132B7">
        <w:t xml:space="preserve">discount this factor </w:t>
      </w:r>
      <w:r w:rsidR="006A4FD7">
        <w:t>since he failed</w:t>
      </w:r>
      <w:r w:rsidR="000132B7">
        <w:t xml:space="preserve"> to </w:t>
      </w:r>
      <w:r>
        <w:t>cooperate with the investigation</w:t>
      </w:r>
      <w:r w:rsidR="000132B7">
        <w:t xml:space="preserve">.  Further, </w:t>
      </w:r>
      <w:r w:rsidR="00955FC9">
        <w:t xml:space="preserve">in light of his </w:t>
      </w:r>
      <w:r w:rsidR="000132B7">
        <w:t xml:space="preserve">overall </w:t>
      </w:r>
      <w:r w:rsidR="00272C7A">
        <w:t>lack</w:t>
      </w:r>
      <w:r w:rsidR="00955FC9">
        <w:t xml:space="preserve"> of</w:t>
      </w:r>
      <w:r w:rsidR="00272C7A">
        <w:t xml:space="preserve"> credibility</w:t>
      </w:r>
      <w:r w:rsidR="000132B7">
        <w:t xml:space="preserve">, </w:t>
      </w:r>
      <w:r w:rsidR="00C24FE2">
        <w:t xml:space="preserve">we do not assign mitigation for </w:t>
      </w:r>
      <w:r w:rsidR="00955FC9">
        <w:t>Robinson’s</w:t>
      </w:r>
      <w:r>
        <w:t xml:space="preserve"> vague and self-serving testimony about pro bono work for members of his church</w:t>
      </w:r>
      <w:r w:rsidR="00C24FE2">
        <w:t>.</w:t>
      </w:r>
    </w:p>
    <w:p w:rsidR="006C6C4E" w:rsidRPr="00351DD9" w:rsidRDefault="00351DD9" w:rsidP="00351DD9">
      <w:r>
        <w:rPr>
          <w:b/>
        </w:rPr>
        <w:tab/>
        <w:t>2.</w:t>
      </w:r>
      <w:r>
        <w:rPr>
          <w:b/>
        </w:rPr>
        <w:tab/>
      </w:r>
      <w:r w:rsidR="006C6C4E">
        <w:rPr>
          <w:b/>
        </w:rPr>
        <w:t>Four</w:t>
      </w:r>
      <w:r w:rsidR="008A5CDD" w:rsidRPr="00F74E3D">
        <w:rPr>
          <w:b/>
        </w:rPr>
        <w:t xml:space="preserve"> Factors in </w:t>
      </w:r>
      <w:r w:rsidR="008E262A" w:rsidRPr="00F74E3D">
        <w:rPr>
          <w:b/>
        </w:rPr>
        <w:t>Aggravation</w:t>
      </w:r>
    </w:p>
    <w:p w:rsidR="002135E8" w:rsidRPr="00496476" w:rsidRDefault="002135E8" w:rsidP="000132B7">
      <w:pPr>
        <w:pStyle w:val="ListParagraph"/>
        <w:ind w:left="0" w:firstLine="720"/>
        <w:rPr>
          <w:color w:val="365F91" w:themeColor="accent1" w:themeShade="BF"/>
        </w:rPr>
      </w:pPr>
      <w:r>
        <w:t xml:space="preserve">We agree with the hearing judge that there are four factors in aggravation:  (1) a prior record of misconduct (std. 1.2(b)(i)); (2) multiple acts of wrongdoing (std. 1.2(b)(ii)); </w:t>
      </w:r>
      <w:r w:rsidR="000132B7">
        <w:t xml:space="preserve">              (</w:t>
      </w:r>
      <w:r>
        <w:t>3) misconduct that significantly harmed Addison by depriving him of $8,500 for almost five years and unjustifiably forcing Addison to seek arbitration to obtain his refund (std. 1.2</w:t>
      </w:r>
      <w:r w:rsidR="006A4FD7">
        <w:t>(b)</w:t>
      </w:r>
      <w:r>
        <w:t>(iv)); and</w:t>
      </w:r>
      <w:r w:rsidR="006A4FD7">
        <w:t xml:space="preserve">; </w:t>
      </w:r>
      <w:r>
        <w:t>(4) indifference toward rectification of or atonement for the consequences of his misconduct</w:t>
      </w:r>
      <w:r w:rsidR="00BD38A9">
        <w:t xml:space="preserve"> (std. 1.2(b)(v))</w:t>
      </w:r>
      <w:r>
        <w:t xml:space="preserve">.  </w:t>
      </w:r>
    </w:p>
    <w:p w:rsidR="006C6C4E" w:rsidRPr="002135E8" w:rsidRDefault="002135E8" w:rsidP="002135E8">
      <w:pPr>
        <w:pStyle w:val="ListParagraph"/>
        <w:ind w:left="0"/>
        <w:rPr>
          <w:b/>
        </w:rPr>
      </w:pPr>
      <w:r>
        <w:tab/>
        <w:t>W</w:t>
      </w:r>
      <w:r w:rsidR="00B03255">
        <w:t>e find most significant</w:t>
      </w:r>
      <w:r w:rsidR="00EC6859">
        <w:t xml:space="preserve"> Robinson’s prior record of discipline</w:t>
      </w:r>
      <w:r w:rsidR="00B03255">
        <w:t>, which contains similarities to his misconduct in the Addison matter</w:t>
      </w:r>
      <w:r w:rsidR="00EC6859">
        <w:t xml:space="preserve">.  In October 1998, the Supreme Court ordered </w:t>
      </w:r>
      <w:r w:rsidR="006A4FD7">
        <w:t>a</w:t>
      </w:r>
      <w:r w:rsidR="00EC6859">
        <w:t xml:space="preserve"> 60-day actual suspension based on Robinson’s misconduct in one client matter.  Robinson had accepted $2,500 in advanced fees in an employment discrimination case.  After prevailing on the claim, he filed an application for attorney’s fees without the client’s knowledge.  Robinson was awarded over $9,000 in fees based on his false statements that the client had agreed to an hourly billing rate</w:t>
      </w:r>
      <w:r w:rsidR="005B7548">
        <w:t xml:space="preserve">, but did </w:t>
      </w:r>
      <w:r w:rsidR="00EC6859">
        <w:t>not inform the client of that award</w:t>
      </w:r>
      <w:r w:rsidR="005B7548">
        <w:t>.  A</w:t>
      </w:r>
      <w:r w:rsidR="00EC6859">
        <w:t>fter the client won a small claims action to recover the $2,500, Robinson initiated a small claims action against the client for alleged additional fees</w:t>
      </w:r>
      <w:r w:rsidR="00BD38A9">
        <w:t xml:space="preserve">, </w:t>
      </w:r>
      <w:r w:rsidR="00B6018F">
        <w:t xml:space="preserve">which </w:t>
      </w:r>
      <w:r w:rsidR="00BD38A9">
        <w:t xml:space="preserve">action </w:t>
      </w:r>
      <w:r w:rsidR="00B6018F">
        <w:t xml:space="preserve">was </w:t>
      </w:r>
      <w:r w:rsidR="00BD38A9">
        <w:t>un</w:t>
      </w:r>
      <w:r w:rsidR="00B6018F">
        <w:t>successful</w:t>
      </w:r>
      <w:r w:rsidR="00EC6859">
        <w:t>.</w:t>
      </w:r>
    </w:p>
    <w:p w:rsidR="00B6018F" w:rsidRDefault="006C6C4E" w:rsidP="006C6C4E">
      <w:r>
        <w:tab/>
      </w:r>
      <w:r w:rsidR="00B6018F">
        <w:t>Robinson committed multiple acts of misconduct.  He</w:t>
      </w:r>
      <w:r w:rsidR="00EC6859">
        <w:t xml:space="preserve"> failed to properly account to his client (rule 4-100(B)(3)), failed to refund unearned fees (rule 3-700(D)(2)), brought an unjust action against his client (</w:t>
      </w:r>
      <w:r w:rsidR="005B7548">
        <w:t>§</w:t>
      </w:r>
      <w:r w:rsidR="00EC6859">
        <w:t xml:space="preserve"> 6068, subd. (c)), and committed uncharged misconduct of failing to use means consistent with the truth (</w:t>
      </w:r>
      <w:r w:rsidR="005B7548">
        <w:t>§</w:t>
      </w:r>
      <w:r w:rsidR="00EC6859">
        <w:t xml:space="preserve"> 6068, subd. (d))</w:t>
      </w:r>
      <w:r w:rsidR="000132B7">
        <w:t>,</w:t>
      </w:r>
      <w:r w:rsidR="00EC6859">
        <w:t xml:space="preserve"> and moral turpitude (</w:t>
      </w:r>
      <w:r w:rsidR="005B7548">
        <w:t>§</w:t>
      </w:r>
      <w:r w:rsidR="00EC6859">
        <w:t xml:space="preserve"> 6106) for his false statements in obtaining the attorney’s fee award.  </w:t>
      </w:r>
    </w:p>
    <w:p w:rsidR="003E186A" w:rsidRDefault="00B6018F" w:rsidP="00B6018F">
      <w:pPr>
        <w:ind w:firstLine="720"/>
      </w:pPr>
      <w:r>
        <w:t xml:space="preserve">Robinson also </w:t>
      </w:r>
      <w:r w:rsidR="00EC6859">
        <w:t xml:space="preserve">failed to cooperate in the disciplinary investigation.  </w:t>
      </w:r>
      <w:r w:rsidR="005B7548">
        <w:t>He s</w:t>
      </w:r>
      <w:r w:rsidR="00EC6859">
        <w:t>eriously aggravat</w:t>
      </w:r>
      <w:r w:rsidR="005B7548">
        <w:t>ed his</w:t>
      </w:r>
      <w:r w:rsidR="00EC6859">
        <w:t xml:space="preserve"> misconduct</w:t>
      </w:r>
      <w:r w:rsidR="005B7548">
        <w:t xml:space="preserve"> by</w:t>
      </w:r>
      <w:r w:rsidR="00EC6859">
        <w:t xml:space="preserve"> his continued intractable position after the judgments in three civil court proceedings and the decision of the hearing judge, which showed a failure to gain meaningful insight into his misconduct.</w:t>
      </w:r>
    </w:p>
    <w:p w:rsidR="008A5CDD" w:rsidRDefault="006C6C4E" w:rsidP="006C6C4E">
      <w:r>
        <w:tab/>
      </w:r>
      <w:r w:rsidR="002135E8">
        <w:t>Robinson</w:t>
      </w:r>
      <w:r w:rsidR="00272C7A">
        <w:t xml:space="preserve"> has displayed </w:t>
      </w:r>
      <w:r w:rsidR="001866F3">
        <w:t>indifference toward rectification of or atonement for the consequences of his misconduct</w:t>
      </w:r>
      <w:r w:rsidR="000132B7">
        <w:t xml:space="preserve"> in the current proceeding as well</w:t>
      </w:r>
      <w:r w:rsidR="00272C7A">
        <w:t>.</w:t>
      </w:r>
      <w:r w:rsidR="001866F3">
        <w:t xml:space="preserve">  He </w:t>
      </w:r>
      <w:r w:rsidR="00272C7A">
        <w:t>blamed</w:t>
      </w:r>
      <w:r w:rsidR="000132B7">
        <w:t xml:space="preserve"> </w:t>
      </w:r>
      <w:r w:rsidR="001866F3">
        <w:t>Addison for his misconduct thr</w:t>
      </w:r>
      <w:r w:rsidR="00270B27">
        <w:t xml:space="preserve">oughout </w:t>
      </w:r>
      <w:r w:rsidR="00493545">
        <w:t xml:space="preserve">the </w:t>
      </w:r>
      <w:r w:rsidR="00270B27">
        <w:t>disciplinary proceedings.  He also raises on review the untenable contention that he was not required to retain the $3,</w:t>
      </w:r>
      <w:r w:rsidR="002135E8">
        <w:t>582</w:t>
      </w:r>
      <w:r w:rsidR="00270B27">
        <w:t xml:space="preserve"> in the CTA because Mundy’s claim expired when he served her the </w:t>
      </w:r>
      <w:r w:rsidR="00493545">
        <w:t xml:space="preserve">rejection </w:t>
      </w:r>
      <w:r w:rsidR="00270B27">
        <w:t>notice</w:t>
      </w:r>
      <w:r w:rsidR="00272C7A">
        <w:t xml:space="preserve">.  This is </w:t>
      </w:r>
      <w:r w:rsidR="00270B27">
        <w:t xml:space="preserve">contrary </w:t>
      </w:r>
      <w:r w:rsidR="00272C7A">
        <w:t xml:space="preserve">to the </w:t>
      </w:r>
      <w:r w:rsidR="00270B27">
        <w:t xml:space="preserve">stipulated facts, </w:t>
      </w:r>
      <w:r w:rsidR="00272C7A">
        <w:t xml:space="preserve">Robinson’s </w:t>
      </w:r>
      <w:r w:rsidR="00B74578">
        <w:t xml:space="preserve">testimony </w:t>
      </w:r>
      <w:r w:rsidR="00270B27">
        <w:t xml:space="preserve">at the trial, and the plain language of </w:t>
      </w:r>
      <w:r w:rsidR="005B7548">
        <w:t xml:space="preserve">the </w:t>
      </w:r>
      <w:r w:rsidR="00270B27">
        <w:t xml:space="preserve">Probate Code.  </w:t>
      </w:r>
      <w:r w:rsidR="00007F76">
        <w:t xml:space="preserve">His continued insistence that </w:t>
      </w:r>
      <w:r w:rsidR="002135E8">
        <w:t xml:space="preserve">his </w:t>
      </w:r>
      <w:r w:rsidR="00007F76">
        <w:t xml:space="preserve">conduct was justified is “particularly troubling” because it suggests his conduct may recur. </w:t>
      </w:r>
      <w:r w:rsidR="002135E8">
        <w:t xml:space="preserve"> </w:t>
      </w:r>
      <w:r w:rsidR="00007F76">
        <w:t>(</w:t>
      </w:r>
      <w:r w:rsidR="00007F76">
        <w:rPr>
          <w:i/>
        </w:rPr>
        <w:t>In the Matter of Davis</w:t>
      </w:r>
      <w:r w:rsidR="00007F76">
        <w:t xml:space="preserve"> (Review Dept. 2003) 4 Cal. State Bar Ct. Rptr. 576, </w:t>
      </w:r>
      <w:r w:rsidR="00B03255">
        <w:t>595</w:t>
      </w:r>
      <w:r w:rsidR="00007F76">
        <w:t>.)</w:t>
      </w:r>
    </w:p>
    <w:p w:rsidR="00B853FE" w:rsidRPr="00B853FE" w:rsidRDefault="005B7548" w:rsidP="007C4B33">
      <w:pPr>
        <w:pStyle w:val="ListParagraph"/>
        <w:ind w:left="0"/>
        <w:jc w:val="center"/>
        <w:rPr>
          <w:b/>
        </w:rPr>
      </w:pPr>
      <w:r>
        <w:rPr>
          <w:b/>
        </w:rPr>
        <w:t xml:space="preserve">II.  </w:t>
      </w:r>
      <w:r w:rsidR="00063C0C">
        <w:rPr>
          <w:b/>
        </w:rPr>
        <w:t>DISCIPLINE DISCUSSION</w:t>
      </w:r>
    </w:p>
    <w:p w:rsidR="00002FD9" w:rsidRDefault="00027585" w:rsidP="00002FD9">
      <w:pPr>
        <w:pStyle w:val="Default"/>
        <w:spacing w:line="480" w:lineRule="auto"/>
        <w:ind w:firstLine="720"/>
      </w:pPr>
      <w:r>
        <w:t xml:space="preserve">The purpose of </w:t>
      </w:r>
      <w:r w:rsidR="00B853FE" w:rsidRPr="006A1E92">
        <w:t xml:space="preserve">discipline is not to punish the attorney, but to protect the public, the courts and the legal profession, to preserve public confidence in the profession and to maintain high standards for attorneys. </w:t>
      </w:r>
      <w:r w:rsidR="00B853FE">
        <w:t xml:space="preserve"> </w:t>
      </w:r>
      <w:r w:rsidR="00B853FE" w:rsidRPr="006A1E92">
        <w:t xml:space="preserve">(Std. 1.3.) </w:t>
      </w:r>
      <w:r w:rsidR="00B853FE">
        <w:t xml:space="preserve"> </w:t>
      </w:r>
      <w:r w:rsidR="004B4B22">
        <w:t>In determining the appropriate discipline</w:t>
      </w:r>
      <w:r w:rsidR="00B853FE" w:rsidRPr="006A1E92">
        <w:t>, we balance all relevant factors, including mitigating and aggravating circumstances, on a case-by-case basis to ensure that the discipline imposed is consistent with its purpose.</w:t>
      </w:r>
      <w:r w:rsidR="00B853FE">
        <w:t xml:space="preserve"> </w:t>
      </w:r>
      <w:r w:rsidR="00B853FE" w:rsidRPr="006A1E92">
        <w:t xml:space="preserve"> (</w:t>
      </w:r>
      <w:r w:rsidR="00B853FE" w:rsidRPr="006A1E92">
        <w:rPr>
          <w:i/>
          <w:iCs/>
        </w:rPr>
        <w:t xml:space="preserve">In re Young </w:t>
      </w:r>
      <w:r w:rsidR="00B853FE" w:rsidRPr="006A1E92">
        <w:t>(1989) 49 Cal.3</w:t>
      </w:r>
      <w:r w:rsidR="00B853FE">
        <w:t>d</w:t>
      </w:r>
      <w:r w:rsidR="00B853FE" w:rsidRPr="006A1E92">
        <w:t xml:space="preserve"> 257, 266.)</w:t>
      </w:r>
    </w:p>
    <w:p w:rsidR="00780716" w:rsidRDefault="00B853FE" w:rsidP="00002FD9">
      <w:pPr>
        <w:pStyle w:val="Default"/>
        <w:spacing w:line="480" w:lineRule="auto"/>
        <w:ind w:firstLine="720"/>
      </w:pPr>
      <w:r w:rsidRPr="006A1E92">
        <w:t xml:space="preserve">Our </w:t>
      </w:r>
      <w:r>
        <w:t xml:space="preserve">discipline </w:t>
      </w:r>
      <w:r w:rsidRPr="006A1E92">
        <w:t>analysis begins with the standards.</w:t>
      </w:r>
      <w:r w:rsidR="009305BB">
        <w:t xml:space="preserve">  Although they are not mandatory, the</w:t>
      </w:r>
      <w:r w:rsidRPr="006A1E92">
        <w:t xml:space="preserve"> Supreme Court has instructed </w:t>
      </w:r>
      <w:r>
        <w:t xml:space="preserve">us to </w:t>
      </w:r>
      <w:r w:rsidR="009305BB">
        <w:t>follow the standards</w:t>
      </w:r>
      <w:r w:rsidRPr="006A1E92">
        <w:t xml:space="preserve"> “whenever possible”</w:t>
      </w:r>
      <w:r>
        <w:t xml:space="preserve"> </w:t>
      </w:r>
      <w:r w:rsidRPr="006A1E92">
        <w:t>(</w:t>
      </w:r>
      <w:r w:rsidRPr="006A1E92">
        <w:rPr>
          <w:i/>
          <w:iCs/>
        </w:rPr>
        <w:t xml:space="preserve">In re Young, supra, </w:t>
      </w:r>
      <w:r w:rsidRPr="006A1E92">
        <w:t>49 Cal.3d at p. 267, fn. 11)</w:t>
      </w:r>
      <w:r w:rsidR="009305BB">
        <w:t xml:space="preserve"> to ensure the consistent and uniform discipline of attorneys.</w:t>
      </w:r>
      <w:r w:rsidRPr="006A1E92">
        <w:t xml:space="preserve"> (</w:t>
      </w:r>
      <w:r w:rsidRPr="006A1E92">
        <w:rPr>
          <w:i/>
          <w:iCs/>
        </w:rPr>
        <w:t>In re</w:t>
      </w:r>
      <w:r>
        <w:rPr>
          <w:i/>
          <w:iCs/>
        </w:rPr>
        <w:t xml:space="preserve"> </w:t>
      </w:r>
      <w:r w:rsidRPr="006A1E92">
        <w:rPr>
          <w:i/>
          <w:iCs/>
        </w:rPr>
        <w:t xml:space="preserve">Silverton </w:t>
      </w:r>
      <w:r w:rsidRPr="006A1E92">
        <w:t>(2005) 36 Cal.4th 81, 91.)</w:t>
      </w:r>
      <w:r w:rsidR="00002FD9">
        <w:t xml:space="preserve">  </w:t>
      </w:r>
      <w:r w:rsidR="000A2740">
        <w:t>Several standards apply here, under which the appropriate discipline for Rob</w:t>
      </w:r>
      <w:r w:rsidR="00027585">
        <w:t xml:space="preserve">inson’s </w:t>
      </w:r>
      <w:r w:rsidR="000A2740">
        <w:t xml:space="preserve">misconduct </w:t>
      </w:r>
      <w:r w:rsidR="00955FC9">
        <w:t>range</w:t>
      </w:r>
      <w:r w:rsidR="000A2740">
        <w:t>s</w:t>
      </w:r>
      <w:r w:rsidR="00955FC9">
        <w:t xml:space="preserve"> </w:t>
      </w:r>
      <w:r w:rsidR="009305BB">
        <w:t>from a three-month actual suspension to disbarment.</w:t>
      </w:r>
      <w:r w:rsidR="0003312D">
        <w:rPr>
          <w:rStyle w:val="FootnoteReference"/>
        </w:rPr>
        <w:footnoteReference w:id="6"/>
      </w:r>
    </w:p>
    <w:p w:rsidR="00780716" w:rsidRDefault="000A2740" w:rsidP="00002FD9">
      <w:pPr>
        <w:pStyle w:val="Default"/>
        <w:spacing w:line="480" w:lineRule="auto"/>
        <w:ind w:firstLine="720"/>
      </w:pPr>
      <w:r>
        <w:t xml:space="preserve">Standard 2.2(a) provides for the most severe sanction, suggesting </w:t>
      </w:r>
      <w:r w:rsidR="00674A5F">
        <w:t>disbarment for willful misappropriation unless “the most compelling mitigating circumstances clearly predominate,” in which case a one-year actual suspension is warranted</w:t>
      </w:r>
      <w:r w:rsidR="0000160B">
        <w:t xml:space="preserve">.  </w:t>
      </w:r>
      <w:r w:rsidR="00780716">
        <w:t>However, t</w:t>
      </w:r>
      <w:r w:rsidR="00780716" w:rsidRPr="002B4E3F">
        <w:t xml:space="preserve">he Supreme Court has noted that in </w:t>
      </w:r>
      <w:r w:rsidR="00780716">
        <w:t xml:space="preserve">considering the application of </w:t>
      </w:r>
      <w:r w:rsidR="00955FC9">
        <w:t xml:space="preserve">this </w:t>
      </w:r>
      <w:r w:rsidR="00780716">
        <w:t xml:space="preserve">standard, the suggested discipline of disbarment, or </w:t>
      </w:r>
      <w:r w:rsidR="00780716" w:rsidRPr="002B4E3F">
        <w:t>even the imposition of a one-year suspension</w:t>
      </w:r>
      <w:r w:rsidR="00780716">
        <w:t>,</w:t>
      </w:r>
      <w:r w:rsidR="00780716" w:rsidRPr="002B4E3F">
        <w:t xml:space="preserve"> is not faithful to the teachings of its decisions.</w:t>
      </w:r>
      <w:r w:rsidR="00780716">
        <w:t xml:space="preserve"> </w:t>
      </w:r>
      <w:r w:rsidR="00780716" w:rsidRPr="002B4E3F">
        <w:t xml:space="preserve"> </w:t>
      </w:r>
      <w:r w:rsidR="00780716">
        <w:t>(</w:t>
      </w:r>
      <w:r w:rsidR="00780716" w:rsidRPr="00425C14">
        <w:rPr>
          <w:i/>
        </w:rPr>
        <w:t>Kelly v. State Bar</w:t>
      </w:r>
      <w:r w:rsidR="00780716">
        <w:rPr>
          <w:i/>
        </w:rPr>
        <w:t xml:space="preserve"> </w:t>
      </w:r>
      <w:r w:rsidR="00780716" w:rsidRPr="00425C14">
        <w:t>(1991) 53 Cal.3d 509</w:t>
      </w:r>
      <w:r w:rsidR="00780716">
        <w:t>,</w:t>
      </w:r>
      <w:r w:rsidR="00780716" w:rsidRPr="002B4E3F">
        <w:t xml:space="preserve"> 518.) </w:t>
      </w:r>
      <w:r w:rsidR="00780716">
        <w:t xml:space="preserve"> Moreover, “</w:t>
      </w:r>
      <w:r w:rsidR="00780716" w:rsidRPr="002B4E3F">
        <w:t>the term w</w:t>
      </w:r>
      <w:r w:rsidR="00780716">
        <w:t>illful misappropriation covers ‘</w:t>
      </w:r>
      <w:r w:rsidR="00780716" w:rsidRPr="002B4E3F">
        <w:t>a broad range of conduct varying significantly in the degree of</w:t>
      </w:r>
      <w:r w:rsidR="00780716">
        <w:t xml:space="preserve"> culpability.’</w:t>
      </w:r>
      <w:r w:rsidR="00780716" w:rsidRPr="002B4E3F">
        <w:t xml:space="preserve"> [Citati</w:t>
      </w:r>
      <w:r w:rsidR="00780716">
        <w:t xml:space="preserve">on.]” </w:t>
      </w:r>
      <w:r w:rsidR="00780716" w:rsidRPr="002B4E3F">
        <w:t xml:space="preserve"> </w:t>
      </w:r>
      <w:r w:rsidR="00780716">
        <w:t>(</w:t>
      </w:r>
      <w:r w:rsidR="00780716">
        <w:rPr>
          <w:i/>
        </w:rPr>
        <w:t>Ibid.</w:t>
      </w:r>
      <w:r w:rsidR="00780716">
        <w:t>)</w:t>
      </w:r>
      <w:r w:rsidR="00780716" w:rsidRPr="002B4E3F">
        <w:rPr>
          <w:i/>
        </w:rPr>
        <w:t xml:space="preserve"> </w:t>
      </w:r>
      <w:r w:rsidR="00780716">
        <w:rPr>
          <w:i/>
        </w:rPr>
        <w:t xml:space="preserve"> </w:t>
      </w:r>
      <w:r w:rsidR="00780716" w:rsidRPr="002B4E3F">
        <w:t xml:space="preserve">In cases </w:t>
      </w:r>
      <w:r w:rsidR="00780716">
        <w:t>where the misappropriation is “willful”</w:t>
      </w:r>
      <w:r w:rsidR="00780716" w:rsidRPr="002B4E3F">
        <w:t xml:space="preserve"> </w:t>
      </w:r>
      <w:r w:rsidR="00780716">
        <w:t xml:space="preserve">but where only one client has been harmed, </w:t>
      </w:r>
      <w:r w:rsidR="00780716" w:rsidRPr="002B4E3F">
        <w:t>disbarment is rarely appropriate</w:t>
      </w:r>
      <w:r w:rsidR="00780716">
        <w:t>.</w:t>
      </w:r>
      <w:r w:rsidR="00780716" w:rsidRPr="002B4E3F">
        <w:t xml:space="preserve"> </w:t>
      </w:r>
      <w:r w:rsidR="00780716">
        <w:t xml:space="preserve"> (</w:t>
      </w:r>
      <w:r w:rsidR="00780716" w:rsidRPr="002B4E3F">
        <w:rPr>
          <w:i/>
        </w:rPr>
        <w:t xml:space="preserve">Edwards v. State Bar </w:t>
      </w:r>
      <w:r w:rsidR="00780716" w:rsidRPr="002B4E3F">
        <w:t>(1990) 52 Ca1.3d 28, 38</w:t>
      </w:r>
      <w:r w:rsidR="00780716">
        <w:t>.</w:t>
      </w:r>
      <w:r w:rsidR="00780716" w:rsidRPr="002B4E3F">
        <w:t>)</w:t>
      </w:r>
      <w:r w:rsidR="00780716">
        <w:t xml:space="preserve">  </w:t>
      </w:r>
    </w:p>
    <w:p w:rsidR="00027585" w:rsidRDefault="0021162F" w:rsidP="00002FD9">
      <w:pPr>
        <w:pStyle w:val="Default"/>
        <w:spacing w:line="480" w:lineRule="auto"/>
        <w:ind w:firstLine="720"/>
      </w:pPr>
      <w:r>
        <w:t xml:space="preserve">Like the hearing judge, we do not </w:t>
      </w:r>
      <w:r w:rsidR="00ED6133">
        <w:t xml:space="preserve">recommend disbarment based on </w:t>
      </w:r>
      <w:r>
        <w:t xml:space="preserve">Robinson’s </w:t>
      </w:r>
      <w:r w:rsidR="000A2740">
        <w:t>single</w:t>
      </w:r>
      <w:r w:rsidR="00780716">
        <w:t xml:space="preserve"> isolated </w:t>
      </w:r>
      <w:r w:rsidR="000A2740">
        <w:t xml:space="preserve">act of </w:t>
      </w:r>
      <w:r w:rsidR="00ED6133">
        <w:t>misappropriation</w:t>
      </w:r>
      <w:r w:rsidR="00E00360">
        <w:t xml:space="preserve">.  Despite </w:t>
      </w:r>
      <w:r w:rsidR="005B7548">
        <w:t>his</w:t>
      </w:r>
      <w:r w:rsidR="00E00360">
        <w:t xml:space="preserve"> gross negligence in handling his CTA, no evidence </w:t>
      </w:r>
      <w:r w:rsidR="005B7548">
        <w:t xml:space="preserve">shows </w:t>
      </w:r>
      <w:r w:rsidR="00E00360">
        <w:t xml:space="preserve">that he acted </w:t>
      </w:r>
      <w:r w:rsidR="00AE747F">
        <w:t>intentional</w:t>
      </w:r>
      <w:r w:rsidR="00E00360">
        <w:t xml:space="preserve">ly or in </w:t>
      </w:r>
      <w:r w:rsidR="00AE747F">
        <w:t xml:space="preserve">bad faith.  </w:t>
      </w:r>
      <w:r w:rsidR="00780716">
        <w:t xml:space="preserve">More importantly, there is no evidence of client harm.  Robinson </w:t>
      </w:r>
      <w:r w:rsidR="00D87029">
        <w:t xml:space="preserve">has </w:t>
      </w:r>
      <w:r w:rsidR="0018418A">
        <w:t>expressed</w:t>
      </w:r>
      <w:r w:rsidR="00D87029">
        <w:t xml:space="preserve"> a greater understanding of the rules governing entrusted funds</w:t>
      </w:r>
      <w:r w:rsidR="00E00360">
        <w:t xml:space="preserve"> since his misconduct</w:t>
      </w:r>
      <w:r w:rsidR="00D87029">
        <w:t xml:space="preserve">.  </w:t>
      </w:r>
      <w:r>
        <w:t>And although</w:t>
      </w:r>
      <w:r w:rsidR="00DB41D4">
        <w:t xml:space="preserve"> we are concerned </w:t>
      </w:r>
      <w:r w:rsidR="005B7548">
        <w:t>about</w:t>
      </w:r>
      <w:r w:rsidR="00DB41D4">
        <w:t xml:space="preserve"> Robinson’s attitude towards the Addison matter and its similarities to his prior disciplinary matter, </w:t>
      </w:r>
      <w:r w:rsidR="002D4F41">
        <w:t xml:space="preserve">we are satisfied that the public will be protected by a lengthy actual suspension </w:t>
      </w:r>
      <w:r w:rsidR="005A4695">
        <w:t xml:space="preserve">and </w:t>
      </w:r>
      <w:r w:rsidR="002D4F41">
        <w:t>the requirement</w:t>
      </w:r>
      <w:r w:rsidR="00DB41D4">
        <w:t xml:space="preserve"> under standard 1.4(c)(ii)</w:t>
      </w:r>
      <w:r w:rsidR="002D4F41">
        <w:t xml:space="preserve"> that he </w:t>
      </w:r>
      <w:r w:rsidR="00DB41D4">
        <w:t>establish his rehabilitation, fitness to practice and learning and ability in the general law before he resumes his practice</w:t>
      </w:r>
      <w:r w:rsidR="002D4F41">
        <w:t>.</w:t>
      </w:r>
    </w:p>
    <w:p w:rsidR="00B853FE" w:rsidRDefault="0021162F" w:rsidP="00002FD9">
      <w:pPr>
        <w:pStyle w:val="Default"/>
        <w:spacing w:line="480" w:lineRule="auto"/>
        <w:ind w:firstLine="720"/>
      </w:pPr>
      <w:r>
        <w:t xml:space="preserve">Therefore, we recommend a two-year actual suspension, which is supported by comparable case law as the appropriate sanction to ensure discipline proportionate to the misconduct.  </w:t>
      </w:r>
      <w:r w:rsidR="00541F32">
        <w:t>(</w:t>
      </w:r>
      <w:r w:rsidR="00541F32">
        <w:rPr>
          <w:i/>
        </w:rPr>
        <w:t>In the Matter of Davis</w:t>
      </w:r>
      <w:r w:rsidR="00541F32">
        <w:t xml:space="preserve">, </w:t>
      </w:r>
      <w:r w:rsidR="00541F32" w:rsidRPr="00800057">
        <w:rPr>
          <w:i/>
        </w:rPr>
        <w:t>supra</w:t>
      </w:r>
      <w:r w:rsidR="00541F32">
        <w:t xml:space="preserve">, </w:t>
      </w:r>
      <w:r w:rsidR="00541F32" w:rsidRPr="00800057">
        <w:t>4</w:t>
      </w:r>
      <w:r w:rsidR="00541F32">
        <w:t xml:space="preserve"> Cal. State Bar Ct. Rptr. 576 [two-year actual suspension for willful misappropriation of almost $30,000 </w:t>
      </w:r>
      <w:r>
        <w:t xml:space="preserve">where misconduct </w:t>
      </w:r>
      <w:r w:rsidR="00541F32">
        <w:t>significantly aggravated by overreaching, concealment</w:t>
      </w:r>
      <w:r>
        <w:t>,</w:t>
      </w:r>
      <w:r w:rsidR="00541F32">
        <w:t xml:space="preserve"> duplicity and </w:t>
      </w:r>
      <w:r>
        <w:t>lack of insight</w:t>
      </w:r>
      <w:r w:rsidR="00541F32">
        <w:t xml:space="preserve">, but mitigated by no prior discipline, good character evidence and community service]; </w:t>
      </w:r>
      <w:r w:rsidR="002D4F41">
        <w:rPr>
          <w:i/>
        </w:rPr>
        <w:t>Matter of Brockway</w:t>
      </w:r>
      <w:r w:rsidR="007C4B33">
        <w:rPr>
          <w:i/>
        </w:rPr>
        <w:t xml:space="preserve">, supra, </w:t>
      </w:r>
      <w:r w:rsidR="002D4F41">
        <w:t>4 Cal. State Bar Ct. Rptr. 944</w:t>
      </w:r>
      <w:r w:rsidR="00D87029">
        <w:t xml:space="preserve"> [two-year actual suspension </w:t>
      </w:r>
      <w:r>
        <w:t xml:space="preserve">where </w:t>
      </w:r>
      <w:r w:rsidR="00D87029">
        <w:t xml:space="preserve">attorney failed to perform competently, return unearned fees, or release files in four client matters </w:t>
      </w:r>
      <w:r>
        <w:t xml:space="preserve">with </w:t>
      </w:r>
      <w:r w:rsidR="00D87029">
        <w:t xml:space="preserve">no mitigation and significant aggravation </w:t>
      </w:r>
      <w:r>
        <w:t xml:space="preserve">for </w:t>
      </w:r>
      <w:r w:rsidR="00D87029">
        <w:t xml:space="preserve">prior discipline </w:t>
      </w:r>
      <w:r>
        <w:t>in</w:t>
      </w:r>
      <w:r w:rsidR="00D87029">
        <w:t xml:space="preserve"> areas of common concern, significant harm to clients, and indifference towards rectification or atonement]</w:t>
      </w:r>
      <w:r w:rsidR="002D4F41">
        <w:t>.)</w:t>
      </w:r>
    </w:p>
    <w:p w:rsidR="00B52037" w:rsidRDefault="00B52037" w:rsidP="00B52037">
      <w:pPr>
        <w:pStyle w:val="ListParagraph"/>
        <w:jc w:val="center"/>
        <w:rPr>
          <w:b/>
        </w:rPr>
      </w:pPr>
      <w:r>
        <w:rPr>
          <w:b/>
        </w:rPr>
        <w:t>III.</w:t>
      </w:r>
      <w:r w:rsidR="00071F9B">
        <w:rPr>
          <w:b/>
        </w:rPr>
        <w:t xml:space="preserve">  </w:t>
      </w:r>
      <w:r w:rsidR="00B038E0">
        <w:rPr>
          <w:b/>
        </w:rPr>
        <w:t>RECOMMENDATION</w:t>
      </w:r>
    </w:p>
    <w:p w:rsidR="00B038E0" w:rsidRPr="00B52037" w:rsidRDefault="00B038E0" w:rsidP="00B52037">
      <w:pPr>
        <w:pStyle w:val="ListParagraph"/>
        <w:ind w:left="0" w:firstLine="720"/>
        <w:rPr>
          <w:b/>
        </w:rPr>
      </w:pPr>
      <w:r>
        <w:t>We recommend</w:t>
      </w:r>
      <w:r w:rsidR="00144107">
        <w:t xml:space="preserve"> that Benjamin Robinson be suspended from the practice of law for </w:t>
      </w:r>
      <w:r w:rsidR="00EE5B18">
        <w:t>three years</w:t>
      </w:r>
      <w:r w:rsidR="00144107">
        <w:t>, that execution of such suspension be stayed and that h</w:t>
      </w:r>
      <w:r w:rsidR="00EE5B18">
        <w:t>e be placed on probation for three</w:t>
      </w:r>
      <w:r w:rsidR="00144107">
        <w:t xml:space="preserve"> years on the following conditions:</w:t>
      </w:r>
    </w:p>
    <w:p w:rsidR="00EE5B18" w:rsidRDefault="0021162F" w:rsidP="001978EA">
      <w:pPr>
        <w:pStyle w:val="BodyTextIndent2"/>
        <w:numPr>
          <w:ilvl w:val="0"/>
          <w:numId w:val="7"/>
        </w:numPr>
        <w:ind w:left="720"/>
      </w:pPr>
      <w:r>
        <w:t>He</w:t>
      </w:r>
      <w:r w:rsidR="00EE5B18">
        <w:t xml:space="preserve"> must be suspended from the practice of law for </w:t>
      </w:r>
      <w:r w:rsidR="00B42AE2">
        <w:t xml:space="preserve">a minimum of </w:t>
      </w:r>
      <w:r w:rsidR="00EE5B18">
        <w:t>the first two years</w:t>
      </w:r>
      <w:r w:rsidR="001978EA">
        <w:t xml:space="preserve"> of the period of his probation, and he will remain suspended until he provides proof </w:t>
      </w:r>
      <w:r w:rsidR="00EE5B18">
        <w:t xml:space="preserve">to the State Bar Court of his rehabilitation, fitness to practice </w:t>
      </w:r>
      <w:r w:rsidR="00F352C6">
        <w:t xml:space="preserve">and learning and ability in the general law before his suspension will be terminated. </w:t>
      </w:r>
      <w:r w:rsidR="001978EA">
        <w:t xml:space="preserve"> </w:t>
      </w:r>
      <w:r w:rsidR="00F352C6">
        <w:t>(Rules Proc. of State Bar, tit. IV, Stds. For Atty. Sanctions for Pro</w:t>
      </w:r>
      <w:r w:rsidR="001978EA">
        <w:t>f. Misconduct, std. 1.4(c)(ii).)</w:t>
      </w:r>
    </w:p>
    <w:p w:rsidR="00F352C6" w:rsidRDefault="00F352C6" w:rsidP="00F352C6">
      <w:pPr>
        <w:pStyle w:val="ListParagraph"/>
        <w:spacing w:line="240" w:lineRule="auto"/>
        <w:contextualSpacing w:val="0"/>
      </w:pPr>
    </w:p>
    <w:p w:rsidR="00EE5B18" w:rsidRDefault="0021162F" w:rsidP="00EE5B18">
      <w:pPr>
        <w:pStyle w:val="ListParagraph"/>
        <w:numPr>
          <w:ilvl w:val="0"/>
          <w:numId w:val="7"/>
        </w:numPr>
        <w:spacing w:line="240" w:lineRule="auto"/>
        <w:ind w:left="720"/>
        <w:contextualSpacing w:val="0"/>
      </w:pPr>
      <w:r>
        <w:t>He</w:t>
      </w:r>
      <w:r w:rsidR="00EE5B18">
        <w:t xml:space="preserve"> must comply with the provisions of the State Bar Act and the Rules of Professional Conduct.</w:t>
      </w:r>
    </w:p>
    <w:p w:rsidR="00EE5B18" w:rsidRDefault="00EE5B18" w:rsidP="00EE5B18">
      <w:pPr>
        <w:pStyle w:val="ListParagraph"/>
        <w:spacing w:line="240" w:lineRule="auto"/>
        <w:contextualSpacing w:val="0"/>
      </w:pPr>
    </w:p>
    <w:p w:rsidR="00EE5B18" w:rsidRDefault="00EE5B18" w:rsidP="00EE5B18">
      <w:pPr>
        <w:pStyle w:val="ListParagraph"/>
        <w:numPr>
          <w:ilvl w:val="0"/>
          <w:numId w:val="7"/>
        </w:numPr>
        <w:spacing w:line="240" w:lineRule="auto"/>
        <w:ind w:left="720"/>
        <w:contextualSpacing w:val="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EE5B18" w:rsidRDefault="00EE5B18" w:rsidP="00EE5B18">
      <w:pPr>
        <w:pStyle w:val="ListParagraph"/>
        <w:tabs>
          <w:tab w:val="left" w:pos="720"/>
        </w:tabs>
        <w:spacing w:line="240" w:lineRule="auto"/>
      </w:pPr>
    </w:p>
    <w:p w:rsidR="00EE5B18" w:rsidRDefault="0021162F" w:rsidP="00EE5B18">
      <w:pPr>
        <w:pStyle w:val="ListParagraph"/>
        <w:numPr>
          <w:ilvl w:val="0"/>
          <w:numId w:val="7"/>
        </w:numPr>
        <w:tabs>
          <w:tab w:val="left" w:pos="720"/>
        </w:tabs>
        <w:spacing w:line="240" w:lineRule="auto"/>
        <w:ind w:left="720"/>
        <w:contextualSpacing w:val="0"/>
      </w:pPr>
      <w:r>
        <w:t>He</w:t>
      </w:r>
      <w:r w:rsidR="00EE5B18">
        <w:t xml:space="preserve"> must submit written quarterly reports to the Office of Probation on each January 10, April 10, July 10, and October 10 of the period of probation.  Under penalty of perjury, he must state whether </w:t>
      </w:r>
      <w:r w:rsidR="00C522A8">
        <w:t>he</w:t>
      </w:r>
      <w:r w:rsidR="00EE5B18">
        <w:t xml:space="preserv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EE5B18" w:rsidRDefault="00EE5B18" w:rsidP="00EE5B18">
      <w:pPr>
        <w:pStyle w:val="ListParagraph"/>
        <w:tabs>
          <w:tab w:val="left" w:pos="720"/>
        </w:tabs>
        <w:spacing w:line="240" w:lineRule="auto"/>
      </w:pPr>
    </w:p>
    <w:p w:rsidR="00EE5B18" w:rsidRDefault="00EE5B18" w:rsidP="00EE5B18">
      <w:pPr>
        <w:pStyle w:val="ListParagraph"/>
        <w:numPr>
          <w:ilvl w:val="0"/>
          <w:numId w:val="7"/>
        </w:numPr>
        <w:spacing w:line="240" w:lineRule="auto"/>
        <w:ind w:left="720"/>
        <w:contextualSpacing w:val="0"/>
      </w:pPr>
      <w:r>
        <w:t xml:space="preserve">Subject to the assertion of applicable privileges, </w:t>
      </w:r>
      <w:r w:rsidR="0021162F">
        <w:t>he</w:t>
      </w:r>
      <w:r>
        <w:t xml:space="preserve"> must answer fully, promptly, and truthfully, any inquiries of the Office of Probation </w:t>
      </w:r>
      <w:r w:rsidR="00B60565">
        <w:t>that</w:t>
      </w:r>
      <w:r>
        <w:t xml:space="preserve"> are directed to him personally or in writing, relating to whether he is complying or has complied with the conditions contained herein. </w:t>
      </w:r>
    </w:p>
    <w:p w:rsidR="00EE5B18" w:rsidRDefault="00EE5B18" w:rsidP="00EE5B18">
      <w:pPr>
        <w:pStyle w:val="ListParagraph"/>
        <w:spacing w:line="240" w:lineRule="auto"/>
      </w:pPr>
    </w:p>
    <w:p w:rsidR="00EE5B18" w:rsidRDefault="00EE5B18" w:rsidP="00A837B8">
      <w:pPr>
        <w:pStyle w:val="ListParagraph"/>
        <w:numPr>
          <w:ilvl w:val="0"/>
          <w:numId w:val="7"/>
        </w:numPr>
        <w:spacing w:line="240" w:lineRule="auto"/>
        <w:ind w:left="720"/>
        <w:contextualSpacing w:val="0"/>
      </w:pPr>
      <w:r>
        <w:t xml:space="preserve">Within one year of the effective date of the discipline herein, </w:t>
      </w:r>
      <w:r w:rsidR="0021162F">
        <w:t>he</w:t>
      </w:r>
      <w:r>
        <w:t xml:space="preserve"> must submit to the Office of Probation satisfactory evidence of completion</w:t>
      </w:r>
      <w:r w:rsidR="00540E87">
        <w:t xml:space="preserve"> of the State Bar’s Ethics School and of the State Bar’s Client Trust Accounting School and passage of the tests given at the end of those sessions.  This requirement is separate from any Minimum Continuing Legal Education (MCLE) requirement, and he </w:t>
      </w:r>
      <w:r w:rsidR="00B60565">
        <w:t>wi</w:t>
      </w:r>
      <w:r w:rsidR="00540E87">
        <w:t>ll not receive MCLE credit for attending Ethics School or Client Trust Accounting School.  (Rules Proc. of State Bar, rule 3201.)</w:t>
      </w:r>
      <w:r>
        <w:t xml:space="preserve">  </w:t>
      </w:r>
    </w:p>
    <w:p w:rsidR="00540E87" w:rsidRDefault="00540E87" w:rsidP="00540E87">
      <w:pPr>
        <w:pStyle w:val="ListParagraph"/>
        <w:spacing w:line="240" w:lineRule="auto"/>
      </w:pPr>
    </w:p>
    <w:p w:rsidR="00A837B8" w:rsidRDefault="00A837B8" w:rsidP="00A837B8">
      <w:pPr>
        <w:pStyle w:val="ListParagraph"/>
        <w:numPr>
          <w:ilvl w:val="0"/>
          <w:numId w:val="7"/>
        </w:numPr>
        <w:spacing w:line="240" w:lineRule="auto"/>
        <w:ind w:left="720"/>
      </w:pPr>
      <w:r w:rsidRPr="004E7A80">
        <w:t xml:space="preserve">Within one year after the effective date of the discipline herein, </w:t>
      </w:r>
      <w:r w:rsidR="00B60565">
        <w:t>he</w:t>
      </w:r>
      <w:r w:rsidRPr="004E7A80">
        <w:t xml:space="preserve"> must submit to the Office of Probation satisfactory evidence of completion of the State Bar’s Client Trust Accounting School and passage of the test given at the end of that session.  This requirement is separate from any MCLE requirement, and </w:t>
      </w:r>
      <w:r w:rsidR="00B60565">
        <w:t>he</w:t>
      </w:r>
      <w:r w:rsidRPr="004E7A80">
        <w:t xml:space="preserve"> </w:t>
      </w:r>
      <w:r w:rsidR="00B60565">
        <w:t>will</w:t>
      </w:r>
      <w:r w:rsidRPr="004E7A80">
        <w:t xml:space="preserve"> not receive MCLE credit for attending Client Trust Accounting School.</w:t>
      </w:r>
    </w:p>
    <w:p w:rsidR="00A837B8" w:rsidRDefault="00A837B8" w:rsidP="00A837B8">
      <w:pPr>
        <w:pStyle w:val="ListParagraph"/>
        <w:spacing w:line="240" w:lineRule="auto"/>
      </w:pPr>
    </w:p>
    <w:p w:rsidR="00EE5B18" w:rsidRDefault="00A837B8" w:rsidP="00A837B8">
      <w:pPr>
        <w:pStyle w:val="ListParagraph"/>
        <w:numPr>
          <w:ilvl w:val="0"/>
          <w:numId w:val="7"/>
        </w:numPr>
        <w:spacing w:line="240" w:lineRule="auto"/>
        <w:ind w:left="720"/>
      </w:pPr>
      <w:r>
        <w:t xml:space="preserve">The </w:t>
      </w:r>
      <w:r w:rsidR="00EE5B18">
        <w:t xml:space="preserve">period of probation will commence on the effective date of the Supreme Court order imposing discipline in this matter.  At the expiration of the period of probation, if </w:t>
      </w:r>
      <w:r w:rsidR="0021162F">
        <w:t>he</w:t>
      </w:r>
      <w:r w:rsidR="00EE5B18">
        <w:t xml:space="preserve"> has complied with all </w:t>
      </w:r>
      <w:r w:rsidR="00F352C6">
        <w:t>conditions of probation, the three</w:t>
      </w:r>
      <w:r w:rsidR="00EE5B18">
        <w:t>-year period of stayed suspension will be satisfied and that suspension will be terminated.</w:t>
      </w:r>
    </w:p>
    <w:p w:rsidR="00EE5B18" w:rsidRDefault="00EE5B18" w:rsidP="00540E87">
      <w:pPr>
        <w:pStyle w:val="ListParagraph"/>
        <w:spacing w:line="240" w:lineRule="auto"/>
      </w:pPr>
    </w:p>
    <w:p w:rsidR="00EE5B18" w:rsidRDefault="00EE5B18" w:rsidP="00EE5B18">
      <w:pPr>
        <w:ind w:firstLine="720"/>
      </w:pPr>
      <w:r>
        <w:t xml:space="preserve">We also recommend that </w:t>
      </w:r>
      <w:r w:rsidR="00F352C6">
        <w:t>Robinson</w:t>
      </w:r>
      <w:r>
        <w:t xml:space="preserve"> be required to take and pass the Multistate Professional Responsibility administered by the National Conference of Bar Examiners </w:t>
      </w:r>
      <w:r w:rsidR="00F352C6">
        <w:t xml:space="preserve">during the period of his suspension </w:t>
      </w:r>
      <w:r>
        <w:t>in this matter and to provide satisfactory proof of such passage to the Office of Probation within the same period.</w:t>
      </w:r>
    </w:p>
    <w:p w:rsidR="00EE5B18" w:rsidRDefault="00E7519C" w:rsidP="00EE5B18">
      <w:pPr>
        <w:pStyle w:val="ListParagraph"/>
        <w:tabs>
          <w:tab w:val="left" w:pos="720"/>
        </w:tabs>
        <w:ind w:left="0" w:firstLine="720"/>
      </w:pPr>
      <w:r>
        <w:t>We</w:t>
      </w:r>
      <w:r w:rsidR="00EE5B18">
        <w:t xml:space="preserve"> </w:t>
      </w:r>
      <w:r w:rsidR="00F352C6">
        <w:t>further recommend that Robinson</w:t>
      </w:r>
      <w:r w:rsidR="00EE5B18">
        <w:t xml:space="preserve"> be ordered to comply with rule 9.20 of the California Rules of Court, and to perform the acts specified in subdivisions (a) and (c) of that rule, within 30 and 40 days, respectively, from the effective date of the Supreme Court order.  Failure to do so may result in disbarment or suspension.</w:t>
      </w:r>
    </w:p>
    <w:p w:rsidR="00EE5B18" w:rsidRDefault="00EE5B18" w:rsidP="006659E7">
      <w:pPr>
        <w:ind w:firstLine="720"/>
      </w:pPr>
      <w:r>
        <w:t xml:space="preserve">Finally, we recommend that costs be awarded to the State Bar in accordance with Business and Professions Code, section 6086.10, such costs being enforceable both as provided </w:t>
      </w:r>
      <w:r w:rsidR="006659E7">
        <w:t>i</w:t>
      </w:r>
      <w:r>
        <w:t>n section 6140.7 of that code and as a money judgment.</w:t>
      </w:r>
    </w:p>
    <w:p w:rsidR="00B52037" w:rsidRDefault="00B52037" w:rsidP="00EE5B18">
      <w:pPr>
        <w:ind w:firstLine="720"/>
      </w:pPr>
    </w:p>
    <w:p w:rsidR="00783AF1" w:rsidRDefault="007768C9" w:rsidP="00C11CC8">
      <w:r w:rsidRPr="007768C9">
        <w:tab/>
      </w:r>
      <w:r w:rsidRPr="007768C9">
        <w:tab/>
      </w:r>
      <w:r w:rsidRPr="007768C9">
        <w:tab/>
      </w:r>
      <w:r w:rsidRPr="007768C9">
        <w:tab/>
      </w:r>
      <w:r w:rsidRPr="007768C9">
        <w:tab/>
      </w:r>
      <w:r w:rsidRPr="007768C9">
        <w:tab/>
      </w:r>
      <w:r w:rsidRPr="007768C9">
        <w:tab/>
      </w:r>
      <w:bookmarkStart w:id="5" w:name="judge"/>
      <w:bookmarkEnd w:id="5"/>
      <w:r w:rsidR="00FD777B">
        <w:t>REMKE, P. J.</w:t>
      </w:r>
    </w:p>
    <w:p w:rsidR="000A21FD" w:rsidRDefault="000A21FD" w:rsidP="00A01AC8">
      <w:pPr>
        <w:spacing w:line="240" w:lineRule="auto"/>
      </w:pPr>
      <w:r>
        <w:t>We concur:</w:t>
      </w:r>
    </w:p>
    <w:p w:rsidR="00E7519C" w:rsidRDefault="00E7519C" w:rsidP="00A01AC8">
      <w:pPr>
        <w:spacing w:line="240" w:lineRule="auto"/>
      </w:pPr>
    </w:p>
    <w:p w:rsidR="00A01AC8" w:rsidRDefault="00D87029" w:rsidP="00A01AC8">
      <w:pPr>
        <w:spacing w:line="240" w:lineRule="auto"/>
      </w:pPr>
      <w:r>
        <w:t>EPSTEIN, J.</w:t>
      </w:r>
    </w:p>
    <w:p w:rsidR="00E7519C" w:rsidRDefault="00E7519C" w:rsidP="00A01AC8">
      <w:pPr>
        <w:spacing w:line="240" w:lineRule="auto"/>
      </w:pPr>
    </w:p>
    <w:p w:rsidR="00D87029" w:rsidRDefault="00D87029" w:rsidP="00A01AC8">
      <w:pPr>
        <w:spacing w:line="240" w:lineRule="auto"/>
      </w:pPr>
      <w:r>
        <w:t>PURCELL, J.</w:t>
      </w:r>
    </w:p>
    <w:p w:rsidR="000A21FD" w:rsidRPr="008A154E" w:rsidRDefault="000A21FD" w:rsidP="00C11CC8"/>
    <w:sectPr w:rsidR="000A21FD" w:rsidRPr="008A154E" w:rsidSect="00A64F1D">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8F" w:rsidRDefault="00E3198F" w:rsidP="00783AF1">
      <w:pPr>
        <w:spacing w:line="240" w:lineRule="auto"/>
      </w:pPr>
      <w:r>
        <w:separator/>
      </w:r>
    </w:p>
  </w:endnote>
  <w:endnote w:type="continuationSeparator" w:id="0">
    <w:p w:rsidR="00E3198F" w:rsidRDefault="00E3198F"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87" w:rsidRDefault="00540E87" w:rsidP="00783AF1">
    <w:pPr>
      <w:pStyle w:val="Footer"/>
      <w:spacing w:before="120" w:line="240" w:lineRule="auto"/>
      <w:jc w:val="center"/>
    </w:pPr>
    <w:r>
      <w:t>-</w:t>
    </w:r>
    <w:fldSimple w:instr=" PAGE   \* MERGEFORMAT ">
      <w:r w:rsidR="00E2420F">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8F" w:rsidRDefault="00E3198F" w:rsidP="00783AF1">
      <w:pPr>
        <w:spacing w:line="240" w:lineRule="auto"/>
      </w:pPr>
      <w:r>
        <w:separator/>
      </w:r>
    </w:p>
  </w:footnote>
  <w:footnote w:type="continuationSeparator" w:id="0">
    <w:p w:rsidR="00E3198F" w:rsidRDefault="00E3198F" w:rsidP="00783AF1">
      <w:pPr>
        <w:spacing w:line="240" w:lineRule="auto"/>
      </w:pPr>
      <w:r>
        <w:continuationSeparator/>
      </w:r>
    </w:p>
  </w:footnote>
  <w:footnote w:type="continuationNotice" w:id="1">
    <w:p w:rsidR="00E3198F" w:rsidRDefault="00E3198F">
      <w:pPr>
        <w:spacing w:line="240" w:lineRule="auto"/>
      </w:pPr>
    </w:p>
  </w:footnote>
  <w:footnote w:id="2">
    <w:p w:rsidR="00540E87" w:rsidRDefault="00540E87" w:rsidP="00CA4396">
      <w:pPr>
        <w:pStyle w:val="FootnoteText"/>
      </w:pPr>
      <w:r>
        <w:tab/>
      </w:r>
      <w:r>
        <w:rPr>
          <w:rStyle w:val="FootnoteReference"/>
        </w:rPr>
        <w:footnoteRef/>
      </w:r>
      <w:r>
        <w:t xml:space="preserve">Unless otherwise noted, all further references to “standard(s)” are to </w:t>
      </w:r>
      <w:r w:rsidRPr="00CB6E0B">
        <w:t>the Rules of Procedure of the State Bar, title IV, Standards for Attorney Sanctions for Professional Misconduct.</w:t>
      </w:r>
    </w:p>
  </w:footnote>
  <w:footnote w:id="3">
    <w:p w:rsidR="00540E87" w:rsidRPr="00E60C12" w:rsidRDefault="00540E87" w:rsidP="00CA4396">
      <w:pPr>
        <w:pStyle w:val="FootnoteText"/>
      </w:pPr>
      <w:r>
        <w:tab/>
      </w:r>
      <w:r>
        <w:rPr>
          <w:rStyle w:val="FootnoteReference"/>
        </w:rPr>
        <w:footnoteRef/>
      </w:r>
      <w:r>
        <w:t>The hearing judge also found that Robinson’s testimony lacked candor, but did not consider it as an aggravating factor.  (Std. 1.2(b)(vi).)  We agree that the record clearly supports a finding that Robinson’s testimony was not credible, but it does not contain clear and convincing evidence that Robinson lied.  (</w:t>
      </w:r>
      <w:r>
        <w:rPr>
          <w:i/>
        </w:rPr>
        <w:t>In the Matter of Dahlz</w:t>
      </w:r>
      <w:r>
        <w:t xml:space="preserve"> (Review Dept. 2001) 4 Cal. State Bar Ct. Rptr. 269, 282 [distinguishing determination that testimony is not credible (i.e., believable), which</w:t>
      </w:r>
      <w:r w:rsidRPr="00E60C12">
        <w:t xml:space="preserve"> </w:t>
      </w:r>
      <w:r>
        <w:t xml:space="preserve">“is </w:t>
      </w:r>
      <w:r w:rsidRPr="00E60C12">
        <w:t>primarily within the province of the hearing judge because he or she saw and heard the witness testify</w:t>
      </w:r>
      <w:r>
        <w:t xml:space="preserve">,” from </w:t>
      </w:r>
      <w:r w:rsidRPr="00E60C12">
        <w:t>determination that testimony lacks candor (i.e., witness is lying)</w:t>
      </w:r>
      <w:r>
        <w:t>, “which</w:t>
      </w:r>
      <w:r w:rsidRPr="00E60C12">
        <w:t xml:space="preserve"> must ordinarily be found by clear and convincing evidence</w:t>
      </w:r>
      <w:r>
        <w:t>”]</w:t>
      </w:r>
      <w:r w:rsidRPr="00E60C12">
        <w:t>.</w:t>
      </w:r>
      <w:r>
        <w:t>)</w:t>
      </w:r>
    </w:p>
  </w:footnote>
  <w:footnote w:id="4">
    <w:p w:rsidR="00540E87" w:rsidRDefault="00540E87" w:rsidP="00A64F1D">
      <w:pPr>
        <w:pStyle w:val="FootnoteText"/>
      </w:pPr>
      <w:r>
        <w:tab/>
      </w:r>
      <w:r>
        <w:rPr>
          <w:rStyle w:val="FootnoteReference"/>
        </w:rPr>
        <w:footnoteRef/>
      </w:r>
      <w:r>
        <w:t>Unless otherwise noted, all further references to “rule(s)” are to the State Bar Rules of Professional Conduct.</w:t>
      </w:r>
    </w:p>
  </w:footnote>
  <w:footnote w:id="5">
    <w:p w:rsidR="00540E87" w:rsidRDefault="00540E87" w:rsidP="00A64F1D">
      <w:pPr>
        <w:pStyle w:val="FootnoteText"/>
      </w:pPr>
      <w:r>
        <w:tab/>
      </w:r>
      <w:r>
        <w:rPr>
          <w:rStyle w:val="FootnoteReference"/>
        </w:rPr>
        <w:footnoteRef/>
      </w:r>
      <w:r>
        <w:t>Unless otherwise noted, all further references to “section(s)” are to the Business and Professions Code.</w:t>
      </w:r>
    </w:p>
  </w:footnote>
  <w:footnote w:id="6">
    <w:p w:rsidR="00540E87" w:rsidRDefault="00540E87" w:rsidP="00CA4396">
      <w:pPr>
        <w:pStyle w:val="FootnoteText"/>
      </w:pPr>
      <w:r>
        <w:tab/>
      </w:r>
      <w:r>
        <w:rPr>
          <w:rStyle w:val="FootnoteReference"/>
        </w:rPr>
        <w:footnoteRef/>
      </w:r>
      <w:r>
        <w:t>We have considered the following standards:  1.6(a) (imposing most severe of different applicable sanctions); 1.7(a) (imposing greater degree of discipline than that imposed in prior disciplinary proceeding);</w:t>
      </w:r>
      <w:r w:rsidRPr="00E814DB">
        <w:t xml:space="preserve"> 2.2(b) (minimum three months’ actual suspension for violation of rule 4-100)</w:t>
      </w:r>
      <w:r>
        <w:t>;</w:t>
      </w:r>
      <w:r w:rsidRPr="00E814DB">
        <w:t xml:space="preserve"> </w:t>
      </w:r>
      <w:r w:rsidRPr="001A3246">
        <w:t xml:space="preserve">2.3 </w:t>
      </w:r>
      <w:r>
        <w:t>(</w:t>
      </w:r>
      <w:r w:rsidRPr="001A3246">
        <w:t>actual suspension or disbarment</w:t>
      </w:r>
      <w:r>
        <w:t xml:space="preserve"> for act of moral turpitude, depending on extent of harm and </w:t>
      </w:r>
      <w:r w:rsidRPr="001A3246">
        <w:t>on magnitud</w:t>
      </w:r>
      <w:r>
        <w:t xml:space="preserve">e of act of misconduct and its relation to respondent’s practice of law); </w:t>
      </w:r>
      <w:r w:rsidRPr="00E814DB">
        <w:t>2.4</w:t>
      </w:r>
      <w:r>
        <w:t>(b)</w:t>
      </w:r>
      <w:r w:rsidRPr="00E814DB">
        <w:t xml:space="preserve"> (reproval or suspension, depending upon extent of misconduct and degree of harm to clien</w:t>
      </w:r>
      <w:r>
        <w:t>t, for failure to perform services</w:t>
      </w:r>
      <w:r w:rsidR="003542E6">
        <w:t>)</w:t>
      </w:r>
      <w:r>
        <w:t>; 2.6 (</w:t>
      </w:r>
      <w:r w:rsidRPr="0003312D">
        <w:t xml:space="preserve">suspension or disbarment, depending on gravity of offense, for </w:t>
      </w:r>
      <w:r>
        <w:t>failure to cooperate with State Bar investigation and failure to comply with ALD)</w:t>
      </w:r>
      <w:r w:rsidRPr="0003312D">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11D"/>
    <w:multiLevelType w:val="hybridMultilevel"/>
    <w:tmpl w:val="6D6C2216"/>
    <w:lvl w:ilvl="0" w:tplc="DB0286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F6C41"/>
    <w:multiLevelType w:val="hybridMultilevel"/>
    <w:tmpl w:val="5B52F05E"/>
    <w:lvl w:ilvl="0" w:tplc="DD9E86F0">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4BCA"/>
    <w:multiLevelType w:val="hybridMultilevel"/>
    <w:tmpl w:val="4BD8EEE4"/>
    <w:lvl w:ilvl="0" w:tplc="CFE86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35D0A"/>
    <w:multiLevelType w:val="hybridMultilevel"/>
    <w:tmpl w:val="64F20A68"/>
    <w:lvl w:ilvl="0" w:tplc="A386D5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65352"/>
    <w:multiLevelType w:val="hybridMultilevel"/>
    <w:tmpl w:val="2A7A0CB2"/>
    <w:lvl w:ilvl="0" w:tplc="A44C9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B600E"/>
    <w:multiLevelType w:val="hybridMultilevel"/>
    <w:tmpl w:val="3D264258"/>
    <w:lvl w:ilvl="0" w:tplc="8EE452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25EB"/>
    <w:multiLevelType w:val="hybridMultilevel"/>
    <w:tmpl w:val="508807E6"/>
    <w:lvl w:ilvl="0" w:tplc="273C8F6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B6FC2"/>
    <w:multiLevelType w:val="hybridMultilevel"/>
    <w:tmpl w:val="CCD455E8"/>
    <w:lvl w:ilvl="0" w:tplc="5D946B3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8C46CE"/>
    <w:multiLevelType w:val="hybridMultilevel"/>
    <w:tmpl w:val="F1DE54B0"/>
    <w:lvl w:ilvl="0" w:tplc="45288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9B03E1"/>
    <w:multiLevelType w:val="hybridMultilevel"/>
    <w:tmpl w:val="4B043504"/>
    <w:lvl w:ilvl="0" w:tplc="3FE47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A3C45"/>
    <w:multiLevelType w:val="hybridMultilevel"/>
    <w:tmpl w:val="492817C6"/>
    <w:lvl w:ilvl="0" w:tplc="A89043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1A4806"/>
    <w:multiLevelType w:val="hybridMultilevel"/>
    <w:tmpl w:val="655CDAC6"/>
    <w:lvl w:ilvl="0" w:tplc="D8A618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235AC5"/>
    <w:multiLevelType w:val="hybridMultilevel"/>
    <w:tmpl w:val="71D8E196"/>
    <w:lvl w:ilvl="0" w:tplc="0D9C64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B5C7853"/>
    <w:multiLevelType w:val="hybridMultilevel"/>
    <w:tmpl w:val="23FCD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CC65FB"/>
    <w:multiLevelType w:val="hybridMultilevel"/>
    <w:tmpl w:val="BA9EC6AE"/>
    <w:lvl w:ilvl="0" w:tplc="9B768A2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7F3E96"/>
    <w:multiLevelType w:val="hybridMultilevel"/>
    <w:tmpl w:val="619C3408"/>
    <w:lvl w:ilvl="0" w:tplc="605C129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D3C369F"/>
    <w:multiLevelType w:val="hybridMultilevel"/>
    <w:tmpl w:val="4B043504"/>
    <w:lvl w:ilvl="0" w:tplc="3FE47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9"/>
  </w:num>
  <w:num w:numId="5">
    <w:abstractNumId w:val="12"/>
  </w:num>
  <w:num w:numId="6">
    <w:abstractNumId w:val="17"/>
  </w:num>
  <w:num w:numId="7">
    <w:abstractNumId w:val="14"/>
  </w:num>
  <w:num w:numId="8">
    <w:abstractNumId w:val="4"/>
  </w:num>
  <w:num w:numId="9">
    <w:abstractNumId w:val="10"/>
  </w:num>
  <w:num w:numId="10">
    <w:abstractNumId w:val="15"/>
  </w:num>
  <w:num w:numId="11">
    <w:abstractNumId w:val="13"/>
  </w:num>
  <w:num w:numId="12">
    <w:abstractNumId w:val="6"/>
  </w:num>
  <w:num w:numId="13">
    <w:abstractNumId w:val="11"/>
  </w:num>
  <w:num w:numId="14">
    <w:abstractNumId w:val="8"/>
  </w:num>
  <w:num w:numId="15">
    <w:abstractNumId w:val="0"/>
  </w:num>
  <w:num w:numId="16">
    <w:abstractNumId w:val="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rsids>
    <w:rsidRoot w:val="00840153"/>
    <w:rsid w:val="0000160B"/>
    <w:rsid w:val="00001B48"/>
    <w:rsid w:val="00002FD9"/>
    <w:rsid w:val="00007F76"/>
    <w:rsid w:val="000132B7"/>
    <w:rsid w:val="00027585"/>
    <w:rsid w:val="0003312D"/>
    <w:rsid w:val="000367FE"/>
    <w:rsid w:val="00040BFC"/>
    <w:rsid w:val="00061FDF"/>
    <w:rsid w:val="00063C0C"/>
    <w:rsid w:val="00066B99"/>
    <w:rsid w:val="0007098C"/>
    <w:rsid w:val="00071F9B"/>
    <w:rsid w:val="00090158"/>
    <w:rsid w:val="000933F8"/>
    <w:rsid w:val="000A21FD"/>
    <w:rsid w:val="000A2740"/>
    <w:rsid w:val="000A38DA"/>
    <w:rsid w:val="000A3B5B"/>
    <w:rsid w:val="000B693B"/>
    <w:rsid w:val="000B79EB"/>
    <w:rsid w:val="000C4477"/>
    <w:rsid w:val="000F0F74"/>
    <w:rsid w:val="000F755F"/>
    <w:rsid w:val="001013D0"/>
    <w:rsid w:val="00106B98"/>
    <w:rsid w:val="001073B8"/>
    <w:rsid w:val="00110055"/>
    <w:rsid w:val="00115B94"/>
    <w:rsid w:val="00143BF3"/>
    <w:rsid w:val="00144107"/>
    <w:rsid w:val="0018418A"/>
    <w:rsid w:val="001866F3"/>
    <w:rsid w:val="0018793E"/>
    <w:rsid w:val="001900CF"/>
    <w:rsid w:val="001915E7"/>
    <w:rsid w:val="001978AF"/>
    <w:rsid w:val="001978EA"/>
    <w:rsid w:val="001A3246"/>
    <w:rsid w:val="001A4B45"/>
    <w:rsid w:val="001A6434"/>
    <w:rsid w:val="001C4310"/>
    <w:rsid w:val="001C5319"/>
    <w:rsid w:val="001D69ED"/>
    <w:rsid w:val="001D6AFC"/>
    <w:rsid w:val="001F3094"/>
    <w:rsid w:val="001F5A3D"/>
    <w:rsid w:val="00203140"/>
    <w:rsid w:val="00205E27"/>
    <w:rsid w:val="00206E72"/>
    <w:rsid w:val="00207FCE"/>
    <w:rsid w:val="0021162F"/>
    <w:rsid w:val="002135E8"/>
    <w:rsid w:val="002156E3"/>
    <w:rsid w:val="002556DC"/>
    <w:rsid w:val="00255F1F"/>
    <w:rsid w:val="00270B27"/>
    <w:rsid w:val="00272C7A"/>
    <w:rsid w:val="0028441E"/>
    <w:rsid w:val="00296D5B"/>
    <w:rsid w:val="00296EE7"/>
    <w:rsid w:val="002A25D7"/>
    <w:rsid w:val="002B2F73"/>
    <w:rsid w:val="002B3A74"/>
    <w:rsid w:val="002B663E"/>
    <w:rsid w:val="002C3942"/>
    <w:rsid w:val="002C6CF2"/>
    <w:rsid w:val="002C7D49"/>
    <w:rsid w:val="002D4F41"/>
    <w:rsid w:val="002D7D3E"/>
    <w:rsid w:val="002E7623"/>
    <w:rsid w:val="003034EB"/>
    <w:rsid w:val="00303A7E"/>
    <w:rsid w:val="0031703B"/>
    <w:rsid w:val="00334DA4"/>
    <w:rsid w:val="0034606A"/>
    <w:rsid w:val="00347239"/>
    <w:rsid w:val="00351DD9"/>
    <w:rsid w:val="003542E6"/>
    <w:rsid w:val="0036490D"/>
    <w:rsid w:val="00366DA9"/>
    <w:rsid w:val="00376FD2"/>
    <w:rsid w:val="00391240"/>
    <w:rsid w:val="00393577"/>
    <w:rsid w:val="003B27E4"/>
    <w:rsid w:val="003B46EE"/>
    <w:rsid w:val="003E186A"/>
    <w:rsid w:val="003E4315"/>
    <w:rsid w:val="003E4369"/>
    <w:rsid w:val="0040222A"/>
    <w:rsid w:val="004126D1"/>
    <w:rsid w:val="00414AB3"/>
    <w:rsid w:val="00416A61"/>
    <w:rsid w:val="004260F2"/>
    <w:rsid w:val="004310E7"/>
    <w:rsid w:val="00431C97"/>
    <w:rsid w:val="00433E55"/>
    <w:rsid w:val="00434541"/>
    <w:rsid w:val="004560BF"/>
    <w:rsid w:val="00462C08"/>
    <w:rsid w:val="00473652"/>
    <w:rsid w:val="00474426"/>
    <w:rsid w:val="00476F32"/>
    <w:rsid w:val="004847AE"/>
    <w:rsid w:val="00485069"/>
    <w:rsid w:val="00485AF8"/>
    <w:rsid w:val="004927C6"/>
    <w:rsid w:val="00493545"/>
    <w:rsid w:val="00495595"/>
    <w:rsid w:val="00496476"/>
    <w:rsid w:val="0049792A"/>
    <w:rsid w:val="00497A94"/>
    <w:rsid w:val="004A756C"/>
    <w:rsid w:val="004B28E4"/>
    <w:rsid w:val="004B4B22"/>
    <w:rsid w:val="004C5F9A"/>
    <w:rsid w:val="004D4245"/>
    <w:rsid w:val="004F2E56"/>
    <w:rsid w:val="005038C3"/>
    <w:rsid w:val="00505128"/>
    <w:rsid w:val="00513391"/>
    <w:rsid w:val="005147DF"/>
    <w:rsid w:val="005221A4"/>
    <w:rsid w:val="005264F8"/>
    <w:rsid w:val="00532489"/>
    <w:rsid w:val="00540E87"/>
    <w:rsid w:val="00541F32"/>
    <w:rsid w:val="00556933"/>
    <w:rsid w:val="005657C8"/>
    <w:rsid w:val="00567341"/>
    <w:rsid w:val="005676AC"/>
    <w:rsid w:val="0057231F"/>
    <w:rsid w:val="00572F0C"/>
    <w:rsid w:val="00575F15"/>
    <w:rsid w:val="005947C4"/>
    <w:rsid w:val="005A1154"/>
    <w:rsid w:val="005A4695"/>
    <w:rsid w:val="005B7548"/>
    <w:rsid w:val="005E0749"/>
    <w:rsid w:val="005F1A58"/>
    <w:rsid w:val="005F7E74"/>
    <w:rsid w:val="00605214"/>
    <w:rsid w:val="00607957"/>
    <w:rsid w:val="00623313"/>
    <w:rsid w:val="00626822"/>
    <w:rsid w:val="006427EB"/>
    <w:rsid w:val="00647C48"/>
    <w:rsid w:val="00663970"/>
    <w:rsid w:val="006659E7"/>
    <w:rsid w:val="00667F21"/>
    <w:rsid w:val="00674A5F"/>
    <w:rsid w:val="0068016E"/>
    <w:rsid w:val="00691D9B"/>
    <w:rsid w:val="00695664"/>
    <w:rsid w:val="006A392C"/>
    <w:rsid w:val="006A4FD7"/>
    <w:rsid w:val="006C296F"/>
    <w:rsid w:val="006C6C4E"/>
    <w:rsid w:val="006E2D99"/>
    <w:rsid w:val="006F49A1"/>
    <w:rsid w:val="00707465"/>
    <w:rsid w:val="00710B6E"/>
    <w:rsid w:val="007112F3"/>
    <w:rsid w:val="00724527"/>
    <w:rsid w:val="007427C7"/>
    <w:rsid w:val="00753956"/>
    <w:rsid w:val="0075432A"/>
    <w:rsid w:val="007623D7"/>
    <w:rsid w:val="00762D35"/>
    <w:rsid w:val="007768C9"/>
    <w:rsid w:val="00780716"/>
    <w:rsid w:val="00783AF1"/>
    <w:rsid w:val="0079679F"/>
    <w:rsid w:val="007A6BF7"/>
    <w:rsid w:val="007C3BBE"/>
    <w:rsid w:val="007C4B33"/>
    <w:rsid w:val="007D2A4E"/>
    <w:rsid w:val="007D2B1D"/>
    <w:rsid w:val="007F537A"/>
    <w:rsid w:val="00800057"/>
    <w:rsid w:val="00814B19"/>
    <w:rsid w:val="008156A1"/>
    <w:rsid w:val="00816D2A"/>
    <w:rsid w:val="008271FC"/>
    <w:rsid w:val="00834ACD"/>
    <w:rsid w:val="00835F54"/>
    <w:rsid w:val="00836BC5"/>
    <w:rsid w:val="00840153"/>
    <w:rsid w:val="00871230"/>
    <w:rsid w:val="008936EE"/>
    <w:rsid w:val="00894042"/>
    <w:rsid w:val="008A154E"/>
    <w:rsid w:val="008A4522"/>
    <w:rsid w:val="008A5CDD"/>
    <w:rsid w:val="008B1231"/>
    <w:rsid w:val="008B708F"/>
    <w:rsid w:val="008C2920"/>
    <w:rsid w:val="008C51CE"/>
    <w:rsid w:val="008C6F7C"/>
    <w:rsid w:val="008D163E"/>
    <w:rsid w:val="008E262A"/>
    <w:rsid w:val="008E3541"/>
    <w:rsid w:val="008E4725"/>
    <w:rsid w:val="009016D0"/>
    <w:rsid w:val="00901A7D"/>
    <w:rsid w:val="00904856"/>
    <w:rsid w:val="00912737"/>
    <w:rsid w:val="009151A1"/>
    <w:rsid w:val="0092010F"/>
    <w:rsid w:val="009216E0"/>
    <w:rsid w:val="0092602B"/>
    <w:rsid w:val="009305BB"/>
    <w:rsid w:val="00937291"/>
    <w:rsid w:val="009373D3"/>
    <w:rsid w:val="00940D6A"/>
    <w:rsid w:val="00943692"/>
    <w:rsid w:val="00946C3C"/>
    <w:rsid w:val="00955FC9"/>
    <w:rsid w:val="00975CB3"/>
    <w:rsid w:val="00977DC8"/>
    <w:rsid w:val="00991643"/>
    <w:rsid w:val="009C112F"/>
    <w:rsid w:val="009E0357"/>
    <w:rsid w:val="009E2410"/>
    <w:rsid w:val="009E3081"/>
    <w:rsid w:val="009F2292"/>
    <w:rsid w:val="00A01AC8"/>
    <w:rsid w:val="00A07497"/>
    <w:rsid w:val="00A41F4E"/>
    <w:rsid w:val="00A45268"/>
    <w:rsid w:val="00A46D73"/>
    <w:rsid w:val="00A51F85"/>
    <w:rsid w:val="00A522A6"/>
    <w:rsid w:val="00A532DE"/>
    <w:rsid w:val="00A5557F"/>
    <w:rsid w:val="00A64F1D"/>
    <w:rsid w:val="00A837B8"/>
    <w:rsid w:val="00A97CBA"/>
    <w:rsid w:val="00AD3D4A"/>
    <w:rsid w:val="00AD4C5B"/>
    <w:rsid w:val="00AE747F"/>
    <w:rsid w:val="00B03255"/>
    <w:rsid w:val="00B038E0"/>
    <w:rsid w:val="00B06B36"/>
    <w:rsid w:val="00B1042B"/>
    <w:rsid w:val="00B1288A"/>
    <w:rsid w:val="00B20581"/>
    <w:rsid w:val="00B24CFF"/>
    <w:rsid w:val="00B32B26"/>
    <w:rsid w:val="00B36FCB"/>
    <w:rsid w:val="00B421AC"/>
    <w:rsid w:val="00B42AE2"/>
    <w:rsid w:val="00B52037"/>
    <w:rsid w:val="00B54583"/>
    <w:rsid w:val="00B6018F"/>
    <w:rsid w:val="00B60565"/>
    <w:rsid w:val="00B74578"/>
    <w:rsid w:val="00B77ECC"/>
    <w:rsid w:val="00B84AFE"/>
    <w:rsid w:val="00B853FE"/>
    <w:rsid w:val="00B92689"/>
    <w:rsid w:val="00BA1A92"/>
    <w:rsid w:val="00BA6AFD"/>
    <w:rsid w:val="00BD38A9"/>
    <w:rsid w:val="00BE3BE5"/>
    <w:rsid w:val="00BF7A1E"/>
    <w:rsid w:val="00C070AD"/>
    <w:rsid w:val="00C105FB"/>
    <w:rsid w:val="00C11CC8"/>
    <w:rsid w:val="00C234B3"/>
    <w:rsid w:val="00C2402F"/>
    <w:rsid w:val="00C24FE2"/>
    <w:rsid w:val="00C32D95"/>
    <w:rsid w:val="00C413CC"/>
    <w:rsid w:val="00C4380C"/>
    <w:rsid w:val="00C477E2"/>
    <w:rsid w:val="00C522A8"/>
    <w:rsid w:val="00C614A8"/>
    <w:rsid w:val="00C714C7"/>
    <w:rsid w:val="00C81592"/>
    <w:rsid w:val="00C87253"/>
    <w:rsid w:val="00C9043A"/>
    <w:rsid w:val="00CA4396"/>
    <w:rsid w:val="00CB3E20"/>
    <w:rsid w:val="00CB51FB"/>
    <w:rsid w:val="00CC1DA1"/>
    <w:rsid w:val="00CC6A4F"/>
    <w:rsid w:val="00CE7EAE"/>
    <w:rsid w:val="00CF63ED"/>
    <w:rsid w:val="00D020BF"/>
    <w:rsid w:val="00D02812"/>
    <w:rsid w:val="00D11681"/>
    <w:rsid w:val="00D30396"/>
    <w:rsid w:val="00D36BDC"/>
    <w:rsid w:val="00D41AA9"/>
    <w:rsid w:val="00D422A1"/>
    <w:rsid w:val="00D57AD0"/>
    <w:rsid w:val="00D84F35"/>
    <w:rsid w:val="00D87029"/>
    <w:rsid w:val="00D91225"/>
    <w:rsid w:val="00DB297C"/>
    <w:rsid w:val="00DB41D4"/>
    <w:rsid w:val="00DC0D07"/>
    <w:rsid w:val="00DE1D7B"/>
    <w:rsid w:val="00E00360"/>
    <w:rsid w:val="00E062D5"/>
    <w:rsid w:val="00E12055"/>
    <w:rsid w:val="00E13DFC"/>
    <w:rsid w:val="00E14645"/>
    <w:rsid w:val="00E147CA"/>
    <w:rsid w:val="00E20835"/>
    <w:rsid w:val="00E2420F"/>
    <w:rsid w:val="00E3198F"/>
    <w:rsid w:val="00E60C12"/>
    <w:rsid w:val="00E73F76"/>
    <w:rsid w:val="00E7519C"/>
    <w:rsid w:val="00E758C5"/>
    <w:rsid w:val="00E811A4"/>
    <w:rsid w:val="00E81D6C"/>
    <w:rsid w:val="00E90A90"/>
    <w:rsid w:val="00E93874"/>
    <w:rsid w:val="00EA0604"/>
    <w:rsid w:val="00EB151E"/>
    <w:rsid w:val="00EC4A1B"/>
    <w:rsid w:val="00EC6859"/>
    <w:rsid w:val="00EC725D"/>
    <w:rsid w:val="00ED6133"/>
    <w:rsid w:val="00EE09F3"/>
    <w:rsid w:val="00EE1512"/>
    <w:rsid w:val="00EE5B18"/>
    <w:rsid w:val="00EE6271"/>
    <w:rsid w:val="00EE725B"/>
    <w:rsid w:val="00F063CF"/>
    <w:rsid w:val="00F06D3E"/>
    <w:rsid w:val="00F1257E"/>
    <w:rsid w:val="00F352C6"/>
    <w:rsid w:val="00F371C5"/>
    <w:rsid w:val="00F46D99"/>
    <w:rsid w:val="00F51F2F"/>
    <w:rsid w:val="00F57151"/>
    <w:rsid w:val="00F613FE"/>
    <w:rsid w:val="00F72321"/>
    <w:rsid w:val="00F74E3D"/>
    <w:rsid w:val="00F80978"/>
    <w:rsid w:val="00F906D5"/>
    <w:rsid w:val="00FA56BE"/>
    <w:rsid w:val="00FD777B"/>
    <w:rsid w:val="00FE0EDE"/>
    <w:rsid w:val="00FF32EE"/>
    <w:rsid w:val="00FF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CA4396"/>
    <w:pPr>
      <w:keepLines/>
      <w:spacing w:line="240" w:lineRule="auto"/>
    </w:pPr>
  </w:style>
  <w:style w:type="character" w:customStyle="1" w:styleId="FootnoteTextChar">
    <w:name w:val="Footnote Text Char"/>
    <w:basedOn w:val="DefaultParagraphFont"/>
    <w:link w:val="FootnoteText"/>
    <w:rsid w:val="00CA4396"/>
  </w:style>
  <w:style w:type="paragraph" w:customStyle="1" w:styleId="Footnote">
    <w:name w:val="Footnote"/>
    <w:basedOn w:val="Normal"/>
    <w:link w:val="FootnoteChar"/>
    <w:autoRedefine/>
    <w:qFormat/>
    <w:rsid w:val="00497A94"/>
    <w:pPr>
      <w:spacing w:after="120" w:line="240" w:lineRule="auto"/>
    </w:pPr>
    <w:rPr>
      <w:rFonts w:cstheme="minorBidi"/>
      <w:b/>
    </w:rPr>
  </w:style>
  <w:style w:type="character" w:customStyle="1" w:styleId="FootnoteChar">
    <w:name w:val="Footnote Char"/>
    <w:basedOn w:val="DefaultParagraphFont"/>
    <w:link w:val="Footnote"/>
    <w:rsid w:val="00497A94"/>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1F3094"/>
    <w:pPr>
      <w:ind w:left="720"/>
      <w:contextualSpacing/>
    </w:pPr>
  </w:style>
  <w:style w:type="paragraph" w:customStyle="1" w:styleId="Default">
    <w:name w:val="Default"/>
    <w:uiPriority w:val="99"/>
    <w:rsid w:val="00B853FE"/>
    <w:pPr>
      <w:autoSpaceDE w:val="0"/>
      <w:autoSpaceDN w:val="0"/>
      <w:adjustRightInd w:val="0"/>
      <w:spacing w:after="0" w:line="240" w:lineRule="auto"/>
    </w:pPr>
    <w:rPr>
      <w:color w:val="000000"/>
    </w:rPr>
  </w:style>
  <w:style w:type="paragraph" w:styleId="BodyTextIndent2">
    <w:name w:val="Body Text Indent 2"/>
    <w:basedOn w:val="Normal"/>
    <w:link w:val="BodyTextIndent2Char"/>
    <w:rsid w:val="00EE5B18"/>
    <w:pPr>
      <w:spacing w:line="240" w:lineRule="auto"/>
      <w:ind w:left="720"/>
    </w:pPr>
  </w:style>
  <w:style w:type="character" w:customStyle="1" w:styleId="BodyTextIndent2Char">
    <w:name w:val="Body Text Indent 2 Char"/>
    <w:basedOn w:val="DefaultParagraphFont"/>
    <w:link w:val="BodyTextIndent2"/>
    <w:rsid w:val="00EE5B18"/>
  </w:style>
  <w:style w:type="paragraph" w:styleId="BalloonText">
    <w:name w:val="Balloon Text"/>
    <w:basedOn w:val="Normal"/>
    <w:link w:val="BalloonTextChar"/>
    <w:uiPriority w:val="99"/>
    <w:semiHidden/>
    <w:unhideWhenUsed/>
    <w:rsid w:val="007D2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270540">
      <w:bodyDiv w:val="1"/>
      <w:marLeft w:val="0"/>
      <w:marRight w:val="0"/>
      <w:marTop w:val="0"/>
      <w:marBottom w:val="0"/>
      <w:divBdr>
        <w:top w:val="none" w:sz="0" w:space="0" w:color="auto"/>
        <w:left w:val="none" w:sz="0" w:space="0" w:color="auto"/>
        <w:bottom w:val="none" w:sz="0" w:space="0" w:color="auto"/>
        <w:right w:val="none" w:sz="0" w:space="0" w:color="auto"/>
      </w:divBdr>
    </w:div>
    <w:div w:id="20288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2CEB-CC13-4EC2-9695-0B15E14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2</TotalTime>
  <Pages>1</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Milagro del R. Salmeron</cp:lastModifiedBy>
  <cp:revision>2</cp:revision>
  <cp:lastPrinted>2010-12-02T21:21:00Z</cp:lastPrinted>
  <dcterms:created xsi:type="dcterms:W3CDTF">2010-12-02T21:22:00Z</dcterms:created>
  <dcterms:modified xsi:type="dcterms:W3CDTF">2010-12-02T21:22:00Z</dcterms:modified>
</cp:coreProperties>
</file>