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B3" w:rsidRPr="001222EB" w:rsidRDefault="00A35FB3" w:rsidP="005C5A12">
      <w:pPr>
        <w:pStyle w:val="Header"/>
        <w:spacing w:line="480" w:lineRule="auto"/>
        <w:rPr>
          <w:bCs/>
        </w:rPr>
      </w:pPr>
      <w:r w:rsidRPr="001222EB">
        <w:rPr>
          <w:bCs/>
        </w:rPr>
        <w:t>PUBLIC MATTER – NOT DESIGNATED FOR PUBLICATION</w:t>
      </w:r>
    </w:p>
    <w:p w:rsidR="00A35FB3" w:rsidRDefault="000778D1" w:rsidP="005C5A12">
      <w:pPr>
        <w:spacing w:line="480" w:lineRule="auto"/>
        <w:rPr>
          <w:b/>
          <w:bCs/>
        </w:rPr>
      </w:pPr>
      <w:r>
        <w:rPr>
          <w:b/>
          <w:bCs/>
        </w:rPr>
        <w:tab/>
      </w:r>
      <w:r>
        <w:rPr>
          <w:b/>
          <w:bCs/>
        </w:rPr>
        <w:tab/>
      </w:r>
      <w:r>
        <w:rPr>
          <w:b/>
          <w:bCs/>
        </w:rPr>
        <w:tab/>
      </w:r>
      <w:r>
        <w:rPr>
          <w:b/>
          <w:bCs/>
        </w:rPr>
        <w:tab/>
      </w:r>
      <w:r>
        <w:rPr>
          <w:b/>
          <w:bCs/>
        </w:rPr>
        <w:tab/>
      </w:r>
      <w:r>
        <w:rPr>
          <w:b/>
          <w:bCs/>
        </w:rPr>
        <w:tab/>
      </w:r>
      <w:r>
        <w:rPr>
          <w:b/>
          <w:bCs/>
        </w:rPr>
        <w:tab/>
      </w:r>
      <w:r>
        <w:rPr>
          <w:b/>
          <w:bCs/>
        </w:rPr>
        <w:tab/>
        <w:t>Filed March 4, 2011</w:t>
      </w:r>
    </w:p>
    <w:p w:rsidR="00A35FB3" w:rsidRDefault="00A35FB3" w:rsidP="00C9654F">
      <w:pPr>
        <w:rPr>
          <w:b/>
          <w:bCs/>
        </w:rPr>
      </w:pPr>
    </w:p>
    <w:p w:rsidR="00A35FB3" w:rsidRDefault="00A35FB3" w:rsidP="00C9654F">
      <w:pPr>
        <w:rPr>
          <w:b/>
          <w:bCs/>
        </w:rPr>
      </w:pPr>
    </w:p>
    <w:p w:rsidR="00A35FB3" w:rsidRDefault="00A35FB3" w:rsidP="00C9654F">
      <w:pPr>
        <w:jc w:val="center"/>
        <w:rPr>
          <w:b/>
          <w:bCs/>
          <w:sz w:val="26"/>
          <w:szCs w:val="26"/>
        </w:rPr>
      </w:pPr>
      <w:r>
        <w:rPr>
          <w:b/>
          <w:bCs/>
          <w:sz w:val="26"/>
          <w:szCs w:val="26"/>
        </w:rPr>
        <w:t>ST</w:t>
      </w:r>
      <w:r w:rsidR="00BC78D4">
        <w:rPr>
          <w:b/>
          <w:bCs/>
          <w:sz w:val="26"/>
          <w:szCs w:val="26"/>
        </w:rPr>
        <w:t>A</w:t>
      </w:r>
      <w:r>
        <w:rPr>
          <w:b/>
          <w:bCs/>
          <w:sz w:val="26"/>
          <w:szCs w:val="26"/>
        </w:rPr>
        <w:t>TE BAR COURT</w:t>
      </w:r>
      <w:r w:rsidR="001222EB">
        <w:rPr>
          <w:b/>
          <w:bCs/>
          <w:sz w:val="26"/>
          <w:szCs w:val="26"/>
        </w:rPr>
        <w:t xml:space="preserve"> OF CALIFORNIA</w:t>
      </w:r>
    </w:p>
    <w:p w:rsidR="001222EB" w:rsidRDefault="001222EB" w:rsidP="00C9654F">
      <w:pPr>
        <w:jc w:val="center"/>
        <w:rPr>
          <w:b/>
          <w:bCs/>
          <w:sz w:val="26"/>
          <w:szCs w:val="26"/>
        </w:rPr>
      </w:pPr>
    </w:p>
    <w:p w:rsidR="001222EB" w:rsidRDefault="001222EB" w:rsidP="00C9654F">
      <w:pPr>
        <w:jc w:val="center"/>
        <w:rPr>
          <w:b/>
          <w:bCs/>
          <w:sz w:val="26"/>
          <w:szCs w:val="26"/>
        </w:rPr>
      </w:pPr>
      <w:r>
        <w:rPr>
          <w:b/>
          <w:bCs/>
          <w:sz w:val="26"/>
          <w:szCs w:val="26"/>
        </w:rPr>
        <w:t>REVIEW DEPARTMENT</w:t>
      </w:r>
    </w:p>
    <w:p w:rsidR="001222EB" w:rsidRDefault="001222EB" w:rsidP="00C9654F">
      <w:pPr>
        <w:jc w:val="center"/>
        <w:rPr>
          <w:b/>
          <w:bCs/>
          <w:sz w:val="26"/>
          <w:szCs w:val="26"/>
        </w:rPr>
      </w:pPr>
    </w:p>
    <w:tbl>
      <w:tblPr>
        <w:tblW w:w="9628" w:type="dxa"/>
        <w:tblInd w:w="2" w:type="dxa"/>
        <w:tblLayout w:type="fixed"/>
        <w:tblCellMar>
          <w:left w:w="0" w:type="dxa"/>
          <w:right w:w="0" w:type="dxa"/>
        </w:tblCellMar>
        <w:tblLook w:val="0000"/>
      </w:tblPr>
      <w:tblGrid>
        <w:gridCol w:w="4588"/>
        <w:gridCol w:w="984"/>
        <w:gridCol w:w="4056"/>
      </w:tblGrid>
      <w:tr w:rsidR="00A35FB3" w:rsidRPr="001A7A18" w:rsidTr="001222EB">
        <w:trPr>
          <w:cantSplit/>
          <w:trHeight w:val="535"/>
        </w:trPr>
        <w:tc>
          <w:tcPr>
            <w:tcW w:w="4588" w:type="dxa"/>
            <w:vMerge w:val="restart"/>
            <w:tcBorders>
              <w:top w:val="nil"/>
              <w:left w:val="nil"/>
              <w:bottom w:val="single" w:sz="6" w:space="0" w:color="000000"/>
              <w:right w:val="nil"/>
            </w:tcBorders>
          </w:tcPr>
          <w:p w:rsidR="001222EB" w:rsidRDefault="001222EB" w:rsidP="00C9654F">
            <w:pPr>
              <w:rPr>
                <w:bCs/>
                <w:sz w:val="26"/>
                <w:szCs w:val="26"/>
              </w:rPr>
            </w:pPr>
            <w:bookmarkStart w:id="0" w:name="respondent"/>
            <w:bookmarkEnd w:id="0"/>
          </w:p>
          <w:p w:rsidR="00C9654F" w:rsidRPr="001222EB" w:rsidRDefault="001222EB" w:rsidP="00C9654F">
            <w:pPr>
              <w:rPr>
                <w:bCs/>
                <w:sz w:val="26"/>
                <w:szCs w:val="26"/>
              </w:rPr>
            </w:pPr>
            <w:r>
              <w:rPr>
                <w:bCs/>
                <w:sz w:val="26"/>
                <w:szCs w:val="26"/>
              </w:rPr>
              <w:t xml:space="preserve">In the Matter of </w:t>
            </w:r>
          </w:p>
          <w:p w:rsidR="001222EB" w:rsidRDefault="001222EB" w:rsidP="00C9654F">
            <w:pPr>
              <w:rPr>
                <w:b/>
                <w:bCs/>
                <w:sz w:val="26"/>
                <w:szCs w:val="26"/>
              </w:rPr>
            </w:pPr>
          </w:p>
          <w:p w:rsidR="009B68DF" w:rsidRPr="001222EB" w:rsidRDefault="00A35FB3" w:rsidP="00C9654F">
            <w:pPr>
              <w:rPr>
                <w:bCs/>
                <w:sz w:val="26"/>
                <w:szCs w:val="26"/>
              </w:rPr>
            </w:pPr>
            <w:r w:rsidRPr="001222EB">
              <w:rPr>
                <w:bCs/>
                <w:sz w:val="26"/>
                <w:szCs w:val="26"/>
              </w:rPr>
              <w:t>WILLIE ED PHILLIPS</w:t>
            </w:r>
            <w:r w:rsidR="00FB7636">
              <w:rPr>
                <w:bCs/>
                <w:sz w:val="26"/>
                <w:szCs w:val="26"/>
              </w:rPr>
              <w:t>,</w:t>
            </w:r>
          </w:p>
          <w:p w:rsidR="00C9654F" w:rsidRDefault="00C9654F" w:rsidP="00C9654F">
            <w:pPr>
              <w:rPr>
                <w:sz w:val="26"/>
                <w:szCs w:val="26"/>
              </w:rPr>
            </w:pPr>
          </w:p>
          <w:p w:rsidR="00A35FB3" w:rsidRPr="001A7A18" w:rsidRDefault="00A35FB3" w:rsidP="00C9654F">
            <w:pPr>
              <w:rPr>
                <w:sz w:val="26"/>
                <w:szCs w:val="26"/>
              </w:rPr>
            </w:pPr>
            <w:r>
              <w:rPr>
                <w:sz w:val="26"/>
                <w:szCs w:val="26"/>
              </w:rPr>
              <w:t>A Member of the State Bar</w:t>
            </w:r>
            <w:r w:rsidR="001222EB">
              <w:rPr>
                <w:sz w:val="26"/>
                <w:szCs w:val="26"/>
              </w:rPr>
              <w:t>, No. 56009.</w:t>
            </w:r>
          </w:p>
        </w:tc>
        <w:tc>
          <w:tcPr>
            <w:tcW w:w="984" w:type="dxa"/>
            <w:vMerge w:val="restart"/>
            <w:tcBorders>
              <w:top w:val="nil"/>
              <w:left w:val="nil"/>
              <w:bottom w:val="nil"/>
              <w:right w:val="nil"/>
            </w:tcBorders>
          </w:tcPr>
          <w:p w:rsidR="00C9654F" w:rsidRDefault="00C9654F" w:rsidP="00C9654F">
            <w:pPr>
              <w:spacing w:before="30"/>
              <w:rPr>
                <w:sz w:val="26"/>
                <w:szCs w:val="26"/>
              </w:rPr>
            </w:pPr>
          </w:p>
          <w:p w:rsidR="00A35FB3" w:rsidRPr="001A7A18" w:rsidRDefault="00A35FB3" w:rsidP="00C9654F">
            <w:pPr>
              <w:spacing w:before="30"/>
              <w:rPr>
                <w:sz w:val="26"/>
                <w:szCs w:val="26"/>
              </w:rPr>
            </w:pPr>
            <w:r w:rsidRPr="001A7A18">
              <w:rPr>
                <w:sz w:val="26"/>
                <w:szCs w:val="26"/>
              </w:rPr>
              <w:t>)</w:t>
            </w:r>
          </w:p>
          <w:p w:rsidR="00A35FB3" w:rsidRPr="001A7A18" w:rsidRDefault="00A35FB3" w:rsidP="00C9654F">
            <w:pPr>
              <w:rPr>
                <w:sz w:val="26"/>
                <w:szCs w:val="26"/>
              </w:rPr>
            </w:pPr>
            <w:r w:rsidRPr="001A7A18">
              <w:rPr>
                <w:sz w:val="26"/>
                <w:szCs w:val="26"/>
              </w:rPr>
              <w:t>)</w:t>
            </w:r>
          </w:p>
          <w:p w:rsidR="00A35FB3" w:rsidRPr="001A7A18" w:rsidRDefault="00A35FB3" w:rsidP="00C9654F">
            <w:pPr>
              <w:rPr>
                <w:sz w:val="26"/>
                <w:szCs w:val="26"/>
              </w:rPr>
            </w:pPr>
            <w:r w:rsidRPr="001A7A18">
              <w:rPr>
                <w:sz w:val="26"/>
                <w:szCs w:val="26"/>
              </w:rPr>
              <w:t>)</w:t>
            </w:r>
          </w:p>
          <w:p w:rsidR="001222EB" w:rsidRDefault="00A35FB3" w:rsidP="001222EB">
            <w:pPr>
              <w:rPr>
                <w:sz w:val="26"/>
                <w:szCs w:val="26"/>
              </w:rPr>
            </w:pPr>
            <w:r w:rsidRPr="001A7A18">
              <w:rPr>
                <w:sz w:val="26"/>
                <w:szCs w:val="26"/>
              </w:rPr>
              <w:t>)</w:t>
            </w:r>
          </w:p>
          <w:p w:rsidR="009B68DF" w:rsidRDefault="009B68DF" w:rsidP="001222EB">
            <w:pPr>
              <w:rPr>
                <w:sz w:val="26"/>
                <w:szCs w:val="26"/>
              </w:rPr>
            </w:pPr>
            <w:r>
              <w:rPr>
                <w:sz w:val="26"/>
                <w:szCs w:val="26"/>
              </w:rPr>
              <w:t>)</w:t>
            </w:r>
          </w:p>
          <w:p w:rsidR="001222EB" w:rsidRPr="001A7A18" w:rsidRDefault="001222EB" w:rsidP="001222EB">
            <w:pPr>
              <w:rPr>
                <w:sz w:val="26"/>
                <w:szCs w:val="26"/>
              </w:rPr>
            </w:pPr>
            <w:r>
              <w:rPr>
                <w:sz w:val="26"/>
                <w:szCs w:val="26"/>
              </w:rPr>
              <w:t>)</w:t>
            </w:r>
          </w:p>
        </w:tc>
        <w:tc>
          <w:tcPr>
            <w:tcW w:w="4056" w:type="dxa"/>
            <w:tcBorders>
              <w:top w:val="nil"/>
              <w:left w:val="nil"/>
              <w:bottom w:val="nil"/>
              <w:right w:val="nil"/>
            </w:tcBorders>
          </w:tcPr>
          <w:p w:rsidR="009B68DF" w:rsidRDefault="009B68DF" w:rsidP="00C9654F">
            <w:pPr>
              <w:spacing w:before="30"/>
              <w:rPr>
                <w:b/>
                <w:bCs/>
                <w:sz w:val="26"/>
                <w:szCs w:val="26"/>
              </w:rPr>
            </w:pPr>
            <w:bookmarkStart w:id="1" w:name="caseno"/>
            <w:bookmarkEnd w:id="1"/>
          </w:p>
          <w:p w:rsidR="00A35FB3" w:rsidRPr="00314467" w:rsidRDefault="001222EB" w:rsidP="00C9654F">
            <w:pPr>
              <w:spacing w:before="30"/>
              <w:rPr>
                <w:bCs/>
                <w:sz w:val="26"/>
                <w:szCs w:val="26"/>
              </w:rPr>
            </w:pPr>
            <w:r>
              <w:rPr>
                <w:bCs/>
                <w:sz w:val="26"/>
                <w:szCs w:val="26"/>
              </w:rPr>
              <w:t xml:space="preserve">Case No. </w:t>
            </w:r>
            <w:r w:rsidR="00A35FB3" w:rsidRPr="001222EB">
              <w:rPr>
                <w:bCs/>
                <w:sz w:val="26"/>
                <w:szCs w:val="26"/>
              </w:rPr>
              <w:t>05-O-03782</w:t>
            </w:r>
            <w:r w:rsidR="00A35FB3" w:rsidRPr="00314467">
              <w:rPr>
                <w:bCs/>
                <w:sz w:val="26"/>
                <w:szCs w:val="26"/>
              </w:rPr>
              <w:t xml:space="preserve"> (06-O-13490)</w:t>
            </w:r>
          </w:p>
        </w:tc>
      </w:tr>
      <w:tr w:rsidR="00A35FB3" w:rsidRPr="001A7A18" w:rsidTr="001222EB">
        <w:trPr>
          <w:cantSplit/>
          <w:trHeight w:val="1218"/>
        </w:trPr>
        <w:tc>
          <w:tcPr>
            <w:tcW w:w="4588" w:type="dxa"/>
            <w:vMerge/>
            <w:tcBorders>
              <w:top w:val="nil"/>
              <w:left w:val="nil"/>
              <w:bottom w:val="single" w:sz="6" w:space="0" w:color="000000"/>
              <w:right w:val="nil"/>
            </w:tcBorders>
          </w:tcPr>
          <w:p w:rsidR="00A35FB3" w:rsidRPr="001A7A18" w:rsidRDefault="00A35FB3" w:rsidP="00C9654F">
            <w:pPr>
              <w:spacing w:before="30"/>
              <w:rPr>
                <w:sz w:val="26"/>
                <w:szCs w:val="26"/>
              </w:rPr>
            </w:pPr>
          </w:p>
        </w:tc>
        <w:tc>
          <w:tcPr>
            <w:tcW w:w="984" w:type="dxa"/>
            <w:vMerge/>
            <w:tcBorders>
              <w:top w:val="nil"/>
              <w:left w:val="nil"/>
              <w:bottom w:val="nil"/>
              <w:right w:val="nil"/>
            </w:tcBorders>
          </w:tcPr>
          <w:p w:rsidR="00A35FB3" w:rsidRPr="001A7A18" w:rsidRDefault="00A35FB3" w:rsidP="00C9654F">
            <w:pPr>
              <w:spacing w:before="30"/>
              <w:rPr>
                <w:sz w:val="26"/>
                <w:szCs w:val="26"/>
              </w:rPr>
            </w:pPr>
          </w:p>
        </w:tc>
        <w:tc>
          <w:tcPr>
            <w:tcW w:w="4056" w:type="dxa"/>
            <w:tcBorders>
              <w:top w:val="nil"/>
              <w:left w:val="nil"/>
              <w:bottom w:val="nil"/>
              <w:right w:val="nil"/>
            </w:tcBorders>
          </w:tcPr>
          <w:p w:rsidR="009B68DF" w:rsidRDefault="009B68DF" w:rsidP="00C9654F">
            <w:pPr>
              <w:pStyle w:val="Heading1"/>
              <w:spacing w:line="240" w:lineRule="auto"/>
              <w:rPr>
                <w:sz w:val="26"/>
                <w:szCs w:val="26"/>
              </w:rPr>
            </w:pPr>
          </w:p>
          <w:p w:rsidR="00A35FB3" w:rsidRPr="001222EB" w:rsidRDefault="00A35FB3" w:rsidP="00C9654F">
            <w:pPr>
              <w:pStyle w:val="Heading1"/>
              <w:spacing w:line="240" w:lineRule="auto"/>
              <w:rPr>
                <w:b w:val="0"/>
                <w:sz w:val="26"/>
                <w:szCs w:val="26"/>
              </w:rPr>
            </w:pPr>
            <w:r w:rsidRPr="001222EB">
              <w:rPr>
                <w:b w:val="0"/>
                <w:sz w:val="26"/>
                <w:szCs w:val="26"/>
              </w:rPr>
              <w:t xml:space="preserve">OPINION </w:t>
            </w:r>
            <w:r w:rsidR="008251F5" w:rsidRPr="001222EB">
              <w:rPr>
                <w:b w:val="0"/>
                <w:sz w:val="26"/>
                <w:szCs w:val="26"/>
              </w:rPr>
              <w:t>AND ORDER</w:t>
            </w:r>
          </w:p>
          <w:p w:rsidR="00A35FB3" w:rsidRPr="001A7A18" w:rsidRDefault="00A35FB3" w:rsidP="00C9654F">
            <w:pPr>
              <w:pStyle w:val="Heading1"/>
              <w:spacing w:line="240" w:lineRule="auto"/>
              <w:rPr>
                <w:sz w:val="26"/>
                <w:szCs w:val="26"/>
              </w:rPr>
            </w:pPr>
          </w:p>
          <w:p w:rsidR="00A35FB3" w:rsidRPr="001A7A18" w:rsidRDefault="00A35FB3" w:rsidP="00C9654F">
            <w:pPr>
              <w:pStyle w:val="Heading1"/>
              <w:spacing w:line="240" w:lineRule="auto"/>
              <w:rPr>
                <w:sz w:val="26"/>
                <w:szCs w:val="26"/>
              </w:rPr>
            </w:pPr>
          </w:p>
        </w:tc>
      </w:tr>
    </w:tbl>
    <w:p w:rsidR="00A35FB3" w:rsidRDefault="00A35FB3" w:rsidP="00C9654F">
      <w:bookmarkStart w:id="2" w:name="start"/>
      <w:bookmarkEnd w:id="2"/>
    </w:p>
    <w:p w:rsidR="00A35FB3" w:rsidRDefault="00A35FB3" w:rsidP="00C9654F">
      <w:pPr>
        <w:pStyle w:val="ListParagraph"/>
        <w:ind w:left="1080"/>
      </w:pPr>
    </w:p>
    <w:p w:rsidR="00A35FB3" w:rsidRDefault="00A35FB3" w:rsidP="00CA20B5">
      <w:pPr>
        <w:pStyle w:val="ListParagraph"/>
        <w:spacing w:line="480" w:lineRule="auto"/>
        <w:ind w:left="0"/>
        <w:jc w:val="center"/>
        <w:rPr>
          <w:b/>
          <w:bCs/>
        </w:rPr>
      </w:pPr>
      <w:r>
        <w:rPr>
          <w:b/>
        </w:rPr>
        <w:t xml:space="preserve">I.  </w:t>
      </w:r>
      <w:r>
        <w:rPr>
          <w:b/>
          <w:bCs/>
        </w:rPr>
        <w:t>STATEMENT OF THE CASE</w:t>
      </w:r>
    </w:p>
    <w:p w:rsidR="00D96128" w:rsidRDefault="00CA20B5" w:rsidP="00CA20B5">
      <w:pPr>
        <w:spacing w:line="480" w:lineRule="auto"/>
      </w:pPr>
      <w:r>
        <w:tab/>
      </w:r>
      <w:r w:rsidR="0035273B">
        <w:t xml:space="preserve">From 1994 to 2004, Willie Ed Phillips committed misconduct </w:t>
      </w:r>
      <w:r w:rsidR="005000D1">
        <w:t>in</w:t>
      </w:r>
      <w:r w:rsidR="0035273B">
        <w:t xml:space="preserve"> </w:t>
      </w:r>
      <w:r w:rsidR="00F54991">
        <w:t xml:space="preserve">several </w:t>
      </w:r>
      <w:r w:rsidR="0035273B">
        <w:t xml:space="preserve">cases before the </w:t>
      </w:r>
      <w:r w:rsidR="001222EB">
        <w:t>U. S. Bank</w:t>
      </w:r>
      <w:r w:rsidR="0035273B">
        <w:t>ruptcy Court</w:t>
      </w:r>
      <w:r w:rsidR="001222EB">
        <w:t>, Northern District</w:t>
      </w:r>
      <w:r w:rsidR="007C3EBD">
        <w:t xml:space="preserve"> of California</w:t>
      </w:r>
      <w:r w:rsidR="001222EB">
        <w:t>, Oakland Division (Oakland Court)</w:t>
      </w:r>
      <w:r w:rsidR="0035273B">
        <w:t xml:space="preserve">.  </w:t>
      </w:r>
      <w:r w:rsidR="00F54991">
        <w:t xml:space="preserve">Shortly after his misconduct began, the bankruptcy judges </w:t>
      </w:r>
      <w:r w:rsidR="005000D1">
        <w:t xml:space="preserve">formally </w:t>
      </w:r>
      <w:r w:rsidR="00CE3BA0">
        <w:t>warned</w:t>
      </w:r>
      <w:r w:rsidR="005000D1">
        <w:t xml:space="preserve"> him </w:t>
      </w:r>
      <w:r w:rsidR="00F51F07">
        <w:t>that future wrongdoing would not be tolerated</w:t>
      </w:r>
      <w:r w:rsidR="00F54991">
        <w:t xml:space="preserve">.  Despite this warning, Phillips </w:t>
      </w:r>
      <w:r w:rsidR="00991BF7">
        <w:t>persisted in violating</w:t>
      </w:r>
      <w:r w:rsidR="00CA6578">
        <w:t xml:space="preserve"> </w:t>
      </w:r>
      <w:r w:rsidR="0035273B">
        <w:t>the rules of practice</w:t>
      </w:r>
      <w:r w:rsidR="005000D1">
        <w:t xml:space="preserve"> and the court’s orders</w:t>
      </w:r>
      <w:r w:rsidR="0035273B">
        <w:t xml:space="preserve">.  Finally, in </w:t>
      </w:r>
      <w:r w:rsidR="00E57E21">
        <w:t>2005, the U</w:t>
      </w:r>
      <w:r w:rsidR="00991BF7">
        <w:t xml:space="preserve">. S. </w:t>
      </w:r>
      <w:r w:rsidR="00E57E21">
        <w:t xml:space="preserve">Trustee for </w:t>
      </w:r>
      <w:r w:rsidR="00151299">
        <w:t xml:space="preserve">the </w:t>
      </w:r>
      <w:r w:rsidR="00F54991">
        <w:t xml:space="preserve">Oakland </w:t>
      </w:r>
      <w:r w:rsidR="00991BF7">
        <w:t>C</w:t>
      </w:r>
      <w:r w:rsidR="00F54991">
        <w:t>ourt</w:t>
      </w:r>
      <w:r w:rsidR="00E57E21">
        <w:t xml:space="preserve"> (Trustee</w:t>
      </w:r>
      <w:r w:rsidR="00FB7636">
        <w:t>)</w:t>
      </w:r>
      <w:r w:rsidR="00E57E21">
        <w:rPr>
          <w:rStyle w:val="FootnoteReference"/>
        </w:rPr>
        <w:footnoteReference w:id="1"/>
      </w:r>
      <w:r w:rsidR="00F54991">
        <w:t xml:space="preserve"> wrote a l</w:t>
      </w:r>
      <w:r w:rsidR="00151299">
        <w:t>e</w:t>
      </w:r>
      <w:r w:rsidR="00F54991">
        <w:t>tter reporting</w:t>
      </w:r>
      <w:r w:rsidR="0035273B">
        <w:t xml:space="preserve"> Phillips’s misconduct </w:t>
      </w:r>
      <w:r w:rsidR="00847900">
        <w:t xml:space="preserve">to </w:t>
      </w:r>
      <w:r w:rsidR="001102A4">
        <w:t>t</w:t>
      </w:r>
      <w:r w:rsidR="00E57E21">
        <w:t xml:space="preserve">he </w:t>
      </w:r>
      <w:r w:rsidR="00EF1234">
        <w:t xml:space="preserve">Office of </w:t>
      </w:r>
      <w:r w:rsidR="004E548C">
        <w:t xml:space="preserve">the </w:t>
      </w:r>
      <w:r w:rsidR="00EF1234">
        <w:t xml:space="preserve">Chief Trial Counsel </w:t>
      </w:r>
      <w:r w:rsidR="00151299">
        <w:t xml:space="preserve">of the State Bar </w:t>
      </w:r>
      <w:r w:rsidR="00EF1234">
        <w:t>(State Bar)</w:t>
      </w:r>
      <w:r w:rsidR="00847900">
        <w:t xml:space="preserve">.  </w:t>
      </w:r>
      <w:r w:rsidR="0035273B">
        <w:t xml:space="preserve">The letter </w:t>
      </w:r>
      <w:r w:rsidR="00F54991">
        <w:t xml:space="preserve">referenced specific </w:t>
      </w:r>
      <w:r w:rsidR="001B505F">
        <w:t xml:space="preserve">cases in which </w:t>
      </w:r>
      <w:r w:rsidR="0035273B">
        <w:t xml:space="preserve">Phillips </w:t>
      </w:r>
      <w:r w:rsidR="00847900">
        <w:t xml:space="preserve">had </w:t>
      </w:r>
      <w:r w:rsidR="00DF7DC5">
        <w:t>acted improperly</w:t>
      </w:r>
      <w:r w:rsidR="00EF1234">
        <w:t xml:space="preserve">.  </w:t>
      </w:r>
      <w:r w:rsidR="001B505F">
        <w:t xml:space="preserve">Based on information from those court files and </w:t>
      </w:r>
      <w:r w:rsidR="00F54991">
        <w:t xml:space="preserve">a separate client complaint </w:t>
      </w:r>
      <w:r w:rsidR="00BB19EA">
        <w:t xml:space="preserve">arising from a </w:t>
      </w:r>
      <w:r w:rsidR="00F54991">
        <w:t>2006 civil case, t</w:t>
      </w:r>
      <w:r w:rsidR="0035273B">
        <w:t xml:space="preserve">he </w:t>
      </w:r>
      <w:r w:rsidR="005E352F">
        <w:t xml:space="preserve">State Bar filed </w:t>
      </w:r>
      <w:r w:rsidR="00BB19EA">
        <w:t>a</w:t>
      </w:r>
      <w:r w:rsidR="005E352F">
        <w:t xml:space="preserve"> Notice of Disciplinary Charges (NDC)</w:t>
      </w:r>
      <w:r w:rsidR="00BB19EA">
        <w:t xml:space="preserve"> on September 30, 2008</w:t>
      </w:r>
      <w:r w:rsidR="00CA41F3">
        <w:t xml:space="preserve">, which is </w:t>
      </w:r>
      <w:r w:rsidR="00487CB5">
        <w:t>Phillips’s fourth</w:t>
      </w:r>
      <w:r w:rsidR="00D96128">
        <w:t xml:space="preserve"> discipline case.  </w:t>
      </w:r>
    </w:p>
    <w:p w:rsidR="00151299" w:rsidRDefault="004E548C" w:rsidP="00CA20B5">
      <w:pPr>
        <w:spacing w:line="480" w:lineRule="auto"/>
      </w:pPr>
      <w:r>
        <w:lastRenderedPageBreak/>
        <w:tab/>
      </w:r>
      <w:r w:rsidR="00D96128">
        <w:t xml:space="preserve">Before trial, </w:t>
      </w:r>
      <w:r w:rsidR="00487CB5">
        <w:t>Phillips</w:t>
      </w:r>
      <w:r w:rsidR="005E352F">
        <w:t xml:space="preserve"> </w:t>
      </w:r>
      <w:r w:rsidR="00847900">
        <w:t>failed to</w:t>
      </w:r>
      <w:r w:rsidR="00EF1234">
        <w:t xml:space="preserve"> </w:t>
      </w:r>
      <w:r w:rsidR="00D96128">
        <w:t xml:space="preserve">adequately respond to </w:t>
      </w:r>
      <w:r w:rsidR="00EF1234">
        <w:t xml:space="preserve">pre-trial </w:t>
      </w:r>
      <w:r w:rsidR="00D96128">
        <w:t>discovery requests</w:t>
      </w:r>
      <w:r w:rsidR="001102A4">
        <w:t>, prompting</w:t>
      </w:r>
      <w:r w:rsidR="001B505F">
        <w:t xml:space="preserve"> </w:t>
      </w:r>
      <w:r w:rsidR="00EF1234">
        <w:t>the</w:t>
      </w:r>
      <w:r w:rsidR="00D96128">
        <w:t xml:space="preserve"> hearing judge </w:t>
      </w:r>
      <w:r w:rsidR="001102A4">
        <w:t xml:space="preserve">to </w:t>
      </w:r>
      <w:r w:rsidR="00D96128">
        <w:t xml:space="preserve">order </w:t>
      </w:r>
      <w:r w:rsidR="00487CB5">
        <w:t xml:space="preserve">issue </w:t>
      </w:r>
      <w:r w:rsidR="005E352F">
        <w:t xml:space="preserve">preclusion </w:t>
      </w:r>
      <w:r w:rsidR="00D96128">
        <w:t xml:space="preserve">sanctions, including that </w:t>
      </w:r>
      <w:r w:rsidR="00EF1234">
        <w:t xml:space="preserve">most </w:t>
      </w:r>
      <w:r w:rsidR="00A25503">
        <w:t>factual allegations in the NDC</w:t>
      </w:r>
      <w:r w:rsidR="00A2326A">
        <w:t>’s 23 counts of misconduct</w:t>
      </w:r>
      <w:r w:rsidR="00A25503">
        <w:t xml:space="preserve"> </w:t>
      </w:r>
      <w:r w:rsidR="00F16C84">
        <w:t xml:space="preserve">be </w:t>
      </w:r>
      <w:r w:rsidR="00A25503">
        <w:t xml:space="preserve">deemed admitted.  </w:t>
      </w:r>
      <w:r w:rsidR="00D96128">
        <w:t xml:space="preserve">Based largely on these admissions, the hearing judge found Phillips culpable of </w:t>
      </w:r>
      <w:r w:rsidR="00152C61">
        <w:t>2</w:t>
      </w:r>
      <w:r w:rsidR="00F16C84">
        <w:t>1</w:t>
      </w:r>
      <w:r w:rsidR="00D96128">
        <w:t xml:space="preserve"> counts of misconduct </w:t>
      </w:r>
      <w:r w:rsidR="00152C61">
        <w:t xml:space="preserve">– 14 </w:t>
      </w:r>
      <w:r w:rsidR="00BB19EA">
        <w:t>arising from</w:t>
      </w:r>
      <w:r w:rsidR="00D96128">
        <w:t xml:space="preserve"> </w:t>
      </w:r>
      <w:r w:rsidR="006A75A9">
        <w:t xml:space="preserve">the bankruptcy cases (case no. </w:t>
      </w:r>
      <w:r w:rsidR="00314467" w:rsidRPr="00314467">
        <w:rPr>
          <w:bCs/>
        </w:rPr>
        <w:t>05-O-03782</w:t>
      </w:r>
      <w:r w:rsidR="006A75A9">
        <w:rPr>
          <w:bCs/>
        </w:rPr>
        <w:t>)</w:t>
      </w:r>
      <w:r w:rsidR="00314467" w:rsidRPr="00314467">
        <w:rPr>
          <w:bCs/>
        </w:rPr>
        <w:t xml:space="preserve"> and </w:t>
      </w:r>
      <w:r w:rsidR="00152C61">
        <w:rPr>
          <w:bCs/>
        </w:rPr>
        <w:t>seven</w:t>
      </w:r>
      <w:r w:rsidR="00F16C84">
        <w:rPr>
          <w:bCs/>
        </w:rPr>
        <w:t xml:space="preserve"> </w:t>
      </w:r>
      <w:r w:rsidR="00152C61">
        <w:rPr>
          <w:bCs/>
        </w:rPr>
        <w:t>in</w:t>
      </w:r>
      <w:r w:rsidR="00F16C84">
        <w:rPr>
          <w:bCs/>
        </w:rPr>
        <w:t xml:space="preserve"> </w:t>
      </w:r>
      <w:r w:rsidR="005000D1">
        <w:rPr>
          <w:bCs/>
        </w:rPr>
        <w:t xml:space="preserve">the </w:t>
      </w:r>
      <w:r w:rsidR="00847900">
        <w:rPr>
          <w:bCs/>
        </w:rPr>
        <w:t>unrelated</w:t>
      </w:r>
      <w:r w:rsidR="00F16C84">
        <w:rPr>
          <w:bCs/>
        </w:rPr>
        <w:t xml:space="preserve"> </w:t>
      </w:r>
      <w:r w:rsidR="00306204">
        <w:rPr>
          <w:bCs/>
        </w:rPr>
        <w:t>civil case</w:t>
      </w:r>
      <w:r w:rsidR="00BB19EA">
        <w:rPr>
          <w:bCs/>
        </w:rPr>
        <w:t xml:space="preserve"> (case no</w:t>
      </w:r>
      <w:r w:rsidR="00314467" w:rsidRPr="00314467">
        <w:rPr>
          <w:bCs/>
        </w:rPr>
        <w:t>. 06-O-13490)</w:t>
      </w:r>
      <w:r w:rsidR="001E09F6">
        <w:rPr>
          <w:bCs/>
        </w:rPr>
        <w:t>.  Phillips’</w:t>
      </w:r>
      <w:r w:rsidR="001102A4">
        <w:rPr>
          <w:bCs/>
        </w:rPr>
        <w:t>s</w:t>
      </w:r>
      <w:r w:rsidR="001E09F6">
        <w:rPr>
          <w:bCs/>
        </w:rPr>
        <w:t xml:space="preserve"> unethical conduct </w:t>
      </w:r>
      <w:r w:rsidR="00847900">
        <w:rPr>
          <w:bCs/>
        </w:rPr>
        <w:t>included</w:t>
      </w:r>
      <w:r w:rsidR="00314467" w:rsidRPr="00314467">
        <w:t>:  (1) charging or collecting illegal fees</w:t>
      </w:r>
      <w:r w:rsidR="00433D09">
        <w:t>;</w:t>
      </w:r>
      <w:r w:rsidR="00306204">
        <w:t xml:space="preserve">  </w:t>
      </w:r>
      <w:r w:rsidR="00A2326A">
        <w:t xml:space="preserve"> </w:t>
      </w:r>
      <w:r w:rsidR="00433D09">
        <w:t xml:space="preserve">  </w:t>
      </w:r>
      <w:r w:rsidR="00314467" w:rsidRPr="00314467">
        <w:t>(2</w:t>
      </w:r>
      <w:r w:rsidR="00433D09">
        <w:t>) misappropriating client funds;</w:t>
      </w:r>
      <w:r w:rsidR="00314467" w:rsidRPr="00314467">
        <w:t xml:space="preserve"> (</w:t>
      </w:r>
      <w:r w:rsidR="00433D09">
        <w:t>3) failing to obey court orders;</w:t>
      </w:r>
      <w:r w:rsidR="00314467" w:rsidRPr="00314467">
        <w:t xml:space="preserve"> (4) com</w:t>
      </w:r>
      <w:r w:rsidR="00433D09">
        <w:t>mitting acts of moral turpitude;</w:t>
      </w:r>
      <w:r w:rsidR="00314467" w:rsidRPr="00314467">
        <w:t xml:space="preserve"> (5) misleading a judge</w:t>
      </w:r>
      <w:r w:rsidR="00433D09">
        <w:t>;</w:t>
      </w:r>
      <w:r w:rsidR="00314467" w:rsidRPr="00314467">
        <w:t xml:space="preserve"> (6) performing</w:t>
      </w:r>
      <w:r w:rsidR="00314467">
        <w:t xml:space="preserve"> </w:t>
      </w:r>
      <w:r w:rsidR="006A75A9">
        <w:t>incompetently</w:t>
      </w:r>
      <w:r w:rsidR="00433D09">
        <w:t>;</w:t>
      </w:r>
      <w:r w:rsidR="00D96128">
        <w:t xml:space="preserve"> (7) fail</w:t>
      </w:r>
      <w:r w:rsidR="00433D09">
        <w:t>ing to communicate with clients;</w:t>
      </w:r>
      <w:r w:rsidR="00D96128">
        <w:t xml:space="preserve"> and (8) violating the Federal Rules of Bankruptcy Procedure.</w:t>
      </w:r>
      <w:r w:rsidR="00D96128" w:rsidRPr="005A1022">
        <w:t xml:space="preserve"> </w:t>
      </w:r>
      <w:r w:rsidR="00D96128">
        <w:t xml:space="preserve"> </w:t>
      </w:r>
    </w:p>
    <w:p w:rsidR="00A35FB3" w:rsidRDefault="00847900" w:rsidP="00151299">
      <w:pPr>
        <w:spacing w:line="480" w:lineRule="auto"/>
        <w:ind w:firstLine="720"/>
      </w:pPr>
      <w:r>
        <w:t xml:space="preserve">With </w:t>
      </w:r>
      <w:r w:rsidR="0065249B">
        <w:t>five factors in aggravation</w:t>
      </w:r>
      <w:r w:rsidR="00E57E21">
        <w:t xml:space="preserve"> and none in </w:t>
      </w:r>
      <w:r w:rsidR="00DF18D0">
        <w:t>mitigation</w:t>
      </w:r>
      <w:r w:rsidR="00C81901">
        <w:t xml:space="preserve">, </w:t>
      </w:r>
      <w:r>
        <w:t xml:space="preserve">the hearing judge </w:t>
      </w:r>
      <w:r w:rsidR="00C81901">
        <w:t>recommended that</w:t>
      </w:r>
      <w:r w:rsidR="005E352F">
        <w:t xml:space="preserve"> Phillips be disbarred</w:t>
      </w:r>
      <w:r w:rsidR="00E57E21">
        <w:t xml:space="preserve">, noting </w:t>
      </w:r>
      <w:r>
        <w:t xml:space="preserve">his </w:t>
      </w:r>
      <w:r w:rsidR="005E352F">
        <w:t xml:space="preserve">“complete </w:t>
      </w:r>
      <w:r w:rsidR="0065249B">
        <w:t>lack of insight, recognition and remorse</w:t>
      </w:r>
      <w:r w:rsidR="00DF7DC5">
        <w:t>.</w:t>
      </w:r>
      <w:r w:rsidR="0065249B">
        <w:t>”</w:t>
      </w:r>
      <w:r w:rsidR="00E57E21">
        <w:t xml:space="preserve"> </w:t>
      </w:r>
      <w:r w:rsidR="00487CB5">
        <w:t xml:space="preserve"> </w:t>
      </w:r>
      <w:r w:rsidR="00D96128">
        <w:t xml:space="preserve">Phillips seeks review.  </w:t>
      </w:r>
    </w:p>
    <w:p w:rsidR="00A35FB3" w:rsidRDefault="00A35FB3" w:rsidP="00314467">
      <w:pPr>
        <w:spacing w:line="480" w:lineRule="auto"/>
        <w:jc w:val="center"/>
        <w:rPr>
          <w:b/>
        </w:rPr>
      </w:pPr>
      <w:r>
        <w:rPr>
          <w:b/>
        </w:rPr>
        <w:t xml:space="preserve">II. </w:t>
      </w:r>
      <w:r w:rsidR="001102A4">
        <w:rPr>
          <w:b/>
        </w:rPr>
        <w:t xml:space="preserve"> </w:t>
      </w:r>
      <w:r w:rsidRPr="0063762B">
        <w:rPr>
          <w:b/>
        </w:rPr>
        <w:t>ISSUES</w:t>
      </w:r>
      <w:r w:rsidR="005000D1">
        <w:rPr>
          <w:b/>
        </w:rPr>
        <w:t xml:space="preserve"> ON REVIEW</w:t>
      </w:r>
    </w:p>
    <w:p w:rsidR="00F0000B" w:rsidRDefault="00A35FB3">
      <w:pPr>
        <w:tabs>
          <w:tab w:val="left" w:pos="720"/>
        </w:tabs>
        <w:spacing w:line="480" w:lineRule="auto"/>
        <w:ind w:firstLine="720"/>
      </w:pPr>
      <w:r>
        <w:t>Phillips</w:t>
      </w:r>
      <w:r w:rsidR="006615E6">
        <w:t xml:space="preserve"> </w:t>
      </w:r>
      <w:r w:rsidR="00CA41F3">
        <w:t xml:space="preserve">requests that we reverse the </w:t>
      </w:r>
      <w:r w:rsidR="001E09F6">
        <w:t>heari</w:t>
      </w:r>
      <w:r w:rsidR="00151299">
        <w:t xml:space="preserve">ng judge’s decision.  He contends he is not culpable </w:t>
      </w:r>
      <w:r w:rsidR="004E548C">
        <w:t>of</w:t>
      </w:r>
      <w:r w:rsidR="005E352F">
        <w:t xml:space="preserve"> any misconduct</w:t>
      </w:r>
      <w:r w:rsidR="001E09F6">
        <w:t xml:space="preserve"> for four primary reasons:</w:t>
      </w:r>
      <w:r w:rsidR="005B3828">
        <w:t xml:space="preserve"> </w:t>
      </w:r>
      <w:r w:rsidR="007C3EBD">
        <w:t xml:space="preserve"> </w:t>
      </w:r>
      <w:r w:rsidR="005B3828">
        <w:t xml:space="preserve">(1) </w:t>
      </w:r>
      <w:r w:rsidR="001E09F6">
        <w:t xml:space="preserve">the hearing judge abused her discretion by ordering issue preclusion sanctions; </w:t>
      </w:r>
      <w:r>
        <w:t>(</w:t>
      </w:r>
      <w:r w:rsidR="00151299">
        <w:t>2</w:t>
      </w:r>
      <w:r w:rsidR="001E09F6">
        <w:t>)</w:t>
      </w:r>
      <w:r>
        <w:t xml:space="preserve"> the five-year</w:t>
      </w:r>
      <w:r w:rsidR="004E548C">
        <w:t xml:space="preserve"> limitations</w:t>
      </w:r>
      <w:r>
        <w:t xml:space="preserve"> </w:t>
      </w:r>
      <w:r w:rsidR="009C7437">
        <w:t xml:space="preserve">rule </w:t>
      </w:r>
      <w:r w:rsidR="005E352F">
        <w:t xml:space="preserve">and the doctrine of res judicata </w:t>
      </w:r>
      <w:r>
        <w:t>bar</w:t>
      </w:r>
      <w:r w:rsidR="009C7437">
        <w:t xml:space="preserve"> prosecution </w:t>
      </w:r>
      <w:r w:rsidR="00DF7DC5">
        <w:t>of certain charges</w:t>
      </w:r>
      <w:r w:rsidR="005B3828">
        <w:t>;</w:t>
      </w:r>
      <w:r w:rsidR="00151299" w:rsidRPr="00151299">
        <w:t xml:space="preserve"> </w:t>
      </w:r>
      <w:r w:rsidR="00151299">
        <w:t xml:space="preserve">(3) the State Bar did not prove </w:t>
      </w:r>
      <w:r w:rsidR="00CA41F3">
        <w:t>any</w:t>
      </w:r>
      <w:r w:rsidR="00151299">
        <w:t xml:space="preserve"> misconduct by clear and convincing evidence;</w:t>
      </w:r>
      <w:r w:rsidR="005B3828">
        <w:t xml:space="preserve"> </w:t>
      </w:r>
      <w:r w:rsidR="006A75A9">
        <w:t xml:space="preserve">and </w:t>
      </w:r>
      <w:r>
        <w:t>(4)</w:t>
      </w:r>
      <w:r w:rsidR="005E352F">
        <w:t xml:space="preserve"> the bankruptcy court’s findings and orders </w:t>
      </w:r>
      <w:r w:rsidR="00DF7DC5">
        <w:t xml:space="preserve">are based </w:t>
      </w:r>
      <w:r w:rsidR="005000D1">
        <w:t xml:space="preserve">on the court’s bias against him and are therefore </w:t>
      </w:r>
      <w:r w:rsidR="00DF7DC5">
        <w:t>punitive</w:t>
      </w:r>
      <w:r w:rsidR="001F5DC4">
        <w:t>.</w:t>
      </w:r>
      <w:r>
        <w:t xml:space="preserve">  In response, </w:t>
      </w:r>
      <w:r w:rsidR="00F731B0">
        <w:t xml:space="preserve">the </w:t>
      </w:r>
      <w:r>
        <w:t xml:space="preserve">State Bar asserts </w:t>
      </w:r>
      <w:r w:rsidR="00D62478">
        <w:t>th</w:t>
      </w:r>
      <w:r w:rsidR="004E548C">
        <w:t>at Phillips’s</w:t>
      </w:r>
      <w:r>
        <w:t xml:space="preserve"> contentions are without merit and </w:t>
      </w:r>
      <w:r w:rsidR="00D62478">
        <w:t xml:space="preserve">urges </w:t>
      </w:r>
      <w:r w:rsidR="004E548C">
        <w:t>his</w:t>
      </w:r>
      <w:r w:rsidR="00D62478">
        <w:t xml:space="preserve"> disbarment</w:t>
      </w:r>
      <w:r>
        <w:t>.</w:t>
      </w:r>
      <w:r w:rsidR="00741884">
        <w:t xml:space="preserve">  </w:t>
      </w:r>
      <w:r w:rsidR="001E09F6">
        <w:t xml:space="preserve">After considering </w:t>
      </w:r>
      <w:r w:rsidR="005000D1">
        <w:t xml:space="preserve">the record and the parties’ </w:t>
      </w:r>
      <w:r w:rsidR="001E09F6">
        <w:t>briefs on review, the issues before us are:</w:t>
      </w:r>
      <w:r>
        <w:t xml:space="preserve"> </w:t>
      </w:r>
    </w:p>
    <w:p w:rsidR="00A35FB3" w:rsidRDefault="00A35FB3" w:rsidP="000057C1">
      <w:pPr>
        <w:numPr>
          <w:ilvl w:val="0"/>
          <w:numId w:val="17"/>
        </w:numPr>
        <w:ind w:left="1080" w:hanging="360"/>
      </w:pPr>
      <w:r>
        <w:t>Did the hearing judge abuse her d</w:t>
      </w:r>
      <w:r w:rsidR="00DF7DC5">
        <w:t>iscretion by imposing the issue</w:t>
      </w:r>
      <w:r w:rsidR="005000D1">
        <w:t xml:space="preserve"> </w:t>
      </w:r>
      <w:r w:rsidR="00DF7DC5">
        <w:t xml:space="preserve">preclusion </w:t>
      </w:r>
      <w:r>
        <w:t>sanctions?</w:t>
      </w:r>
    </w:p>
    <w:p w:rsidR="000057C1" w:rsidRDefault="000057C1" w:rsidP="000057C1">
      <w:pPr>
        <w:ind w:left="1080"/>
      </w:pPr>
    </w:p>
    <w:p w:rsidR="002959B4" w:rsidRDefault="00A35FB3" w:rsidP="000057C1">
      <w:pPr>
        <w:numPr>
          <w:ilvl w:val="0"/>
          <w:numId w:val="17"/>
        </w:numPr>
        <w:ind w:left="1080" w:hanging="360"/>
      </w:pPr>
      <w:r>
        <w:t xml:space="preserve">Do the five-year </w:t>
      </w:r>
      <w:r w:rsidR="004E548C">
        <w:t xml:space="preserve">limitations </w:t>
      </w:r>
      <w:r w:rsidR="005E352F">
        <w:t xml:space="preserve">rule and the doctrine of res judicata bar prosecution of </w:t>
      </w:r>
      <w:r w:rsidR="001F5DC4">
        <w:t xml:space="preserve">any </w:t>
      </w:r>
      <w:r w:rsidR="0049732D">
        <w:t>misconduct charges</w:t>
      </w:r>
      <w:r>
        <w:t>?</w:t>
      </w:r>
    </w:p>
    <w:p w:rsidR="00433D09" w:rsidRDefault="00433D09" w:rsidP="000057C1">
      <w:pPr>
        <w:ind w:left="1080"/>
      </w:pPr>
    </w:p>
    <w:p w:rsidR="00A35FB3" w:rsidRDefault="00972A60" w:rsidP="000057C1">
      <w:pPr>
        <w:numPr>
          <w:ilvl w:val="0"/>
          <w:numId w:val="17"/>
        </w:numPr>
        <w:ind w:left="1080" w:hanging="360"/>
      </w:pPr>
      <w:r>
        <w:lastRenderedPageBreak/>
        <w:t xml:space="preserve">Did the State Bar prove by clear and convincing evidence that Phillips is culpable of </w:t>
      </w:r>
      <w:r w:rsidR="002959B4">
        <w:t xml:space="preserve">21 counts of </w:t>
      </w:r>
      <w:r>
        <w:t>misconduct</w:t>
      </w:r>
      <w:r w:rsidR="00A35FB3">
        <w:t>?</w:t>
      </w:r>
    </w:p>
    <w:p w:rsidR="000057C1" w:rsidRDefault="000057C1" w:rsidP="000057C1">
      <w:pPr>
        <w:ind w:left="1080"/>
      </w:pPr>
    </w:p>
    <w:p w:rsidR="00A35FB3" w:rsidRDefault="0049732D" w:rsidP="000057C1">
      <w:pPr>
        <w:numPr>
          <w:ilvl w:val="0"/>
          <w:numId w:val="17"/>
        </w:numPr>
        <w:ind w:left="1080" w:hanging="360"/>
      </w:pPr>
      <w:r>
        <w:t xml:space="preserve">If </w:t>
      </w:r>
      <w:r w:rsidR="00972A60">
        <w:t xml:space="preserve">Phillips is </w:t>
      </w:r>
      <w:r>
        <w:t xml:space="preserve">culpable, </w:t>
      </w:r>
      <w:r w:rsidR="001E09F6">
        <w:t>is disbarment the appropriate discipline to recommend</w:t>
      </w:r>
      <w:r w:rsidR="00A35FB3">
        <w:t xml:space="preserve">? </w:t>
      </w:r>
    </w:p>
    <w:p w:rsidR="00F238AC" w:rsidRDefault="00F238AC" w:rsidP="00F238AC">
      <w:pPr>
        <w:ind w:left="1080"/>
      </w:pPr>
    </w:p>
    <w:p w:rsidR="00A35FB3" w:rsidRPr="00E96F23" w:rsidRDefault="00A35FB3" w:rsidP="00C36212">
      <w:pPr>
        <w:spacing w:line="480" w:lineRule="auto"/>
        <w:jc w:val="center"/>
      </w:pPr>
      <w:r>
        <w:rPr>
          <w:b/>
        </w:rPr>
        <w:t>III.  S</w:t>
      </w:r>
      <w:r w:rsidRPr="00E96F23">
        <w:rPr>
          <w:b/>
        </w:rPr>
        <w:t>UMMARY</w:t>
      </w:r>
      <w:r w:rsidR="004D64C3">
        <w:rPr>
          <w:b/>
        </w:rPr>
        <w:t xml:space="preserve"> </w:t>
      </w:r>
      <w:r w:rsidRPr="00E96F23">
        <w:rPr>
          <w:b/>
        </w:rPr>
        <w:t>OF DECISION</w:t>
      </w:r>
      <w:r w:rsidR="005E352F">
        <w:rPr>
          <w:rStyle w:val="FootnoteReference"/>
          <w:b/>
        </w:rPr>
        <w:footnoteReference w:id="2"/>
      </w:r>
    </w:p>
    <w:p w:rsidR="00A35FB3" w:rsidRPr="00E4775C" w:rsidRDefault="00847900" w:rsidP="003C7D8F">
      <w:pPr>
        <w:spacing w:line="480" w:lineRule="auto"/>
        <w:ind w:firstLine="720"/>
        <w:rPr>
          <w:b/>
        </w:rPr>
      </w:pPr>
      <w:r>
        <w:t xml:space="preserve">We agree with the hearing judge’s </w:t>
      </w:r>
      <w:r w:rsidR="001E09F6">
        <w:t xml:space="preserve">decision </w:t>
      </w:r>
      <w:r w:rsidR="00CA41F3">
        <w:t>recommending</w:t>
      </w:r>
      <w:r w:rsidR="00151299">
        <w:t xml:space="preserve"> Phillips’s disbarment</w:t>
      </w:r>
      <w:r w:rsidR="005000D1">
        <w:t>.</w:t>
      </w:r>
      <w:r>
        <w:t xml:space="preserve">  </w:t>
      </w:r>
      <w:r w:rsidR="00733CAD">
        <w:t xml:space="preserve">As to procedural issues raised by Phillips, we find the hearing judge’s rulings to be correct.  </w:t>
      </w:r>
      <w:r w:rsidR="00CA41F3">
        <w:t>First, t</w:t>
      </w:r>
      <w:r>
        <w:t>h</w:t>
      </w:r>
      <w:r w:rsidR="00741884">
        <w:t xml:space="preserve">e judge </w:t>
      </w:r>
      <w:r w:rsidR="00733CAD">
        <w:t>properly imposed</w:t>
      </w:r>
      <w:r w:rsidR="00741884">
        <w:t xml:space="preserve"> issue preclusion sanctions as a final resort when Phillips </w:t>
      </w:r>
      <w:r>
        <w:t xml:space="preserve">repeatedly failed to </w:t>
      </w:r>
      <w:r w:rsidR="00741884">
        <w:t>respond to discovery</w:t>
      </w:r>
      <w:r w:rsidR="005000D1">
        <w:t xml:space="preserve">.  </w:t>
      </w:r>
      <w:r w:rsidR="00733CAD">
        <w:t xml:space="preserve">Second, she correctly ruled that </w:t>
      </w:r>
      <w:r w:rsidR="00741884">
        <w:t>neither</w:t>
      </w:r>
      <w:r w:rsidR="00E4775C">
        <w:t xml:space="preserve"> the </w:t>
      </w:r>
      <w:r w:rsidR="005E352F">
        <w:t xml:space="preserve">rule </w:t>
      </w:r>
      <w:r w:rsidR="00E4775C">
        <w:t>of limitations nor t</w:t>
      </w:r>
      <w:r w:rsidR="005E352F">
        <w:t>he doctrine of res judicata bar</w:t>
      </w:r>
      <w:r w:rsidR="0025131C">
        <w:t>s</w:t>
      </w:r>
      <w:r w:rsidR="00E4775C">
        <w:t xml:space="preserve"> </w:t>
      </w:r>
      <w:r w:rsidR="005E352F">
        <w:t xml:space="preserve">prosecution of </w:t>
      </w:r>
      <w:r w:rsidR="005000D1">
        <w:t xml:space="preserve">any charges.  </w:t>
      </w:r>
      <w:r w:rsidR="00733CAD">
        <w:t xml:space="preserve">We further conclude </w:t>
      </w:r>
      <w:r w:rsidR="005000D1">
        <w:t xml:space="preserve">the </w:t>
      </w:r>
      <w:r>
        <w:t>State Bar proved</w:t>
      </w:r>
      <w:r w:rsidR="00CA41F3">
        <w:t>, primarily through deemed admitted allegations in the NDC, that</w:t>
      </w:r>
      <w:r>
        <w:t xml:space="preserve"> Phillips</w:t>
      </w:r>
      <w:r w:rsidR="001E09F6">
        <w:t xml:space="preserve"> </w:t>
      </w:r>
      <w:r w:rsidR="00CA41F3">
        <w:t>committed</w:t>
      </w:r>
      <w:r w:rsidR="001E09F6">
        <w:t xml:space="preserve"> </w:t>
      </w:r>
      <w:r w:rsidR="00152C61">
        <w:t>1</w:t>
      </w:r>
      <w:r w:rsidR="00A2326A">
        <w:t>8</w:t>
      </w:r>
      <w:r w:rsidR="008161C9">
        <w:t xml:space="preserve"> </w:t>
      </w:r>
      <w:r w:rsidR="00D76733">
        <w:t>acts</w:t>
      </w:r>
      <w:r w:rsidR="005000D1">
        <w:t xml:space="preserve"> of misconduct.  </w:t>
      </w:r>
      <w:r w:rsidR="00CA41F3">
        <w:t xml:space="preserve">Given </w:t>
      </w:r>
      <w:r w:rsidR="00733CAD">
        <w:t>his</w:t>
      </w:r>
      <w:r w:rsidR="00CA41F3">
        <w:t xml:space="preserve"> lack of </w:t>
      </w:r>
      <w:r>
        <w:t xml:space="preserve">mitigation, </w:t>
      </w:r>
      <w:r w:rsidR="00566CE5">
        <w:t xml:space="preserve">record of three prior disciplines and </w:t>
      </w:r>
      <w:r>
        <w:t>lack</w:t>
      </w:r>
      <w:r w:rsidR="00CA41F3">
        <w:t xml:space="preserve"> of </w:t>
      </w:r>
      <w:r>
        <w:t>insight and remorse</w:t>
      </w:r>
      <w:r w:rsidR="00CA41F3">
        <w:t xml:space="preserve">, </w:t>
      </w:r>
      <w:r w:rsidR="00733CAD">
        <w:t>Phillips</w:t>
      </w:r>
      <w:r w:rsidR="00CA41F3">
        <w:t xml:space="preserve"> must be</w:t>
      </w:r>
      <w:r w:rsidR="001E09F6">
        <w:t xml:space="preserve"> disbarred</w:t>
      </w:r>
      <w:r>
        <w:t xml:space="preserve"> to </w:t>
      </w:r>
      <w:r w:rsidR="00566CE5">
        <w:t>protect the public, the courts and the legal profession.</w:t>
      </w:r>
      <w:r w:rsidR="00EE68B0">
        <w:rPr>
          <w:rStyle w:val="FootnoteReference"/>
        </w:rPr>
        <w:footnoteReference w:id="3"/>
      </w:r>
    </w:p>
    <w:p w:rsidR="00640BC2" w:rsidRPr="009C7437" w:rsidRDefault="009C7437" w:rsidP="003556E6">
      <w:pPr>
        <w:spacing w:line="480" w:lineRule="auto"/>
        <w:jc w:val="center"/>
        <w:rPr>
          <w:b/>
        </w:rPr>
      </w:pPr>
      <w:r>
        <w:rPr>
          <w:b/>
        </w:rPr>
        <w:t xml:space="preserve">IV.  </w:t>
      </w:r>
      <w:r w:rsidR="00640BC2" w:rsidRPr="009C7437">
        <w:rPr>
          <w:b/>
        </w:rPr>
        <w:t>GENERAL FACTUAL BACKGROUND</w:t>
      </w:r>
    </w:p>
    <w:p w:rsidR="001F5DC4" w:rsidRDefault="00640BC2" w:rsidP="001F5DC4">
      <w:pPr>
        <w:spacing w:line="480" w:lineRule="auto"/>
      </w:pPr>
      <w:r>
        <w:rPr>
          <w:b/>
        </w:rPr>
        <w:tab/>
      </w:r>
      <w:r>
        <w:t xml:space="preserve">Phillips was admitted to </w:t>
      </w:r>
      <w:r w:rsidR="002918DF">
        <w:t xml:space="preserve">the California </w:t>
      </w:r>
      <w:r w:rsidR="007C3EBD">
        <w:t>B</w:t>
      </w:r>
      <w:r w:rsidR="002918DF">
        <w:t xml:space="preserve">ar in </w:t>
      </w:r>
      <w:r w:rsidR="001F5DC4">
        <w:t xml:space="preserve">1973, and has focused </w:t>
      </w:r>
      <w:r w:rsidR="002918DF">
        <w:t xml:space="preserve">his solo practice </w:t>
      </w:r>
      <w:r w:rsidR="00CF6DC4">
        <w:t xml:space="preserve">on bankruptcy law, </w:t>
      </w:r>
      <w:r w:rsidR="002918DF">
        <w:t>appearing primarily before</w:t>
      </w:r>
      <w:r w:rsidR="00CF6DC4">
        <w:t xml:space="preserve"> the </w:t>
      </w:r>
      <w:r w:rsidR="00F238AC">
        <w:t xml:space="preserve">Oakland </w:t>
      </w:r>
      <w:r>
        <w:t>Court.  On January 23, 1992,</w:t>
      </w:r>
      <w:r w:rsidR="00CF6DC4">
        <w:t xml:space="preserve"> </w:t>
      </w:r>
      <w:r>
        <w:t xml:space="preserve">the three </w:t>
      </w:r>
      <w:r w:rsidR="00347131">
        <w:t xml:space="preserve">Oakland </w:t>
      </w:r>
      <w:r>
        <w:t xml:space="preserve">bankruptcy judges </w:t>
      </w:r>
      <w:r w:rsidR="00741884">
        <w:t>called a meeting</w:t>
      </w:r>
      <w:r w:rsidR="002959B4">
        <w:t xml:space="preserve"> with Phillips</w:t>
      </w:r>
      <w:r w:rsidR="00F90914">
        <w:t xml:space="preserve"> to</w:t>
      </w:r>
      <w:r w:rsidR="00566CE5">
        <w:t xml:space="preserve"> advise </w:t>
      </w:r>
      <w:r w:rsidR="002918DF">
        <w:t>him</w:t>
      </w:r>
      <w:r w:rsidR="00566CE5">
        <w:t xml:space="preserve"> that he had repeatedly violated the rules of practice and procedure </w:t>
      </w:r>
      <w:r w:rsidR="00347131">
        <w:t>related to</w:t>
      </w:r>
      <w:r w:rsidR="00566CE5">
        <w:t xml:space="preserve"> his employment and </w:t>
      </w:r>
      <w:r w:rsidR="006A75A9">
        <w:t>fees</w:t>
      </w:r>
      <w:r w:rsidR="00566CE5">
        <w:t xml:space="preserve">.  </w:t>
      </w:r>
      <w:r w:rsidR="006A75A9">
        <w:t>The judges told</w:t>
      </w:r>
      <w:r w:rsidR="000D7965">
        <w:t xml:space="preserve"> him they were troubled by his </w:t>
      </w:r>
      <w:r w:rsidR="006A75A9">
        <w:t xml:space="preserve">ethical lapses </w:t>
      </w:r>
      <w:r w:rsidR="000D7965">
        <w:t xml:space="preserve">and </w:t>
      </w:r>
      <w:r w:rsidR="00347131">
        <w:t xml:space="preserve">cautioned </w:t>
      </w:r>
      <w:r w:rsidR="00566CE5">
        <w:t xml:space="preserve">that </w:t>
      </w:r>
      <w:r w:rsidR="007C3EBD">
        <w:t xml:space="preserve">they would not tolerate </w:t>
      </w:r>
      <w:r w:rsidR="00566CE5">
        <w:t xml:space="preserve">future violations.  Despite this warning, Phillips </w:t>
      </w:r>
      <w:r w:rsidR="001E09F6">
        <w:t>persisted</w:t>
      </w:r>
      <w:r w:rsidR="00F90914">
        <w:t xml:space="preserve"> in his misconduct</w:t>
      </w:r>
      <w:r w:rsidR="001F5DC4">
        <w:t xml:space="preserve">.  </w:t>
      </w:r>
      <w:r w:rsidR="001E09F6">
        <w:t xml:space="preserve">As a result, </w:t>
      </w:r>
      <w:r w:rsidR="00443BC2">
        <w:t xml:space="preserve">the chief bankruptcy judge </w:t>
      </w:r>
      <w:r w:rsidR="00DF7DC5">
        <w:t xml:space="preserve">notified </w:t>
      </w:r>
      <w:r w:rsidR="00347131">
        <w:t>Phillips</w:t>
      </w:r>
      <w:r w:rsidR="00152C61">
        <w:t xml:space="preserve"> on November 2</w:t>
      </w:r>
      <w:r w:rsidR="00200CEF">
        <w:t>0, 1997</w:t>
      </w:r>
      <w:r w:rsidR="00443BC2">
        <w:t xml:space="preserve"> </w:t>
      </w:r>
      <w:r w:rsidR="00566CE5">
        <w:t xml:space="preserve">that </w:t>
      </w:r>
      <w:r w:rsidR="00F42CB7">
        <w:t xml:space="preserve">the Oakland judges would no longer </w:t>
      </w:r>
      <w:r w:rsidR="00443BC2">
        <w:t>grant</w:t>
      </w:r>
      <w:r w:rsidR="001F5DC4">
        <w:t xml:space="preserve"> his</w:t>
      </w:r>
      <w:r w:rsidR="00443BC2">
        <w:t xml:space="preserve"> applications </w:t>
      </w:r>
      <w:r w:rsidR="001F5DC4">
        <w:t>to appear in Chapter 11 cases.</w:t>
      </w:r>
      <w:r w:rsidR="00741884">
        <w:rPr>
          <w:rStyle w:val="FootnoteReference"/>
        </w:rPr>
        <w:footnoteReference w:id="4"/>
      </w:r>
      <w:r w:rsidR="001F5DC4">
        <w:t xml:space="preserve">  </w:t>
      </w:r>
    </w:p>
    <w:p w:rsidR="005105EE" w:rsidRDefault="009C7437" w:rsidP="005105EE">
      <w:pPr>
        <w:spacing w:line="480" w:lineRule="auto"/>
        <w:jc w:val="center"/>
        <w:rPr>
          <w:b/>
        </w:rPr>
      </w:pPr>
      <w:r>
        <w:rPr>
          <w:b/>
        </w:rPr>
        <w:t>V.  P</w:t>
      </w:r>
      <w:r w:rsidR="004D64C3" w:rsidRPr="009C7437">
        <w:rPr>
          <w:b/>
        </w:rPr>
        <w:t>ROCEDURAL ISSUES</w:t>
      </w:r>
    </w:p>
    <w:p w:rsidR="009C7437" w:rsidRDefault="005105EE" w:rsidP="005105EE">
      <w:pPr>
        <w:rPr>
          <w:b/>
        </w:rPr>
      </w:pPr>
      <w:r>
        <w:rPr>
          <w:b/>
        </w:rPr>
        <w:t>A.</w:t>
      </w:r>
      <w:r>
        <w:rPr>
          <w:b/>
        </w:rPr>
        <w:tab/>
        <w:t>THE HEARING JUDGE</w:t>
      </w:r>
      <w:r w:rsidR="003056DD">
        <w:rPr>
          <w:b/>
        </w:rPr>
        <w:t xml:space="preserve"> </w:t>
      </w:r>
      <w:r w:rsidR="001E09F6">
        <w:rPr>
          <w:b/>
        </w:rPr>
        <w:t>D</w:t>
      </w:r>
      <w:r w:rsidR="007C3EBD">
        <w:rPr>
          <w:b/>
        </w:rPr>
        <w:t xml:space="preserve">ID NOT ABUSE HER DISCRETION BY </w:t>
      </w:r>
      <w:r w:rsidR="001E09F6">
        <w:rPr>
          <w:b/>
        </w:rPr>
        <w:t xml:space="preserve">ORDERING </w:t>
      </w:r>
      <w:r w:rsidR="00F90914">
        <w:rPr>
          <w:b/>
        </w:rPr>
        <w:tab/>
      </w:r>
      <w:r w:rsidR="001E09F6">
        <w:rPr>
          <w:b/>
        </w:rPr>
        <w:t>ISSUE PRECLUSION SANCTIONS</w:t>
      </w:r>
    </w:p>
    <w:p w:rsidR="009C7437" w:rsidRPr="009C7437" w:rsidRDefault="009C7437" w:rsidP="009C7437">
      <w:pPr>
        <w:ind w:left="1800"/>
        <w:rPr>
          <w:b/>
        </w:rPr>
      </w:pPr>
    </w:p>
    <w:p w:rsidR="000D7965" w:rsidRDefault="0065772E" w:rsidP="004914FF">
      <w:pPr>
        <w:spacing w:line="480" w:lineRule="auto"/>
        <w:ind w:firstLine="720"/>
      </w:pPr>
      <w:r>
        <w:t>D</w:t>
      </w:r>
      <w:r w:rsidR="002918DF">
        <w:t xml:space="preserve">iscovery began on November </w:t>
      </w:r>
      <w:r w:rsidR="004D64C3">
        <w:t>18, 200</w:t>
      </w:r>
      <w:r w:rsidR="00F238AC">
        <w:t>8</w:t>
      </w:r>
      <w:r w:rsidR="004D64C3">
        <w:t xml:space="preserve">, </w:t>
      </w:r>
      <w:r w:rsidR="002918DF">
        <w:t xml:space="preserve">when </w:t>
      </w:r>
      <w:r w:rsidR="004D64C3">
        <w:t>the State Bar served Phillips with two sets of interrogatories</w:t>
      </w:r>
      <w:r w:rsidR="00F90914">
        <w:t>.  T</w:t>
      </w:r>
      <w:r w:rsidR="00684F23">
        <w:t xml:space="preserve">he first </w:t>
      </w:r>
      <w:r w:rsidR="007C3EBD">
        <w:t xml:space="preserve">set </w:t>
      </w:r>
      <w:r w:rsidR="00F90914">
        <w:t xml:space="preserve">was </w:t>
      </w:r>
      <w:r w:rsidR="00684F23">
        <w:t>about</w:t>
      </w:r>
      <w:r w:rsidR="004D64C3">
        <w:t xml:space="preserve"> culpability (Nos. 1 </w:t>
      </w:r>
      <w:r w:rsidR="007C3EBD">
        <w:t>-</w:t>
      </w:r>
      <w:r w:rsidR="004D64C3">
        <w:t xml:space="preserve"> 69) and </w:t>
      </w:r>
      <w:r w:rsidR="00684F23">
        <w:t>the</w:t>
      </w:r>
      <w:r w:rsidR="004D64C3">
        <w:t xml:space="preserve"> second concern</w:t>
      </w:r>
      <w:r w:rsidR="00F90914">
        <w:t>ed</w:t>
      </w:r>
      <w:r w:rsidR="004D64C3">
        <w:t xml:space="preserve"> mitigation (Nos. 70</w:t>
      </w:r>
      <w:r w:rsidR="007C3EBD">
        <w:t xml:space="preserve"> - </w:t>
      </w:r>
      <w:r w:rsidR="004D64C3">
        <w:t xml:space="preserve">72).  </w:t>
      </w:r>
      <w:r w:rsidR="007A7FFD">
        <w:t xml:space="preserve">Phillips did not file his response by </w:t>
      </w:r>
      <w:r w:rsidR="004914FF">
        <w:t xml:space="preserve">the </w:t>
      </w:r>
      <w:r w:rsidR="00684F23">
        <w:t>December 23, 200</w:t>
      </w:r>
      <w:r w:rsidR="007C3EBD">
        <w:t>8</w:t>
      </w:r>
      <w:r w:rsidR="00684F23">
        <w:t xml:space="preserve"> </w:t>
      </w:r>
      <w:r w:rsidR="004914FF">
        <w:t xml:space="preserve">statutory deadline.  </w:t>
      </w:r>
      <w:r w:rsidR="007A7FFD">
        <w:t>On December 30, 200</w:t>
      </w:r>
      <w:r w:rsidR="00F238AC">
        <w:t>8</w:t>
      </w:r>
      <w:r w:rsidR="007A7FFD">
        <w:t xml:space="preserve">, </w:t>
      </w:r>
      <w:r w:rsidR="00684F23">
        <w:t>t</w:t>
      </w:r>
      <w:r w:rsidR="007A7FFD">
        <w:t xml:space="preserve">he State Bar sent </w:t>
      </w:r>
      <w:r w:rsidR="00684F23">
        <w:t xml:space="preserve">Phillips </w:t>
      </w:r>
      <w:r w:rsidR="007A7FFD">
        <w:t xml:space="preserve">a “meet and confer” letter, and ultimately </w:t>
      </w:r>
      <w:r w:rsidR="004D64C3">
        <w:t>agreed to two extensions of time, making Phillips’s response</w:t>
      </w:r>
      <w:r w:rsidR="007C3EBD">
        <w:t>s</w:t>
      </w:r>
      <w:r w:rsidR="004D64C3">
        <w:t xml:space="preserve"> due on January 7, 2009.  After Phillips </w:t>
      </w:r>
      <w:r w:rsidR="00684F23">
        <w:t>failed to meet that deadline, t</w:t>
      </w:r>
      <w:r w:rsidR="004D64C3">
        <w:t>he State Bar</w:t>
      </w:r>
      <w:r w:rsidR="00C33B91">
        <w:t xml:space="preserve"> filed</w:t>
      </w:r>
      <w:r w:rsidR="007A7FFD">
        <w:t xml:space="preserve"> </w:t>
      </w:r>
      <w:r w:rsidR="004D64C3">
        <w:t>a motion to compel</w:t>
      </w:r>
      <w:r w:rsidR="00F238AC">
        <w:t xml:space="preserve"> on January 15, 2009</w:t>
      </w:r>
      <w:r w:rsidR="00151299">
        <w:t>.  Phillips</w:t>
      </w:r>
      <w:r w:rsidR="004D64C3">
        <w:t xml:space="preserve"> filed no opposition.</w:t>
      </w:r>
      <w:r w:rsidR="004914FF">
        <w:t xml:space="preserve">  </w:t>
      </w:r>
    </w:p>
    <w:p w:rsidR="004D64C3" w:rsidRDefault="004914FF" w:rsidP="004914FF">
      <w:pPr>
        <w:spacing w:line="480" w:lineRule="auto"/>
        <w:ind w:firstLine="720"/>
      </w:pPr>
      <w:r>
        <w:t>A</w:t>
      </w:r>
      <w:r w:rsidR="007946F3">
        <w:t xml:space="preserve">t a </w:t>
      </w:r>
      <w:r w:rsidR="00684F23">
        <w:t xml:space="preserve">February 23, 2009 </w:t>
      </w:r>
      <w:r w:rsidR="007946F3">
        <w:t>status conference</w:t>
      </w:r>
      <w:r w:rsidR="004D64C3">
        <w:t>, the hearing judge</w:t>
      </w:r>
      <w:r w:rsidR="007946F3">
        <w:t xml:space="preserve"> extended </w:t>
      </w:r>
      <w:r w:rsidR="003056DD">
        <w:t xml:space="preserve">Phillips’s </w:t>
      </w:r>
      <w:r w:rsidR="007946F3">
        <w:t>deadline to</w:t>
      </w:r>
      <w:r w:rsidR="003056DD">
        <w:t xml:space="preserve"> March 10, 2009 to </w:t>
      </w:r>
      <w:r w:rsidR="007946F3" w:rsidRPr="00080012">
        <w:t>“fully and completely respond without objection, limitation, or qualification to the State Bar’s interrogatories</w:t>
      </w:r>
      <w:r w:rsidR="00684F23">
        <w:t xml:space="preserve"> . . .</w:t>
      </w:r>
      <w:r w:rsidR="00151299">
        <w:t xml:space="preserve"> </w:t>
      </w:r>
      <w:r w:rsidR="007946F3" w:rsidRPr="00080012">
        <w:t>.”</w:t>
      </w:r>
      <w:r w:rsidR="004D64C3">
        <w:t xml:space="preserve">  Phillips again failed to</w:t>
      </w:r>
      <w:r w:rsidR="00F90914">
        <w:t xml:space="preserve"> meet the deadline</w:t>
      </w:r>
      <w:r w:rsidR="004D64C3">
        <w:t>.  On March 20, 2009, the State Bar filed a motion for sanctions</w:t>
      </w:r>
      <w:r w:rsidR="007F58EC">
        <w:t xml:space="preserve">.  Phillips did not </w:t>
      </w:r>
      <w:r w:rsidR="00151299">
        <w:t>respond</w:t>
      </w:r>
      <w:r w:rsidR="007A7FFD">
        <w:t xml:space="preserve">.  </w:t>
      </w:r>
      <w:r w:rsidR="00151299">
        <w:t xml:space="preserve">Three days later, on </w:t>
      </w:r>
      <w:r w:rsidR="004D64C3">
        <w:t xml:space="preserve">March 23, 2009, </w:t>
      </w:r>
      <w:r w:rsidR="007A7FFD">
        <w:t xml:space="preserve">Phillips </w:t>
      </w:r>
      <w:r w:rsidR="004D64C3">
        <w:t>filed</w:t>
      </w:r>
      <w:r w:rsidR="000D7965">
        <w:t xml:space="preserve"> a </w:t>
      </w:r>
      <w:r w:rsidR="00151299">
        <w:t xml:space="preserve">late </w:t>
      </w:r>
      <w:r w:rsidR="004D64C3">
        <w:t xml:space="preserve">response to </w:t>
      </w:r>
      <w:r w:rsidR="004D64C3" w:rsidRPr="00151299">
        <w:t>the</w:t>
      </w:r>
      <w:r w:rsidR="004D64C3" w:rsidRPr="00FC5173">
        <w:rPr>
          <w:i/>
        </w:rPr>
        <w:t xml:space="preserve"> first set </w:t>
      </w:r>
      <w:r w:rsidR="004D64C3" w:rsidRPr="00151299">
        <w:t>of</w:t>
      </w:r>
      <w:r w:rsidR="004D64C3" w:rsidRPr="00FC5173">
        <w:rPr>
          <w:i/>
        </w:rPr>
        <w:t xml:space="preserve"> </w:t>
      </w:r>
      <w:r w:rsidR="004D64C3" w:rsidRPr="00151299">
        <w:t>interrogatorie</w:t>
      </w:r>
      <w:r w:rsidR="00151299">
        <w:t>s</w:t>
      </w:r>
      <w:r w:rsidR="00F90914">
        <w:t xml:space="preserve"> </w:t>
      </w:r>
      <w:r w:rsidR="00733CAD">
        <w:t>but</w:t>
      </w:r>
      <w:r w:rsidR="00151299">
        <w:t xml:space="preserve"> </w:t>
      </w:r>
      <w:r w:rsidR="007A7FFD">
        <w:t xml:space="preserve">failed to </w:t>
      </w:r>
      <w:r w:rsidR="003056DD">
        <w:t xml:space="preserve">properly </w:t>
      </w:r>
      <w:r w:rsidR="007A7FFD">
        <w:t>state facts and identify documents or witnesses</w:t>
      </w:r>
      <w:r w:rsidR="003056DD">
        <w:t>.  On</w:t>
      </w:r>
      <w:r w:rsidR="00F1398F">
        <w:t xml:space="preserve"> April 7, 2009, t</w:t>
      </w:r>
      <w:r w:rsidR="002918DF">
        <w:t>he hearing judge denied the S</w:t>
      </w:r>
      <w:r w:rsidR="00151299">
        <w:t>tate Bar’s motion for sanctions</w:t>
      </w:r>
      <w:r w:rsidR="00D76733">
        <w:t xml:space="preserve"> but ordered</w:t>
      </w:r>
      <w:r w:rsidR="00151299">
        <w:t xml:space="preserve"> the State Bar to </w:t>
      </w:r>
      <w:r w:rsidR="002918DF">
        <w:t xml:space="preserve">submit </w:t>
      </w:r>
      <w:r w:rsidR="00F1398F">
        <w:t>a pleading specify</w:t>
      </w:r>
      <w:r w:rsidR="00684F23">
        <w:t>ing</w:t>
      </w:r>
      <w:r w:rsidR="00F1398F">
        <w:t xml:space="preserve"> how </w:t>
      </w:r>
      <w:r w:rsidR="003056DD">
        <w:t>each</w:t>
      </w:r>
      <w:r w:rsidR="00F1398F">
        <w:t xml:space="preserve"> </w:t>
      </w:r>
      <w:r w:rsidR="00151299">
        <w:t xml:space="preserve">of Phillips’s </w:t>
      </w:r>
      <w:r w:rsidR="00F90914">
        <w:t xml:space="preserve">interrogatory </w:t>
      </w:r>
      <w:r w:rsidR="00F1398F">
        <w:t>answer</w:t>
      </w:r>
      <w:r w:rsidR="00151299">
        <w:t xml:space="preserve">s </w:t>
      </w:r>
      <w:r w:rsidR="00F1398F">
        <w:t xml:space="preserve">was </w:t>
      </w:r>
      <w:r w:rsidR="00684F23">
        <w:t>inadequate</w:t>
      </w:r>
      <w:r w:rsidR="00F1398F">
        <w:t xml:space="preserve"> and </w:t>
      </w:r>
      <w:r w:rsidR="003056DD">
        <w:t>why sanctions were justified</w:t>
      </w:r>
      <w:r w:rsidR="00F1398F">
        <w:t>.</w:t>
      </w:r>
    </w:p>
    <w:p w:rsidR="004D64C3" w:rsidRDefault="00733CAD" w:rsidP="004D64C3">
      <w:pPr>
        <w:spacing w:line="480" w:lineRule="auto"/>
        <w:ind w:firstLine="720"/>
      </w:pPr>
      <w:r>
        <w:t>At a pretrial conference on April 13, 2009, t</w:t>
      </w:r>
      <w:r w:rsidR="004914FF">
        <w:t xml:space="preserve">he </w:t>
      </w:r>
      <w:r w:rsidR="004D64C3">
        <w:t xml:space="preserve">hearing judge gave </w:t>
      </w:r>
      <w:r w:rsidR="004914FF">
        <w:t xml:space="preserve">Phillips </w:t>
      </w:r>
      <w:r w:rsidR="004D64C3">
        <w:t>a final opportunity to fully respond</w:t>
      </w:r>
      <w:r>
        <w:t xml:space="preserve"> and</w:t>
      </w:r>
      <w:r w:rsidR="00B56A26">
        <w:t xml:space="preserve"> </w:t>
      </w:r>
      <w:r w:rsidR="004D64C3">
        <w:t xml:space="preserve">extended </w:t>
      </w:r>
      <w:r>
        <w:t xml:space="preserve">the </w:t>
      </w:r>
      <w:r w:rsidR="004D64C3">
        <w:t xml:space="preserve">due date </w:t>
      </w:r>
      <w:r w:rsidR="00151299">
        <w:t xml:space="preserve">for interrogatory responses </w:t>
      </w:r>
      <w:r w:rsidR="004D64C3">
        <w:t>to April 23</w:t>
      </w:r>
      <w:r w:rsidR="00F238AC">
        <w:t>rd</w:t>
      </w:r>
      <w:r w:rsidR="007946F3">
        <w:t xml:space="preserve">.  </w:t>
      </w:r>
      <w:r w:rsidR="004D64C3">
        <w:t xml:space="preserve">On April 22, 2009, </w:t>
      </w:r>
      <w:r w:rsidR="004D64C3" w:rsidRPr="003056DD">
        <w:rPr>
          <w:i/>
        </w:rPr>
        <w:t>for the first time</w:t>
      </w:r>
      <w:r w:rsidR="004D64C3">
        <w:t xml:space="preserve">, </w:t>
      </w:r>
      <w:r w:rsidR="003056DD">
        <w:t xml:space="preserve">Phillips served </w:t>
      </w:r>
      <w:r w:rsidR="00F1398F">
        <w:t>his response</w:t>
      </w:r>
      <w:r w:rsidR="004D64C3">
        <w:t xml:space="preserve"> to th</w:t>
      </w:r>
      <w:r w:rsidR="007F58EC">
        <w:t>e</w:t>
      </w:r>
      <w:r w:rsidR="001E09F6">
        <w:t xml:space="preserve"> three questions in the</w:t>
      </w:r>
      <w:r w:rsidR="007F58EC">
        <w:t xml:space="preserve"> second set of interrogatories, </w:t>
      </w:r>
      <w:r w:rsidR="000F67C2">
        <w:t>but</w:t>
      </w:r>
      <w:r w:rsidR="004D64C3">
        <w:t xml:space="preserve"> provided no further </w:t>
      </w:r>
      <w:r w:rsidR="007A7FFD">
        <w:t>answers</w:t>
      </w:r>
      <w:r w:rsidR="000F67C2">
        <w:t xml:space="preserve"> to</w:t>
      </w:r>
      <w:r w:rsidR="004D64C3">
        <w:t xml:space="preserve"> the </w:t>
      </w:r>
      <w:r w:rsidR="00F5208D">
        <w:t>69 questions in the first set</w:t>
      </w:r>
      <w:r w:rsidR="004D64C3">
        <w:t xml:space="preserve">.  </w:t>
      </w:r>
      <w:r w:rsidR="00F1398F">
        <w:t xml:space="preserve">On May 4, 2009, the State Bar filed its 195-page pleading </w:t>
      </w:r>
      <w:r w:rsidR="00164674">
        <w:t>detailing</w:t>
      </w:r>
      <w:r w:rsidR="00F1398F">
        <w:t xml:space="preserve"> the interrogatories, </w:t>
      </w:r>
      <w:r w:rsidR="00164674">
        <w:t>Phillips’s responses</w:t>
      </w:r>
      <w:r w:rsidR="00F1398F">
        <w:t xml:space="preserve"> and </w:t>
      </w:r>
      <w:r w:rsidR="00164674">
        <w:t xml:space="preserve">the </w:t>
      </w:r>
      <w:r w:rsidR="001E09F6">
        <w:t>reason</w:t>
      </w:r>
      <w:r w:rsidR="00151299">
        <w:t>s</w:t>
      </w:r>
      <w:r w:rsidR="001E09F6">
        <w:t xml:space="preserve"> </w:t>
      </w:r>
      <w:r w:rsidR="00F1398F">
        <w:t>for sanctions.</w:t>
      </w:r>
      <w:r w:rsidR="009D592D">
        <w:t xml:space="preserve">  </w:t>
      </w:r>
      <w:r w:rsidR="00DA7FB3">
        <w:t>The hearing judge</w:t>
      </w:r>
      <w:r w:rsidR="003056DD">
        <w:t xml:space="preserve"> </w:t>
      </w:r>
      <w:r w:rsidR="00DA7FB3">
        <w:t>found that Phillips had</w:t>
      </w:r>
      <w:r w:rsidR="004D64C3">
        <w:t xml:space="preserve"> willfully disobeyed </w:t>
      </w:r>
      <w:r w:rsidR="00F1398F">
        <w:t>her</w:t>
      </w:r>
      <w:r w:rsidR="004D64C3">
        <w:t xml:space="preserve"> initial February 23, 2009 order to </w:t>
      </w:r>
      <w:r w:rsidR="000F67C2">
        <w:t>fully answer</w:t>
      </w:r>
      <w:r w:rsidR="004D64C3">
        <w:t xml:space="preserve"> both sets of interrogatories</w:t>
      </w:r>
      <w:r w:rsidR="00164674">
        <w:t>.  She</w:t>
      </w:r>
      <w:r w:rsidR="001E09F6">
        <w:t xml:space="preserve"> imposed the </w:t>
      </w:r>
      <w:r w:rsidR="003056DD">
        <w:t>following sanctions:</w:t>
      </w:r>
      <w:r w:rsidR="007946F3">
        <w:t xml:space="preserve"> </w:t>
      </w:r>
      <w:r w:rsidR="004D64C3">
        <w:t xml:space="preserve"> (1) the NDC’s factual allegations were deemed admitted</w:t>
      </w:r>
      <w:r w:rsidR="00433D09">
        <w:t>;</w:t>
      </w:r>
      <w:r w:rsidR="004D64C3">
        <w:t xml:space="preserve"> (2) no evidence contradicting the deemed admitted evidence would be admitted</w:t>
      </w:r>
      <w:r w:rsidR="00127FC6">
        <w:t xml:space="preserve"> at trial</w:t>
      </w:r>
      <w:r w:rsidR="00433D09">
        <w:t>;</w:t>
      </w:r>
      <w:r w:rsidR="004D64C3">
        <w:t xml:space="preserve"> and (3) no documentary evidence related to mitigation would be admitted</w:t>
      </w:r>
      <w:r w:rsidR="00127FC6">
        <w:t xml:space="preserve"> at trial</w:t>
      </w:r>
      <w:r w:rsidR="004D64C3">
        <w:t>.</w:t>
      </w:r>
    </w:p>
    <w:p w:rsidR="001D0928" w:rsidRDefault="004D64C3" w:rsidP="004D64C3">
      <w:pPr>
        <w:spacing w:line="480" w:lineRule="auto"/>
      </w:pPr>
      <w:r>
        <w:tab/>
        <w:t xml:space="preserve">We review the hearing judge’s sanctions </w:t>
      </w:r>
      <w:r w:rsidR="007F58EC">
        <w:t xml:space="preserve">order </w:t>
      </w:r>
      <w:r>
        <w:t>under an abuse of discretion standard.  (</w:t>
      </w:r>
      <w:r>
        <w:rPr>
          <w:i/>
          <w:iCs/>
        </w:rPr>
        <w:t>In the Matter of Navarro</w:t>
      </w:r>
      <w:r>
        <w:t xml:space="preserve"> (1990) 1 Cal. State Bar Ct. Rptr. 192, 198 [Supreme Court applies abuse of discretion standard </w:t>
      </w:r>
      <w:r w:rsidR="00F42CB7">
        <w:t xml:space="preserve">for </w:t>
      </w:r>
      <w:r>
        <w:t>procedural motions</w:t>
      </w:r>
      <w:r w:rsidR="007C3EBD">
        <w:t xml:space="preserve"> in State Bar proceedings</w:t>
      </w:r>
      <w:r>
        <w:t>].)</w:t>
      </w:r>
      <w:r w:rsidR="00F42CB7">
        <w:t xml:space="preserve">  </w:t>
      </w:r>
      <w:r w:rsidR="001E09F6">
        <w:t>In doing so, we</w:t>
      </w:r>
      <w:r w:rsidR="007F58EC">
        <w:t xml:space="preserve"> are mindful that s</w:t>
      </w:r>
      <w:r w:rsidR="004914FF">
        <w:t xml:space="preserve">anctions </w:t>
      </w:r>
      <w:r>
        <w:t>orders are “subject to reversal only for arbitrary, capricious or whimsical action.”  (</w:t>
      </w:r>
      <w:r w:rsidRPr="00593B31">
        <w:rPr>
          <w:i/>
        </w:rPr>
        <w:t>Sauer v. Superior Court</w:t>
      </w:r>
      <w:r w:rsidR="002F3650">
        <w:t xml:space="preserve"> (1987) 195 Cal.</w:t>
      </w:r>
      <w:r>
        <w:t xml:space="preserve">App.3d 213, 228.)  </w:t>
      </w:r>
      <w:r w:rsidR="00F42CB7">
        <w:t xml:space="preserve">Indeed, </w:t>
      </w:r>
      <w:r w:rsidR="007F58EC">
        <w:t>a</w:t>
      </w:r>
      <w:r w:rsidR="004914FF">
        <w:t xml:space="preserve"> judge has </w:t>
      </w:r>
      <w:r>
        <w:t>broad discretion to choose among the possible sanctions</w:t>
      </w:r>
      <w:r w:rsidR="00C33B91">
        <w:t>, including an issue sanction when a party disobeys an order compelling interrogatory responses.</w:t>
      </w:r>
      <w:r>
        <w:t xml:space="preserve">  (</w:t>
      </w:r>
      <w:r w:rsidR="00C33B91">
        <w:t>Code Civ. Proc.</w:t>
      </w:r>
      <w:r w:rsidR="002F3650">
        <w:t>,</w:t>
      </w:r>
      <w:r w:rsidR="00C33B91">
        <w:t xml:space="preserve"> </w:t>
      </w:r>
      <w:r w:rsidR="00545163">
        <w:t>§</w:t>
      </w:r>
      <w:r w:rsidR="00C33B91">
        <w:t xml:space="preserve"> 2030.290</w:t>
      </w:r>
      <w:r w:rsidR="002F3650">
        <w:t>, subd. (c</w:t>
      </w:r>
      <w:r w:rsidR="00C33B91">
        <w:t>);</w:t>
      </w:r>
      <w:r w:rsidR="00C33B91">
        <w:rPr>
          <w:rStyle w:val="FootnoteReference"/>
        </w:rPr>
        <w:footnoteReference w:id="5"/>
      </w:r>
      <w:r w:rsidR="00C33B91">
        <w:t xml:space="preserve"> see </w:t>
      </w:r>
      <w:r>
        <w:rPr>
          <w:i/>
        </w:rPr>
        <w:t xml:space="preserve">Liberty Mut. Fire Ins. Co. v. LcL Adm’rs, Inc., </w:t>
      </w:r>
      <w:r w:rsidR="002F3650">
        <w:t>(2008) 163 Cal.</w:t>
      </w:r>
      <w:r w:rsidRPr="00593B31">
        <w:t>App.4</w:t>
      </w:r>
      <w:r w:rsidR="00F5208D">
        <w:t>th</w:t>
      </w:r>
      <w:r w:rsidRPr="00593B31">
        <w:t xml:space="preserve"> </w:t>
      </w:r>
      <w:r>
        <w:t>1093, 1105-1106</w:t>
      </w:r>
      <w:r w:rsidR="00011770">
        <w:t xml:space="preserve"> [</w:t>
      </w:r>
      <w:r w:rsidR="001E0E87">
        <w:t xml:space="preserve">question not whether court should have imposed lesser sanction but whether </w:t>
      </w:r>
      <w:r w:rsidR="001D0928">
        <w:t xml:space="preserve">it </w:t>
      </w:r>
      <w:r w:rsidR="001E0E87">
        <w:t xml:space="preserve">abused discretion </w:t>
      </w:r>
      <w:r w:rsidR="001D0928">
        <w:t xml:space="preserve">by </w:t>
      </w:r>
      <w:r w:rsidR="001E0E87">
        <w:t>imposing sanction chosen</w:t>
      </w:r>
      <w:r w:rsidR="001D0928">
        <w:t xml:space="preserve">].)  </w:t>
      </w:r>
    </w:p>
    <w:p w:rsidR="002F4B74" w:rsidRDefault="003056DD" w:rsidP="002F4B74">
      <w:pPr>
        <w:spacing w:line="480" w:lineRule="auto"/>
        <w:ind w:firstLine="720"/>
      </w:pPr>
      <w:r>
        <w:t xml:space="preserve">Applying these principles, </w:t>
      </w:r>
      <w:r w:rsidR="00F5208D">
        <w:t>the hearing judge did not err by imposing sanctions</w:t>
      </w:r>
      <w:r w:rsidR="00E67AB7">
        <w:t xml:space="preserve">. </w:t>
      </w:r>
      <w:r w:rsidR="000F0D0B">
        <w:t xml:space="preserve"> Instead, </w:t>
      </w:r>
      <w:r w:rsidR="007315A9">
        <w:t xml:space="preserve">she simply </w:t>
      </w:r>
      <w:r w:rsidR="001D0928">
        <w:t xml:space="preserve">exercised </w:t>
      </w:r>
      <w:r w:rsidR="00E67AB7">
        <w:t>her</w:t>
      </w:r>
      <w:r w:rsidR="001D0928">
        <w:t xml:space="preserve"> broad authority to levy the ultimate </w:t>
      </w:r>
      <w:r w:rsidR="007F58EC">
        <w:t xml:space="preserve">issue preclusion </w:t>
      </w:r>
      <w:r w:rsidR="001D0928">
        <w:t>sanction when o</w:t>
      </w:r>
      <w:r w:rsidR="00E67AB7">
        <w:t xml:space="preserve">ther efforts produced no results.  </w:t>
      </w:r>
      <w:r w:rsidR="007315A9">
        <w:t>Most importantly, the</w:t>
      </w:r>
      <w:r w:rsidR="000F0D0B">
        <w:t xml:space="preserve"> </w:t>
      </w:r>
      <w:r w:rsidR="001D0928">
        <w:t xml:space="preserve">hearing judge </w:t>
      </w:r>
      <w:r w:rsidR="008A6E34">
        <w:t xml:space="preserve">correctly </w:t>
      </w:r>
      <w:r w:rsidR="000F0D0B">
        <w:t>addressed</w:t>
      </w:r>
      <w:r w:rsidR="00E67AB7">
        <w:t xml:space="preserve"> the prerequisite </w:t>
      </w:r>
      <w:r w:rsidR="00F42CB7">
        <w:t xml:space="preserve">for </w:t>
      </w:r>
      <w:r w:rsidR="00E67AB7">
        <w:t xml:space="preserve">imposing sanctions:  </w:t>
      </w:r>
      <w:r w:rsidR="00F42CB7">
        <w:t xml:space="preserve">a </w:t>
      </w:r>
      <w:r w:rsidR="00151299">
        <w:t xml:space="preserve">willful </w:t>
      </w:r>
      <w:r w:rsidR="00F42CB7">
        <w:t>failure to comply</w:t>
      </w:r>
      <w:r w:rsidR="00E67AB7">
        <w:t>.  (</w:t>
      </w:r>
      <w:r w:rsidR="00E67AB7" w:rsidRPr="001D0928">
        <w:rPr>
          <w:i/>
        </w:rPr>
        <w:t>Villbona v. Springer</w:t>
      </w:r>
      <w:r w:rsidR="00E67AB7">
        <w:t xml:space="preserve"> (1996) 43 Cal.App.4</w:t>
      </w:r>
      <w:r w:rsidR="00E67AB7" w:rsidRPr="001D0928">
        <w:rPr>
          <w:vertAlign w:val="superscript"/>
        </w:rPr>
        <w:t>th</w:t>
      </w:r>
      <w:r w:rsidR="00E67AB7">
        <w:t xml:space="preserve"> 1525, 1545.)  </w:t>
      </w:r>
      <w:r w:rsidR="00D76733">
        <w:t>In doing so, s</w:t>
      </w:r>
      <w:r w:rsidR="00EF6814">
        <w:t>he</w:t>
      </w:r>
      <w:r w:rsidR="007315A9">
        <w:t xml:space="preserve"> </w:t>
      </w:r>
      <w:r w:rsidR="00F42CB7">
        <w:t xml:space="preserve">carefully </w:t>
      </w:r>
      <w:r w:rsidR="004D64C3">
        <w:t>detailed Phillips’s history of willfully failing to fully and timely respond to interrogatories</w:t>
      </w:r>
      <w:r w:rsidR="000F0D0B">
        <w:t xml:space="preserve"> and</w:t>
      </w:r>
      <w:r w:rsidR="004D64C3">
        <w:t xml:space="preserve"> </w:t>
      </w:r>
      <w:r w:rsidR="00E67AB7">
        <w:t xml:space="preserve">chronicled </w:t>
      </w:r>
      <w:r w:rsidR="007315A9">
        <w:t>her</w:t>
      </w:r>
      <w:r w:rsidR="00E67AB7">
        <w:t xml:space="preserve"> efforts to </w:t>
      </w:r>
      <w:r w:rsidR="004D64C3">
        <w:t>avoid sanctions</w:t>
      </w:r>
      <w:r w:rsidR="000F0D0B">
        <w:t xml:space="preserve">.  </w:t>
      </w:r>
      <w:r w:rsidR="003645AE">
        <w:t xml:space="preserve">At trial, </w:t>
      </w:r>
      <w:r w:rsidR="007315A9">
        <w:t xml:space="preserve">the hearing judge </w:t>
      </w:r>
      <w:r w:rsidR="003645AE">
        <w:t>repeatedly explained to Phillips</w:t>
      </w:r>
      <w:r w:rsidR="00F42CB7">
        <w:t xml:space="preserve"> her reasons for imposing the sanction</w:t>
      </w:r>
      <w:r w:rsidR="00151299">
        <w:t>s</w:t>
      </w:r>
      <w:r w:rsidR="00F42CB7">
        <w:t>.  On one occasion</w:t>
      </w:r>
      <w:r w:rsidR="00EF6814">
        <w:t>,</w:t>
      </w:r>
      <w:r w:rsidR="00F42CB7">
        <w:t xml:space="preserve"> she told him directly</w:t>
      </w:r>
      <w:r w:rsidR="00E67AB7">
        <w:t>:</w:t>
      </w:r>
      <w:r w:rsidR="004449EE">
        <w:t xml:space="preserve">  </w:t>
      </w:r>
      <w:r w:rsidR="001E0E87" w:rsidRPr="001E0E87">
        <w:t xml:space="preserve">“It’s a matter of, you didn’t comply with discovery.  You were given three months.  There were motions upon motions filed.  And I displayed extreme patience, in terms of just do what you’re supposed to do in </w:t>
      </w:r>
      <w:r w:rsidR="001E0E87">
        <w:t>terms of discovery</w:t>
      </w:r>
      <w:r w:rsidR="001E0E87" w:rsidRPr="001E0E87">
        <w:t>.  At some point, you left this Court with no choice.</w:t>
      </w:r>
      <w:r w:rsidR="001E0E87">
        <w:t>”</w:t>
      </w:r>
      <w:r w:rsidR="001D0928">
        <w:t xml:space="preserve"> </w:t>
      </w:r>
      <w:r w:rsidR="00F16C84">
        <w:t xml:space="preserve"> </w:t>
      </w:r>
      <w:r w:rsidR="00F42CB7">
        <w:t xml:space="preserve">Under these circumstances, </w:t>
      </w:r>
      <w:r w:rsidR="000F0D0B">
        <w:t>the hearing judge</w:t>
      </w:r>
      <w:r>
        <w:t xml:space="preserve">’s order was </w:t>
      </w:r>
      <w:r w:rsidR="003645AE">
        <w:t>not</w:t>
      </w:r>
      <w:r w:rsidR="000F0D0B">
        <w:t xml:space="preserve"> arbitrary</w:t>
      </w:r>
      <w:r w:rsidR="003645AE">
        <w:t>, capricious or whimsical</w:t>
      </w:r>
      <w:r w:rsidR="001D0928">
        <w:t>.</w:t>
      </w:r>
      <w:r w:rsidR="003645AE">
        <w:rPr>
          <w:rStyle w:val="FootnoteReference"/>
        </w:rPr>
        <w:footnoteReference w:id="6"/>
      </w:r>
    </w:p>
    <w:p w:rsidR="00592AE1" w:rsidRPr="002F4B74" w:rsidRDefault="002F4B74" w:rsidP="002F4B74">
      <w:pPr>
        <w:spacing w:line="480" w:lineRule="auto"/>
      </w:pPr>
      <w:r>
        <w:rPr>
          <w:b/>
        </w:rPr>
        <w:t>B.</w:t>
      </w:r>
      <w:r>
        <w:rPr>
          <w:b/>
        </w:rPr>
        <w:tab/>
        <w:t>T</w:t>
      </w:r>
      <w:r w:rsidRPr="00D62478">
        <w:rPr>
          <w:b/>
        </w:rPr>
        <w:t xml:space="preserve">HE RULE OF LIMITATIONS DOES </w:t>
      </w:r>
      <w:r>
        <w:rPr>
          <w:b/>
        </w:rPr>
        <w:t>N</w:t>
      </w:r>
      <w:r w:rsidRPr="00D62478">
        <w:rPr>
          <w:b/>
        </w:rPr>
        <w:t>OT BAR THESE PROCEEDINGS</w:t>
      </w:r>
    </w:p>
    <w:p w:rsidR="00521FE2" w:rsidRDefault="004D64C3" w:rsidP="00592AE1">
      <w:pPr>
        <w:spacing w:line="480" w:lineRule="auto"/>
        <w:ind w:firstLine="720"/>
      </w:pPr>
      <w:r>
        <w:t xml:space="preserve">On August 11, 2005, the Trustee sent the State Bar a letter </w:t>
      </w:r>
      <w:r w:rsidR="00F42CB7">
        <w:t>referencing</w:t>
      </w:r>
      <w:r w:rsidR="00592B0C">
        <w:t xml:space="preserve"> Phillips</w:t>
      </w:r>
      <w:r w:rsidR="007315A9">
        <w:t>’s misco</w:t>
      </w:r>
      <w:r w:rsidR="00151299">
        <w:t>nduct</w:t>
      </w:r>
      <w:r w:rsidR="00592B0C">
        <w:t xml:space="preserve"> from 1988</w:t>
      </w:r>
      <w:r>
        <w:t xml:space="preserve"> </w:t>
      </w:r>
      <w:r w:rsidR="008C2ED3">
        <w:t xml:space="preserve">to </w:t>
      </w:r>
      <w:r>
        <w:t xml:space="preserve">1998.  </w:t>
      </w:r>
      <w:r w:rsidR="00306204">
        <w:t>Consequently,</w:t>
      </w:r>
      <w:r w:rsidR="008C2ED3">
        <w:t xml:space="preserve"> the State Bar investigated the </w:t>
      </w:r>
      <w:r w:rsidR="00741884">
        <w:t xml:space="preserve">bankruptcy </w:t>
      </w:r>
      <w:r w:rsidR="008C2ED3">
        <w:t>court’s files</w:t>
      </w:r>
      <w:r w:rsidR="00F5208D">
        <w:t xml:space="preserve"> and, based on information obtained,</w:t>
      </w:r>
      <w:r w:rsidR="007315A9">
        <w:t xml:space="preserve"> filed</w:t>
      </w:r>
      <w:r w:rsidR="00A7320F">
        <w:t xml:space="preserve"> the NDC on September 30, 2008, alleging</w:t>
      </w:r>
      <w:r w:rsidR="007315A9">
        <w:t xml:space="preserve"> </w:t>
      </w:r>
      <w:r w:rsidR="00A2326A">
        <w:t>misconduct</w:t>
      </w:r>
      <w:r w:rsidR="007315A9">
        <w:t xml:space="preserve"> in five bankruptcy cases</w:t>
      </w:r>
      <w:r w:rsidR="00A2326A">
        <w:t xml:space="preserve"> and in </w:t>
      </w:r>
      <w:r w:rsidR="00151299">
        <w:t xml:space="preserve">an </w:t>
      </w:r>
      <w:r w:rsidR="007315A9">
        <w:t xml:space="preserve">unrelated </w:t>
      </w:r>
      <w:r w:rsidR="00741884">
        <w:t>2006</w:t>
      </w:r>
      <w:r w:rsidR="001F6102">
        <w:t xml:space="preserve"> </w:t>
      </w:r>
      <w:r w:rsidR="008C2ED3">
        <w:t>civil case</w:t>
      </w:r>
      <w:r w:rsidR="001F6102">
        <w:t xml:space="preserve"> </w:t>
      </w:r>
      <w:r w:rsidR="007315A9">
        <w:t xml:space="preserve">where the client complained directly to </w:t>
      </w:r>
      <w:r w:rsidR="001F6102">
        <w:t>the State Bar.</w:t>
      </w:r>
      <w:r w:rsidR="00521FE2">
        <w:t xml:space="preserve"> </w:t>
      </w:r>
      <w:r w:rsidR="00180AF8">
        <w:t xml:space="preserve">  </w:t>
      </w:r>
    </w:p>
    <w:p w:rsidR="00180AF8" w:rsidRDefault="004D64C3" w:rsidP="004D64C3">
      <w:pPr>
        <w:spacing w:line="480" w:lineRule="auto"/>
      </w:pPr>
      <w:r>
        <w:rPr>
          <w:b/>
        </w:rPr>
        <w:tab/>
      </w:r>
      <w:r w:rsidR="00A7320F">
        <w:t>R</w:t>
      </w:r>
      <w:r w:rsidR="0002089D">
        <w:t xml:space="preserve">ule </w:t>
      </w:r>
      <w:r w:rsidRPr="00D62478">
        <w:t xml:space="preserve">51(a) </w:t>
      </w:r>
      <w:r w:rsidR="00403F57">
        <w:t xml:space="preserve">of the Rules of Procedure of the State Bar </w:t>
      </w:r>
      <w:r w:rsidRPr="00D62478">
        <w:t xml:space="preserve">governs </w:t>
      </w:r>
      <w:r w:rsidR="0002089D">
        <w:t xml:space="preserve">the time for </w:t>
      </w:r>
      <w:r w:rsidR="003056DD">
        <w:t xml:space="preserve">the State Bar to file </w:t>
      </w:r>
      <w:r w:rsidRPr="00D62478">
        <w:t>discipline cases</w:t>
      </w:r>
      <w:r w:rsidR="00741884">
        <w:t xml:space="preserve">.  </w:t>
      </w:r>
      <w:r w:rsidR="00592B0C">
        <w:t>This rule</w:t>
      </w:r>
      <w:r w:rsidR="00741884">
        <w:t xml:space="preserve"> provides </w:t>
      </w:r>
      <w:r w:rsidR="008764AA">
        <w:t xml:space="preserve">for a </w:t>
      </w:r>
      <w:r w:rsidRPr="00D62478">
        <w:t xml:space="preserve">five-year </w:t>
      </w:r>
      <w:r w:rsidR="00592B0C">
        <w:t xml:space="preserve">period of limitations </w:t>
      </w:r>
      <w:r w:rsidR="008764AA">
        <w:t xml:space="preserve">from </w:t>
      </w:r>
      <w:r w:rsidR="00521FE2">
        <w:t xml:space="preserve">the date of the alleged violation </w:t>
      </w:r>
      <w:r w:rsidR="00E365A3" w:rsidRPr="00741884">
        <w:t>if</w:t>
      </w:r>
      <w:r w:rsidR="00E365A3">
        <w:t xml:space="preserve"> </w:t>
      </w:r>
      <w:r w:rsidR="000804F0">
        <w:t xml:space="preserve">the proceedings are based </w:t>
      </w:r>
      <w:r w:rsidR="000804F0" w:rsidRPr="00741884">
        <w:rPr>
          <w:i/>
        </w:rPr>
        <w:t>solely</w:t>
      </w:r>
      <w:r w:rsidR="000804F0">
        <w:t xml:space="preserve"> on a third-pa</w:t>
      </w:r>
      <w:r w:rsidR="00741884">
        <w:t xml:space="preserve">rty complainant’s allegation of </w:t>
      </w:r>
      <w:r w:rsidR="008764AA">
        <w:t xml:space="preserve">misconduct.  </w:t>
      </w:r>
      <w:r w:rsidR="00592B0C">
        <w:t xml:space="preserve">But </w:t>
      </w:r>
      <w:r w:rsidR="004C6552">
        <w:t>r</w:t>
      </w:r>
      <w:r w:rsidR="00741884">
        <w:t xml:space="preserve">ule </w:t>
      </w:r>
      <w:r w:rsidR="00E365A3">
        <w:t xml:space="preserve">51 </w:t>
      </w:r>
      <w:r w:rsidR="007315A9">
        <w:t xml:space="preserve">does not </w:t>
      </w:r>
      <w:r w:rsidR="00E365A3">
        <w:t xml:space="preserve">limit the </w:t>
      </w:r>
      <w:r w:rsidR="000804F0">
        <w:t xml:space="preserve">authority of the </w:t>
      </w:r>
      <w:r w:rsidR="00E365A3">
        <w:t xml:space="preserve">State Bar </w:t>
      </w:r>
      <w:r w:rsidR="00592B0C">
        <w:t xml:space="preserve">to file </w:t>
      </w:r>
      <w:r w:rsidR="00E365A3">
        <w:t xml:space="preserve">charges based on information </w:t>
      </w:r>
      <w:r w:rsidR="0065772E">
        <w:t xml:space="preserve">“from a source independent of a time-barred complainant.”  </w:t>
      </w:r>
      <w:r w:rsidRPr="00FA3A62">
        <w:rPr>
          <w:color w:val="000000" w:themeColor="text1"/>
        </w:rPr>
        <w:t>(</w:t>
      </w:r>
      <w:r w:rsidR="00403F57">
        <w:rPr>
          <w:color w:val="000000" w:themeColor="text1"/>
        </w:rPr>
        <w:t xml:space="preserve">Rules Proc. </w:t>
      </w:r>
      <w:r w:rsidR="002F3650">
        <w:rPr>
          <w:color w:val="000000" w:themeColor="text1"/>
        </w:rPr>
        <w:t xml:space="preserve">of </w:t>
      </w:r>
      <w:r w:rsidR="00403F57">
        <w:rPr>
          <w:color w:val="000000" w:themeColor="text1"/>
        </w:rPr>
        <w:t xml:space="preserve">State Bar, </w:t>
      </w:r>
      <w:r w:rsidR="00A7320F">
        <w:rPr>
          <w:color w:val="000000" w:themeColor="text1"/>
        </w:rPr>
        <w:t>r</w:t>
      </w:r>
      <w:r w:rsidRPr="00FA3A62">
        <w:rPr>
          <w:color w:val="000000" w:themeColor="text1"/>
        </w:rPr>
        <w:t>ule 51(e)</w:t>
      </w:r>
      <w:r w:rsidR="000804F0">
        <w:rPr>
          <w:color w:val="000000" w:themeColor="text1"/>
        </w:rPr>
        <w:t>.)</w:t>
      </w:r>
      <w:r w:rsidR="002D4759">
        <w:rPr>
          <w:color w:val="000000" w:themeColor="text1"/>
        </w:rPr>
        <w:t xml:space="preserve">  </w:t>
      </w:r>
      <w:r w:rsidR="00E365A3">
        <w:t>Phillips contends</w:t>
      </w:r>
      <w:r w:rsidR="00592B0C">
        <w:t xml:space="preserve"> </w:t>
      </w:r>
      <w:r w:rsidR="00E365A3">
        <w:t xml:space="preserve">that </w:t>
      </w:r>
      <w:r w:rsidR="007315A9">
        <w:t>the Trustee is a third-party complainant</w:t>
      </w:r>
      <w:r w:rsidR="00F5208D">
        <w:t xml:space="preserve">.  He argues that </w:t>
      </w:r>
      <w:r w:rsidR="007315A9">
        <w:t xml:space="preserve">four of the five bankruptcy cases </w:t>
      </w:r>
      <w:r w:rsidR="00BF41D5">
        <w:t xml:space="preserve">are </w:t>
      </w:r>
      <w:r w:rsidR="00F5208D">
        <w:t xml:space="preserve">therefore </w:t>
      </w:r>
      <w:r w:rsidR="00BF41D5">
        <w:t xml:space="preserve">untimely under rule 51 since they </w:t>
      </w:r>
      <w:r w:rsidR="007315A9">
        <w:t xml:space="preserve">were </w:t>
      </w:r>
      <w:r w:rsidR="00BF41D5">
        <w:t>concluded</w:t>
      </w:r>
      <w:r w:rsidR="007315A9">
        <w:t xml:space="preserve"> more than five years before the NDC was filed.  We disagree</w:t>
      </w:r>
      <w:r w:rsidR="00F5208D">
        <w:t xml:space="preserve"> because the </w:t>
      </w:r>
      <w:r w:rsidR="00BF41D5">
        <w:t>Trustee</w:t>
      </w:r>
      <w:r w:rsidR="007315A9">
        <w:t xml:space="preserve"> </w:t>
      </w:r>
      <w:r w:rsidR="00D76733">
        <w:t xml:space="preserve">in this case </w:t>
      </w:r>
      <w:r w:rsidR="007315A9">
        <w:t xml:space="preserve">is </w:t>
      </w:r>
      <w:r w:rsidR="007315A9" w:rsidRPr="007315A9">
        <w:rPr>
          <w:i/>
        </w:rPr>
        <w:t>not</w:t>
      </w:r>
      <w:r w:rsidR="007315A9">
        <w:t xml:space="preserve"> a time-barred complainant.</w:t>
      </w:r>
      <w:r w:rsidR="00180AF8">
        <w:rPr>
          <w:rStyle w:val="FootnoteReference"/>
          <w:color w:val="000000" w:themeColor="text1"/>
        </w:rPr>
        <w:footnoteReference w:id="7"/>
      </w:r>
      <w:r w:rsidR="00180AF8">
        <w:t xml:space="preserve">  </w:t>
      </w:r>
    </w:p>
    <w:p w:rsidR="00741884" w:rsidRDefault="00180AF8" w:rsidP="004D64C3">
      <w:pPr>
        <w:spacing w:line="480" w:lineRule="auto"/>
      </w:pPr>
      <w:r>
        <w:tab/>
      </w:r>
      <w:r w:rsidR="00A7320F">
        <w:t xml:space="preserve">The Trustee </w:t>
      </w:r>
      <w:r w:rsidR="00306204">
        <w:t xml:space="preserve">referred this matter in her official capacity, not </w:t>
      </w:r>
      <w:r w:rsidR="00A7320F">
        <w:t>because she suffered harm as an individual.  A</w:t>
      </w:r>
      <w:r w:rsidR="00592B0C">
        <w:t xml:space="preserve"> </w:t>
      </w:r>
      <w:r w:rsidR="00A839AE">
        <w:t xml:space="preserve">Trustee is charged with monitoring and supervising the administration of bankruptcy cases.  (See 28 U.S.C. </w:t>
      </w:r>
      <w:r w:rsidR="00DA03FD">
        <w:t>§</w:t>
      </w:r>
      <w:r w:rsidR="00A839AE">
        <w:t xml:space="preserve"> 586(a)(3).)  </w:t>
      </w:r>
      <w:r w:rsidR="00A7320F">
        <w:t>Indeed</w:t>
      </w:r>
      <w:r w:rsidR="00F62AB0">
        <w:t xml:space="preserve">, </w:t>
      </w:r>
      <w:r w:rsidR="007315A9">
        <w:t>a</w:t>
      </w:r>
      <w:r w:rsidR="00A839AE">
        <w:t xml:space="preserve"> </w:t>
      </w:r>
      <w:r w:rsidR="00F62AB0">
        <w:t xml:space="preserve">Trustee is duty-bound </w:t>
      </w:r>
      <w:r w:rsidR="00EE04DC">
        <w:t xml:space="preserve">to </w:t>
      </w:r>
      <w:r w:rsidR="00592B0C">
        <w:t xml:space="preserve">carefully </w:t>
      </w:r>
      <w:r w:rsidR="00A839AE">
        <w:t xml:space="preserve">examine cases in an effort to </w:t>
      </w:r>
      <w:r w:rsidR="008A772E">
        <w:t xml:space="preserve">protect and preserve the integrity of the </w:t>
      </w:r>
      <w:r w:rsidR="00A839AE">
        <w:t xml:space="preserve">bankruptcy </w:t>
      </w:r>
      <w:r w:rsidR="008A772E">
        <w:t>system.</w:t>
      </w:r>
      <w:r w:rsidR="00F62AB0">
        <w:t xml:space="preserve">  </w:t>
      </w:r>
      <w:r w:rsidR="008A772E">
        <w:t xml:space="preserve">(See </w:t>
      </w:r>
      <w:r w:rsidR="002F3650">
        <w:rPr>
          <w:i/>
        </w:rPr>
        <w:t>In re</w:t>
      </w:r>
      <w:r w:rsidR="008A772E" w:rsidRPr="008A772E">
        <w:rPr>
          <w:i/>
        </w:rPr>
        <w:t xml:space="preserve"> Castillo</w:t>
      </w:r>
      <w:r w:rsidR="002F3650">
        <w:rPr>
          <w:i/>
        </w:rPr>
        <w:t>, supra,</w:t>
      </w:r>
      <w:r w:rsidR="008A772E">
        <w:t xml:space="preserve"> 297 F.3d </w:t>
      </w:r>
      <w:r w:rsidR="002F3650">
        <w:t xml:space="preserve">at p. </w:t>
      </w:r>
      <w:r w:rsidR="008A772E">
        <w:t xml:space="preserve">950 [U.S. Trustee, appointed by Attorney General, serves as watchdog of bankruptcy system to prevent fraud and abuse].)  </w:t>
      </w:r>
      <w:r w:rsidR="00A839AE">
        <w:t xml:space="preserve">And </w:t>
      </w:r>
      <w:r w:rsidR="007315A9">
        <w:t>a</w:t>
      </w:r>
      <w:r w:rsidR="008A772E">
        <w:t xml:space="preserve"> Trustee may perform a wide variety of functions according to legislative and judicial directives.  (</w:t>
      </w:r>
      <w:r w:rsidR="00437CD2" w:rsidRPr="00437CD2">
        <w:rPr>
          <w:i/>
        </w:rPr>
        <w:t>I</w:t>
      </w:r>
      <w:r w:rsidR="00A7320F">
        <w:rPr>
          <w:i/>
        </w:rPr>
        <w:t>bi</w:t>
      </w:r>
      <w:r w:rsidR="00437CD2" w:rsidRPr="00437CD2">
        <w:rPr>
          <w:i/>
        </w:rPr>
        <w:t>d</w:t>
      </w:r>
      <w:r w:rsidR="008A772E">
        <w:t xml:space="preserve">.)  </w:t>
      </w:r>
      <w:r w:rsidR="00A7320F">
        <w:t>Here, t</w:t>
      </w:r>
      <w:r w:rsidR="007315A9">
        <w:t xml:space="preserve">he </w:t>
      </w:r>
      <w:r w:rsidR="008A772E">
        <w:t xml:space="preserve">Trustee </w:t>
      </w:r>
      <w:r w:rsidR="00D76733">
        <w:t>specifically</w:t>
      </w:r>
      <w:r w:rsidR="00BF41D5">
        <w:t xml:space="preserve"> </w:t>
      </w:r>
      <w:r w:rsidR="007315A9">
        <w:t xml:space="preserve">told the </w:t>
      </w:r>
      <w:r w:rsidR="00592B0C">
        <w:t xml:space="preserve">State Bar </w:t>
      </w:r>
      <w:r w:rsidR="007315A9">
        <w:t xml:space="preserve">in her letter that </w:t>
      </w:r>
      <w:r w:rsidR="00592B0C">
        <w:t xml:space="preserve">she </w:t>
      </w:r>
      <w:r w:rsidR="007315A9">
        <w:t>was providing</w:t>
      </w:r>
      <w:r w:rsidR="00592B0C">
        <w:t xml:space="preserve"> the information </w:t>
      </w:r>
      <w:r w:rsidR="00BF41D5">
        <w:t>about Phillips as a</w:t>
      </w:r>
      <w:r w:rsidR="00592B0C">
        <w:t xml:space="preserve"> </w:t>
      </w:r>
      <w:r w:rsidR="008A772E">
        <w:t xml:space="preserve">“discharge of her statutory duties.”  </w:t>
      </w:r>
      <w:r w:rsidR="00EE04DC">
        <w:t xml:space="preserve">  </w:t>
      </w:r>
    </w:p>
    <w:p w:rsidR="000804F0" w:rsidRDefault="00741884" w:rsidP="004D64C3">
      <w:pPr>
        <w:spacing w:line="480" w:lineRule="auto"/>
        <w:rPr>
          <w:color w:val="000000" w:themeColor="text1"/>
        </w:rPr>
      </w:pPr>
      <w:r>
        <w:tab/>
      </w:r>
      <w:r w:rsidR="00BF41D5">
        <w:t xml:space="preserve">In </w:t>
      </w:r>
      <w:r w:rsidR="00F5208D">
        <w:t>this proceeding,</w:t>
      </w:r>
      <w:r w:rsidR="00BF41D5">
        <w:t xml:space="preserve"> the </w:t>
      </w:r>
      <w:r w:rsidR="00EE04DC">
        <w:t>Trustee</w:t>
      </w:r>
      <w:r w:rsidR="007315A9">
        <w:t xml:space="preserve"> is not a complainant under </w:t>
      </w:r>
      <w:r w:rsidR="00DA03FD">
        <w:t>r</w:t>
      </w:r>
      <w:r w:rsidR="007315A9">
        <w:t>ule 51 because she merely provide</w:t>
      </w:r>
      <w:r w:rsidR="00DA03FD">
        <w:t>d</w:t>
      </w:r>
      <w:r w:rsidR="00EE04DC">
        <w:t xml:space="preserve"> the State Bar </w:t>
      </w:r>
      <w:r w:rsidR="00F62AB0">
        <w:t xml:space="preserve">with </w:t>
      </w:r>
      <w:r w:rsidR="00BF41D5">
        <w:t xml:space="preserve">a narrative overview referencing court files </w:t>
      </w:r>
      <w:r w:rsidR="00D76733">
        <w:t xml:space="preserve">which </w:t>
      </w:r>
      <w:r w:rsidR="00BF41D5">
        <w:t xml:space="preserve">documented </w:t>
      </w:r>
      <w:r w:rsidR="00EE04DC">
        <w:t>Phillips’s misconduct</w:t>
      </w:r>
      <w:r w:rsidR="00514361">
        <w:t xml:space="preserve">.  </w:t>
      </w:r>
      <w:r w:rsidR="00D76733">
        <w:t>N</w:t>
      </w:r>
      <w:r w:rsidR="008A6E34">
        <w:rPr>
          <w:color w:val="000000" w:themeColor="text1"/>
        </w:rPr>
        <w:t>o individual bankruptcy clients filed any complaints</w:t>
      </w:r>
      <w:r w:rsidR="00873742">
        <w:rPr>
          <w:color w:val="000000" w:themeColor="text1"/>
        </w:rPr>
        <w:t xml:space="preserve"> </w:t>
      </w:r>
      <w:r w:rsidR="00514361">
        <w:rPr>
          <w:color w:val="000000" w:themeColor="text1"/>
        </w:rPr>
        <w:t>with the State Bar</w:t>
      </w:r>
      <w:r w:rsidR="00873742">
        <w:rPr>
          <w:color w:val="000000" w:themeColor="text1"/>
        </w:rPr>
        <w:t>.</w:t>
      </w:r>
      <w:r w:rsidR="00EE04DC">
        <w:rPr>
          <w:color w:val="000000" w:themeColor="text1"/>
        </w:rPr>
        <w:t xml:space="preserve"> </w:t>
      </w:r>
      <w:r w:rsidR="00873742">
        <w:rPr>
          <w:color w:val="000000" w:themeColor="text1"/>
        </w:rPr>
        <w:t xml:space="preserve"> </w:t>
      </w:r>
      <w:r w:rsidR="00D76733">
        <w:rPr>
          <w:color w:val="000000" w:themeColor="text1"/>
        </w:rPr>
        <w:t xml:space="preserve">We find that </w:t>
      </w:r>
      <w:r w:rsidR="00514361">
        <w:rPr>
          <w:color w:val="000000" w:themeColor="text1"/>
        </w:rPr>
        <w:t xml:space="preserve">Rule </w:t>
      </w:r>
      <w:r w:rsidR="003645AE">
        <w:rPr>
          <w:color w:val="000000" w:themeColor="text1"/>
        </w:rPr>
        <w:t xml:space="preserve">51(a) does not apply as a matter of law </w:t>
      </w:r>
      <w:r w:rsidR="00514361">
        <w:rPr>
          <w:color w:val="000000" w:themeColor="text1"/>
        </w:rPr>
        <w:t xml:space="preserve">since the State Bar based </w:t>
      </w:r>
      <w:r w:rsidR="00BF41D5">
        <w:rPr>
          <w:color w:val="000000" w:themeColor="text1"/>
        </w:rPr>
        <w:t>the NDC</w:t>
      </w:r>
      <w:r w:rsidR="00514361">
        <w:rPr>
          <w:color w:val="000000" w:themeColor="text1"/>
        </w:rPr>
        <w:t xml:space="preserve"> on </w:t>
      </w:r>
      <w:r w:rsidR="00BF41D5">
        <w:rPr>
          <w:color w:val="000000" w:themeColor="text1"/>
        </w:rPr>
        <w:t xml:space="preserve">information gained from </w:t>
      </w:r>
      <w:r w:rsidR="00514361">
        <w:rPr>
          <w:color w:val="000000" w:themeColor="text1"/>
        </w:rPr>
        <w:t>its review of the court files and not</w:t>
      </w:r>
      <w:r>
        <w:rPr>
          <w:color w:val="000000" w:themeColor="text1"/>
        </w:rPr>
        <w:t xml:space="preserve"> </w:t>
      </w:r>
      <w:r w:rsidRPr="00873742">
        <w:rPr>
          <w:i/>
          <w:color w:val="000000" w:themeColor="text1"/>
        </w:rPr>
        <w:t>solely</w:t>
      </w:r>
      <w:r>
        <w:rPr>
          <w:color w:val="000000" w:themeColor="text1"/>
        </w:rPr>
        <w:t xml:space="preserve"> on </w:t>
      </w:r>
      <w:r w:rsidR="00BF41D5">
        <w:rPr>
          <w:color w:val="000000" w:themeColor="text1"/>
        </w:rPr>
        <w:t xml:space="preserve">a complaint </w:t>
      </w:r>
      <w:r w:rsidR="00F5208D">
        <w:rPr>
          <w:color w:val="000000" w:themeColor="text1"/>
        </w:rPr>
        <w:t xml:space="preserve">made </w:t>
      </w:r>
      <w:r w:rsidR="00BF41D5">
        <w:rPr>
          <w:color w:val="000000" w:themeColor="text1"/>
        </w:rPr>
        <w:t>by a</w:t>
      </w:r>
      <w:r>
        <w:rPr>
          <w:color w:val="000000" w:themeColor="text1"/>
        </w:rPr>
        <w:t xml:space="preserve"> third party. </w:t>
      </w:r>
      <w:r w:rsidR="004D64C3" w:rsidRPr="006615E6">
        <w:rPr>
          <w:color w:val="000000" w:themeColor="text1"/>
        </w:rPr>
        <w:t xml:space="preserve"> </w:t>
      </w:r>
      <w:r w:rsidR="00F62AB0">
        <w:rPr>
          <w:color w:val="000000" w:themeColor="text1"/>
        </w:rPr>
        <w:t xml:space="preserve">(See </w:t>
      </w:r>
      <w:r w:rsidR="000804F0" w:rsidRPr="00FA3A62">
        <w:rPr>
          <w:i/>
          <w:iCs/>
          <w:color w:val="000000" w:themeColor="text1"/>
        </w:rPr>
        <w:t xml:space="preserve">In the Matter of Wolff </w:t>
      </w:r>
      <w:r w:rsidR="000804F0" w:rsidRPr="00FA3A62">
        <w:rPr>
          <w:color w:val="000000" w:themeColor="text1"/>
        </w:rPr>
        <w:t>(Review Dept. 2006) 5 Cal. State Bar Ct. Rptr. 1, 9</w:t>
      </w:r>
      <w:r w:rsidR="000804F0">
        <w:rPr>
          <w:color w:val="000000" w:themeColor="text1"/>
        </w:rPr>
        <w:t xml:space="preserve"> [</w:t>
      </w:r>
      <w:r w:rsidR="00DA03FD">
        <w:rPr>
          <w:color w:val="000000" w:themeColor="text1"/>
        </w:rPr>
        <w:t>r</w:t>
      </w:r>
      <w:r w:rsidR="00873742">
        <w:rPr>
          <w:color w:val="000000" w:themeColor="text1"/>
        </w:rPr>
        <w:t xml:space="preserve">ule 51 did not bar State Bar’s filing </w:t>
      </w:r>
      <w:r w:rsidR="000804F0">
        <w:rPr>
          <w:color w:val="000000" w:themeColor="text1"/>
        </w:rPr>
        <w:t>based on superior court’s sanction order].</w:t>
      </w:r>
      <w:r w:rsidR="000804F0" w:rsidRPr="00FA3A62">
        <w:rPr>
          <w:color w:val="000000" w:themeColor="text1"/>
        </w:rPr>
        <w:t>)</w:t>
      </w:r>
      <w:r>
        <w:rPr>
          <w:rStyle w:val="FootnoteReference"/>
          <w:color w:val="000000" w:themeColor="text1"/>
        </w:rPr>
        <w:footnoteReference w:id="8"/>
      </w:r>
    </w:p>
    <w:p w:rsidR="004D64C3" w:rsidRPr="009C7437" w:rsidRDefault="002F4B74" w:rsidP="002F4B74">
      <w:pPr>
        <w:pStyle w:val="ListParagraph"/>
        <w:spacing w:line="480" w:lineRule="auto"/>
        <w:ind w:left="0"/>
        <w:rPr>
          <w:b/>
        </w:rPr>
      </w:pPr>
      <w:r>
        <w:rPr>
          <w:b/>
        </w:rPr>
        <w:t>C.</w:t>
      </w:r>
      <w:r>
        <w:rPr>
          <w:b/>
        </w:rPr>
        <w:tab/>
        <w:t xml:space="preserve">THE DOCTRINE OF RES JUDICATA DOES NOT BAR THESE PROCEEDINGS </w:t>
      </w:r>
    </w:p>
    <w:p w:rsidR="00A839AE" w:rsidRDefault="00B220BD" w:rsidP="002F4B74">
      <w:pPr>
        <w:spacing w:line="480" w:lineRule="auto"/>
      </w:pPr>
      <w:r>
        <w:tab/>
        <w:t xml:space="preserve">Phillips contends that res judicata bars </w:t>
      </w:r>
      <w:r w:rsidR="003645AE">
        <w:t xml:space="preserve">prosecution of </w:t>
      </w:r>
      <w:r w:rsidR="00C73AD8">
        <w:t xml:space="preserve">the five </w:t>
      </w:r>
      <w:r>
        <w:t>bankruptcy matters</w:t>
      </w:r>
      <w:r w:rsidR="00BF41D5">
        <w:t>.  He argues that local rules of court permitted</w:t>
      </w:r>
      <w:r w:rsidR="00A839AE">
        <w:t xml:space="preserve"> </w:t>
      </w:r>
      <w:r>
        <w:t xml:space="preserve">the bankruptcy judges </w:t>
      </w:r>
      <w:r w:rsidR="00BF41D5">
        <w:t>to impose discipline or refer him to the State Bar</w:t>
      </w:r>
      <w:r>
        <w:t xml:space="preserve"> </w:t>
      </w:r>
      <w:r w:rsidRPr="00F5208D">
        <w:rPr>
          <w:i/>
        </w:rPr>
        <w:t>at the time of his misconduct</w:t>
      </w:r>
      <w:r w:rsidR="00BF41D5">
        <w:t xml:space="preserve"> in the bankruptcy cases</w:t>
      </w:r>
      <w:r w:rsidR="00EB444D">
        <w:t xml:space="preserve">.  </w:t>
      </w:r>
      <w:r w:rsidR="00DA03FD">
        <w:t>B</w:t>
      </w:r>
      <w:r w:rsidR="00BF41D5">
        <w:t xml:space="preserve">ecause those judges did not </w:t>
      </w:r>
      <w:r w:rsidR="002B3303">
        <w:t>impose discipline or refer him</w:t>
      </w:r>
      <w:r w:rsidR="00BF41D5">
        <w:t>,</w:t>
      </w:r>
      <w:r w:rsidR="00A839AE">
        <w:t xml:space="preserve"> </w:t>
      </w:r>
      <w:r w:rsidR="00DA03FD">
        <w:t xml:space="preserve">Phillips asserts that </w:t>
      </w:r>
      <w:r w:rsidR="00A839AE">
        <w:t xml:space="preserve">the discipline issues </w:t>
      </w:r>
      <w:r w:rsidR="00BF41D5">
        <w:t>in those cases</w:t>
      </w:r>
      <w:r w:rsidR="00A839AE">
        <w:t xml:space="preserve"> are final.  His </w:t>
      </w:r>
      <w:r w:rsidR="0025131C">
        <w:t>analysis is incorrect</w:t>
      </w:r>
      <w:r w:rsidR="00A839AE">
        <w:t xml:space="preserve">, however, </w:t>
      </w:r>
      <w:r w:rsidR="00556763">
        <w:t>because</w:t>
      </w:r>
      <w:r w:rsidR="00EB444D">
        <w:t xml:space="preserve"> </w:t>
      </w:r>
      <w:r w:rsidR="00F5208D">
        <w:t xml:space="preserve">it ignores </w:t>
      </w:r>
      <w:r w:rsidR="00A7320F">
        <w:t>the two basic requirements of</w:t>
      </w:r>
      <w:r>
        <w:t xml:space="preserve"> res judicata:  (1) a final judgment on the merits, (2) which involves the same parties.  </w:t>
      </w:r>
      <w:r w:rsidR="003645AE">
        <w:t xml:space="preserve">(See </w:t>
      </w:r>
      <w:r w:rsidR="003645AE" w:rsidRPr="009E0A5B">
        <w:rPr>
          <w:i/>
        </w:rPr>
        <w:t>Mycogen Corp. v. Monsanto Co.</w:t>
      </w:r>
      <w:r w:rsidR="003645AE">
        <w:t xml:space="preserve"> (2002) 28 Cal.4</w:t>
      </w:r>
      <w:r w:rsidR="003645AE" w:rsidRPr="009E0A5B">
        <w:rPr>
          <w:vertAlign w:val="superscript"/>
        </w:rPr>
        <w:t>th</w:t>
      </w:r>
      <w:r w:rsidR="003645AE">
        <w:t xml:space="preserve"> 888, 897.)  </w:t>
      </w:r>
    </w:p>
    <w:p w:rsidR="002F4B74" w:rsidRDefault="00A839AE" w:rsidP="002F4B74">
      <w:pPr>
        <w:spacing w:line="480" w:lineRule="auto"/>
      </w:pPr>
      <w:r>
        <w:tab/>
      </w:r>
      <w:r w:rsidR="00BF41D5">
        <w:t xml:space="preserve">Regarding </w:t>
      </w:r>
      <w:r w:rsidR="00B220BD">
        <w:t xml:space="preserve">the first requirement, </w:t>
      </w:r>
      <w:r w:rsidR="008A6E34">
        <w:t xml:space="preserve">the bankruptcy court’s failure to take disciplinary action against Phillips does not constitute </w:t>
      </w:r>
      <w:r w:rsidR="00B22C37">
        <w:t xml:space="preserve">a final </w:t>
      </w:r>
      <w:r w:rsidR="00584148">
        <w:t xml:space="preserve">judgment on the merits. </w:t>
      </w:r>
      <w:r w:rsidR="004D64C3">
        <w:t xml:space="preserve"> </w:t>
      </w:r>
      <w:r w:rsidR="00B220BD">
        <w:t>A</w:t>
      </w:r>
      <w:r w:rsidR="00F16C84">
        <w:t>s</w:t>
      </w:r>
      <w:r w:rsidR="00B220BD">
        <w:t xml:space="preserve"> to the second requirement, </w:t>
      </w:r>
      <w:r w:rsidR="00BC3FB2">
        <w:t xml:space="preserve">the parties are not the same in each proceeding since </w:t>
      </w:r>
      <w:r w:rsidR="00635533">
        <w:t xml:space="preserve">the </w:t>
      </w:r>
      <w:r w:rsidR="0025131C">
        <w:t xml:space="preserve">State Bar </w:t>
      </w:r>
      <w:r w:rsidR="00635533">
        <w:t xml:space="preserve">was not a party to the bankruptcy court </w:t>
      </w:r>
      <w:r w:rsidR="00BC3FB2">
        <w:t>action</w:t>
      </w:r>
      <w:r w:rsidR="00635533">
        <w:t xml:space="preserve"> or any prior litigation </w:t>
      </w:r>
      <w:r w:rsidR="00BC3FB2">
        <w:t>in that court</w:t>
      </w:r>
      <w:r w:rsidR="00635533">
        <w:t xml:space="preserve">. </w:t>
      </w:r>
      <w:r w:rsidR="004D64C3">
        <w:t xml:space="preserve"> (See </w:t>
      </w:r>
      <w:r w:rsidR="004D64C3" w:rsidRPr="00F3496E">
        <w:rPr>
          <w:i/>
        </w:rPr>
        <w:t>In the Matter of Respondent V</w:t>
      </w:r>
      <w:r w:rsidR="004D64C3">
        <w:t xml:space="preserve"> (Review Dept. 1995) 3 Cal. State Bar Ct. Rptr. 442</w:t>
      </w:r>
      <w:r w:rsidR="002F3650">
        <w:t>, 447-448</w:t>
      </w:r>
      <w:r w:rsidR="004D64C3">
        <w:t xml:space="preserve"> [Louisiana State Bar dismissal of complaint about identical misconduct not barred under res judicata since California State Bar not party to Louisiana proceeding].)</w:t>
      </w:r>
      <w:r w:rsidR="00DA7FB3">
        <w:rPr>
          <w:rStyle w:val="FootnoteReference"/>
        </w:rPr>
        <w:footnoteReference w:id="9"/>
      </w:r>
      <w:r w:rsidR="004D64C3">
        <w:t xml:space="preserve"> </w:t>
      </w:r>
      <w:r w:rsidR="00F16C84">
        <w:t xml:space="preserve"> </w:t>
      </w:r>
      <w:r w:rsidR="00592B0C">
        <w:t xml:space="preserve">Thus, res </w:t>
      </w:r>
      <w:r w:rsidR="00F16C84">
        <w:t>judicata does not bar this proceeding.</w:t>
      </w:r>
      <w:r w:rsidR="004D64C3">
        <w:t xml:space="preserve"> </w:t>
      </w:r>
      <w:r w:rsidR="0025131C">
        <w:t xml:space="preserve"> </w:t>
      </w:r>
      <w:r w:rsidR="004D64C3">
        <w:t xml:space="preserve"> </w:t>
      </w:r>
    </w:p>
    <w:p w:rsidR="0065772E" w:rsidRPr="00443BC2" w:rsidRDefault="0065772E" w:rsidP="0065772E">
      <w:pPr>
        <w:spacing w:line="480" w:lineRule="auto"/>
        <w:jc w:val="center"/>
        <w:rPr>
          <w:b/>
        </w:rPr>
      </w:pPr>
      <w:r w:rsidRPr="00443BC2">
        <w:rPr>
          <w:b/>
        </w:rPr>
        <w:t>V</w:t>
      </w:r>
      <w:r>
        <w:rPr>
          <w:b/>
        </w:rPr>
        <w:t>I</w:t>
      </w:r>
      <w:r w:rsidRPr="00443BC2">
        <w:rPr>
          <w:b/>
        </w:rPr>
        <w:t xml:space="preserve">.  GENERAL </w:t>
      </w:r>
      <w:r>
        <w:rPr>
          <w:b/>
        </w:rPr>
        <w:t xml:space="preserve">BANKRUPTCY LAW </w:t>
      </w:r>
      <w:r w:rsidRPr="00443BC2">
        <w:rPr>
          <w:b/>
        </w:rPr>
        <w:t>BACKGROUND</w:t>
      </w:r>
    </w:p>
    <w:p w:rsidR="0065772E" w:rsidRDefault="0065772E" w:rsidP="0065772E">
      <w:pPr>
        <w:spacing w:line="480" w:lineRule="auto"/>
        <w:ind w:firstLine="720"/>
      </w:pPr>
      <w:r>
        <w:t>B</w:t>
      </w:r>
      <w:r w:rsidRPr="00893A5B">
        <w:t>ankruptcy cases</w:t>
      </w:r>
      <w:r>
        <w:t xml:space="preserve"> are strictly controlled by the </w:t>
      </w:r>
      <w:r w:rsidR="00A7320F">
        <w:t xml:space="preserve">court.  In Chapter 11 matters, </w:t>
      </w:r>
      <w:r>
        <w:t>debtors</w:t>
      </w:r>
      <w:r w:rsidRPr="00893A5B">
        <w:t>-in-possession</w:t>
      </w:r>
      <w:r>
        <w:t>,</w:t>
      </w:r>
      <w:r w:rsidRPr="00893A5B">
        <w:t xml:space="preserve"> </w:t>
      </w:r>
      <w:r w:rsidR="00A7320F">
        <w:t xml:space="preserve">rather than </w:t>
      </w:r>
      <w:r>
        <w:t xml:space="preserve">trustees, may continue to possess their assets and be in charge of their affairs.  (11 U.S.C. § 1107.)  However, to </w:t>
      </w:r>
      <w:r w:rsidR="009A6B3A">
        <w:t xml:space="preserve">retain counsel, a </w:t>
      </w:r>
      <w:r>
        <w:t>debtor-in</w:t>
      </w:r>
      <w:r w:rsidR="004C7231">
        <w:t>-</w:t>
      </w:r>
      <w:r>
        <w:t>possession must file an application with the court</w:t>
      </w:r>
      <w:r w:rsidRPr="00893A5B">
        <w:t>.</w:t>
      </w:r>
      <w:r>
        <w:t xml:space="preserve"> </w:t>
      </w:r>
      <w:r w:rsidRPr="00893A5B">
        <w:t xml:space="preserve"> (11 U.S.C. § 327(a).)</w:t>
      </w:r>
      <w:r>
        <w:t xml:space="preserve"> </w:t>
      </w:r>
      <w:r w:rsidRPr="00893A5B">
        <w:t xml:space="preserve"> </w:t>
      </w:r>
      <w:r>
        <w:t xml:space="preserve">This application </w:t>
      </w:r>
      <w:r w:rsidR="001E2B8D">
        <w:t>shall</w:t>
      </w:r>
      <w:r w:rsidRPr="00D92783">
        <w:t xml:space="preserve"> include a verified statement by counsel setting forth </w:t>
      </w:r>
      <w:r>
        <w:t>any</w:t>
      </w:r>
      <w:r w:rsidRPr="00D92783">
        <w:t xml:space="preserve"> connections </w:t>
      </w:r>
      <w:r>
        <w:t xml:space="preserve">he or she has </w:t>
      </w:r>
      <w:r w:rsidRPr="00D92783">
        <w:t>with the debtor, creditor</w:t>
      </w:r>
      <w:r>
        <w:t>,</w:t>
      </w:r>
      <w:r w:rsidRPr="00D92783">
        <w:t xml:space="preserve"> and any party in interest. </w:t>
      </w:r>
      <w:r>
        <w:t>(</w:t>
      </w:r>
      <w:r w:rsidRPr="00D92783">
        <w:t>Fed.R.Bank</w:t>
      </w:r>
      <w:r>
        <w:t>r</w:t>
      </w:r>
      <w:r w:rsidRPr="00D92783">
        <w:t>.</w:t>
      </w:r>
      <w:r>
        <w:t>P.</w:t>
      </w:r>
      <w:r w:rsidRPr="00D92783">
        <w:t xml:space="preserve"> 2014(a).</w:t>
      </w:r>
      <w:r>
        <w:t>)  Counsel</w:t>
      </w:r>
      <w:r w:rsidRPr="00893A5B">
        <w:t xml:space="preserve"> for a debtor-in</w:t>
      </w:r>
      <w:r w:rsidR="004C7231">
        <w:t>-</w:t>
      </w:r>
      <w:r w:rsidRPr="00893A5B">
        <w:t>possession</w:t>
      </w:r>
      <w:r>
        <w:t xml:space="preserve"> </w:t>
      </w:r>
      <w:r w:rsidRPr="00893A5B">
        <w:t xml:space="preserve">must be a disinterested person </w:t>
      </w:r>
      <w:r>
        <w:t xml:space="preserve">who does not </w:t>
      </w:r>
      <w:r w:rsidRPr="00893A5B">
        <w:t>hold an interest adverse to the estate.</w:t>
      </w:r>
      <w:r>
        <w:t xml:space="preserve"> </w:t>
      </w:r>
      <w:r w:rsidRPr="00893A5B">
        <w:t xml:space="preserve"> (11 U.S.C</w:t>
      </w:r>
      <w:r>
        <w:t>.</w:t>
      </w:r>
      <w:r w:rsidRPr="00893A5B">
        <w:t xml:space="preserve"> §</w:t>
      </w:r>
      <w:r>
        <w:t xml:space="preserve"> </w:t>
      </w:r>
      <w:r w:rsidRPr="00893A5B">
        <w:t>3</w:t>
      </w:r>
      <w:r w:rsidR="002F3650">
        <w:t>2</w:t>
      </w:r>
      <w:r w:rsidRPr="00893A5B">
        <w:t>7(a).)</w:t>
      </w:r>
      <w:r>
        <w:t xml:space="preserve">  Only the bankruptcy court may approve counsel’s application to be retained and authorize fee payments.  (11 U.S.C. § 330(a)(1); Fed.R.Bankr.P. 2016(a).)  Counsel </w:t>
      </w:r>
      <w:r w:rsidRPr="00893A5B">
        <w:t xml:space="preserve">for the debtor-in-possession must </w:t>
      </w:r>
      <w:r>
        <w:t xml:space="preserve">also </w:t>
      </w:r>
      <w:r w:rsidRPr="00893A5B">
        <w:t xml:space="preserve">disclose to the court any payments </w:t>
      </w:r>
      <w:r>
        <w:t xml:space="preserve">received for legal fees.  </w:t>
      </w:r>
      <w:r w:rsidRPr="00893A5B">
        <w:t>(Fed.R.Bankr.</w:t>
      </w:r>
      <w:r>
        <w:t xml:space="preserve">P. </w:t>
      </w:r>
      <w:r w:rsidRPr="00893A5B">
        <w:t>2016(b).)</w:t>
      </w:r>
    </w:p>
    <w:p w:rsidR="002F3650" w:rsidRDefault="002F4B74" w:rsidP="002F3650">
      <w:pPr>
        <w:jc w:val="center"/>
        <w:rPr>
          <w:b/>
        </w:rPr>
      </w:pPr>
      <w:r>
        <w:rPr>
          <w:b/>
        </w:rPr>
        <w:t xml:space="preserve">VII. </w:t>
      </w:r>
      <w:r w:rsidR="009C7437">
        <w:rPr>
          <w:b/>
        </w:rPr>
        <w:t xml:space="preserve"> </w:t>
      </w:r>
      <w:r w:rsidR="00640BC2" w:rsidRPr="009C7437">
        <w:rPr>
          <w:b/>
        </w:rPr>
        <w:t>FINDINGS OF FACT</w:t>
      </w:r>
      <w:r w:rsidR="002B35C8">
        <w:rPr>
          <w:b/>
        </w:rPr>
        <w:t xml:space="preserve"> </w:t>
      </w:r>
      <w:r w:rsidR="00640BC2" w:rsidRPr="009C7437">
        <w:rPr>
          <w:b/>
        </w:rPr>
        <w:t>AND CONCLUSIONS OF LAW</w:t>
      </w:r>
    </w:p>
    <w:p w:rsidR="002F4B74" w:rsidRDefault="0025131C" w:rsidP="002F4B74">
      <w:pPr>
        <w:spacing w:line="480" w:lineRule="auto"/>
        <w:jc w:val="center"/>
        <w:rPr>
          <w:b/>
        </w:rPr>
      </w:pPr>
      <w:r>
        <w:rPr>
          <w:b/>
        </w:rPr>
        <w:t>RE</w:t>
      </w:r>
      <w:r w:rsidR="002F3650">
        <w:rPr>
          <w:b/>
        </w:rPr>
        <w:t>GARDING</w:t>
      </w:r>
      <w:r>
        <w:rPr>
          <w:b/>
        </w:rPr>
        <w:t xml:space="preserve"> MISCONDUCT</w:t>
      </w:r>
      <w:r w:rsidR="00F61380">
        <w:rPr>
          <w:rStyle w:val="FootnoteReference"/>
          <w:b/>
        </w:rPr>
        <w:footnoteReference w:id="10"/>
      </w:r>
    </w:p>
    <w:p w:rsidR="00A35FB3" w:rsidRPr="002F4B74" w:rsidRDefault="002F4B74" w:rsidP="002F4B74">
      <w:pPr>
        <w:spacing w:line="480" w:lineRule="auto"/>
      </w:pPr>
      <w:r>
        <w:rPr>
          <w:b/>
        </w:rPr>
        <w:t>A.</w:t>
      </w:r>
      <w:r>
        <w:rPr>
          <w:b/>
        </w:rPr>
        <w:tab/>
      </w:r>
      <w:r w:rsidRPr="009C7437">
        <w:rPr>
          <w:b/>
        </w:rPr>
        <w:t>THE MOUALEM MATTER</w:t>
      </w:r>
      <w:r>
        <w:rPr>
          <w:b/>
        </w:rPr>
        <w:t xml:space="preserve"> (</w:t>
      </w:r>
      <w:r w:rsidR="00216798">
        <w:rPr>
          <w:b/>
        </w:rPr>
        <w:t xml:space="preserve">05-O-03782 - </w:t>
      </w:r>
      <w:r>
        <w:rPr>
          <w:b/>
        </w:rPr>
        <w:t>BANKRUPTCY CASE)</w:t>
      </w:r>
    </w:p>
    <w:p w:rsidR="00A35FB3" w:rsidRDefault="00F731B0" w:rsidP="002F4B74">
      <w:pPr>
        <w:pStyle w:val="ListParagraph"/>
        <w:spacing w:line="480" w:lineRule="auto"/>
        <w:ind w:left="0" w:firstLine="720"/>
      </w:pPr>
      <w:r>
        <w:t xml:space="preserve">In 1994, Phillips </w:t>
      </w:r>
      <w:r w:rsidR="0060695C">
        <w:t xml:space="preserve">filed </w:t>
      </w:r>
      <w:r>
        <w:t xml:space="preserve">proceedings with the </w:t>
      </w:r>
      <w:r w:rsidR="004C7231">
        <w:t>b</w:t>
      </w:r>
      <w:r>
        <w:t xml:space="preserve">ankruptcy </w:t>
      </w:r>
      <w:r w:rsidR="004C7231">
        <w:t>c</w:t>
      </w:r>
      <w:r>
        <w:t>ourt</w:t>
      </w:r>
      <w:r w:rsidR="006615E6">
        <w:t xml:space="preserve"> on beha</w:t>
      </w:r>
      <w:r w:rsidR="00996615">
        <w:t>lf of</w:t>
      </w:r>
      <w:r w:rsidR="002F4B74">
        <w:t xml:space="preserve"> </w:t>
      </w:r>
      <w:r w:rsidR="006615E6">
        <w:t>Nadeem Moualem</w:t>
      </w:r>
      <w:r w:rsidR="001E2B8D">
        <w:t>.  Moualem</w:t>
      </w:r>
      <w:r w:rsidR="006615E6">
        <w:t xml:space="preserve"> paid Phillips $9,750</w:t>
      </w:r>
      <w:r w:rsidR="00996615">
        <w:t xml:space="preserve"> in attorney fees</w:t>
      </w:r>
      <w:r w:rsidR="00F16C84">
        <w:t xml:space="preserve"> </w:t>
      </w:r>
      <w:r w:rsidR="00592B0C">
        <w:t>without the court’s approval</w:t>
      </w:r>
      <w:r w:rsidR="006615E6">
        <w:t xml:space="preserve">.  </w:t>
      </w:r>
      <w:r w:rsidR="00B22C37">
        <w:t>Phillips</w:t>
      </w:r>
      <w:r w:rsidR="0060695C">
        <w:t xml:space="preserve"> also</w:t>
      </w:r>
      <w:r w:rsidR="005A62AC">
        <w:t xml:space="preserve"> </w:t>
      </w:r>
      <w:r w:rsidR="00996615">
        <w:t xml:space="preserve">paid himself $35,957.94 </w:t>
      </w:r>
      <w:r w:rsidR="00F0000B">
        <w:t>in</w:t>
      </w:r>
      <w:r w:rsidR="00584148">
        <w:t xml:space="preserve"> fees</w:t>
      </w:r>
      <w:r w:rsidR="00996615">
        <w:t xml:space="preserve"> out of </w:t>
      </w:r>
      <w:r w:rsidR="00556763">
        <w:t xml:space="preserve">escrow funds of </w:t>
      </w:r>
      <w:r w:rsidR="00996615">
        <w:t>$</w:t>
      </w:r>
      <w:r w:rsidR="006615E6">
        <w:t>53,920.63</w:t>
      </w:r>
      <w:r w:rsidR="00514361">
        <w:t xml:space="preserve">, which were </w:t>
      </w:r>
      <w:r w:rsidR="00A05073">
        <w:t xml:space="preserve">received </w:t>
      </w:r>
      <w:r w:rsidR="005A62AC">
        <w:t xml:space="preserve">on </w:t>
      </w:r>
      <w:r w:rsidR="006615E6">
        <w:t>behalf of</w:t>
      </w:r>
      <w:r w:rsidR="00925B11">
        <w:t xml:space="preserve"> </w:t>
      </w:r>
      <w:r w:rsidR="006615E6">
        <w:t xml:space="preserve">Moualem’s estate.  </w:t>
      </w:r>
      <w:r w:rsidR="00872221">
        <w:t xml:space="preserve">Neither payment was authorized by or reported to the </w:t>
      </w:r>
      <w:r w:rsidR="0025131C">
        <w:t>b</w:t>
      </w:r>
      <w:r w:rsidR="00872221">
        <w:t xml:space="preserve">ankruptcy </w:t>
      </w:r>
      <w:r w:rsidR="0025131C">
        <w:t>c</w:t>
      </w:r>
      <w:r w:rsidR="00872221">
        <w:t>ourt.  T</w:t>
      </w:r>
      <w:r w:rsidR="00B4114E">
        <w:t xml:space="preserve">he </w:t>
      </w:r>
      <w:r w:rsidR="008A6E34">
        <w:t xml:space="preserve">trustee for the </w:t>
      </w:r>
      <w:r w:rsidR="00996615">
        <w:t>estate</w:t>
      </w:r>
      <w:r w:rsidR="008A6E34">
        <w:t xml:space="preserve"> filed an</w:t>
      </w:r>
      <w:r w:rsidR="00B4114E">
        <w:t xml:space="preserve"> adversary proceeding against Phillips </w:t>
      </w:r>
      <w:r w:rsidR="00EB444D">
        <w:t>for</w:t>
      </w:r>
      <w:r w:rsidR="00996615">
        <w:t xml:space="preserve"> an accounting and </w:t>
      </w:r>
      <w:r w:rsidR="00584148">
        <w:t xml:space="preserve">refund </w:t>
      </w:r>
      <w:r w:rsidR="00996615">
        <w:t xml:space="preserve">(disgorgement) </w:t>
      </w:r>
      <w:r w:rsidR="00584148">
        <w:t xml:space="preserve">of </w:t>
      </w:r>
      <w:r w:rsidR="00996615">
        <w:t xml:space="preserve">the $35,957.94.  </w:t>
      </w:r>
      <w:r w:rsidR="00B4114E">
        <w:t xml:space="preserve">Phillips </w:t>
      </w:r>
      <w:r w:rsidR="00996615">
        <w:t>stipulated</w:t>
      </w:r>
      <w:r w:rsidR="00B4114E">
        <w:t xml:space="preserve"> to </w:t>
      </w:r>
      <w:r w:rsidR="00F93DA3">
        <w:t>return</w:t>
      </w:r>
      <w:r w:rsidR="00B4114E">
        <w:t xml:space="preserve"> </w:t>
      </w:r>
      <w:r w:rsidR="00996615">
        <w:t>th</w:t>
      </w:r>
      <w:r w:rsidR="004C7231">
        <w:t>at amount</w:t>
      </w:r>
      <w:r w:rsidR="00996615">
        <w:t>,</w:t>
      </w:r>
      <w:r w:rsidR="00B4114E">
        <w:t xml:space="preserve"> plus interest</w:t>
      </w:r>
      <w:r w:rsidR="00996615">
        <w:t xml:space="preserve">, </w:t>
      </w:r>
      <w:r w:rsidR="00872221">
        <w:t xml:space="preserve">which the </w:t>
      </w:r>
      <w:r w:rsidR="0025131C">
        <w:t>b</w:t>
      </w:r>
      <w:r w:rsidR="00B4114E">
        <w:t xml:space="preserve">ankruptcy </w:t>
      </w:r>
      <w:r w:rsidR="0025131C">
        <w:t>c</w:t>
      </w:r>
      <w:r w:rsidR="00B4114E">
        <w:t>ourt approved</w:t>
      </w:r>
      <w:r w:rsidR="00996615">
        <w:t>.</w:t>
      </w:r>
      <w:r w:rsidR="00872221">
        <w:t xml:space="preserve">  </w:t>
      </w:r>
      <w:r w:rsidR="00B22C37">
        <w:t xml:space="preserve">The court also </w:t>
      </w:r>
      <w:r w:rsidR="00872221">
        <w:t xml:space="preserve">ordered </w:t>
      </w:r>
      <w:r w:rsidR="00B22C37">
        <w:t xml:space="preserve">Phillips </w:t>
      </w:r>
      <w:r w:rsidR="00872221">
        <w:t xml:space="preserve">to </w:t>
      </w:r>
      <w:r w:rsidR="005A62AC">
        <w:t>disgorge the $9,750</w:t>
      </w:r>
      <w:r w:rsidR="00584148">
        <w:t xml:space="preserve"> </w:t>
      </w:r>
      <w:r w:rsidR="00B22C37">
        <w:t xml:space="preserve">he received </w:t>
      </w:r>
      <w:r w:rsidR="00A057FA">
        <w:t>as h</w:t>
      </w:r>
      <w:r w:rsidR="001E2B8D">
        <w:t>is</w:t>
      </w:r>
      <w:r w:rsidR="00A057FA">
        <w:t xml:space="preserve"> initial </w:t>
      </w:r>
      <w:r w:rsidR="00B22C37">
        <w:t>fee</w:t>
      </w:r>
      <w:r w:rsidR="00584148">
        <w:t>.</w:t>
      </w:r>
      <w:r w:rsidR="005A62AC">
        <w:t xml:space="preserve">  Phillips complied, the creditors were paid and the Moualem case was closed in June 1998.  </w:t>
      </w:r>
    </w:p>
    <w:p w:rsidR="0066400F" w:rsidRDefault="0066400F" w:rsidP="002F4B74">
      <w:pPr>
        <w:pStyle w:val="ListParagraph"/>
        <w:spacing w:line="480" w:lineRule="auto"/>
        <w:ind w:left="0" w:firstLine="720"/>
      </w:pPr>
    </w:p>
    <w:p w:rsidR="0066400F" w:rsidRDefault="0066400F" w:rsidP="002F4B74">
      <w:pPr>
        <w:pStyle w:val="ListParagraph"/>
        <w:spacing w:line="480" w:lineRule="auto"/>
        <w:ind w:left="0" w:firstLine="720"/>
      </w:pPr>
    </w:p>
    <w:p w:rsidR="0066400F" w:rsidRDefault="0066400F" w:rsidP="002F4B74">
      <w:pPr>
        <w:pStyle w:val="ListParagraph"/>
        <w:spacing w:line="480" w:lineRule="auto"/>
        <w:ind w:left="0" w:firstLine="720"/>
      </w:pPr>
    </w:p>
    <w:p w:rsidR="00B22C37" w:rsidRDefault="002F4B74" w:rsidP="00B22C37">
      <w:pPr>
        <w:spacing w:line="480" w:lineRule="auto"/>
      </w:pPr>
      <w:r>
        <w:rPr>
          <w:b/>
        </w:rPr>
        <w:tab/>
      </w:r>
      <w:r w:rsidR="00B22C37" w:rsidRPr="00C06111">
        <w:rPr>
          <w:b/>
        </w:rPr>
        <w:t xml:space="preserve">Count One (A) </w:t>
      </w:r>
      <w:r>
        <w:rPr>
          <w:b/>
        </w:rPr>
        <w:t>– C</w:t>
      </w:r>
      <w:r w:rsidR="00B22C37" w:rsidRPr="00C06111">
        <w:rPr>
          <w:b/>
        </w:rPr>
        <w:t xml:space="preserve">harging Illegal Fee </w:t>
      </w:r>
      <w:r w:rsidR="00AA7BBD">
        <w:rPr>
          <w:b/>
        </w:rPr>
        <w:t>(</w:t>
      </w:r>
      <w:r w:rsidR="00482727">
        <w:rPr>
          <w:b/>
        </w:rPr>
        <w:t>Rules Prof. Conduct, r</w:t>
      </w:r>
      <w:r w:rsidR="00B22C37" w:rsidRPr="00C06111">
        <w:rPr>
          <w:b/>
        </w:rPr>
        <w:t>ule 4-200(A)</w:t>
      </w:r>
      <w:r w:rsidR="0045699D">
        <w:rPr>
          <w:b/>
        </w:rPr>
        <w:t>)</w:t>
      </w:r>
      <w:r w:rsidR="00403F57" w:rsidRPr="0045699D">
        <w:rPr>
          <w:rStyle w:val="FootnoteReference"/>
        </w:rPr>
        <w:footnoteReference w:id="11"/>
      </w:r>
      <w:r w:rsidR="00B22C37" w:rsidRPr="00C06111">
        <w:t xml:space="preserve">  </w:t>
      </w:r>
    </w:p>
    <w:p w:rsidR="00872221" w:rsidRDefault="00A057FA" w:rsidP="0060695C">
      <w:pPr>
        <w:spacing w:line="480" w:lineRule="auto"/>
      </w:pPr>
      <w:r>
        <w:tab/>
        <w:t xml:space="preserve">Rule 4-200(A) prohibits an attorney from entering into an agreement for an illegal fee.  </w:t>
      </w:r>
      <w:r w:rsidR="007C3C17">
        <w:t xml:space="preserve">Without the </w:t>
      </w:r>
      <w:r w:rsidR="0025131C">
        <w:t>b</w:t>
      </w:r>
      <w:r w:rsidR="007C3C17">
        <w:t xml:space="preserve">ankruptcy </w:t>
      </w:r>
      <w:r w:rsidR="0025131C">
        <w:t>c</w:t>
      </w:r>
      <w:r w:rsidR="007C3C17">
        <w:t xml:space="preserve">ourt’s authorization, </w:t>
      </w:r>
      <w:r w:rsidR="0060695C">
        <w:t xml:space="preserve">Phillips </w:t>
      </w:r>
      <w:r w:rsidR="00EB444D">
        <w:t xml:space="preserve">should not have </w:t>
      </w:r>
      <w:r w:rsidR="0060695C">
        <w:t>accepted $9,750 in fees from Moualem</w:t>
      </w:r>
      <w:r w:rsidR="00EB444D">
        <w:t xml:space="preserve"> </w:t>
      </w:r>
      <w:r w:rsidR="00F93DA3">
        <w:t xml:space="preserve">nor </w:t>
      </w:r>
      <w:r w:rsidR="00DD63E1">
        <w:t>taken</w:t>
      </w:r>
      <w:r w:rsidR="0060695C">
        <w:t xml:space="preserve"> $35,957.94 from </w:t>
      </w:r>
      <w:r w:rsidR="001E2B8D">
        <w:t>the</w:t>
      </w:r>
      <w:r w:rsidR="0060695C">
        <w:t xml:space="preserve"> escrow account</w:t>
      </w:r>
      <w:r w:rsidR="00584148">
        <w:t xml:space="preserve">. </w:t>
      </w:r>
      <w:r w:rsidR="007C3C17">
        <w:t xml:space="preserve"> </w:t>
      </w:r>
      <w:r w:rsidR="004C7231">
        <w:t>He</w:t>
      </w:r>
      <w:r w:rsidR="007C3C17">
        <w:t xml:space="preserve"> </w:t>
      </w:r>
      <w:r w:rsidR="0025131C">
        <w:t xml:space="preserve">was required to obtain </w:t>
      </w:r>
      <w:r w:rsidR="007C3C17">
        <w:t xml:space="preserve">approval from the </w:t>
      </w:r>
      <w:r w:rsidR="004C7231">
        <w:t>b</w:t>
      </w:r>
      <w:r w:rsidR="007C3C17">
        <w:t xml:space="preserve">ankruptcy </w:t>
      </w:r>
      <w:r w:rsidR="004C7231">
        <w:t>c</w:t>
      </w:r>
      <w:r w:rsidR="007C3C17">
        <w:t xml:space="preserve">ourt </w:t>
      </w:r>
      <w:r w:rsidR="0025131C">
        <w:t xml:space="preserve">for </w:t>
      </w:r>
      <w:r w:rsidR="00EB444D">
        <w:t xml:space="preserve">all </w:t>
      </w:r>
      <w:r w:rsidR="0025131C">
        <w:t xml:space="preserve">fee payments and to notify </w:t>
      </w:r>
      <w:r w:rsidR="00584148">
        <w:t xml:space="preserve">the </w:t>
      </w:r>
      <w:r w:rsidR="007C3C17">
        <w:t xml:space="preserve">court about </w:t>
      </w:r>
      <w:r w:rsidR="0025131C">
        <w:t xml:space="preserve">any </w:t>
      </w:r>
      <w:r w:rsidR="007C3C17">
        <w:t xml:space="preserve">payments </w:t>
      </w:r>
      <w:r w:rsidR="00EB444D">
        <w:t xml:space="preserve">he </w:t>
      </w:r>
      <w:r w:rsidR="00F93DA3">
        <w:t xml:space="preserve">did </w:t>
      </w:r>
      <w:r w:rsidR="007C3C17">
        <w:t xml:space="preserve">receive.  </w:t>
      </w:r>
      <w:r w:rsidR="001F4B66">
        <w:t xml:space="preserve">(See 11 U.S.C. </w:t>
      </w:r>
      <w:r w:rsidR="00F93DA3">
        <w:t>§</w:t>
      </w:r>
      <w:r w:rsidR="001F4B66">
        <w:t xml:space="preserve"> 330(a)(1); Fed.R.Bankr.P. 2016(a)</w:t>
      </w:r>
      <w:r w:rsidR="008A6E34">
        <w:t xml:space="preserve"> and (b).)  Phillips</w:t>
      </w:r>
      <w:r w:rsidR="00F16C84">
        <w:t>,</w:t>
      </w:r>
      <w:r w:rsidR="008A6E34">
        <w:t xml:space="preserve"> an experienced bankruptcy practitioner, </w:t>
      </w:r>
      <w:r w:rsidR="002B3303">
        <w:t xml:space="preserve">failed to </w:t>
      </w:r>
      <w:r w:rsidR="007C3C17">
        <w:t xml:space="preserve">comply with </w:t>
      </w:r>
      <w:r w:rsidR="00DD63E1">
        <w:t>these fundamental</w:t>
      </w:r>
      <w:r w:rsidR="007C3C17">
        <w:t xml:space="preserve"> requirement</w:t>
      </w:r>
      <w:r w:rsidR="00DD63E1">
        <w:t>s</w:t>
      </w:r>
      <w:r w:rsidR="00514361">
        <w:t>, making the fee he collected illegal under rule 4-200(A).</w:t>
      </w:r>
      <w:r w:rsidR="007C3C17">
        <w:t xml:space="preserve">  </w:t>
      </w:r>
    </w:p>
    <w:p w:rsidR="00B22C37" w:rsidRDefault="002F4B74" w:rsidP="002F4B74">
      <w:r>
        <w:rPr>
          <w:b/>
        </w:rPr>
        <w:tab/>
        <w:t xml:space="preserve">Count One (B) – Committing </w:t>
      </w:r>
      <w:r w:rsidR="00B22C37" w:rsidRPr="00C06111">
        <w:rPr>
          <w:b/>
        </w:rPr>
        <w:t xml:space="preserve">Act </w:t>
      </w:r>
      <w:r>
        <w:rPr>
          <w:b/>
        </w:rPr>
        <w:t xml:space="preserve">of Moral Turpitude </w:t>
      </w:r>
      <w:r w:rsidR="00AA7BBD">
        <w:rPr>
          <w:b/>
        </w:rPr>
        <w:t>(</w:t>
      </w:r>
      <w:r w:rsidR="00482727">
        <w:rPr>
          <w:b/>
        </w:rPr>
        <w:t xml:space="preserve">Bus. &amp; Prof. Code </w:t>
      </w:r>
      <w:r w:rsidR="00AA7BBD">
        <w:rPr>
          <w:b/>
        </w:rPr>
        <w:t>§</w:t>
      </w:r>
      <w:r w:rsidR="00A057FA">
        <w:rPr>
          <w:b/>
        </w:rPr>
        <w:t xml:space="preserve"> </w:t>
      </w:r>
      <w:r w:rsidR="00B22C37" w:rsidRPr="00C06111">
        <w:rPr>
          <w:b/>
        </w:rPr>
        <w:t>610</w:t>
      </w:r>
      <w:r w:rsidR="00A057FA">
        <w:rPr>
          <w:b/>
        </w:rPr>
        <w:t>6</w:t>
      </w:r>
      <w:r w:rsidR="00AA7BBD">
        <w:rPr>
          <w:b/>
        </w:rPr>
        <w:t>)</w:t>
      </w:r>
      <w:r w:rsidR="00A057FA" w:rsidRPr="00433D09">
        <w:rPr>
          <w:rStyle w:val="FootnoteReference"/>
        </w:rPr>
        <w:footnoteReference w:id="12"/>
      </w:r>
      <w:r w:rsidR="00B22C37" w:rsidRPr="00C06111">
        <w:t xml:space="preserve">  </w:t>
      </w:r>
      <w:r w:rsidR="0025131C" w:rsidRPr="00C06111">
        <w:tab/>
      </w:r>
    </w:p>
    <w:p w:rsidR="002F4B74" w:rsidRPr="00C06111" w:rsidRDefault="002F4B74" w:rsidP="002F4B74"/>
    <w:p w:rsidR="00433D09" w:rsidRDefault="00A057FA" w:rsidP="002F4B74">
      <w:pPr>
        <w:spacing w:line="480" w:lineRule="auto"/>
        <w:ind w:firstLine="720"/>
      </w:pPr>
      <w:r>
        <w:t>Section 610</w:t>
      </w:r>
      <w:r w:rsidR="00482727">
        <w:t>6</w:t>
      </w:r>
      <w:r>
        <w:t xml:space="preserve"> prohibits an attorney from engaging in conduct involving moral turpitude, dishonesty or corruption.  </w:t>
      </w:r>
      <w:r w:rsidR="00C44CB6">
        <w:t>For purposes of State Bar disciplinary proceedings, moral turpitude is “</w:t>
      </w:r>
      <w:r w:rsidR="00FD0836">
        <w:t>[</w:t>
      </w:r>
      <w:r w:rsidR="00C44CB6">
        <w:t>a</w:t>
      </w:r>
      <w:r w:rsidR="00FD0836">
        <w:t>]</w:t>
      </w:r>
      <w:r w:rsidR="00C44CB6">
        <w:t>ny crime or misconduct reflecting dishonesty, particularly when committed in the course of practice . . . .”  (</w:t>
      </w:r>
      <w:r w:rsidR="00C44CB6">
        <w:rPr>
          <w:i/>
        </w:rPr>
        <w:t xml:space="preserve">Read v. State Bar </w:t>
      </w:r>
      <w:r w:rsidR="00C44CB6">
        <w:t xml:space="preserve">(1991) 53 Cal.3d 394, 412.)  </w:t>
      </w:r>
      <w:r w:rsidR="00872221">
        <w:t xml:space="preserve">Phillips </w:t>
      </w:r>
      <w:r w:rsidR="00C44CB6">
        <w:t xml:space="preserve">misappropriated  Moualem’s </w:t>
      </w:r>
      <w:r w:rsidR="00455240">
        <w:t xml:space="preserve">escrow funds </w:t>
      </w:r>
      <w:r w:rsidR="00C44CB6">
        <w:t xml:space="preserve">when he paid his </w:t>
      </w:r>
      <w:r w:rsidR="007C3C17">
        <w:t>fees</w:t>
      </w:r>
      <w:r w:rsidR="0026585C">
        <w:t xml:space="preserve"> </w:t>
      </w:r>
      <w:r w:rsidR="00C44CB6">
        <w:t xml:space="preserve">out of them </w:t>
      </w:r>
      <w:r w:rsidR="0026585C">
        <w:t xml:space="preserve">without </w:t>
      </w:r>
      <w:r w:rsidR="00F16C84">
        <w:t xml:space="preserve">consent from his client or the court.  </w:t>
      </w:r>
      <w:r w:rsidR="00C44CB6">
        <w:t>“</w:t>
      </w:r>
      <w:r w:rsidR="00514361">
        <w:t>A</w:t>
      </w:r>
      <w:r w:rsidR="00C44CB6" w:rsidRPr="00321B27">
        <w:t>n attorney may not unilaterally determine his own fee and withhold trust funds to satisfy it even though he may be entitled to reimbursement for his services.</w:t>
      </w:r>
      <w:r w:rsidR="00C44CB6">
        <w:t xml:space="preserve"> [Citation.]”  (</w:t>
      </w:r>
      <w:r w:rsidR="00C44CB6">
        <w:rPr>
          <w:i/>
          <w:iCs/>
        </w:rPr>
        <w:t>Crooks v. State Bar</w:t>
      </w:r>
      <w:r w:rsidR="00C44CB6">
        <w:t xml:space="preserve"> (1970) 3 Cal.3d 346, 358.)</w:t>
      </w:r>
      <w:r w:rsidR="00C44CB6" w:rsidRPr="00BA14A6">
        <w:t xml:space="preserve"> </w:t>
      </w:r>
      <w:r w:rsidR="00C44CB6">
        <w:t xml:space="preserve"> </w:t>
      </w:r>
      <w:r w:rsidR="002B3303">
        <w:t>M</w:t>
      </w:r>
      <w:r w:rsidR="00514361">
        <w:t>oreover, “an</w:t>
      </w:r>
      <w:r w:rsidR="00A12466" w:rsidRPr="00BA14A6">
        <w:t xml:space="preserve"> attorney’s failure to use entrusted funds for the purpose for which they were entrusted constitutes misappropriation. [Citation.]” (</w:t>
      </w:r>
      <w:r w:rsidR="00A12466" w:rsidRPr="00BA14A6">
        <w:rPr>
          <w:i/>
          <w:iCs/>
        </w:rPr>
        <w:t>Baca v. State Bar</w:t>
      </w:r>
      <w:r w:rsidR="00A12466" w:rsidRPr="00BA14A6">
        <w:t xml:space="preserve"> (1990) 52 Cal.3d 294, 304.)</w:t>
      </w:r>
      <w:r w:rsidR="00A12466">
        <w:t xml:space="preserve"> </w:t>
      </w:r>
      <w:r w:rsidR="00872221">
        <w:t xml:space="preserve"> </w:t>
      </w:r>
      <w:r w:rsidR="00C44CB6">
        <w:t xml:space="preserve">We find Phillips culpable </w:t>
      </w:r>
      <w:r w:rsidR="004C7231">
        <w:t>o</w:t>
      </w:r>
      <w:r w:rsidR="00C44CB6">
        <w:t xml:space="preserve">f committing an act of moral turpitude by misappropriating </w:t>
      </w:r>
      <w:r w:rsidR="00514361">
        <w:t>the</w:t>
      </w:r>
      <w:r w:rsidR="00C44CB6">
        <w:t xml:space="preserve"> escrow funds.  </w:t>
      </w:r>
      <w:r w:rsidR="00872221">
        <w:t xml:space="preserve"> </w:t>
      </w:r>
    </w:p>
    <w:p w:rsidR="0066400F" w:rsidRDefault="0066400F" w:rsidP="002F4B74">
      <w:pPr>
        <w:spacing w:line="480" w:lineRule="auto"/>
        <w:ind w:firstLine="720"/>
      </w:pPr>
    </w:p>
    <w:p w:rsidR="00A35FB3" w:rsidRPr="002F4B74" w:rsidRDefault="002F4B74" w:rsidP="002F4B74">
      <w:pPr>
        <w:spacing w:line="480" w:lineRule="auto"/>
      </w:pPr>
      <w:r>
        <w:rPr>
          <w:b/>
        </w:rPr>
        <w:t>B.</w:t>
      </w:r>
      <w:r>
        <w:rPr>
          <w:b/>
        </w:rPr>
        <w:tab/>
      </w:r>
      <w:r w:rsidRPr="004976F0">
        <w:rPr>
          <w:b/>
        </w:rPr>
        <w:t>THE</w:t>
      </w:r>
      <w:r w:rsidR="00925B11">
        <w:rPr>
          <w:b/>
        </w:rPr>
        <w:t xml:space="preserve"> HEARN</w:t>
      </w:r>
      <w:r w:rsidRPr="004976F0">
        <w:rPr>
          <w:b/>
        </w:rPr>
        <w:t xml:space="preserve"> MATTER</w:t>
      </w:r>
      <w:r>
        <w:rPr>
          <w:b/>
        </w:rPr>
        <w:t xml:space="preserve"> (</w:t>
      </w:r>
      <w:r w:rsidR="00216798">
        <w:rPr>
          <w:b/>
        </w:rPr>
        <w:t xml:space="preserve">05-O-03782 - </w:t>
      </w:r>
      <w:r>
        <w:rPr>
          <w:b/>
        </w:rPr>
        <w:t>BANKRUPTCY CASE)</w:t>
      </w:r>
    </w:p>
    <w:p w:rsidR="00966D52" w:rsidRDefault="00A35FB3" w:rsidP="00966D52">
      <w:pPr>
        <w:spacing w:line="480" w:lineRule="auto"/>
        <w:ind w:firstLine="720"/>
      </w:pPr>
      <w:r>
        <w:t xml:space="preserve">In 1988, </w:t>
      </w:r>
      <w:r w:rsidR="008B3A2D">
        <w:t>Phi</w:t>
      </w:r>
      <w:r w:rsidR="007C3C17">
        <w:t>l</w:t>
      </w:r>
      <w:r w:rsidR="008B3A2D">
        <w:t xml:space="preserve">lips represented </w:t>
      </w:r>
      <w:r>
        <w:t>William</w:t>
      </w:r>
      <w:r w:rsidR="00925B11">
        <w:t xml:space="preserve"> Hearn</w:t>
      </w:r>
      <w:r w:rsidR="008B3A2D">
        <w:t xml:space="preserve"> in a Chapter 11 proceeding.  </w:t>
      </w:r>
      <w:r w:rsidR="00925B11">
        <w:t>Hearn</w:t>
      </w:r>
      <w:r w:rsidR="008B3A2D">
        <w:t xml:space="preserve"> paid Phil</w:t>
      </w:r>
      <w:r w:rsidR="007C3C17">
        <w:t>l</w:t>
      </w:r>
      <w:r w:rsidR="008B3A2D">
        <w:t xml:space="preserve">ips </w:t>
      </w:r>
      <w:r w:rsidR="00455240">
        <w:t>a</w:t>
      </w:r>
      <w:r>
        <w:t xml:space="preserve"> retainer of $11,500.  </w:t>
      </w:r>
      <w:r w:rsidR="00C71B8F">
        <w:t>In 1989,</w:t>
      </w:r>
      <w:r w:rsidR="00DD63E1">
        <w:t xml:space="preserve"> </w:t>
      </w:r>
      <w:r w:rsidR="00925B11">
        <w:t>Hearn</w:t>
      </w:r>
      <w:r w:rsidR="008B3A2D">
        <w:t xml:space="preserve"> </w:t>
      </w:r>
      <w:r w:rsidR="00966D52">
        <w:t>and Phillips submitted an application</w:t>
      </w:r>
      <w:r w:rsidR="008B27C7">
        <w:t xml:space="preserve"> to the </w:t>
      </w:r>
      <w:r w:rsidR="00F93DA3">
        <w:t>b</w:t>
      </w:r>
      <w:r w:rsidR="008B27C7">
        <w:t xml:space="preserve">ankruptcy </w:t>
      </w:r>
      <w:r w:rsidR="00F93DA3">
        <w:t>c</w:t>
      </w:r>
      <w:r w:rsidR="008B27C7">
        <w:t>ourt</w:t>
      </w:r>
      <w:r w:rsidR="00966D52">
        <w:t xml:space="preserve"> </w:t>
      </w:r>
      <w:r w:rsidR="008B3A2D">
        <w:t>disclosing the retainer payment</w:t>
      </w:r>
      <w:r w:rsidR="00966D52">
        <w:t>, seeking approval for Phillips to</w:t>
      </w:r>
      <w:r w:rsidR="00F2426D">
        <w:t xml:space="preserve"> represent</w:t>
      </w:r>
      <w:r w:rsidR="00966D52">
        <w:t xml:space="preserve"> </w:t>
      </w:r>
      <w:r w:rsidR="00925B11">
        <w:t>Hearn</w:t>
      </w:r>
      <w:r w:rsidR="00966D52">
        <w:t xml:space="preserve"> and acknowledging that </w:t>
      </w:r>
      <w:r w:rsidR="00455240">
        <w:t xml:space="preserve">any </w:t>
      </w:r>
      <w:r w:rsidR="00966D52">
        <w:t xml:space="preserve">additional fees “shall be subject to court approval.” </w:t>
      </w:r>
      <w:r w:rsidR="008B27C7">
        <w:t xml:space="preserve"> Phillips </w:t>
      </w:r>
      <w:r w:rsidR="00514361">
        <w:t>filed</w:t>
      </w:r>
      <w:r w:rsidR="008B27C7">
        <w:t xml:space="preserve"> a supporting declaration</w:t>
      </w:r>
      <w:r w:rsidR="00F2426D">
        <w:t xml:space="preserve"> and t</w:t>
      </w:r>
      <w:r w:rsidR="00966D52">
        <w:t xml:space="preserve">he </w:t>
      </w:r>
      <w:r w:rsidR="00F93DA3">
        <w:t>b</w:t>
      </w:r>
      <w:r w:rsidR="00966D52">
        <w:t xml:space="preserve">ankruptcy </w:t>
      </w:r>
      <w:r w:rsidR="00F93DA3">
        <w:t>c</w:t>
      </w:r>
      <w:r w:rsidR="00966D52">
        <w:t>ourt approved the application</w:t>
      </w:r>
      <w:r w:rsidR="00F2426D">
        <w:t xml:space="preserve">. </w:t>
      </w:r>
      <w:r w:rsidR="007C3C17">
        <w:t xml:space="preserve"> </w:t>
      </w:r>
      <w:r w:rsidR="00F2426D">
        <w:t>I</w:t>
      </w:r>
      <w:r w:rsidR="00AC16FB">
        <w:t xml:space="preserve">n 1993, </w:t>
      </w:r>
      <w:r w:rsidR="00F2426D">
        <w:t xml:space="preserve">the court </w:t>
      </w:r>
      <w:r w:rsidR="00AC16FB">
        <w:t xml:space="preserve">finalized the </w:t>
      </w:r>
      <w:r w:rsidR="008B27C7">
        <w:t>bankruptcy plan</w:t>
      </w:r>
      <w:r w:rsidR="001E2B8D">
        <w:t xml:space="preserve">, which included </w:t>
      </w:r>
      <w:r w:rsidR="002B3303">
        <w:t xml:space="preserve">paying </w:t>
      </w:r>
      <w:r w:rsidR="001E2B8D">
        <w:t xml:space="preserve">Phillips an additional </w:t>
      </w:r>
      <w:r w:rsidR="00AC16FB">
        <w:t xml:space="preserve">$21,000 out of the proceeds of the sale </w:t>
      </w:r>
      <w:r w:rsidR="002B3303">
        <w:t>from</w:t>
      </w:r>
      <w:r w:rsidR="00AC16FB">
        <w:t xml:space="preserve"> the first proper</w:t>
      </w:r>
      <w:r w:rsidR="007C3C17">
        <w:t>t</w:t>
      </w:r>
      <w:r w:rsidR="00AC16FB">
        <w:t xml:space="preserve">y, subject to court approval.  </w:t>
      </w:r>
    </w:p>
    <w:p w:rsidR="001E2B8D" w:rsidRDefault="007C3C17" w:rsidP="00EB444D">
      <w:pPr>
        <w:spacing w:line="480" w:lineRule="auto"/>
        <w:ind w:firstLine="720"/>
      </w:pPr>
      <w:r>
        <w:t>Less than a year later</w:t>
      </w:r>
      <w:r w:rsidR="009A6B3A">
        <w:t>,</w:t>
      </w:r>
      <w:r w:rsidR="00D11DCA">
        <w:t xml:space="preserve"> in 1994, and</w:t>
      </w:r>
      <w:r>
        <w:t xml:space="preserve"> without </w:t>
      </w:r>
      <w:r w:rsidR="00F93DA3">
        <w:t xml:space="preserve">bankruptcy court </w:t>
      </w:r>
      <w:r>
        <w:t xml:space="preserve">authorization, </w:t>
      </w:r>
      <w:r w:rsidR="00966D52">
        <w:t xml:space="preserve">Phillips </w:t>
      </w:r>
      <w:r>
        <w:t xml:space="preserve">took </w:t>
      </w:r>
      <w:r w:rsidR="00966D52">
        <w:t xml:space="preserve">$35,997.50 </w:t>
      </w:r>
      <w:r w:rsidR="00AC16FB">
        <w:t xml:space="preserve">from </w:t>
      </w:r>
      <w:r w:rsidR="00966D52">
        <w:t xml:space="preserve">a loan escrow </w:t>
      </w:r>
      <w:r w:rsidR="00455240">
        <w:t>account</w:t>
      </w:r>
      <w:r w:rsidR="00DD63E1">
        <w:t xml:space="preserve"> </w:t>
      </w:r>
      <w:r w:rsidR="00925B11">
        <w:t>Hearn</w:t>
      </w:r>
      <w:r w:rsidR="00455240">
        <w:t xml:space="preserve"> </w:t>
      </w:r>
      <w:r w:rsidR="00D11DCA">
        <w:t>had established</w:t>
      </w:r>
      <w:r w:rsidR="00966D52">
        <w:t xml:space="preserve">.  </w:t>
      </w:r>
      <w:r w:rsidR="00EB444D">
        <w:t xml:space="preserve">After three years passed without </w:t>
      </w:r>
      <w:r w:rsidR="00F2426D">
        <w:t xml:space="preserve">any </w:t>
      </w:r>
      <w:r w:rsidR="00EB444D">
        <w:t>action</w:t>
      </w:r>
      <w:r w:rsidR="002B3303">
        <w:t xml:space="preserve"> on the case</w:t>
      </w:r>
      <w:r w:rsidR="00EB444D">
        <w:t xml:space="preserve">, </w:t>
      </w:r>
      <w:r w:rsidR="00455240">
        <w:t>the court clerk reviewed the file</w:t>
      </w:r>
      <w:r w:rsidR="00F2426D">
        <w:t xml:space="preserve"> in 1997</w:t>
      </w:r>
      <w:r w:rsidR="00455240">
        <w:t xml:space="preserve"> and requested that Phillips </w:t>
      </w:r>
      <w:r w:rsidR="008B27C7">
        <w:t xml:space="preserve">provide a </w:t>
      </w:r>
      <w:r w:rsidR="00AC16FB">
        <w:t xml:space="preserve">status report.  </w:t>
      </w:r>
      <w:r w:rsidR="00455240">
        <w:t>Phillips then filed an application for fees</w:t>
      </w:r>
      <w:r w:rsidR="000C55A1">
        <w:t xml:space="preserve"> showing he had already billed and received fees without court approval</w:t>
      </w:r>
      <w:r w:rsidR="00455240">
        <w:t xml:space="preserve">.  The bankruptcy court </w:t>
      </w:r>
      <w:r w:rsidR="000C55A1">
        <w:t>ordered him to</w:t>
      </w:r>
      <w:r w:rsidR="00CE4C04">
        <w:t xml:space="preserve"> </w:t>
      </w:r>
      <w:r w:rsidR="008B27C7">
        <w:t>disgorge</w:t>
      </w:r>
      <w:r w:rsidR="00CE4C04">
        <w:t xml:space="preserve"> </w:t>
      </w:r>
      <w:r w:rsidR="00032EBF">
        <w:t>$</w:t>
      </w:r>
      <w:r w:rsidR="00CE4C04">
        <w:t xml:space="preserve">35,192.50 of the </w:t>
      </w:r>
      <w:r w:rsidR="00F2426D">
        <w:t>funds</w:t>
      </w:r>
      <w:r w:rsidR="00CE4C04">
        <w:t xml:space="preserve"> he </w:t>
      </w:r>
      <w:r w:rsidR="008B27C7">
        <w:t>took</w:t>
      </w:r>
      <w:r w:rsidR="00DD63E1">
        <w:t xml:space="preserve">, </w:t>
      </w:r>
      <w:r w:rsidR="001E2B8D">
        <w:t>but</w:t>
      </w:r>
      <w:r w:rsidR="00514361">
        <w:t xml:space="preserve"> permitted</w:t>
      </w:r>
      <w:r w:rsidR="000C55A1">
        <w:t xml:space="preserve"> </w:t>
      </w:r>
      <w:r w:rsidR="00416671">
        <w:t>him</w:t>
      </w:r>
      <w:r w:rsidR="00F93DA3">
        <w:t xml:space="preserve"> </w:t>
      </w:r>
      <w:r w:rsidR="000C55A1">
        <w:t xml:space="preserve">to retain the initial $11,500 retainer. </w:t>
      </w:r>
      <w:r w:rsidR="002B3303">
        <w:t xml:space="preserve">  The court </w:t>
      </w:r>
      <w:r w:rsidR="00EB444D">
        <w:t>found</w:t>
      </w:r>
      <w:r w:rsidR="00CE4C04">
        <w:t xml:space="preserve"> that Phillips </w:t>
      </w:r>
      <w:r w:rsidR="00DD63E1">
        <w:t xml:space="preserve">had </w:t>
      </w:r>
      <w:r w:rsidR="00CE4C04">
        <w:t xml:space="preserve">violated </w:t>
      </w:r>
      <w:r w:rsidR="00DD63E1">
        <w:t>its</w:t>
      </w:r>
      <w:r w:rsidR="00CE4C04">
        <w:t xml:space="preserve"> plan for </w:t>
      </w:r>
      <w:r w:rsidR="008B27C7">
        <w:t xml:space="preserve">paying </w:t>
      </w:r>
      <w:r w:rsidR="00CE4C04">
        <w:t xml:space="preserve">his fees and </w:t>
      </w:r>
      <w:r w:rsidR="008B27C7">
        <w:t xml:space="preserve">cited </w:t>
      </w:r>
      <w:r w:rsidR="00CE4C04">
        <w:t xml:space="preserve">his conduct </w:t>
      </w:r>
      <w:r w:rsidR="008B27C7">
        <w:t>as</w:t>
      </w:r>
      <w:r w:rsidR="00CE4C04">
        <w:t xml:space="preserve"> inexcusable.</w:t>
      </w:r>
      <w:r w:rsidR="00CE4C04">
        <w:rPr>
          <w:rStyle w:val="FootnoteReference"/>
        </w:rPr>
        <w:footnoteReference w:id="13"/>
      </w:r>
      <w:r w:rsidR="00AC16FB">
        <w:t xml:space="preserve">  </w:t>
      </w:r>
      <w:r w:rsidR="001E2B8D">
        <w:t>The bankruptcy court issued an Order to Show Cause</w:t>
      </w:r>
      <w:r w:rsidR="00BA37ED">
        <w:t xml:space="preserve"> (OSC)</w:t>
      </w:r>
      <w:r w:rsidR="001E2B8D">
        <w:t xml:space="preserve"> as to why Phillips should not be held in civil contempt </w:t>
      </w:r>
      <w:r w:rsidR="0045312F">
        <w:t>for failing</w:t>
      </w:r>
      <w:r w:rsidR="00DD63E1">
        <w:t xml:space="preserve"> to disgorge the fees</w:t>
      </w:r>
      <w:r w:rsidR="00444674">
        <w:t xml:space="preserve"> for three</w:t>
      </w:r>
      <w:r w:rsidR="00DD63E1">
        <w:t xml:space="preserve"> years</w:t>
      </w:r>
      <w:r w:rsidR="001E2B8D">
        <w:t xml:space="preserve">.  </w:t>
      </w:r>
      <w:r w:rsidR="00CE4C04">
        <w:t xml:space="preserve"> </w:t>
      </w:r>
    </w:p>
    <w:p w:rsidR="00794BD5" w:rsidRPr="0065772E" w:rsidRDefault="001E2B8D" w:rsidP="00EB444D">
      <w:pPr>
        <w:spacing w:line="480" w:lineRule="auto"/>
        <w:ind w:firstLine="720"/>
        <w:rPr>
          <w:color w:val="FF0000"/>
        </w:rPr>
      </w:pPr>
      <w:r>
        <w:t xml:space="preserve">Phillips stipulated to </w:t>
      </w:r>
      <w:r w:rsidR="00CE4C04">
        <w:t xml:space="preserve">pay </w:t>
      </w:r>
      <w:r w:rsidR="008B27C7">
        <w:t xml:space="preserve">the $35,192.50 </w:t>
      </w:r>
      <w:r w:rsidR="00455240">
        <w:t>directly to</w:t>
      </w:r>
      <w:r w:rsidR="00925B11">
        <w:t xml:space="preserve"> Hearn</w:t>
      </w:r>
      <w:r w:rsidR="00455240">
        <w:t xml:space="preserve"> </w:t>
      </w:r>
      <w:r w:rsidR="00CE4C04">
        <w:t>i</w:t>
      </w:r>
      <w:r w:rsidR="00A80EDF">
        <w:t xml:space="preserve">n $500 </w:t>
      </w:r>
      <w:r w:rsidR="008B27C7">
        <w:t>monthly installments</w:t>
      </w:r>
      <w:r w:rsidR="00455240">
        <w:t>, with the</w:t>
      </w:r>
      <w:r w:rsidR="008B27C7">
        <w:t xml:space="preserve"> entire balance </w:t>
      </w:r>
      <w:r w:rsidR="00455240">
        <w:t xml:space="preserve">becoming due if he defaulted on </w:t>
      </w:r>
      <w:r w:rsidR="00F93DA3">
        <w:t xml:space="preserve">any </w:t>
      </w:r>
      <w:r w:rsidR="00455240">
        <w:t>payment</w:t>
      </w:r>
      <w:r w:rsidR="00A80EDF">
        <w:t xml:space="preserve">.  </w:t>
      </w:r>
      <w:r w:rsidR="00DD63E1">
        <w:t xml:space="preserve">From February 2002 to July 2002, </w:t>
      </w:r>
      <w:r w:rsidR="008B27C7">
        <w:t xml:space="preserve">Phillips </w:t>
      </w:r>
      <w:r w:rsidR="005852B4">
        <w:t>made only</w:t>
      </w:r>
      <w:r w:rsidR="00A80EDF">
        <w:t xml:space="preserve"> five installment payments totaling $2,500, </w:t>
      </w:r>
      <w:r w:rsidR="005852B4">
        <w:t xml:space="preserve">and </w:t>
      </w:r>
      <w:r w:rsidR="00DD63E1">
        <w:t>still owes</w:t>
      </w:r>
      <w:r w:rsidR="005852B4">
        <w:t xml:space="preserve"> </w:t>
      </w:r>
      <w:r w:rsidR="00925B11">
        <w:t>Hearn</w:t>
      </w:r>
      <w:r w:rsidR="00F93DA3">
        <w:t xml:space="preserve"> </w:t>
      </w:r>
      <w:r w:rsidR="00A2326A">
        <w:t>the remainder</w:t>
      </w:r>
      <w:r w:rsidR="00A80EDF">
        <w:t>.</w:t>
      </w:r>
      <w:r w:rsidR="00A80EDF" w:rsidRPr="007B5922">
        <w:t xml:space="preserve"> </w:t>
      </w:r>
      <w:r w:rsidR="00B75E81">
        <w:t xml:space="preserve"> </w:t>
      </w:r>
      <w:r w:rsidR="00DD63E1">
        <w:t xml:space="preserve">At trial, Phillips claimed he </w:t>
      </w:r>
      <w:r w:rsidR="0045312F">
        <w:t>did not have adequate income</w:t>
      </w:r>
      <w:r w:rsidR="00165D17">
        <w:t xml:space="preserve"> </w:t>
      </w:r>
      <w:r w:rsidR="00DD63E1">
        <w:t xml:space="preserve">to </w:t>
      </w:r>
      <w:r w:rsidR="009A6B3A">
        <w:t>refund the fees</w:t>
      </w:r>
      <w:r w:rsidR="00DD63E1">
        <w:t xml:space="preserve"> </w:t>
      </w:r>
      <w:r w:rsidR="008A2BB8">
        <w:t xml:space="preserve">because </w:t>
      </w:r>
      <w:r w:rsidR="00D11DCA">
        <w:t xml:space="preserve">he could not earn money after </w:t>
      </w:r>
      <w:r w:rsidR="008A2BB8">
        <w:t xml:space="preserve">the bankruptcy court </w:t>
      </w:r>
      <w:r w:rsidR="00B75E81">
        <w:t xml:space="preserve">stopped appointing him on </w:t>
      </w:r>
      <w:r w:rsidR="00A2326A">
        <w:t xml:space="preserve">   </w:t>
      </w:r>
      <w:r w:rsidR="00B75E81">
        <w:t>Chapter 11 cases.</w:t>
      </w:r>
    </w:p>
    <w:p w:rsidR="006E22A9" w:rsidRPr="00C06111" w:rsidRDefault="002F4B74" w:rsidP="00794BD5">
      <w:pPr>
        <w:spacing w:line="480" w:lineRule="auto"/>
      </w:pPr>
      <w:r>
        <w:rPr>
          <w:b/>
        </w:rPr>
        <w:tab/>
      </w:r>
      <w:r w:rsidR="00794BD5" w:rsidRPr="00C06111">
        <w:rPr>
          <w:b/>
        </w:rPr>
        <w:t xml:space="preserve">Count Two (A) </w:t>
      </w:r>
      <w:r>
        <w:rPr>
          <w:b/>
        </w:rPr>
        <w:t>– C</w:t>
      </w:r>
      <w:r w:rsidR="005852B4" w:rsidRPr="00C06111">
        <w:rPr>
          <w:b/>
        </w:rPr>
        <w:t>harging</w:t>
      </w:r>
      <w:r w:rsidR="00794BD5" w:rsidRPr="00C06111">
        <w:rPr>
          <w:b/>
        </w:rPr>
        <w:t xml:space="preserve"> I</w:t>
      </w:r>
      <w:r w:rsidR="005852B4" w:rsidRPr="00C06111">
        <w:rPr>
          <w:b/>
        </w:rPr>
        <w:t xml:space="preserve">llegal </w:t>
      </w:r>
      <w:r w:rsidR="00794BD5" w:rsidRPr="00C06111">
        <w:rPr>
          <w:b/>
        </w:rPr>
        <w:t>F</w:t>
      </w:r>
      <w:r w:rsidR="005852B4" w:rsidRPr="00C06111">
        <w:rPr>
          <w:b/>
        </w:rPr>
        <w:t>ee</w:t>
      </w:r>
      <w:r w:rsidR="00AA7BBD">
        <w:rPr>
          <w:b/>
        </w:rPr>
        <w:t xml:space="preserve"> (</w:t>
      </w:r>
      <w:r w:rsidR="00794BD5" w:rsidRPr="00C06111">
        <w:rPr>
          <w:b/>
        </w:rPr>
        <w:t>R</w:t>
      </w:r>
      <w:r w:rsidR="005852B4" w:rsidRPr="00C06111">
        <w:rPr>
          <w:b/>
        </w:rPr>
        <w:t>ule 4-200(A)</w:t>
      </w:r>
      <w:r w:rsidR="00AA7BBD">
        <w:rPr>
          <w:b/>
        </w:rPr>
        <w:t>)</w:t>
      </w:r>
      <w:r w:rsidR="005852B4" w:rsidRPr="00C06111">
        <w:t xml:space="preserve">  </w:t>
      </w:r>
    </w:p>
    <w:p w:rsidR="00794BD5" w:rsidRPr="00433D09" w:rsidRDefault="006E22A9" w:rsidP="00794BD5">
      <w:pPr>
        <w:spacing w:line="480" w:lineRule="auto"/>
      </w:pPr>
      <w:r>
        <w:tab/>
      </w:r>
      <w:r w:rsidR="001F67EC" w:rsidRPr="00D11DCA">
        <w:t xml:space="preserve">Phillips is culpable </w:t>
      </w:r>
      <w:r w:rsidR="0045312F" w:rsidRPr="00D11DCA">
        <w:t>o</w:t>
      </w:r>
      <w:r w:rsidR="001F67EC" w:rsidRPr="00D11DCA">
        <w:t>f charging an illega</w:t>
      </w:r>
      <w:r w:rsidR="00D11DCA">
        <w:t>l fee</w:t>
      </w:r>
      <w:r w:rsidR="009A6B3A">
        <w:t>, in violation of rule 4-200(A),</w:t>
      </w:r>
      <w:r w:rsidR="00D11DCA">
        <w:t xml:space="preserve"> because he took the $35,997.50</w:t>
      </w:r>
      <w:r w:rsidR="001F67EC" w:rsidRPr="00D11DCA">
        <w:t xml:space="preserve"> </w:t>
      </w:r>
      <w:r w:rsidR="00D11DCA">
        <w:t xml:space="preserve">from the escrow account </w:t>
      </w:r>
      <w:r w:rsidR="001F67EC" w:rsidRPr="00D11DCA">
        <w:t xml:space="preserve">without the </w:t>
      </w:r>
      <w:r w:rsidR="00D11DCA">
        <w:t xml:space="preserve">bankruptcy court’s approval, and </w:t>
      </w:r>
      <w:r w:rsidR="001C1B1F">
        <w:t>then failed to provide notice of payment</w:t>
      </w:r>
      <w:r w:rsidR="00D11DCA">
        <w:t>.</w:t>
      </w:r>
      <w:r w:rsidR="001F4B66" w:rsidRPr="00D11DCA">
        <w:t xml:space="preserve">  (See 11 U.S.C. </w:t>
      </w:r>
      <w:r w:rsidR="00F93DA3" w:rsidRPr="00D11DCA">
        <w:t>§</w:t>
      </w:r>
      <w:r w:rsidR="001F4B66" w:rsidRPr="00D11DCA">
        <w:t xml:space="preserve"> 330(a)(1); Fed.R.Bankr.P. 2016(a) [bankruptcy court must order pa</w:t>
      </w:r>
      <w:r w:rsidR="00B23AA8">
        <w:t>yment of attorney fees]; Fed.R.Bankr.</w:t>
      </w:r>
      <w:r w:rsidR="001F4B66" w:rsidRPr="00D11DCA">
        <w:t xml:space="preserve">P. 2016(b) [attorney must disclose payments received for legal services].)  </w:t>
      </w:r>
    </w:p>
    <w:p w:rsidR="006E22A9" w:rsidRPr="00C06111" w:rsidRDefault="002F4B74" w:rsidP="00372BD0">
      <w:pPr>
        <w:spacing w:line="480" w:lineRule="auto"/>
        <w:rPr>
          <w:b/>
        </w:rPr>
      </w:pPr>
      <w:r>
        <w:rPr>
          <w:b/>
        </w:rPr>
        <w:tab/>
      </w:r>
      <w:r w:rsidR="00794BD5" w:rsidRPr="00C06111">
        <w:rPr>
          <w:b/>
        </w:rPr>
        <w:t xml:space="preserve">Count Two (B) </w:t>
      </w:r>
      <w:r>
        <w:rPr>
          <w:b/>
        </w:rPr>
        <w:t>– F</w:t>
      </w:r>
      <w:r w:rsidR="001F4B66" w:rsidRPr="00C06111">
        <w:rPr>
          <w:b/>
        </w:rPr>
        <w:t xml:space="preserve">ailing to </w:t>
      </w:r>
      <w:r w:rsidR="00794BD5" w:rsidRPr="00C06111">
        <w:rPr>
          <w:b/>
        </w:rPr>
        <w:t>O</w:t>
      </w:r>
      <w:r w:rsidR="001F4B66" w:rsidRPr="00C06111">
        <w:rPr>
          <w:b/>
        </w:rPr>
        <w:t xml:space="preserve">bey </w:t>
      </w:r>
      <w:r w:rsidR="00794BD5" w:rsidRPr="00C06111">
        <w:rPr>
          <w:b/>
        </w:rPr>
        <w:t>C</w:t>
      </w:r>
      <w:r w:rsidR="001F4B66" w:rsidRPr="00C06111">
        <w:rPr>
          <w:b/>
        </w:rPr>
        <w:t xml:space="preserve">ourt </w:t>
      </w:r>
      <w:r w:rsidR="00794BD5" w:rsidRPr="00C06111">
        <w:rPr>
          <w:b/>
        </w:rPr>
        <w:t>O</w:t>
      </w:r>
      <w:r w:rsidR="001F4B66" w:rsidRPr="00C06111">
        <w:rPr>
          <w:b/>
        </w:rPr>
        <w:t xml:space="preserve">rder </w:t>
      </w:r>
      <w:r w:rsidR="00AA7BBD">
        <w:rPr>
          <w:b/>
        </w:rPr>
        <w:t>(§</w:t>
      </w:r>
      <w:r w:rsidR="001F4B66" w:rsidRPr="00C06111">
        <w:rPr>
          <w:b/>
        </w:rPr>
        <w:t xml:space="preserve"> 610</w:t>
      </w:r>
      <w:r w:rsidR="008A2BB8">
        <w:rPr>
          <w:b/>
        </w:rPr>
        <w:t>3</w:t>
      </w:r>
      <w:r w:rsidR="00AA7BBD">
        <w:rPr>
          <w:b/>
        </w:rPr>
        <w:t>)</w:t>
      </w:r>
      <w:r w:rsidR="001F4B66" w:rsidRPr="00C06111">
        <w:rPr>
          <w:b/>
        </w:rPr>
        <w:t xml:space="preserve">  </w:t>
      </w:r>
    </w:p>
    <w:p w:rsidR="00464EC0" w:rsidRDefault="001F67EC" w:rsidP="00372BD0">
      <w:pPr>
        <w:spacing w:line="480" w:lineRule="auto"/>
      </w:pPr>
      <w:r>
        <w:tab/>
      </w:r>
      <w:r w:rsidR="008A2BB8">
        <w:t>Section 6103 provides for suspension or disbarment if an attorney willfully disobeys a court order</w:t>
      </w:r>
      <w:r w:rsidR="001E2B8D">
        <w:t>.  Phillips violated two bankruptcy court orders.  First, he</w:t>
      </w:r>
      <w:r>
        <w:t xml:space="preserve"> received</w:t>
      </w:r>
      <w:r w:rsidR="001F4B66">
        <w:t xml:space="preserve"> </w:t>
      </w:r>
      <w:r>
        <w:t xml:space="preserve">$35,997.50 </w:t>
      </w:r>
      <w:r w:rsidR="00F93DA3">
        <w:t>from</w:t>
      </w:r>
      <w:r>
        <w:t xml:space="preserve"> </w:t>
      </w:r>
      <w:r w:rsidR="00925B11">
        <w:t>Hearn</w:t>
      </w:r>
      <w:r>
        <w:t xml:space="preserve">’s </w:t>
      </w:r>
      <w:r w:rsidR="001F4B66">
        <w:t>loan escrow account</w:t>
      </w:r>
      <w:r>
        <w:t xml:space="preserve"> </w:t>
      </w:r>
      <w:r w:rsidR="00DC0FEF">
        <w:t xml:space="preserve">in violation of the court’s 1989 and 1993 orders </w:t>
      </w:r>
      <w:r w:rsidR="0045312F">
        <w:t>requiring</w:t>
      </w:r>
      <w:r w:rsidR="00DC0FEF">
        <w:t xml:space="preserve"> approv</w:t>
      </w:r>
      <w:r w:rsidR="0045312F">
        <w:t>al of</w:t>
      </w:r>
      <w:r w:rsidR="00DC0FEF">
        <w:t xml:space="preserve"> all attorney fees.</w:t>
      </w:r>
      <w:r w:rsidR="001F4B66">
        <w:t xml:space="preserve">  </w:t>
      </w:r>
      <w:r w:rsidR="00464EC0">
        <w:t xml:space="preserve">Second, Phillips failed to fully refund the fees to Hearn in violation of the court’s order to disgorge.  </w:t>
      </w:r>
    </w:p>
    <w:p w:rsidR="00C268E2" w:rsidRDefault="00464EC0" w:rsidP="00372BD0">
      <w:pPr>
        <w:spacing w:line="480" w:lineRule="auto"/>
      </w:pPr>
      <w:r>
        <w:tab/>
      </w:r>
      <w:r w:rsidR="004976F0">
        <w:t xml:space="preserve">The bankruptcy court </w:t>
      </w:r>
      <w:r w:rsidR="001F4B66">
        <w:t xml:space="preserve">found that </w:t>
      </w:r>
      <w:r w:rsidR="001F4B66" w:rsidRPr="001F0F0A">
        <w:t>Phillips</w:t>
      </w:r>
      <w:r w:rsidR="0045312F">
        <w:t>’s</w:t>
      </w:r>
      <w:r w:rsidR="001F4B66" w:rsidRPr="001F0F0A">
        <w:t xml:space="preserve"> </w:t>
      </w:r>
      <w:r w:rsidR="001E2B8D">
        <w:t xml:space="preserve">motive for not seeking </w:t>
      </w:r>
      <w:r w:rsidR="00DC0FEF">
        <w:t>court</w:t>
      </w:r>
      <w:r w:rsidR="001F67EC">
        <w:t xml:space="preserve"> authorization </w:t>
      </w:r>
      <w:r w:rsidR="001E2B8D">
        <w:t xml:space="preserve">was to </w:t>
      </w:r>
      <w:r w:rsidR="001F67EC">
        <w:t>“</w:t>
      </w:r>
      <w:r w:rsidR="001F4B66" w:rsidRPr="001F0F0A">
        <w:t xml:space="preserve">willfully circumvent </w:t>
      </w:r>
      <w:r w:rsidR="001F4B66">
        <w:t xml:space="preserve">the fee </w:t>
      </w:r>
      <w:r w:rsidR="001F4B66" w:rsidRPr="001F0F0A">
        <w:t>application process</w:t>
      </w:r>
      <w:r w:rsidR="001E2B8D">
        <w:t>.</w:t>
      </w:r>
      <w:r w:rsidR="00794BD5">
        <w:t xml:space="preserve">” </w:t>
      </w:r>
      <w:r w:rsidR="001F4B66">
        <w:t xml:space="preserve"> </w:t>
      </w:r>
      <w:r w:rsidR="001E2B8D">
        <w:t>We agree with the bankruptcy court’s finding</w:t>
      </w:r>
      <w:r w:rsidR="0045312F">
        <w:t>,</w:t>
      </w:r>
      <w:r w:rsidR="001E2B8D">
        <w:t xml:space="preserve"> which </w:t>
      </w:r>
      <w:r w:rsidR="009A6B3A">
        <w:t>is</w:t>
      </w:r>
      <w:r w:rsidR="001E2B8D">
        <w:t xml:space="preserve"> entitled to </w:t>
      </w:r>
      <w:r w:rsidR="001E2B8D" w:rsidRPr="00A72E7E">
        <w:t>a strong presumption of validity</w:t>
      </w:r>
      <w:r w:rsidR="001E2B8D">
        <w:t xml:space="preserve">.  </w:t>
      </w:r>
      <w:r w:rsidR="001C1B1F">
        <w:t>(</w:t>
      </w:r>
      <w:r w:rsidR="001E2B8D" w:rsidRPr="00A72E7E">
        <w:rPr>
          <w:i/>
        </w:rPr>
        <w:t>In the Matter of Scott</w:t>
      </w:r>
      <w:r w:rsidR="001E2B8D">
        <w:t xml:space="preserve"> (Review Dept. 2002) 4 </w:t>
      </w:r>
      <w:r w:rsidR="001E2B8D" w:rsidRPr="00A72E7E">
        <w:t xml:space="preserve">Cal. State Bar Ct. Rptr. </w:t>
      </w:r>
      <w:r w:rsidR="001E2B8D">
        <w:t xml:space="preserve">446, </w:t>
      </w:r>
      <w:r w:rsidR="001E2B8D" w:rsidRPr="00A72E7E">
        <w:t>455</w:t>
      </w:r>
      <w:r w:rsidR="001E2B8D">
        <w:t xml:space="preserve"> [c</w:t>
      </w:r>
      <w:r w:rsidR="001E2B8D" w:rsidRPr="00A72E7E">
        <w:t>ivil verdicts</w:t>
      </w:r>
      <w:r w:rsidR="001E2B8D" w:rsidRPr="00EB444D">
        <w:t>, judgments and</w:t>
      </w:r>
      <w:r w:rsidR="001E2B8D" w:rsidRPr="00A72E7E">
        <w:t xml:space="preserve"> findings</w:t>
      </w:r>
      <w:r w:rsidR="001E2B8D">
        <w:t xml:space="preserve"> entitled to strong presumption of validity].)  </w:t>
      </w:r>
    </w:p>
    <w:p w:rsidR="0066400F" w:rsidRDefault="0066400F" w:rsidP="00372BD0">
      <w:pPr>
        <w:spacing w:line="480" w:lineRule="auto"/>
      </w:pPr>
    </w:p>
    <w:p w:rsidR="0066400F" w:rsidRDefault="0066400F" w:rsidP="00372BD0">
      <w:pPr>
        <w:spacing w:line="480" w:lineRule="auto"/>
      </w:pPr>
    </w:p>
    <w:p w:rsidR="0066400F" w:rsidRDefault="0066400F" w:rsidP="00372BD0">
      <w:pPr>
        <w:spacing w:line="480" w:lineRule="auto"/>
      </w:pPr>
    </w:p>
    <w:p w:rsidR="006E22A9" w:rsidRDefault="002F4B74" w:rsidP="002F4B74">
      <w:pPr>
        <w:rPr>
          <w:b/>
        </w:rPr>
      </w:pPr>
      <w:r>
        <w:rPr>
          <w:b/>
        </w:rPr>
        <w:tab/>
      </w:r>
      <w:r w:rsidR="00794BD5" w:rsidRPr="00C06111">
        <w:rPr>
          <w:b/>
        </w:rPr>
        <w:t xml:space="preserve">Count Two (C) </w:t>
      </w:r>
      <w:r w:rsidR="001C1B1F">
        <w:rPr>
          <w:b/>
        </w:rPr>
        <w:t>Moral Turpitude</w:t>
      </w:r>
      <w:r w:rsidR="00BC78D4">
        <w:rPr>
          <w:b/>
        </w:rPr>
        <w:t xml:space="preserve"> </w:t>
      </w:r>
      <w:r w:rsidR="00FB25B3">
        <w:rPr>
          <w:b/>
        </w:rPr>
        <w:t>(§</w:t>
      </w:r>
      <w:r w:rsidR="006E22A9" w:rsidRPr="00C06111">
        <w:rPr>
          <w:b/>
        </w:rPr>
        <w:t xml:space="preserve"> 610</w:t>
      </w:r>
      <w:r w:rsidR="001E2B8D">
        <w:rPr>
          <w:b/>
        </w:rPr>
        <w:t>6</w:t>
      </w:r>
      <w:r w:rsidR="00FB25B3">
        <w:rPr>
          <w:b/>
        </w:rPr>
        <w:t>)</w:t>
      </w:r>
      <w:r w:rsidR="001C1B1F">
        <w:t xml:space="preserve"> - </w:t>
      </w:r>
      <w:r w:rsidR="001C1B1F">
        <w:rPr>
          <w:b/>
        </w:rPr>
        <w:t>Receiving Fees Without Court Approval</w:t>
      </w:r>
    </w:p>
    <w:p w:rsidR="001C1B1F" w:rsidRPr="001C1B1F" w:rsidRDefault="001C1B1F" w:rsidP="002F4B74">
      <w:pPr>
        <w:rPr>
          <w:b/>
        </w:rPr>
      </w:pPr>
      <w:r>
        <w:rPr>
          <w:b/>
        </w:rPr>
        <w:tab/>
        <w:t>Count Two (D) Moral Turpitude (§</w:t>
      </w:r>
      <w:r w:rsidRPr="00C06111">
        <w:rPr>
          <w:b/>
        </w:rPr>
        <w:t xml:space="preserve"> 610</w:t>
      </w:r>
      <w:r>
        <w:rPr>
          <w:b/>
        </w:rPr>
        <w:t>6) - Misappropriation</w:t>
      </w:r>
    </w:p>
    <w:p w:rsidR="002F4B74" w:rsidRPr="00C06111" w:rsidRDefault="002F4B74" w:rsidP="002F4B74"/>
    <w:p w:rsidR="00032EBF" w:rsidRDefault="006E22A9" w:rsidP="00372BD0">
      <w:pPr>
        <w:spacing w:line="480" w:lineRule="auto"/>
      </w:pPr>
      <w:r>
        <w:tab/>
        <w:t>Ph</w:t>
      </w:r>
      <w:r w:rsidR="00794BD5">
        <w:t xml:space="preserve">illips </w:t>
      </w:r>
      <w:r w:rsidR="001F67EC">
        <w:t xml:space="preserve">is culpable </w:t>
      </w:r>
      <w:r w:rsidR="00464EC0">
        <w:t>o</w:t>
      </w:r>
      <w:r w:rsidR="001C1B1F">
        <w:t>f</w:t>
      </w:r>
      <w:r w:rsidR="001F67EC">
        <w:t xml:space="preserve"> </w:t>
      </w:r>
      <w:r w:rsidR="004976F0">
        <w:t>violat</w:t>
      </w:r>
      <w:r w:rsidR="001F67EC">
        <w:t>ing</w:t>
      </w:r>
      <w:r w:rsidR="009E4C75">
        <w:t xml:space="preserve"> section 6106</w:t>
      </w:r>
      <w:r w:rsidR="001F67EC">
        <w:t xml:space="preserve"> because</w:t>
      </w:r>
      <w:r w:rsidR="00032EBF">
        <w:t xml:space="preserve">:  (1) he </w:t>
      </w:r>
      <w:r w:rsidR="00DE1737">
        <w:t xml:space="preserve">improperly </w:t>
      </w:r>
      <w:r w:rsidR="00032EBF">
        <w:t>received</w:t>
      </w:r>
      <w:r w:rsidR="00DE1737">
        <w:t xml:space="preserve"> $35,997.50 from </w:t>
      </w:r>
      <w:r w:rsidR="00925B11">
        <w:t>Hearn</w:t>
      </w:r>
      <w:r w:rsidR="00DE1737">
        <w:t>’s loan escrow account for his fees without court approval</w:t>
      </w:r>
      <w:r w:rsidR="00032EBF">
        <w:t xml:space="preserve">; </w:t>
      </w:r>
      <w:r w:rsidR="001C1B1F">
        <w:t xml:space="preserve">and </w:t>
      </w:r>
      <w:r w:rsidR="00032EBF">
        <w:t xml:space="preserve">(2) </w:t>
      </w:r>
      <w:r w:rsidR="001C1B1F">
        <w:t>he unilaterally took Hearn’s escrow funds for his own use that he was obligated to hold in trust.  These acts constitute moral turpitude.</w:t>
      </w:r>
      <w:r w:rsidR="008A2BB8" w:rsidRPr="00A2326A">
        <w:rPr>
          <w:rStyle w:val="FootnoteReference"/>
        </w:rPr>
        <w:footnoteReference w:id="14"/>
      </w:r>
      <w:r w:rsidR="008A2BB8" w:rsidRPr="00C06111">
        <w:t xml:space="preserve">  </w:t>
      </w:r>
      <w:r w:rsidR="00DE1737">
        <w:t xml:space="preserve">  </w:t>
      </w:r>
    </w:p>
    <w:p w:rsidR="00A35FB3" w:rsidRPr="00C06111" w:rsidRDefault="002F4B74" w:rsidP="00372BD0">
      <w:pPr>
        <w:spacing w:line="480" w:lineRule="auto"/>
        <w:rPr>
          <w:b/>
        </w:rPr>
      </w:pPr>
      <w:r>
        <w:rPr>
          <w:b/>
        </w:rPr>
        <w:tab/>
      </w:r>
      <w:r w:rsidR="00A35FB3" w:rsidRPr="00C06111">
        <w:rPr>
          <w:b/>
        </w:rPr>
        <w:t>Count Two</w:t>
      </w:r>
      <w:r w:rsidR="00B174C1" w:rsidRPr="00C06111">
        <w:rPr>
          <w:b/>
        </w:rPr>
        <w:t xml:space="preserve"> </w:t>
      </w:r>
      <w:r w:rsidR="00A35FB3" w:rsidRPr="00C06111">
        <w:rPr>
          <w:b/>
        </w:rPr>
        <w:t>(E)</w:t>
      </w:r>
      <w:r w:rsidR="00F61380" w:rsidRPr="00C06111">
        <w:rPr>
          <w:b/>
        </w:rPr>
        <w:t xml:space="preserve"> </w:t>
      </w:r>
      <w:r>
        <w:rPr>
          <w:b/>
        </w:rPr>
        <w:t>– Failing t</w:t>
      </w:r>
      <w:r w:rsidR="006E22A9" w:rsidRPr="00C06111">
        <w:rPr>
          <w:b/>
        </w:rPr>
        <w:t>o</w:t>
      </w:r>
      <w:r w:rsidR="00A35FB3" w:rsidRPr="00C06111">
        <w:rPr>
          <w:b/>
        </w:rPr>
        <w:t xml:space="preserve"> Return Unearned Fees</w:t>
      </w:r>
      <w:r w:rsidR="006E22A9" w:rsidRPr="00C06111">
        <w:rPr>
          <w:b/>
        </w:rPr>
        <w:t xml:space="preserve"> </w:t>
      </w:r>
      <w:r w:rsidR="00FB25B3">
        <w:rPr>
          <w:b/>
        </w:rPr>
        <w:t>(</w:t>
      </w:r>
      <w:r w:rsidR="00F61380" w:rsidRPr="00C06111">
        <w:rPr>
          <w:b/>
        </w:rPr>
        <w:t>Rule 3-700(D)(2)</w:t>
      </w:r>
      <w:r w:rsidR="00FB25B3">
        <w:rPr>
          <w:b/>
        </w:rPr>
        <w:t>)</w:t>
      </w:r>
    </w:p>
    <w:p w:rsidR="000B35F2" w:rsidRDefault="008161C9" w:rsidP="000B35F2">
      <w:pPr>
        <w:spacing w:line="480" w:lineRule="auto"/>
      </w:pPr>
      <w:r>
        <w:rPr>
          <w:b/>
        </w:rPr>
        <w:tab/>
      </w:r>
      <w:r w:rsidR="008A2BB8" w:rsidRPr="008A2BB8">
        <w:t>Rule 3-700 (D)(2) requires</w:t>
      </w:r>
      <w:r>
        <w:t xml:space="preserve"> that, </w:t>
      </w:r>
      <w:r>
        <w:rPr>
          <w:i/>
        </w:rPr>
        <w:t>upon termination of employment</w:t>
      </w:r>
      <w:r>
        <w:t xml:space="preserve">, </w:t>
      </w:r>
      <w:r w:rsidR="008A2BB8" w:rsidRPr="008A2BB8">
        <w:t xml:space="preserve">an attorney </w:t>
      </w:r>
      <w:r>
        <w:t>must</w:t>
      </w:r>
      <w:r w:rsidR="008A2BB8" w:rsidRPr="008A2BB8">
        <w:t xml:space="preserve"> “[p]romptly refund any part of a fee paid in advance that</w:t>
      </w:r>
      <w:r w:rsidR="008A2BB8">
        <w:t xml:space="preserve"> has</w:t>
      </w:r>
      <w:r w:rsidR="008A2BB8" w:rsidRPr="008A2BB8">
        <w:t xml:space="preserve"> not been earned.”  </w:t>
      </w:r>
      <w:r>
        <w:t xml:space="preserve">Although Phillips never refunded $32,692.50 ($35,192.50 minus $2,500 in payment plus interest) in fees he wrongfully obtained, the record does not establish that he was terminated or withdrew from employment.  He </w:t>
      </w:r>
      <w:r w:rsidR="0066400F">
        <w:t>therefore i</w:t>
      </w:r>
      <w:r>
        <w:t xml:space="preserve">s not culpable.  </w:t>
      </w:r>
    </w:p>
    <w:p w:rsidR="00A35FB3" w:rsidRPr="007D7804" w:rsidRDefault="002F4B74" w:rsidP="000B35F2">
      <w:pPr>
        <w:spacing w:line="480" w:lineRule="auto"/>
        <w:rPr>
          <w:b/>
        </w:rPr>
      </w:pPr>
      <w:r>
        <w:rPr>
          <w:b/>
        </w:rPr>
        <w:t>C.</w:t>
      </w:r>
      <w:r>
        <w:rPr>
          <w:b/>
        </w:rPr>
        <w:tab/>
      </w:r>
      <w:r w:rsidRPr="007D7804">
        <w:rPr>
          <w:b/>
        </w:rPr>
        <w:t>THE RILEY MATTER</w:t>
      </w:r>
      <w:r>
        <w:rPr>
          <w:b/>
        </w:rPr>
        <w:t xml:space="preserve"> (</w:t>
      </w:r>
      <w:r w:rsidR="001B59DF">
        <w:rPr>
          <w:b/>
        </w:rPr>
        <w:t xml:space="preserve">05-O-03782 - </w:t>
      </w:r>
      <w:r>
        <w:rPr>
          <w:b/>
        </w:rPr>
        <w:t>BANKRUPTCY CASE)</w:t>
      </w:r>
    </w:p>
    <w:p w:rsidR="00B12DD9" w:rsidRPr="0065772E" w:rsidRDefault="007D7804" w:rsidP="00B12DD9">
      <w:pPr>
        <w:spacing w:line="480" w:lineRule="auto"/>
        <w:rPr>
          <w:color w:val="FF0000"/>
        </w:rPr>
      </w:pPr>
      <w:r>
        <w:tab/>
        <w:t>In 1995, the bankruptcy court approved Phill</w:t>
      </w:r>
      <w:r w:rsidR="008C6A9E">
        <w:t xml:space="preserve">ips’s request </w:t>
      </w:r>
      <w:r w:rsidR="009A6B3A">
        <w:t xml:space="preserve">to be </w:t>
      </w:r>
      <w:r w:rsidR="008C6A9E">
        <w:t xml:space="preserve">the attorney for </w:t>
      </w:r>
      <w:r>
        <w:t>Riley and Sons Construction</w:t>
      </w:r>
      <w:r w:rsidR="008C6A9E">
        <w:t xml:space="preserve"> in</w:t>
      </w:r>
      <w:r w:rsidR="00764D97">
        <w:t xml:space="preserve"> a Chapter 11 case.  The matter was ultimately converted to </w:t>
      </w:r>
      <w:r w:rsidR="008C6A9E">
        <w:t xml:space="preserve">a </w:t>
      </w:r>
      <w:r w:rsidR="00764D97">
        <w:t xml:space="preserve">Chapter 7 </w:t>
      </w:r>
      <w:r w:rsidR="008C6A9E">
        <w:t xml:space="preserve">case </w:t>
      </w:r>
      <w:r w:rsidR="00764D97">
        <w:t xml:space="preserve">and a trustee was appointed. </w:t>
      </w:r>
      <w:r w:rsidR="008C6A9E">
        <w:t xml:space="preserve">  Phillips accepted </w:t>
      </w:r>
      <w:r w:rsidR="00D65338">
        <w:t>$16,900 in fees</w:t>
      </w:r>
      <w:r w:rsidR="008C6A9E">
        <w:t xml:space="preserve"> from Riley without obtaining</w:t>
      </w:r>
      <w:r w:rsidR="00D65338">
        <w:t xml:space="preserve"> </w:t>
      </w:r>
      <w:r w:rsidR="00AA460E">
        <w:t xml:space="preserve">court </w:t>
      </w:r>
      <w:r w:rsidR="008C6A9E">
        <w:t xml:space="preserve">authorization, and he did not disclose </w:t>
      </w:r>
      <w:r>
        <w:t xml:space="preserve">to the court that he had received </w:t>
      </w:r>
      <w:r w:rsidR="00EC0999">
        <w:t>any money</w:t>
      </w:r>
      <w:r w:rsidR="00D65338">
        <w:t>.</w:t>
      </w:r>
      <w:r w:rsidR="00B12DD9">
        <w:t xml:space="preserve"> </w:t>
      </w:r>
      <w:r w:rsidR="00444674">
        <w:t xml:space="preserve"> The trustee </w:t>
      </w:r>
      <w:r w:rsidR="00764D97">
        <w:t xml:space="preserve">for the case </w:t>
      </w:r>
      <w:r w:rsidR="00444674">
        <w:t>discovered the payments and filed an adversary proceeding against Phillips to recover the fees.  Phillips admitted receiving the payments fro</w:t>
      </w:r>
      <w:r w:rsidR="00764D97">
        <w:t xml:space="preserve">m Riley without court approval but </w:t>
      </w:r>
      <w:r w:rsidR="00444674">
        <w:t xml:space="preserve">claimed that </w:t>
      </w:r>
      <w:r w:rsidR="008C6A9E">
        <w:t xml:space="preserve">the fee checks were cashed and </w:t>
      </w:r>
      <w:r w:rsidR="00444674">
        <w:t xml:space="preserve">Riley used </w:t>
      </w:r>
      <w:r>
        <w:t xml:space="preserve">the money </w:t>
      </w:r>
      <w:r w:rsidR="00444674">
        <w:t>to buy supplies for the company.  Riley corroborated Phillips’s claim</w:t>
      </w:r>
      <w:r w:rsidR="003E260B">
        <w:t xml:space="preserve"> </w:t>
      </w:r>
      <w:r w:rsidR="00127BA6">
        <w:t xml:space="preserve">in a declaration </w:t>
      </w:r>
      <w:r w:rsidR="00764D97">
        <w:t xml:space="preserve">presented </w:t>
      </w:r>
      <w:r w:rsidR="003E260B">
        <w:t xml:space="preserve">at an </w:t>
      </w:r>
      <w:r w:rsidR="0083125B">
        <w:t>evidentiary hearing</w:t>
      </w:r>
      <w:r w:rsidR="003E260B">
        <w:t xml:space="preserve">.  </w:t>
      </w:r>
      <w:r w:rsidR="00127BA6">
        <w:t>However, Riley</w:t>
      </w:r>
      <w:r w:rsidR="00764D97">
        <w:t xml:space="preserve">’s declaration contradicted </w:t>
      </w:r>
      <w:r w:rsidR="001E41E2">
        <w:t>his previous statement to</w:t>
      </w:r>
      <w:r w:rsidR="00127BA6">
        <w:t xml:space="preserve"> the attorney for the trustee</w:t>
      </w:r>
      <w:r w:rsidR="009E4C75">
        <w:t xml:space="preserve"> – that </w:t>
      </w:r>
      <w:r w:rsidR="008C6A9E">
        <w:t>he paid the fees for</w:t>
      </w:r>
      <w:r w:rsidR="00764D97">
        <w:t xml:space="preserve"> </w:t>
      </w:r>
      <w:r w:rsidR="00127BA6">
        <w:t xml:space="preserve">Phillips </w:t>
      </w:r>
      <w:r w:rsidR="008C6A9E">
        <w:t xml:space="preserve">to continue </w:t>
      </w:r>
      <w:r w:rsidR="00127BA6">
        <w:t xml:space="preserve">to represent him.  </w:t>
      </w:r>
      <w:r w:rsidR="003E260B">
        <w:t xml:space="preserve">The </w:t>
      </w:r>
      <w:r w:rsidR="00127BA6">
        <w:t xml:space="preserve">bankruptcy </w:t>
      </w:r>
      <w:r w:rsidR="003E260B">
        <w:t xml:space="preserve">court </w:t>
      </w:r>
      <w:r>
        <w:t xml:space="preserve">concluded that </w:t>
      </w:r>
      <w:r w:rsidR="0083125B">
        <w:t xml:space="preserve">Phillips and Riley </w:t>
      </w:r>
      <w:r w:rsidR="00EC0999">
        <w:t xml:space="preserve">did not tell the </w:t>
      </w:r>
      <w:r w:rsidR="00AA460E">
        <w:t xml:space="preserve">truth and </w:t>
      </w:r>
      <w:r w:rsidR="009A6B3A">
        <w:t xml:space="preserve">that </w:t>
      </w:r>
      <w:r w:rsidR="0083125B">
        <w:t xml:space="preserve">Riley had paid </w:t>
      </w:r>
      <w:r w:rsidR="008C6A9E">
        <w:t xml:space="preserve">the money </w:t>
      </w:r>
      <w:r w:rsidR="0083125B">
        <w:t xml:space="preserve">to Phillips </w:t>
      </w:r>
      <w:r w:rsidR="003E260B">
        <w:t xml:space="preserve">for </w:t>
      </w:r>
      <w:r w:rsidR="008C6A9E">
        <w:t xml:space="preserve">legal </w:t>
      </w:r>
      <w:r w:rsidR="0083125B">
        <w:t xml:space="preserve">fees.  The court entered a judgment against Phillips for </w:t>
      </w:r>
      <w:r w:rsidR="0083125B" w:rsidRPr="00C06111">
        <w:t>$16,900, plus pre- and post-judgment interest.</w:t>
      </w:r>
      <w:r w:rsidR="00764D97">
        <w:rPr>
          <w:rStyle w:val="FootnoteReference"/>
        </w:rPr>
        <w:footnoteReference w:id="15"/>
      </w:r>
      <w:r w:rsidR="0083125B" w:rsidRPr="00C06111">
        <w:t xml:space="preserve">  </w:t>
      </w:r>
    </w:p>
    <w:p w:rsidR="00F61380" w:rsidRPr="00C06111" w:rsidRDefault="002F4B74" w:rsidP="00F6083D">
      <w:pPr>
        <w:spacing w:line="480" w:lineRule="auto"/>
      </w:pPr>
      <w:r>
        <w:rPr>
          <w:b/>
        </w:rPr>
        <w:tab/>
      </w:r>
      <w:r w:rsidR="00F61380" w:rsidRPr="00C06111">
        <w:rPr>
          <w:b/>
        </w:rPr>
        <w:t>Count Three (A)</w:t>
      </w:r>
      <w:r>
        <w:rPr>
          <w:b/>
        </w:rPr>
        <w:t xml:space="preserve"> –</w:t>
      </w:r>
      <w:r w:rsidR="007C0341">
        <w:rPr>
          <w:b/>
        </w:rPr>
        <w:t xml:space="preserve"> C</w:t>
      </w:r>
      <w:r w:rsidR="00F61380" w:rsidRPr="00C06111">
        <w:rPr>
          <w:b/>
        </w:rPr>
        <w:t xml:space="preserve">harging </w:t>
      </w:r>
      <w:r w:rsidR="007C0341">
        <w:rPr>
          <w:b/>
        </w:rPr>
        <w:t>an</w:t>
      </w:r>
      <w:r w:rsidR="00F61380" w:rsidRPr="00C06111">
        <w:rPr>
          <w:b/>
        </w:rPr>
        <w:t xml:space="preserve"> Illegal Fee </w:t>
      </w:r>
      <w:r w:rsidR="00FB25B3">
        <w:rPr>
          <w:b/>
        </w:rPr>
        <w:t>(</w:t>
      </w:r>
      <w:r w:rsidR="00F61380" w:rsidRPr="00C06111">
        <w:rPr>
          <w:b/>
        </w:rPr>
        <w:t>Rule 4-200(A)</w:t>
      </w:r>
      <w:r w:rsidR="00FB25B3">
        <w:rPr>
          <w:b/>
        </w:rPr>
        <w:t>)</w:t>
      </w:r>
      <w:r w:rsidR="00F61380" w:rsidRPr="00C06111">
        <w:t xml:space="preserve"> </w:t>
      </w:r>
    </w:p>
    <w:p w:rsidR="00F61380" w:rsidRDefault="00764D97" w:rsidP="00F61380">
      <w:pPr>
        <w:spacing w:line="480" w:lineRule="auto"/>
        <w:ind w:firstLine="720"/>
      </w:pPr>
      <w:r>
        <w:t xml:space="preserve">Phillips is culpable </w:t>
      </w:r>
      <w:r w:rsidR="001E41E2">
        <w:t>o</w:t>
      </w:r>
      <w:r>
        <w:t>f charging an illegal fee because he c</w:t>
      </w:r>
      <w:r w:rsidR="00964DC0">
        <w:t>ollected</w:t>
      </w:r>
      <w:r>
        <w:t xml:space="preserve"> $16,900 as fees without </w:t>
      </w:r>
      <w:r w:rsidR="008C6A9E">
        <w:t xml:space="preserve">obtaining </w:t>
      </w:r>
      <w:r>
        <w:t>bankruptcy court</w:t>
      </w:r>
      <w:r w:rsidR="008C6A9E">
        <w:t xml:space="preserve"> approval or providing notice </w:t>
      </w:r>
      <w:r>
        <w:t xml:space="preserve">he had received the payment.  </w:t>
      </w:r>
    </w:p>
    <w:p w:rsidR="00F61380" w:rsidRDefault="007C0341" w:rsidP="007C0341">
      <w:pPr>
        <w:rPr>
          <w:b/>
        </w:rPr>
      </w:pPr>
      <w:r>
        <w:rPr>
          <w:b/>
        </w:rPr>
        <w:tab/>
      </w:r>
      <w:r w:rsidR="00F61380" w:rsidRPr="00C06111">
        <w:rPr>
          <w:b/>
        </w:rPr>
        <w:t xml:space="preserve">Count </w:t>
      </w:r>
      <w:r w:rsidR="00764D97">
        <w:rPr>
          <w:b/>
        </w:rPr>
        <w:t>Three</w:t>
      </w:r>
      <w:r w:rsidR="00F61380" w:rsidRPr="00C06111">
        <w:rPr>
          <w:b/>
        </w:rPr>
        <w:t xml:space="preserve"> (B)</w:t>
      </w:r>
      <w:r>
        <w:rPr>
          <w:b/>
        </w:rPr>
        <w:t xml:space="preserve"> –</w:t>
      </w:r>
      <w:r w:rsidR="00F61380" w:rsidRPr="00C06111">
        <w:rPr>
          <w:b/>
        </w:rPr>
        <w:t>Moral Turpitu</w:t>
      </w:r>
      <w:r>
        <w:rPr>
          <w:b/>
        </w:rPr>
        <w:t xml:space="preserve">de </w:t>
      </w:r>
      <w:r w:rsidR="00FB25B3">
        <w:rPr>
          <w:b/>
        </w:rPr>
        <w:t>(§</w:t>
      </w:r>
      <w:r w:rsidR="00F61380" w:rsidRPr="00C06111">
        <w:rPr>
          <w:b/>
        </w:rPr>
        <w:t xml:space="preserve"> 610</w:t>
      </w:r>
      <w:r w:rsidR="00964DC0">
        <w:rPr>
          <w:b/>
        </w:rPr>
        <w:t>6</w:t>
      </w:r>
      <w:r w:rsidR="00FB25B3">
        <w:rPr>
          <w:b/>
        </w:rPr>
        <w:t>)</w:t>
      </w:r>
      <w:r w:rsidR="008C6A9E">
        <w:rPr>
          <w:b/>
        </w:rPr>
        <w:t xml:space="preserve"> – Lying Under Oath</w:t>
      </w:r>
      <w:r>
        <w:rPr>
          <w:b/>
        </w:rPr>
        <w:t xml:space="preserve"> </w:t>
      </w:r>
    </w:p>
    <w:p w:rsidR="007C0341" w:rsidRPr="00C06111" w:rsidRDefault="007C0341" w:rsidP="007C0341">
      <w:pPr>
        <w:rPr>
          <w:b/>
        </w:rPr>
      </w:pPr>
    </w:p>
    <w:p w:rsidR="00F013B5" w:rsidRDefault="000342B9" w:rsidP="00F61380">
      <w:pPr>
        <w:spacing w:line="480" w:lineRule="auto"/>
        <w:ind w:firstLine="720"/>
      </w:pPr>
      <w:r>
        <w:t xml:space="preserve">Phillips committed an act of moral turpitude </w:t>
      </w:r>
      <w:r w:rsidR="00EB7423">
        <w:t xml:space="preserve">when he </w:t>
      </w:r>
      <w:r w:rsidR="00127BA6">
        <w:t xml:space="preserve">submitted Riley’s false declaration and </w:t>
      </w:r>
      <w:r w:rsidR="00EB7423">
        <w:t xml:space="preserve">testified falsely at the evidentiary hearing.  Like the bankruptcy court, the hearing judge rejected Phillips’s testimony </w:t>
      </w:r>
      <w:r w:rsidR="007D7804">
        <w:t xml:space="preserve">that </w:t>
      </w:r>
      <w:r w:rsidR="001E41E2">
        <w:t xml:space="preserve">Riley </w:t>
      </w:r>
      <w:r w:rsidR="00764D97">
        <w:t xml:space="preserve">gave </w:t>
      </w:r>
      <w:r w:rsidR="001E41E2">
        <w:t>him</w:t>
      </w:r>
      <w:r w:rsidR="007D7804">
        <w:t xml:space="preserve"> </w:t>
      </w:r>
      <w:r w:rsidR="00764D97">
        <w:t xml:space="preserve">the money for company expenses </w:t>
      </w:r>
      <w:r w:rsidR="00EB7423">
        <w:t xml:space="preserve">as self-serving and contrary to the judicially noticed bank records.  </w:t>
      </w:r>
      <w:r>
        <w:t>We give great weight to the hearing judge’s credibility findings</w:t>
      </w:r>
      <w:r w:rsidR="00EB7423">
        <w:t xml:space="preserve">  </w:t>
      </w:r>
      <w:r w:rsidR="00C06111">
        <w:t xml:space="preserve">in concluding that </w:t>
      </w:r>
      <w:r w:rsidR="00EB7423">
        <w:t>Phillips testified dishonestly</w:t>
      </w:r>
      <w:r w:rsidR="008C6A9E">
        <w:t xml:space="preserve"> at the bankruptcy hearing</w:t>
      </w:r>
      <w:r w:rsidR="00EC0999">
        <w:t xml:space="preserve">.  (Rules Proc. of State Bar, rule 305(a); </w:t>
      </w:r>
      <w:r w:rsidR="00EC0999" w:rsidRPr="008063C3">
        <w:rPr>
          <w:i/>
        </w:rPr>
        <w:t>Connor v. State Bar</w:t>
      </w:r>
      <w:r w:rsidR="00EC0999">
        <w:t xml:space="preserve"> (1990) 50 Cal.3d 1047, 1055)</w:t>
      </w:r>
      <w:r w:rsidR="00EB7423">
        <w:t>.</w:t>
      </w:r>
      <w:r w:rsidR="00F6083D">
        <w:t xml:space="preserve"> </w:t>
      </w:r>
    </w:p>
    <w:p w:rsidR="00C06111" w:rsidRPr="00C06111" w:rsidRDefault="007C0341" w:rsidP="00C06111">
      <w:pPr>
        <w:spacing w:line="480" w:lineRule="auto"/>
        <w:rPr>
          <w:b/>
        </w:rPr>
      </w:pPr>
      <w:r>
        <w:rPr>
          <w:b/>
        </w:rPr>
        <w:tab/>
      </w:r>
      <w:r w:rsidR="00C06111" w:rsidRPr="00C06111">
        <w:rPr>
          <w:b/>
        </w:rPr>
        <w:t>Count Three (C) – Ad</w:t>
      </w:r>
      <w:r w:rsidR="00C06111">
        <w:rPr>
          <w:b/>
        </w:rPr>
        <w:t>vis</w:t>
      </w:r>
      <w:r w:rsidR="00C06111" w:rsidRPr="00C06111">
        <w:rPr>
          <w:b/>
        </w:rPr>
        <w:t xml:space="preserve">ing Violation of Law </w:t>
      </w:r>
      <w:r w:rsidR="00FB25B3">
        <w:rPr>
          <w:b/>
        </w:rPr>
        <w:t>(</w:t>
      </w:r>
      <w:r>
        <w:rPr>
          <w:b/>
        </w:rPr>
        <w:t>R</w:t>
      </w:r>
      <w:r w:rsidR="00C06111" w:rsidRPr="00C06111">
        <w:rPr>
          <w:b/>
        </w:rPr>
        <w:t>ule 3-210</w:t>
      </w:r>
      <w:r w:rsidR="00FB25B3">
        <w:rPr>
          <w:b/>
        </w:rPr>
        <w:t>)</w:t>
      </w:r>
    </w:p>
    <w:p w:rsidR="00A35FB3" w:rsidRDefault="00F6083D" w:rsidP="00E60981">
      <w:pPr>
        <w:spacing w:line="480" w:lineRule="auto"/>
      </w:pPr>
      <w:r>
        <w:tab/>
      </w:r>
      <w:r w:rsidR="00964DC0">
        <w:t xml:space="preserve">Rule 3-210 prohibits an attorney from advising the violation of any law unless it is believed that the law is invalid.  </w:t>
      </w:r>
      <w:r w:rsidR="00C06111">
        <w:t xml:space="preserve">The </w:t>
      </w:r>
      <w:r>
        <w:t xml:space="preserve">hearing judge properly dismissed </w:t>
      </w:r>
      <w:r w:rsidR="00C06111">
        <w:t>this charge</w:t>
      </w:r>
      <w:r w:rsidR="00964DC0">
        <w:t xml:space="preserve"> since t</w:t>
      </w:r>
      <w:r>
        <w:t xml:space="preserve">he State Bar did not prove that Phillips </w:t>
      </w:r>
      <w:r w:rsidR="00764D97">
        <w:t xml:space="preserve">actually </w:t>
      </w:r>
      <w:r>
        <w:t xml:space="preserve">persuaded his client to lie under oath </w:t>
      </w:r>
      <w:r w:rsidR="00E60981">
        <w:t>in his declaration and at the evidentiary hearing, as charged in the NDC.</w:t>
      </w:r>
      <w:r w:rsidR="007D7804">
        <w:rPr>
          <w:rStyle w:val="FootnoteReference"/>
        </w:rPr>
        <w:footnoteReference w:id="16"/>
      </w:r>
      <w:r>
        <w:t xml:space="preserve"> </w:t>
      </w:r>
    </w:p>
    <w:p w:rsidR="007C0341" w:rsidRDefault="007C0341" w:rsidP="007C0341">
      <w:pPr>
        <w:pStyle w:val="ListParagraph"/>
        <w:ind w:left="0"/>
        <w:rPr>
          <w:b/>
        </w:rPr>
      </w:pPr>
      <w:r>
        <w:rPr>
          <w:b/>
        </w:rPr>
        <w:t>D.</w:t>
      </w:r>
      <w:r>
        <w:rPr>
          <w:b/>
        </w:rPr>
        <w:tab/>
      </w:r>
      <w:r w:rsidRPr="00B174C1">
        <w:rPr>
          <w:b/>
        </w:rPr>
        <w:t>THE COYOTE CONSTRUCTION MATTE</w:t>
      </w:r>
      <w:r>
        <w:rPr>
          <w:b/>
        </w:rPr>
        <w:t>R (</w:t>
      </w:r>
      <w:r w:rsidR="001B59DF">
        <w:rPr>
          <w:b/>
        </w:rPr>
        <w:t xml:space="preserve">05-O-03782 - </w:t>
      </w:r>
      <w:r w:rsidR="00216798">
        <w:rPr>
          <w:b/>
        </w:rPr>
        <w:t>B</w:t>
      </w:r>
      <w:r>
        <w:rPr>
          <w:b/>
        </w:rPr>
        <w:t>ANKRUPTCY</w:t>
      </w:r>
    </w:p>
    <w:p w:rsidR="000342B9" w:rsidRDefault="007C0341" w:rsidP="007C0341">
      <w:pPr>
        <w:pStyle w:val="ListParagraph"/>
        <w:ind w:left="0"/>
        <w:rPr>
          <w:b/>
        </w:rPr>
      </w:pPr>
      <w:r>
        <w:rPr>
          <w:b/>
        </w:rPr>
        <w:tab/>
        <w:t xml:space="preserve">CASE) </w:t>
      </w:r>
    </w:p>
    <w:p w:rsidR="007C0341" w:rsidRPr="000342B9" w:rsidRDefault="007C0341" w:rsidP="007C0341">
      <w:pPr>
        <w:pStyle w:val="ListParagraph"/>
        <w:ind w:left="0"/>
        <w:rPr>
          <w:b/>
        </w:rPr>
      </w:pPr>
    </w:p>
    <w:p w:rsidR="000342B9" w:rsidRDefault="000342B9" w:rsidP="00E34CE4">
      <w:pPr>
        <w:spacing w:line="480" w:lineRule="auto"/>
      </w:pPr>
      <w:r>
        <w:rPr>
          <w:b/>
        </w:rPr>
        <w:tab/>
      </w:r>
      <w:r w:rsidR="0066400F">
        <w:t>In 2004</w:t>
      </w:r>
      <w:r w:rsidR="00400217">
        <w:t xml:space="preserve">, </w:t>
      </w:r>
      <w:r w:rsidR="002A5DCD">
        <w:t>Coyote Construction sought to retain Phillips and another attorney, Sharon Ceasar</w:t>
      </w:r>
      <w:r w:rsidR="00775CD7">
        <w:t>,</w:t>
      </w:r>
      <w:r w:rsidR="00400217">
        <w:t xml:space="preserve"> to represent the</w:t>
      </w:r>
      <w:r w:rsidR="00775CD7">
        <w:t xml:space="preserve"> company</w:t>
      </w:r>
      <w:r w:rsidR="00400217">
        <w:t xml:space="preserve"> in a Chapter 11 case</w:t>
      </w:r>
      <w:r w:rsidR="002A5DCD">
        <w:t xml:space="preserve">.  Phillips </w:t>
      </w:r>
      <w:r w:rsidR="00400217">
        <w:t xml:space="preserve">told the court in his application to be retained that he had </w:t>
      </w:r>
      <w:r w:rsidR="002A5DCD">
        <w:t xml:space="preserve">no connection with Coyote.  However, Phillips had at least four undisclosed connections:  </w:t>
      </w:r>
      <w:r w:rsidR="001E41E2">
        <w:t>(</w:t>
      </w:r>
      <w:r w:rsidR="002A5DCD">
        <w:t xml:space="preserve">1) Coyote Construction had paid Phillips’s health insurance premiums; </w:t>
      </w:r>
      <w:r w:rsidR="001E41E2">
        <w:t>(</w:t>
      </w:r>
      <w:r w:rsidR="002A5DCD">
        <w:t xml:space="preserve">2) Phillips </w:t>
      </w:r>
      <w:r w:rsidR="00775CD7">
        <w:t xml:space="preserve">had </w:t>
      </w:r>
      <w:r w:rsidR="002A5DCD">
        <w:t xml:space="preserve">represented Coyote in at least eight other legal matters; </w:t>
      </w:r>
      <w:r w:rsidR="001E41E2">
        <w:t>(</w:t>
      </w:r>
      <w:r w:rsidR="002A5DCD">
        <w:t xml:space="preserve">3) Coyote employed Phillips’s son before and after it filed bankruptcy; and (4) </w:t>
      </w:r>
      <w:r w:rsidR="00775CD7">
        <w:t>Coyote provided free office space to Phillips i</w:t>
      </w:r>
      <w:r w:rsidR="002A5DCD">
        <w:t xml:space="preserve">n exchange for a lower hourly legal fee.  </w:t>
      </w:r>
      <w:r w:rsidR="00964DC0">
        <w:t xml:space="preserve">The </w:t>
      </w:r>
      <w:r w:rsidR="002A5DCD">
        <w:t xml:space="preserve">Trustee </w:t>
      </w:r>
      <w:r w:rsidR="00400217">
        <w:t>discovered the connections</w:t>
      </w:r>
      <w:r w:rsidR="003E260B">
        <w:t xml:space="preserve"> </w:t>
      </w:r>
      <w:r w:rsidR="00400217">
        <w:t xml:space="preserve">and </w:t>
      </w:r>
      <w:r w:rsidR="002A5DCD">
        <w:t xml:space="preserve">filed an objection to the application.  The bankruptcy court denied Coyote’s application to </w:t>
      </w:r>
      <w:r w:rsidR="00400217">
        <w:t>retain</w:t>
      </w:r>
      <w:r w:rsidR="002A5DCD">
        <w:t xml:space="preserve"> Phillips.   </w:t>
      </w:r>
    </w:p>
    <w:p w:rsidR="00C06111" w:rsidRDefault="007C0341" w:rsidP="00C06111">
      <w:pPr>
        <w:rPr>
          <w:b/>
        </w:rPr>
      </w:pPr>
      <w:r>
        <w:rPr>
          <w:b/>
        </w:rPr>
        <w:tab/>
      </w:r>
      <w:r w:rsidR="00C06111">
        <w:rPr>
          <w:b/>
        </w:rPr>
        <w:t xml:space="preserve">Count Four (A) – Failing to Comply with Law </w:t>
      </w:r>
      <w:r w:rsidR="00FB25B3">
        <w:rPr>
          <w:b/>
        </w:rPr>
        <w:t>(§</w:t>
      </w:r>
      <w:r w:rsidR="00C06111">
        <w:rPr>
          <w:b/>
        </w:rPr>
        <w:t xml:space="preserve"> 6068</w:t>
      </w:r>
      <w:r w:rsidR="00964DC0">
        <w:rPr>
          <w:b/>
        </w:rPr>
        <w:t>, subd. (a)</w:t>
      </w:r>
      <w:r w:rsidR="00FB25B3">
        <w:rPr>
          <w:b/>
        </w:rPr>
        <w:t>)</w:t>
      </w:r>
    </w:p>
    <w:p w:rsidR="00C06111" w:rsidRDefault="007C0341" w:rsidP="00C06111">
      <w:pPr>
        <w:rPr>
          <w:b/>
        </w:rPr>
      </w:pPr>
      <w:r>
        <w:rPr>
          <w:b/>
        </w:rPr>
        <w:tab/>
      </w:r>
      <w:r w:rsidR="00C06111">
        <w:rPr>
          <w:b/>
        </w:rPr>
        <w:t>Count Four (B) –</w:t>
      </w:r>
      <w:r>
        <w:rPr>
          <w:b/>
        </w:rPr>
        <w:t xml:space="preserve"> Seeking to Mislead Judge </w:t>
      </w:r>
      <w:r w:rsidR="00FB25B3">
        <w:rPr>
          <w:b/>
        </w:rPr>
        <w:t xml:space="preserve">(§ </w:t>
      </w:r>
      <w:r w:rsidR="00C06111">
        <w:rPr>
          <w:b/>
        </w:rPr>
        <w:t>6068</w:t>
      </w:r>
      <w:r>
        <w:rPr>
          <w:b/>
        </w:rPr>
        <w:t xml:space="preserve">, subd. </w:t>
      </w:r>
      <w:r w:rsidR="00C06111">
        <w:rPr>
          <w:b/>
        </w:rPr>
        <w:t>(d)</w:t>
      </w:r>
      <w:r w:rsidR="00FB25B3">
        <w:rPr>
          <w:b/>
        </w:rPr>
        <w:t>)</w:t>
      </w:r>
    </w:p>
    <w:p w:rsidR="00C06111" w:rsidRDefault="007C0341" w:rsidP="00C06111">
      <w:pPr>
        <w:rPr>
          <w:b/>
        </w:rPr>
      </w:pPr>
      <w:r>
        <w:rPr>
          <w:b/>
        </w:rPr>
        <w:tab/>
        <w:t xml:space="preserve">Count Four (C) – Committing </w:t>
      </w:r>
      <w:r w:rsidR="00C06111">
        <w:rPr>
          <w:b/>
        </w:rPr>
        <w:t xml:space="preserve">Act of Moral Turpitude </w:t>
      </w:r>
      <w:r w:rsidR="00FB25B3">
        <w:rPr>
          <w:b/>
        </w:rPr>
        <w:t xml:space="preserve">(§ </w:t>
      </w:r>
      <w:r w:rsidR="00C06111">
        <w:rPr>
          <w:b/>
        </w:rPr>
        <w:t>6106</w:t>
      </w:r>
      <w:r w:rsidR="00FB25B3">
        <w:rPr>
          <w:b/>
        </w:rPr>
        <w:t>)</w:t>
      </w:r>
    </w:p>
    <w:p w:rsidR="00C06111" w:rsidRDefault="00C06111" w:rsidP="00C06111">
      <w:pPr>
        <w:rPr>
          <w:b/>
        </w:rPr>
      </w:pPr>
    </w:p>
    <w:p w:rsidR="007C0341" w:rsidRDefault="00964DC0" w:rsidP="00964DC0">
      <w:pPr>
        <w:spacing w:line="480" w:lineRule="auto"/>
        <w:ind w:firstLine="720"/>
      </w:pPr>
      <w:r>
        <w:t xml:space="preserve">By failing to disclose his connections with Coyote and filing the false declaration in court, </w:t>
      </w:r>
      <w:r w:rsidR="002A5DCD">
        <w:t xml:space="preserve">Phillips </w:t>
      </w:r>
      <w:r w:rsidR="00400217">
        <w:t xml:space="preserve">is culpable </w:t>
      </w:r>
      <w:r w:rsidR="001E41E2">
        <w:t>o</w:t>
      </w:r>
      <w:r w:rsidR="00400217">
        <w:t xml:space="preserve">f </w:t>
      </w:r>
      <w:r w:rsidR="003E260B">
        <w:t xml:space="preserve">the </w:t>
      </w:r>
      <w:r>
        <w:t xml:space="preserve">three </w:t>
      </w:r>
      <w:r w:rsidR="003E260B">
        <w:t>violations alleged in Count Four.</w:t>
      </w:r>
      <w:r w:rsidR="00C06111">
        <w:t xml:space="preserve">  </w:t>
      </w:r>
      <w:r>
        <w:t xml:space="preserve">We find that </w:t>
      </w:r>
      <w:r w:rsidR="001E41E2">
        <w:t>he</w:t>
      </w:r>
      <w:r w:rsidR="003072DE">
        <w:t xml:space="preserve"> intentionally failed to disclose his connections</w:t>
      </w:r>
      <w:r w:rsidR="00EC0999">
        <w:t xml:space="preserve"> in order to</w:t>
      </w:r>
      <w:r w:rsidR="003072DE">
        <w:t xml:space="preserve"> mislead the bankruptcy judge</w:t>
      </w:r>
      <w:r w:rsidR="00EC0999">
        <w:t xml:space="preserve">, a dishonest act of </w:t>
      </w:r>
      <w:r w:rsidR="003072DE">
        <w:t>moral turpitude.  However, since the misconduct underlying the</w:t>
      </w:r>
      <w:r w:rsidR="00EC0999">
        <w:t xml:space="preserve"> three charges in Count Four</w:t>
      </w:r>
      <w:r w:rsidR="00C06111">
        <w:t xml:space="preserve"> </w:t>
      </w:r>
      <w:r w:rsidR="003072DE">
        <w:t xml:space="preserve">is the same, we treat Phillips’s misrepresentation </w:t>
      </w:r>
      <w:r w:rsidR="00400217">
        <w:t xml:space="preserve">to the court </w:t>
      </w:r>
      <w:r w:rsidR="003072DE">
        <w:t xml:space="preserve">as a single violation </w:t>
      </w:r>
      <w:r w:rsidR="0065772E">
        <w:t xml:space="preserve">of moral turpitude </w:t>
      </w:r>
      <w:r w:rsidR="003072DE">
        <w:t>in determining discipline.  (</w:t>
      </w:r>
      <w:r w:rsidR="00400217">
        <w:t xml:space="preserve">See </w:t>
      </w:r>
      <w:r w:rsidR="003072DE">
        <w:rPr>
          <w:i/>
        </w:rPr>
        <w:t>In the Matter of Jeffers</w:t>
      </w:r>
      <w:r w:rsidR="003072DE">
        <w:t xml:space="preserve"> (Review Dept. 1994) 3 Cal</w:t>
      </w:r>
      <w:r w:rsidR="003E260B">
        <w:t>. State Bar. Ct. Rptr. 211, 221</w:t>
      </w:r>
      <w:r w:rsidR="003072DE">
        <w:t>.)</w:t>
      </w:r>
    </w:p>
    <w:p w:rsidR="00A35FB3" w:rsidRPr="007C0341" w:rsidRDefault="007C0341" w:rsidP="007C0341">
      <w:pPr>
        <w:spacing w:line="480" w:lineRule="auto"/>
      </w:pPr>
      <w:r>
        <w:rPr>
          <w:b/>
        </w:rPr>
        <w:t>E.</w:t>
      </w:r>
      <w:r>
        <w:rPr>
          <w:b/>
        </w:rPr>
        <w:tab/>
      </w:r>
      <w:r w:rsidRPr="00B174C1">
        <w:rPr>
          <w:b/>
        </w:rPr>
        <w:t xml:space="preserve">THE JACKSON </w:t>
      </w:r>
      <w:r>
        <w:rPr>
          <w:b/>
        </w:rPr>
        <w:t>MATTER (</w:t>
      </w:r>
      <w:r w:rsidR="001B59DF">
        <w:rPr>
          <w:b/>
        </w:rPr>
        <w:t xml:space="preserve">05-O-03782 - </w:t>
      </w:r>
      <w:r>
        <w:rPr>
          <w:b/>
        </w:rPr>
        <w:t>BANKRUPTCY CASE)</w:t>
      </w:r>
    </w:p>
    <w:p w:rsidR="00216798" w:rsidRDefault="003072DE" w:rsidP="00E60981">
      <w:pPr>
        <w:spacing w:line="480" w:lineRule="auto"/>
      </w:pPr>
      <w:r>
        <w:tab/>
        <w:t xml:space="preserve">In 1998, Josia Jackson hired Phillips to represent her in </w:t>
      </w:r>
      <w:r w:rsidR="00127BA6">
        <w:t>bankruptcy court</w:t>
      </w:r>
      <w:r>
        <w:t xml:space="preserve">.  She paid </w:t>
      </w:r>
      <w:r w:rsidR="00127BA6">
        <w:t>a</w:t>
      </w:r>
      <w:r>
        <w:t xml:space="preserve"> </w:t>
      </w:r>
      <w:r w:rsidR="00127BA6">
        <w:t xml:space="preserve">$400 </w:t>
      </w:r>
      <w:r>
        <w:t xml:space="preserve">initial fee with a check, which was not honored by her bank.  </w:t>
      </w:r>
      <w:r w:rsidR="00775CD7">
        <w:t>Over</w:t>
      </w:r>
      <w:r>
        <w:t xml:space="preserve"> the next three weeks, she paid Phillips </w:t>
      </w:r>
      <w:r w:rsidR="004800C2">
        <w:t>additional fees</w:t>
      </w:r>
      <w:r>
        <w:t>.</w:t>
      </w:r>
      <w:r w:rsidR="003E260B">
        <w:t xml:space="preserve">  Several weeks later,</w:t>
      </w:r>
      <w:r w:rsidR="004800C2">
        <w:t xml:space="preserve"> Phillips presented the original $400 check to the bank for payment, which was </w:t>
      </w:r>
      <w:r w:rsidR="00775CD7">
        <w:t xml:space="preserve">then </w:t>
      </w:r>
      <w:r w:rsidR="004800C2">
        <w:t>honored.  The next day, Phillips filed the petition but did not include the required</w:t>
      </w:r>
      <w:r w:rsidR="00AA37C1">
        <w:t xml:space="preserve"> bankruptcy</w:t>
      </w:r>
      <w:r w:rsidR="004800C2">
        <w:t xml:space="preserve"> schedules, nor did he file them within the 15</w:t>
      </w:r>
      <w:r w:rsidR="00775CD7">
        <w:t>-</w:t>
      </w:r>
      <w:r w:rsidR="004800C2">
        <w:t>day grace pe</w:t>
      </w:r>
      <w:r w:rsidR="00B23AA8">
        <w:t>riod.  (Fed.</w:t>
      </w:r>
      <w:r w:rsidR="004800C2">
        <w:t>R</w:t>
      </w:r>
      <w:r w:rsidR="00775CD7">
        <w:t>.</w:t>
      </w:r>
      <w:r w:rsidR="004800C2">
        <w:t>Bank</w:t>
      </w:r>
      <w:r w:rsidR="00775CD7">
        <w:t>r.</w:t>
      </w:r>
      <w:r w:rsidR="004800C2">
        <w:t>P</w:t>
      </w:r>
      <w:r w:rsidR="00775CD7">
        <w:t>.</w:t>
      </w:r>
      <w:r w:rsidR="004800C2">
        <w:t xml:space="preserve"> 1007(</w:t>
      </w:r>
      <w:r w:rsidR="009E4C75">
        <w:t>c</w:t>
      </w:r>
      <w:r w:rsidR="004800C2">
        <w:t xml:space="preserve">).)  </w:t>
      </w:r>
    </w:p>
    <w:p w:rsidR="00E60981" w:rsidRDefault="00127BA6" w:rsidP="00216798">
      <w:pPr>
        <w:spacing w:line="480" w:lineRule="auto"/>
        <w:ind w:firstLine="720"/>
      </w:pPr>
      <w:r>
        <w:t>Phillips</w:t>
      </w:r>
      <w:r w:rsidR="00AA37C1">
        <w:t xml:space="preserve"> also</w:t>
      </w:r>
      <w:r>
        <w:t xml:space="preserve"> did not provide </w:t>
      </w:r>
      <w:r w:rsidR="001E41E2">
        <w:t xml:space="preserve">the schedule forms to </w:t>
      </w:r>
      <w:r>
        <w:t xml:space="preserve">Jackson until after the deadline.  </w:t>
      </w:r>
      <w:r w:rsidR="004800C2">
        <w:t xml:space="preserve">The court issued an order warning that the case would be dismissed if the schedules were not filed by August 3, 1998.  On July 23, 1998, Jackson sent a letter to the court requesting an extension of time, and Phillips made his own request </w:t>
      </w:r>
      <w:r w:rsidR="00AA37C1">
        <w:t xml:space="preserve">to the court </w:t>
      </w:r>
      <w:r w:rsidR="004800C2">
        <w:t>on July 28.  The court issued a</w:t>
      </w:r>
      <w:r w:rsidR="00964DC0">
        <w:t xml:space="preserve"> sanctions </w:t>
      </w:r>
      <w:r w:rsidR="004800C2">
        <w:t>OSC against Phillips for failing to pr</w:t>
      </w:r>
      <w:r w:rsidR="00400217">
        <w:t>operly</w:t>
      </w:r>
      <w:r w:rsidR="004800C2">
        <w:t xml:space="preserve"> represent Jackson</w:t>
      </w:r>
      <w:r w:rsidR="00400217">
        <w:t xml:space="preserve"> and both testified at the hearing.  </w:t>
      </w:r>
      <w:r w:rsidR="004800C2">
        <w:t>Ultimately</w:t>
      </w:r>
      <w:r w:rsidR="001E41E2">
        <w:t>,</w:t>
      </w:r>
      <w:r w:rsidR="004800C2">
        <w:t xml:space="preserve"> the court </w:t>
      </w:r>
      <w:r>
        <w:t xml:space="preserve">found that Phillips had performed no services of value and </w:t>
      </w:r>
      <w:r w:rsidR="004800C2">
        <w:t xml:space="preserve">ordered </w:t>
      </w:r>
      <w:r>
        <w:t>him to</w:t>
      </w:r>
      <w:r w:rsidR="004800C2">
        <w:t xml:space="preserve"> disgorge $300 of the</w:t>
      </w:r>
      <w:r w:rsidR="00AA37C1">
        <w:t xml:space="preserve"> fees that Jackson had paid.</w:t>
      </w:r>
      <w:r w:rsidR="004800C2">
        <w:t xml:space="preserve">  For two and a hal</w:t>
      </w:r>
      <w:r>
        <w:t>f years, Phillips failed to pay, claiming that he simply forgot about the order.</w:t>
      </w:r>
      <w:r w:rsidR="004800C2">
        <w:t xml:space="preserve">  </w:t>
      </w:r>
      <w:r w:rsidR="00413A91">
        <w:t>He</w:t>
      </w:r>
      <w:r>
        <w:t xml:space="preserve"> finally paid </w:t>
      </w:r>
      <w:r w:rsidR="004800C2">
        <w:t>$390 ($300 plus $90 interest) to Jackson</w:t>
      </w:r>
      <w:r>
        <w:t xml:space="preserve"> when the issue was raised at a hearing on the</w:t>
      </w:r>
      <w:r w:rsidR="00925B11">
        <w:t xml:space="preserve"> Hearn</w:t>
      </w:r>
      <w:r>
        <w:t xml:space="preserve"> matter.</w:t>
      </w:r>
    </w:p>
    <w:p w:rsidR="00C06111" w:rsidRPr="00AC20F7" w:rsidRDefault="007C0341" w:rsidP="00AC20F7">
      <w:pPr>
        <w:rPr>
          <w:b/>
        </w:rPr>
      </w:pPr>
      <w:r>
        <w:rPr>
          <w:b/>
        </w:rPr>
        <w:tab/>
      </w:r>
      <w:r w:rsidR="00C06111" w:rsidRPr="00AC20F7">
        <w:rPr>
          <w:b/>
        </w:rPr>
        <w:t xml:space="preserve">Count Five (A) – Failing to Obey Court Order </w:t>
      </w:r>
      <w:r w:rsidR="00FB25B3">
        <w:rPr>
          <w:b/>
        </w:rPr>
        <w:t>(§</w:t>
      </w:r>
      <w:r w:rsidR="00C06111" w:rsidRPr="00AC20F7">
        <w:rPr>
          <w:b/>
        </w:rPr>
        <w:t xml:space="preserve"> 6103</w:t>
      </w:r>
      <w:r w:rsidR="00FB25B3">
        <w:rPr>
          <w:b/>
        </w:rPr>
        <w:t>)</w:t>
      </w:r>
    </w:p>
    <w:p w:rsidR="00AC20F7" w:rsidRDefault="007C0341" w:rsidP="00AC20F7">
      <w:pPr>
        <w:rPr>
          <w:b/>
        </w:rPr>
      </w:pPr>
      <w:r>
        <w:rPr>
          <w:b/>
        </w:rPr>
        <w:tab/>
      </w:r>
      <w:r w:rsidR="00AC20F7" w:rsidRPr="00AC20F7">
        <w:rPr>
          <w:b/>
        </w:rPr>
        <w:t>Count Five (B) – Failing</w:t>
      </w:r>
      <w:r>
        <w:rPr>
          <w:b/>
        </w:rPr>
        <w:t xml:space="preserve"> to Perform with Competence </w:t>
      </w:r>
      <w:r w:rsidR="00FB25B3">
        <w:rPr>
          <w:b/>
        </w:rPr>
        <w:t>(</w:t>
      </w:r>
      <w:r>
        <w:rPr>
          <w:b/>
        </w:rPr>
        <w:t>R</w:t>
      </w:r>
      <w:r w:rsidR="00AC20F7" w:rsidRPr="00AC20F7">
        <w:rPr>
          <w:b/>
        </w:rPr>
        <w:t>ule 3-110(A)</w:t>
      </w:r>
      <w:r w:rsidR="00FB25B3">
        <w:rPr>
          <w:b/>
        </w:rPr>
        <w:t>)</w:t>
      </w:r>
      <w:r w:rsidR="00AA37C1">
        <w:rPr>
          <w:rStyle w:val="FootnoteReference"/>
          <w:b/>
        </w:rPr>
        <w:footnoteReference w:id="17"/>
      </w:r>
    </w:p>
    <w:p w:rsidR="00AC20F7" w:rsidRPr="00AC20F7" w:rsidRDefault="00AC20F7" w:rsidP="00AC20F7">
      <w:pPr>
        <w:rPr>
          <w:b/>
        </w:rPr>
      </w:pPr>
    </w:p>
    <w:p w:rsidR="007C0341" w:rsidRDefault="008D2D39" w:rsidP="007C0341">
      <w:pPr>
        <w:spacing w:line="480" w:lineRule="auto"/>
      </w:pPr>
      <w:r>
        <w:tab/>
      </w:r>
      <w:r w:rsidR="00400217">
        <w:t xml:space="preserve">Phillips is culpable </w:t>
      </w:r>
      <w:r w:rsidR="00413A91">
        <w:t>o</w:t>
      </w:r>
      <w:r w:rsidR="002073F9">
        <w:t>f violating section 6103 because he failed</w:t>
      </w:r>
      <w:r w:rsidR="00400217">
        <w:t xml:space="preserve"> to obey the court’s disgorgement order to refund $300 to Jackson</w:t>
      </w:r>
      <w:r w:rsidR="002073F9">
        <w:t xml:space="preserve"> for two and one half years.</w:t>
      </w:r>
      <w:r>
        <w:t xml:space="preserve">  </w:t>
      </w:r>
      <w:r w:rsidR="00D86F28">
        <w:t xml:space="preserve">Phillips </w:t>
      </w:r>
      <w:r w:rsidR="00AA37C1">
        <w:t xml:space="preserve">also </w:t>
      </w:r>
      <w:r w:rsidR="00D86F28">
        <w:t xml:space="preserve">failed to perform competently by </w:t>
      </w:r>
      <w:r w:rsidR="00413A91">
        <w:t xml:space="preserve">not </w:t>
      </w:r>
      <w:r w:rsidR="004255C4">
        <w:t xml:space="preserve">providing Jackson </w:t>
      </w:r>
      <w:r w:rsidR="00127BA6">
        <w:t>blank schedule forms</w:t>
      </w:r>
      <w:r w:rsidR="00413A91">
        <w:t xml:space="preserve"> until</w:t>
      </w:r>
      <w:r w:rsidR="00AC20F7">
        <w:t xml:space="preserve"> </w:t>
      </w:r>
      <w:r w:rsidR="004255C4" w:rsidRPr="002073F9">
        <w:rPr>
          <w:i/>
        </w:rPr>
        <w:t>after</w:t>
      </w:r>
      <w:r w:rsidR="004255C4">
        <w:t xml:space="preserve"> the d</w:t>
      </w:r>
      <w:r w:rsidR="00413A91">
        <w:t>eadline</w:t>
      </w:r>
      <w:r w:rsidR="004255C4">
        <w:t xml:space="preserve"> </w:t>
      </w:r>
      <w:r w:rsidR="002073F9">
        <w:t xml:space="preserve">to submit </w:t>
      </w:r>
      <w:r w:rsidR="00D86F28">
        <w:t>them</w:t>
      </w:r>
      <w:r w:rsidR="00EE0843">
        <w:t>, in violation of rule 3-100(A).</w:t>
      </w:r>
      <w:r>
        <w:t xml:space="preserve"> </w:t>
      </w:r>
    </w:p>
    <w:p w:rsidR="00527353" w:rsidRPr="00527353" w:rsidRDefault="007C0341" w:rsidP="007C0341">
      <w:pPr>
        <w:spacing w:line="480" w:lineRule="auto"/>
        <w:rPr>
          <w:b/>
        </w:rPr>
      </w:pPr>
      <w:r>
        <w:rPr>
          <w:b/>
        </w:rPr>
        <w:t>F.</w:t>
      </w:r>
      <w:r>
        <w:rPr>
          <w:b/>
        </w:rPr>
        <w:tab/>
      </w:r>
      <w:r w:rsidRPr="00B174C1">
        <w:rPr>
          <w:b/>
        </w:rPr>
        <w:t>THE HUTSON MATTER</w:t>
      </w:r>
      <w:r>
        <w:rPr>
          <w:b/>
        </w:rPr>
        <w:t xml:space="preserve"> (</w:t>
      </w:r>
      <w:r w:rsidR="001B59DF">
        <w:rPr>
          <w:b/>
        </w:rPr>
        <w:t xml:space="preserve">06-O-13490 - </w:t>
      </w:r>
      <w:r>
        <w:rPr>
          <w:b/>
        </w:rPr>
        <w:t>CIVIL CASE)</w:t>
      </w:r>
    </w:p>
    <w:p w:rsidR="00AE3F11" w:rsidRDefault="00E60981" w:rsidP="00E34CE4">
      <w:pPr>
        <w:spacing w:line="480" w:lineRule="auto"/>
      </w:pPr>
      <w:r>
        <w:rPr>
          <w:b/>
        </w:rPr>
        <w:tab/>
      </w:r>
      <w:r>
        <w:t xml:space="preserve">On December 1, 2004, </w:t>
      </w:r>
      <w:r w:rsidR="00B52B21">
        <w:t>A</w:t>
      </w:r>
      <w:r>
        <w:t xml:space="preserve">lbert </w:t>
      </w:r>
      <w:r w:rsidR="00127BA6">
        <w:t xml:space="preserve">and Christine </w:t>
      </w:r>
      <w:r>
        <w:t xml:space="preserve">Hutson hired Phillips to </w:t>
      </w:r>
      <w:r w:rsidR="00B52B21">
        <w:t xml:space="preserve">substitute in for another attorney in a </w:t>
      </w:r>
      <w:r w:rsidR="00413A91">
        <w:t xml:space="preserve">superior court </w:t>
      </w:r>
      <w:r>
        <w:t>civil action</w:t>
      </w:r>
      <w:r w:rsidR="00B52B21">
        <w:t xml:space="preserve"> (</w:t>
      </w:r>
      <w:r w:rsidR="00B52B21" w:rsidRPr="00B52B21">
        <w:rPr>
          <w:i/>
        </w:rPr>
        <w:t>Phoenix v. Hutson</w:t>
      </w:r>
      <w:r w:rsidR="00B52B21">
        <w:t>)</w:t>
      </w:r>
      <w:r>
        <w:t>.</w:t>
      </w:r>
      <w:r w:rsidR="00B52B21">
        <w:t xml:space="preserve">  </w:t>
      </w:r>
      <w:r w:rsidR="00413A91">
        <w:t xml:space="preserve">The </w:t>
      </w:r>
      <w:r w:rsidR="00B52B21">
        <w:t>Hutson</w:t>
      </w:r>
      <w:r w:rsidR="00413A91">
        <w:t>s</w:t>
      </w:r>
      <w:r w:rsidR="00B52B21">
        <w:t xml:space="preserve"> paid $10,000 in advanced fees</w:t>
      </w:r>
      <w:r w:rsidR="00127BA6">
        <w:t xml:space="preserve">.  </w:t>
      </w:r>
      <w:r w:rsidR="00413A91">
        <w:t xml:space="preserve">When </w:t>
      </w:r>
      <w:r w:rsidR="00AE3F11">
        <w:t xml:space="preserve">Phillips requested another $5,000 </w:t>
      </w:r>
      <w:r w:rsidR="004C42D9">
        <w:t>from</w:t>
      </w:r>
      <w:r w:rsidR="00AE3F11">
        <w:t xml:space="preserve"> </w:t>
      </w:r>
      <w:r w:rsidR="00127BA6">
        <w:t>the</w:t>
      </w:r>
      <w:r w:rsidR="00413A91">
        <w:t>m,</w:t>
      </w:r>
      <w:r w:rsidR="00127BA6">
        <w:t xml:space="preserve"> </w:t>
      </w:r>
      <w:r w:rsidR="00413A91">
        <w:t>they</w:t>
      </w:r>
      <w:r w:rsidR="004C42D9">
        <w:t xml:space="preserve"> </w:t>
      </w:r>
      <w:r w:rsidR="00413A91">
        <w:t xml:space="preserve">didn’t have it and </w:t>
      </w:r>
      <w:r w:rsidR="004C42D9">
        <w:t xml:space="preserve">asked </w:t>
      </w:r>
      <w:r w:rsidR="00AE3F11">
        <w:t xml:space="preserve">Phillips to accept payment from the sale of </w:t>
      </w:r>
      <w:r w:rsidR="00127BA6">
        <w:t xml:space="preserve">their </w:t>
      </w:r>
      <w:r w:rsidR="00AE3F11">
        <w:t>home</w:t>
      </w:r>
      <w:r w:rsidR="004C42D9">
        <w:t>.</w:t>
      </w:r>
      <w:r w:rsidR="00AE3F11">
        <w:t xml:space="preserve">  </w:t>
      </w:r>
      <w:r w:rsidR="00AA37C1">
        <w:t>Philips</w:t>
      </w:r>
      <w:r w:rsidR="00AE3F11">
        <w:t xml:space="preserve"> said he would find someone to loan the money in exchange for a security interest </w:t>
      </w:r>
      <w:r w:rsidR="004C42D9">
        <w:t>i</w:t>
      </w:r>
      <w:r w:rsidR="00AE3F11">
        <w:t xml:space="preserve">n </w:t>
      </w:r>
      <w:r w:rsidR="00413A91">
        <w:t xml:space="preserve">the </w:t>
      </w:r>
      <w:r w:rsidR="00AE3F11">
        <w:t>Hutsons</w:t>
      </w:r>
      <w:r w:rsidR="00127BA6">
        <w:t>’</w:t>
      </w:r>
      <w:r w:rsidR="00AE3F11">
        <w:t xml:space="preserve"> property.  </w:t>
      </w:r>
      <w:r w:rsidR="00413A91">
        <w:t xml:space="preserve">To obtain the $5,000 fee payment, </w:t>
      </w:r>
      <w:r w:rsidR="00AE3F11">
        <w:t xml:space="preserve">Phillips </w:t>
      </w:r>
      <w:r w:rsidR="00D35AD0">
        <w:t xml:space="preserve">arranged a loan from </w:t>
      </w:r>
      <w:r w:rsidR="00AA37C1">
        <w:t xml:space="preserve">Cherie Ivey, </w:t>
      </w:r>
      <w:r w:rsidR="00D35AD0">
        <w:t>another</w:t>
      </w:r>
      <w:r w:rsidR="003A6EA3">
        <w:t xml:space="preserve"> of his</w:t>
      </w:r>
      <w:r w:rsidR="00D35AD0">
        <w:t xml:space="preserve"> client</w:t>
      </w:r>
      <w:r w:rsidR="003A6EA3">
        <w:t>s</w:t>
      </w:r>
      <w:r w:rsidR="00D35AD0">
        <w:t xml:space="preserve">, and </w:t>
      </w:r>
      <w:r w:rsidR="00AE3F11">
        <w:t xml:space="preserve">sent </w:t>
      </w:r>
      <w:r w:rsidR="00127BA6">
        <w:t xml:space="preserve">the </w:t>
      </w:r>
      <w:r w:rsidR="00AE3F11">
        <w:t>Hutson</w:t>
      </w:r>
      <w:r w:rsidR="00127BA6">
        <w:t>s</w:t>
      </w:r>
      <w:r w:rsidR="00AE3F11">
        <w:t xml:space="preserve"> </w:t>
      </w:r>
      <w:r w:rsidR="004C42D9">
        <w:t xml:space="preserve">a </w:t>
      </w:r>
      <w:r w:rsidR="00AE3F11">
        <w:t xml:space="preserve">$15,000 promissory note and deed of trust securing an interest </w:t>
      </w:r>
      <w:r w:rsidR="004C42D9">
        <w:t>in</w:t>
      </w:r>
      <w:r w:rsidR="00AE3F11">
        <w:t xml:space="preserve"> </w:t>
      </w:r>
      <w:r w:rsidR="00127BA6">
        <w:t>their</w:t>
      </w:r>
      <w:r w:rsidR="00AE3F11">
        <w:t xml:space="preserve"> </w:t>
      </w:r>
      <w:r w:rsidR="003E260B">
        <w:t>property</w:t>
      </w:r>
      <w:r w:rsidR="00AE3F11">
        <w:t xml:space="preserve">.  </w:t>
      </w:r>
      <w:r w:rsidR="00413A91">
        <w:t>He</w:t>
      </w:r>
      <w:r w:rsidR="00AE3F11">
        <w:t xml:space="preserve"> never </w:t>
      </w:r>
      <w:r w:rsidR="004D67C9">
        <w:t xml:space="preserve">explained the </w:t>
      </w:r>
      <w:r w:rsidR="00AE3F11">
        <w:t xml:space="preserve">transaction to </w:t>
      </w:r>
      <w:r w:rsidR="00127BA6">
        <w:t>the</w:t>
      </w:r>
      <w:r w:rsidR="00413A91">
        <w:t>m</w:t>
      </w:r>
      <w:r w:rsidR="004D67C9">
        <w:t xml:space="preserve">, never advised </w:t>
      </w:r>
      <w:r w:rsidR="00127BA6">
        <w:t>them</w:t>
      </w:r>
      <w:r w:rsidR="004D67C9">
        <w:t xml:space="preserve"> in writing that </w:t>
      </w:r>
      <w:r w:rsidR="00127BA6">
        <w:t>they</w:t>
      </w:r>
      <w:r w:rsidR="004D67C9">
        <w:t xml:space="preserve"> could seek</w:t>
      </w:r>
      <w:r w:rsidR="00AE3F11">
        <w:t xml:space="preserve"> </w:t>
      </w:r>
      <w:r w:rsidR="00413A91">
        <w:t>independent counsel from a</w:t>
      </w:r>
      <w:r w:rsidR="00AE3F11">
        <w:t xml:space="preserve"> la</w:t>
      </w:r>
      <w:r w:rsidR="004D67C9">
        <w:t>wyer</w:t>
      </w:r>
      <w:r w:rsidR="00AE3F11">
        <w:t xml:space="preserve"> of </w:t>
      </w:r>
      <w:r w:rsidR="00127BA6">
        <w:t>their</w:t>
      </w:r>
      <w:r w:rsidR="00AE3F11">
        <w:t xml:space="preserve"> choice</w:t>
      </w:r>
      <w:r w:rsidR="004D67C9">
        <w:t xml:space="preserve">, never gave </w:t>
      </w:r>
      <w:r w:rsidR="00127BA6">
        <w:t>them</w:t>
      </w:r>
      <w:r w:rsidR="004D67C9">
        <w:t xml:space="preserve"> a</w:t>
      </w:r>
      <w:r w:rsidR="00AE3F11">
        <w:t xml:space="preserve"> reasonable opportunity to seek that advice and </w:t>
      </w:r>
      <w:r w:rsidR="004D67C9">
        <w:t xml:space="preserve">never obtained </w:t>
      </w:r>
      <w:r w:rsidR="00127BA6">
        <w:t>their</w:t>
      </w:r>
      <w:r w:rsidR="00AE3F11">
        <w:t xml:space="preserve"> written </w:t>
      </w:r>
      <w:r w:rsidR="004D67C9">
        <w:t>consent</w:t>
      </w:r>
      <w:r w:rsidR="00AE3F11">
        <w:t xml:space="preserve"> to the transaction.  On August 27, 2005, </w:t>
      </w:r>
      <w:r w:rsidR="00127BA6">
        <w:t xml:space="preserve">the </w:t>
      </w:r>
      <w:r w:rsidR="00AE3F11">
        <w:t>Hutson</w:t>
      </w:r>
      <w:r w:rsidR="00127BA6">
        <w:t>s</w:t>
      </w:r>
      <w:r w:rsidR="00AE3F11">
        <w:t xml:space="preserve"> signed the promissory note and deed of trust.  From </w:t>
      </w:r>
      <w:r w:rsidR="00AA7BBD">
        <w:t xml:space="preserve">that date </w:t>
      </w:r>
      <w:r w:rsidR="00AE3F11">
        <w:t xml:space="preserve">to February 7, 2006, </w:t>
      </w:r>
      <w:r w:rsidR="003E2A59">
        <w:t xml:space="preserve">Mr. </w:t>
      </w:r>
      <w:r w:rsidR="00AE3F11">
        <w:t>Hutson left voicemail messages and sent e-mails and a letter to Phillips requesting a</w:t>
      </w:r>
      <w:r w:rsidR="00EC0999">
        <w:t>n</w:t>
      </w:r>
      <w:r w:rsidR="00AA7BBD">
        <w:t xml:space="preserve"> </w:t>
      </w:r>
      <w:r w:rsidR="00AE3F11">
        <w:t xml:space="preserve">update on </w:t>
      </w:r>
      <w:r w:rsidR="00D86F28">
        <w:t>the</w:t>
      </w:r>
      <w:r w:rsidR="00AE3F11">
        <w:t xml:space="preserve"> case.  Phillips did not respond.  Finally, on </w:t>
      </w:r>
      <w:r w:rsidR="004D67C9">
        <w:t>M</w:t>
      </w:r>
      <w:r w:rsidR="00AE3F11">
        <w:t xml:space="preserve">arch 21, 2006, </w:t>
      </w:r>
      <w:r w:rsidR="003E2A59">
        <w:t xml:space="preserve">the </w:t>
      </w:r>
      <w:r w:rsidR="00AE3F11">
        <w:t>Hutson</w:t>
      </w:r>
      <w:r w:rsidR="003E2A59">
        <w:t>s</w:t>
      </w:r>
      <w:r w:rsidR="00AE3F11">
        <w:t xml:space="preserve"> filed a complaint with the State Bar.  </w:t>
      </w:r>
    </w:p>
    <w:p w:rsidR="00901080" w:rsidRDefault="00AE3F11" w:rsidP="00E34CE4">
      <w:pPr>
        <w:spacing w:line="480" w:lineRule="auto"/>
      </w:pPr>
      <w:r>
        <w:tab/>
        <w:t>After the St</w:t>
      </w:r>
      <w:r w:rsidR="004D67C9">
        <w:t>ate</w:t>
      </w:r>
      <w:r>
        <w:t xml:space="preserve"> Bar contacted Phillips about the complaint </w:t>
      </w:r>
      <w:r w:rsidR="00901080">
        <w:t xml:space="preserve">on June 27, 2006, </w:t>
      </w:r>
      <w:r>
        <w:t xml:space="preserve">he </w:t>
      </w:r>
      <w:r w:rsidR="004D67C9">
        <w:t xml:space="preserve">told </w:t>
      </w:r>
      <w:r w:rsidR="003E2A59">
        <w:t xml:space="preserve">the </w:t>
      </w:r>
      <w:r>
        <w:t>Hutson</w:t>
      </w:r>
      <w:r w:rsidR="003E2A59">
        <w:t>s</w:t>
      </w:r>
      <w:r>
        <w:t xml:space="preserve"> that he would not be able to represent </w:t>
      </w:r>
      <w:r w:rsidR="00D86F28">
        <w:t>them</w:t>
      </w:r>
      <w:r>
        <w:t xml:space="preserve"> “because we are now adversaries.”  </w:t>
      </w:r>
      <w:r w:rsidR="00901080">
        <w:t xml:space="preserve">Phillips requested </w:t>
      </w:r>
      <w:r w:rsidR="004D67C9">
        <w:t xml:space="preserve">that </w:t>
      </w:r>
      <w:r w:rsidR="003E2A59">
        <w:t xml:space="preserve">the </w:t>
      </w:r>
      <w:r w:rsidR="00901080">
        <w:t>Hutson</w:t>
      </w:r>
      <w:r w:rsidR="003E2A59">
        <w:t>s</w:t>
      </w:r>
      <w:r w:rsidR="00901080">
        <w:t xml:space="preserve"> sign a substitution of attorney and agreed to assist the new attorney in continuing the </w:t>
      </w:r>
      <w:r w:rsidR="00413A91">
        <w:t xml:space="preserve">scheduled </w:t>
      </w:r>
      <w:r w:rsidR="00901080">
        <w:t>trial dat</w:t>
      </w:r>
      <w:r w:rsidR="004D67C9">
        <w:t>e</w:t>
      </w:r>
      <w:r w:rsidR="00413A91">
        <w:t xml:space="preserve"> of </w:t>
      </w:r>
      <w:r w:rsidR="00901080">
        <w:t xml:space="preserve">July 10, 2006.  </w:t>
      </w:r>
      <w:r w:rsidR="003E2A59">
        <w:t>The Hutsons</w:t>
      </w:r>
      <w:r w:rsidR="00901080">
        <w:t xml:space="preserve"> would not sign the substitution because </w:t>
      </w:r>
      <w:r w:rsidR="00AA37C1">
        <w:t>it was too close to the trial date to retain another attorney</w:t>
      </w:r>
      <w:r w:rsidR="00901080">
        <w:t xml:space="preserve">.  </w:t>
      </w:r>
      <w:r w:rsidR="00EC0999">
        <w:t>After</w:t>
      </w:r>
      <w:r w:rsidR="00AA37C1">
        <w:t xml:space="preserve"> Phillips discovered this, he </w:t>
      </w:r>
      <w:r w:rsidR="00901080">
        <w:t xml:space="preserve">filed a motion to withdraw as attorney in superior court and included a declaration </w:t>
      </w:r>
      <w:r w:rsidR="00AA7BBD">
        <w:t>that</w:t>
      </w:r>
      <w:r w:rsidR="004D67C9">
        <w:t xml:space="preserve"> falsely stated</w:t>
      </w:r>
      <w:r w:rsidR="00901080">
        <w:t xml:space="preserve">:  “I am legally obligated to </w:t>
      </w:r>
      <w:r w:rsidR="00EE0843">
        <w:t>W</w:t>
      </w:r>
      <w:r w:rsidR="00901080">
        <w:t>ithdraw</w:t>
      </w:r>
      <w:r w:rsidR="00EE0843">
        <w:t xml:space="preserve"> [sic]</w:t>
      </w:r>
      <w:r w:rsidR="00901080">
        <w:t xml:space="preserve"> becau</w:t>
      </w:r>
      <w:r w:rsidR="004D67C9">
        <w:t>s</w:t>
      </w:r>
      <w:r w:rsidR="00901080">
        <w:t>e I have been terminated by my two (2) clients [</w:t>
      </w:r>
      <w:r w:rsidR="004D67C9">
        <w:t>A</w:t>
      </w:r>
      <w:r w:rsidR="00901080">
        <w:t>lbert and Christine Hutson</w:t>
      </w:r>
      <w:r w:rsidR="00D86F28">
        <w:t>]</w:t>
      </w:r>
      <w:r w:rsidR="00901080">
        <w:t xml:space="preserve"> and because I am no</w:t>
      </w:r>
      <w:r w:rsidR="004D67C9">
        <w:t>w</w:t>
      </w:r>
      <w:r w:rsidR="00901080">
        <w:t xml:space="preserve"> in an </w:t>
      </w:r>
      <w:r w:rsidR="00EE0843">
        <w:t>A</w:t>
      </w:r>
      <w:r w:rsidR="00901080">
        <w:t xml:space="preserve">dversary </w:t>
      </w:r>
      <w:r w:rsidR="00EE0843">
        <w:t xml:space="preserve">[sic] </w:t>
      </w:r>
      <w:r w:rsidR="00901080">
        <w:t xml:space="preserve">legal dispute with my own clients. </w:t>
      </w:r>
      <w:r w:rsidR="00413A91">
        <w:t>. . .</w:t>
      </w:r>
      <w:r w:rsidR="009E4C75">
        <w:t xml:space="preserve"> </w:t>
      </w:r>
      <w:r w:rsidR="00901080">
        <w:t xml:space="preserve"> The Hu</w:t>
      </w:r>
      <w:r w:rsidR="00DF18D0">
        <w:t>t</w:t>
      </w:r>
      <w:r w:rsidR="00901080">
        <w:t xml:space="preserve">sons have </w:t>
      </w:r>
      <w:r w:rsidR="004D67C9">
        <w:t>informed</w:t>
      </w:r>
      <w:r w:rsidR="00901080">
        <w:t xml:space="preserve"> me that they are seeking new legal counsel.”  When Phillips filed th</w:t>
      </w:r>
      <w:r w:rsidR="00EE0843">
        <w:t>is</w:t>
      </w:r>
      <w:r w:rsidR="00901080">
        <w:t xml:space="preserve"> declaration, he knew that </w:t>
      </w:r>
      <w:r w:rsidR="004D67C9">
        <w:t>the Hutsons</w:t>
      </w:r>
      <w:r w:rsidR="00901080">
        <w:t xml:space="preserve"> </w:t>
      </w:r>
      <w:r w:rsidR="004D67C9">
        <w:t xml:space="preserve">had not terminated </w:t>
      </w:r>
      <w:r w:rsidR="00901080">
        <w:t>his services and were not seeking new legal counsel</w:t>
      </w:r>
      <w:r w:rsidR="00D86F28">
        <w:t>.</w:t>
      </w:r>
    </w:p>
    <w:p w:rsidR="000057C1" w:rsidRDefault="000057C1" w:rsidP="00E34CE4">
      <w:pPr>
        <w:spacing w:line="480" w:lineRule="auto"/>
      </w:pPr>
    </w:p>
    <w:p w:rsidR="000057C1" w:rsidRDefault="000057C1" w:rsidP="00E34CE4">
      <w:pPr>
        <w:spacing w:line="480" w:lineRule="auto"/>
      </w:pPr>
    </w:p>
    <w:p w:rsidR="00AC20F7" w:rsidRPr="00FD3D50" w:rsidRDefault="007C0341" w:rsidP="00AC20F7">
      <w:pPr>
        <w:spacing w:line="480" w:lineRule="auto"/>
      </w:pPr>
      <w:r>
        <w:rPr>
          <w:b/>
        </w:rPr>
        <w:tab/>
      </w:r>
      <w:r w:rsidR="004255C4" w:rsidRPr="00FD3D50">
        <w:rPr>
          <w:b/>
        </w:rPr>
        <w:t>Count Seven (A)</w:t>
      </w:r>
      <w:r w:rsidR="00AC20F7" w:rsidRPr="00FD3D50">
        <w:rPr>
          <w:b/>
        </w:rPr>
        <w:t xml:space="preserve"> – </w:t>
      </w:r>
      <w:r w:rsidR="00FD3D50" w:rsidRPr="00FD3D50">
        <w:rPr>
          <w:b/>
        </w:rPr>
        <w:t xml:space="preserve">Failing to Respond to Client Inquiries </w:t>
      </w:r>
      <w:r w:rsidR="00FD3D50">
        <w:rPr>
          <w:b/>
        </w:rPr>
        <w:t>(</w:t>
      </w:r>
      <w:r w:rsidR="00AA7BBD">
        <w:rPr>
          <w:b/>
        </w:rPr>
        <w:t>§</w:t>
      </w:r>
      <w:r w:rsidR="00AC20F7" w:rsidRPr="00FD3D50">
        <w:rPr>
          <w:b/>
        </w:rPr>
        <w:t xml:space="preserve"> 6068</w:t>
      </w:r>
      <w:r>
        <w:rPr>
          <w:b/>
        </w:rPr>
        <w:t xml:space="preserve">, subd. </w:t>
      </w:r>
      <w:r w:rsidR="00AC20F7" w:rsidRPr="00FD3D50">
        <w:rPr>
          <w:b/>
        </w:rPr>
        <w:t>(m)</w:t>
      </w:r>
      <w:r w:rsidR="00FD3D50">
        <w:t>)</w:t>
      </w:r>
    </w:p>
    <w:p w:rsidR="00443BC2" w:rsidRDefault="00D86F28" w:rsidP="00AC20F7">
      <w:pPr>
        <w:spacing w:line="480" w:lineRule="auto"/>
        <w:ind w:firstLine="720"/>
      </w:pPr>
      <w:r>
        <w:t>Section 6068</w:t>
      </w:r>
      <w:r w:rsidR="00D35AD0">
        <w:t xml:space="preserve">, subdivision </w:t>
      </w:r>
      <w:r>
        <w:t xml:space="preserve">(m) provides that an attorney must promptly respond to clients’ reasonable status inquiries and keep them informed of significant developments in the case.  </w:t>
      </w:r>
      <w:r w:rsidR="00443BC2">
        <w:t xml:space="preserve">Phillips </w:t>
      </w:r>
      <w:r w:rsidR="00AC20F7">
        <w:t>is culpable</w:t>
      </w:r>
      <w:r w:rsidR="003E2A59">
        <w:t xml:space="preserve"> </w:t>
      </w:r>
      <w:r>
        <w:t xml:space="preserve">since he </w:t>
      </w:r>
      <w:r w:rsidR="003E2A59">
        <w:t>failed</w:t>
      </w:r>
      <w:r w:rsidR="00AC20F7">
        <w:t xml:space="preserve"> to </w:t>
      </w:r>
      <w:r w:rsidR="00901080">
        <w:t xml:space="preserve">respond to </w:t>
      </w:r>
      <w:r w:rsidR="004255C4">
        <w:t>the Hutson</w:t>
      </w:r>
      <w:r w:rsidR="00AA7BBD">
        <w:t>s</w:t>
      </w:r>
      <w:r w:rsidR="004D67C9">
        <w:t>’</w:t>
      </w:r>
      <w:r w:rsidR="00901080">
        <w:t xml:space="preserve"> </w:t>
      </w:r>
      <w:r w:rsidR="009E4C75">
        <w:t>attempts to communicate with him</w:t>
      </w:r>
      <w:r>
        <w:t xml:space="preserve"> from August 27, 2005 to February 7, 2006.</w:t>
      </w:r>
      <w:r w:rsidR="00901080">
        <w:t xml:space="preserve"> </w:t>
      </w:r>
    </w:p>
    <w:p w:rsidR="00FD3D50" w:rsidRDefault="007C0341" w:rsidP="00FD3D50">
      <w:pPr>
        <w:rPr>
          <w:b/>
        </w:rPr>
      </w:pPr>
      <w:r>
        <w:rPr>
          <w:b/>
        </w:rPr>
        <w:tab/>
      </w:r>
      <w:r w:rsidR="004255C4" w:rsidRPr="00FD3D50">
        <w:rPr>
          <w:b/>
        </w:rPr>
        <w:t>Count Seven (B</w:t>
      </w:r>
      <w:r w:rsidR="00FD3D50" w:rsidRPr="00FD3D50">
        <w:rPr>
          <w:b/>
        </w:rPr>
        <w:t xml:space="preserve">) – Avoiding Representation of Potentially Conflicting Interests </w:t>
      </w:r>
      <w:r>
        <w:rPr>
          <w:b/>
        </w:rPr>
        <w:tab/>
      </w:r>
      <w:r>
        <w:rPr>
          <w:b/>
        </w:rPr>
        <w:tab/>
      </w:r>
      <w:r>
        <w:rPr>
          <w:b/>
        </w:rPr>
        <w:tab/>
      </w:r>
      <w:r>
        <w:rPr>
          <w:b/>
        </w:rPr>
        <w:tab/>
        <w:t xml:space="preserve">        </w:t>
      </w:r>
      <w:r w:rsidR="00FD3D50">
        <w:rPr>
          <w:b/>
        </w:rPr>
        <w:t>(</w:t>
      </w:r>
      <w:r w:rsidR="001530D3">
        <w:rPr>
          <w:b/>
        </w:rPr>
        <w:t>R</w:t>
      </w:r>
      <w:r w:rsidR="00FD3D50" w:rsidRPr="00FD3D50">
        <w:rPr>
          <w:b/>
        </w:rPr>
        <w:t>ule 3-</w:t>
      </w:r>
      <w:r w:rsidR="009E4C75">
        <w:rPr>
          <w:b/>
        </w:rPr>
        <w:t>3</w:t>
      </w:r>
      <w:r w:rsidR="00FD3D50" w:rsidRPr="00FD3D50">
        <w:rPr>
          <w:b/>
        </w:rPr>
        <w:t>10(C)(1)</w:t>
      </w:r>
      <w:r w:rsidR="001530D3">
        <w:rPr>
          <w:b/>
        </w:rPr>
        <w:t>)</w:t>
      </w:r>
    </w:p>
    <w:p w:rsidR="003E2A59" w:rsidRPr="002D5110" w:rsidRDefault="003E2A59" w:rsidP="00FD3D50"/>
    <w:p w:rsidR="003E2A59" w:rsidRPr="002D5110" w:rsidRDefault="00D86F28" w:rsidP="002D5110">
      <w:pPr>
        <w:spacing w:line="480" w:lineRule="auto"/>
        <w:ind w:firstLine="720"/>
      </w:pPr>
      <w:r>
        <w:t xml:space="preserve">According to </w:t>
      </w:r>
      <w:r w:rsidR="00D35AD0">
        <w:t>r</w:t>
      </w:r>
      <w:r w:rsidR="009E4C75">
        <w:t>ule 3-310(C)(1</w:t>
      </w:r>
      <w:r>
        <w:t xml:space="preserve">), an attorney must not represent more than one client whose interests potentially conflict without the written consent of each client.  Phillips </w:t>
      </w:r>
      <w:r w:rsidR="003E2A59" w:rsidRPr="002D5110">
        <w:t xml:space="preserve">violated </w:t>
      </w:r>
      <w:r>
        <w:t xml:space="preserve">this rule </w:t>
      </w:r>
      <w:r w:rsidR="003E2A59" w:rsidRPr="002D5110">
        <w:t xml:space="preserve">by arranging for his </w:t>
      </w:r>
      <w:r w:rsidR="002D5110" w:rsidRPr="002D5110">
        <w:t>client</w:t>
      </w:r>
      <w:r w:rsidR="003E2A59" w:rsidRPr="002D5110">
        <w:t>, Ivey, to loan funds to the H</w:t>
      </w:r>
      <w:r w:rsidR="002D5110" w:rsidRPr="002D5110">
        <w:t>u</w:t>
      </w:r>
      <w:r w:rsidR="003E2A59" w:rsidRPr="002D5110">
        <w:t xml:space="preserve">tsons.  </w:t>
      </w:r>
      <w:r>
        <w:t>Since</w:t>
      </w:r>
      <w:r w:rsidR="003E2A59" w:rsidRPr="002D5110">
        <w:t xml:space="preserve"> </w:t>
      </w:r>
      <w:r w:rsidR="008A6E34">
        <w:t>Phillips</w:t>
      </w:r>
      <w:r w:rsidR="003E2A59" w:rsidRPr="002D5110">
        <w:t xml:space="preserve"> secured the loan by a deed of </w:t>
      </w:r>
      <w:r w:rsidR="002D5110" w:rsidRPr="002D5110">
        <w:t>trust</w:t>
      </w:r>
      <w:r w:rsidR="003E2A59" w:rsidRPr="002D5110">
        <w:t xml:space="preserve"> on the Hutsons’ property</w:t>
      </w:r>
      <w:r w:rsidR="00D35AD0">
        <w:t>,</w:t>
      </w:r>
      <w:r>
        <w:t xml:space="preserve"> he acted as a </w:t>
      </w:r>
      <w:r w:rsidR="003E2A59" w:rsidRPr="002D5110">
        <w:t xml:space="preserve">trustee for </w:t>
      </w:r>
      <w:r>
        <w:t>Ivey.  Each client clearly had potentially conflicting interests and Phillips never obtained written consent from his clients to this dual representation.</w:t>
      </w:r>
      <w:r w:rsidR="003E2A59">
        <w:t xml:space="preserve"> </w:t>
      </w:r>
    </w:p>
    <w:p w:rsidR="00FD3D50" w:rsidRPr="00FD3D50" w:rsidRDefault="007C0341" w:rsidP="00901080">
      <w:pPr>
        <w:spacing w:line="480" w:lineRule="auto"/>
        <w:rPr>
          <w:b/>
        </w:rPr>
      </w:pPr>
      <w:r>
        <w:rPr>
          <w:b/>
        </w:rPr>
        <w:tab/>
      </w:r>
      <w:r w:rsidR="004255C4" w:rsidRPr="00FD3D50">
        <w:rPr>
          <w:b/>
        </w:rPr>
        <w:t>Count Seven (C)</w:t>
      </w:r>
      <w:r w:rsidR="00FD3D50" w:rsidRPr="00FD3D50">
        <w:rPr>
          <w:b/>
        </w:rPr>
        <w:t xml:space="preserve"> – Avoiding Interests Adverse to Cl</w:t>
      </w:r>
      <w:r w:rsidR="001530D3">
        <w:rPr>
          <w:b/>
        </w:rPr>
        <w:t>ient</w:t>
      </w:r>
      <w:r w:rsidR="00FD3D50" w:rsidRPr="00FD3D50">
        <w:rPr>
          <w:b/>
        </w:rPr>
        <w:t xml:space="preserve"> (Rule 3-300)</w:t>
      </w:r>
    </w:p>
    <w:p w:rsidR="003E2A59" w:rsidRDefault="00D86F28" w:rsidP="003E2A59">
      <w:pPr>
        <w:spacing w:line="480" w:lineRule="auto"/>
        <w:ind w:firstLine="720"/>
      </w:pPr>
      <w:r>
        <w:t>Rule 3-300 prohibits an attorney from entering into a</w:t>
      </w:r>
      <w:r w:rsidR="007D3A6E">
        <w:t xml:space="preserve"> </w:t>
      </w:r>
      <w:r>
        <w:t>business transaction with a client unless it is fair and reasonable</w:t>
      </w:r>
      <w:r w:rsidR="007D3A6E">
        <w:t xml:space="preserve"> and certain disclosures are made</w:t>
      </w:r>
      <w:r>
        <w:t>.  Phillips violated this section when he secured</w:t>
      </w:r>
      <w:r w:rsidR="002D5110">
        <w:t xml:space="preserve"> a </w:t>
      </w:r>
      <w:r w:rsidR="007D3A6E">
        <w:t xml:space="preserve">$15,000 </w:t>
      </w:r>
      <w:r w:rsidR="002D5110">
        <w:t xml:space="preserve">deed of trust </w:t>
      </w:r>
      <w:r w:rsidR="007D3A6E">
        <w:t>for the Hutsons</w:t>
      </w:r>
      <w:r w:rsidR="002D5110">
        <w:t>.  Th</w:t>
      </w:r>
      <w:r w:rsidR="007D3A6E">
        <w:t>e</w:t>
      </w:r>
      <w:r w:rsidR="002D5110">
        <w:t xml:space="preserve"> amount was not fair and reasonable since it was </w:t>
      </w:r>
      <w:r w:rsidR="00D35AD0">
        <w:t>triple</w:t>
      </w:r>
      <w:r w:rsidR="002D5110">
        <w:t xml:space="preserve"> </w:t>
      </w:r>
      <w:r w:rsidR="007D3A6E">
        <w:t xml:space="preserve">the </w:t>
      </w:r>
      <w:r w:rsidR="002D5110">
        <w:t xml:space="preserve">$5,000 in fees </w:t>
      </w:r>
      <w:r w:rsidR="007D3A6E">
        <w:t xml:space="preserve">that </w:t>
      </w:r>
      <w:r w:rsidR="002D5110">
        <w:t xml:space="preserve">it </w:t>
      </w:r>
      <w:r w:rsidR="007D3A6E">
        <w:t>secured</w:t>
      </w:r>
      <w:r w:rsidR="002D5110">
        <w:t xml:space="preserve">.  </w:t>
      </w:r>
      <w:r w:rsidR="007D3A6E">
        <w:t>And</w:t>
      </w:r>
      <w:r w:rsidR="002D5110">
        <w:t xml:space="preserve"> Phillips </w:t>
      </w:r>
      <w:r w:rsidR="007D3A6E">
        <w:t xml:space="preserve">concluded the transaction </w:t>
      </w:r>
      <w:r w:rsidR="002D5110">
        <w:t xml:space="preserve">without providing the necessary prophylactic disclosures set out in </w:t>
      </w:r>
      <w:r w:rsidR="007D3A6E">
        <w:t xml:space="preserve">the </w:t>
      </w:r>
      <w:r w:rsidR="002D5110">
        <w:t>rule, including:  (1) disclosing the transaction to the clients in an understandable manner; (2) advising the clients in writing they may seek the advice of an independent lawyer of their choice</w:t>
      </w:r>
      <w:r w:rsidR="009A6B3A">
        <w:t>;</w:t>
      </w:r>
      <w:r w:rsidR="002D5110">
        <w:t xml:space="preserve"> </w:t>
      </w:r>
      <w:r w:rsidR="009A6B3A">
        <w:t xml:space="preserve">          </w:t>
      </w:r>
      <w:r w:rsidR="002D5110">
        <w:t xml:space="preserve">(3) giving the clients a reasonable opportunity to seek that </w:t>
      </w:r>
      <w:r w:rsidR="0028623B">
        <w:t>advice</w:t>
      </w:r>
      <w:r w:rsidR="009A6B3A">
        <w:t>;</w:t>
      </w:r>
      <w:r w:rsidR="002D5110">
        <w:t xml:space="preserve"> and (</w:t>
      </w:r>
      <w:r w:rsidR="00AA37C1">
        <w:t>4</w:t>
      </w:r>
      <w:r w:rsidR="002D5110">
        <w:t>) obtaining the clients’ written consent to the terms of the transaction</w:t>
      </w:r>
      <w:r w:rsidR="007D3A6E">
        <w:t>.</w:t>
      </w:r>
      <w:r w:rsidR="003E2A59">
        <w:t xml:space="preserve"> </w:t>
      </w:r>
    </w:p>
    <w:p w:rsidR="000057C1" w:rsidRDefault="000057C1" w:rsidP="003E2A59">
      <w:pPr>
        <w:spacing w:line="480" w:lineRule="auto"/>
        <w:ind w:firstLine="720"/>
      </w:pPr>
    </w:p>
    <w:p w:rsidR="001530D3" w:rsidRDefault="004255C4" w:rsidP="001807DB">
      <w:pPr>
        <w:spacing w:line="480" w:lineRule="auto"/>
        <w:ind w:firstLine="720"/>
        <w:rPr>
          <w:b/>
        </w:rPr>
      </w:pPr>
      <w:r w:rsidRPr="001530D3">
        <w:rPr>
          <w:b/>
        </w:rPr>
        <w:t>Count Seven (D)</w:t>
      </w:r>
      <w:r w:rsidR="001530D3">
        <w:rPr>
          <w:b/>
        </w:rPr>
        <w:t xml:space="preserve"> – Failing to Render Accounts of Client Funds (Rule 4-100(B)(3))</w:t>
      </w:r>
    </w:p>
    <w:p w:rsidR="00443BC2" w:rsidRDefault="007D3A6E" w:rsidP="00AA37C1">
      <w:pPr>
        <w:spacing w:line="480" w:lineRule="auto"/>
        <w:ind w:firstLine="720"/>
      </w:pPr>
      <w:r>
        <w:t xml:space="preserve">Rule 4-100(B)(3) requires an attorney to maintain records of client funds and property and </w:t>
      </w:r>
      <w:r w:rsidR="00AA37C1">
        <w:t xml:space="preserve">to </w:t>
      </w:r>
      <w:r>
        <w:t xml:space="preserve">render accountings.  </w:t>
      </w:r>
      <w:r w:rsidR="002D5110">
        <w:t xml:space="preserve">Phillips </w:t>
      </w:r>
      <w:r w:rsidR="00AA37C1">
        <w:t>failed</w:t>
      </w:r>
      <w:r w:rsidR="002D5110">
        <w:t xml:space="preserve"> to provide </w:t>
      </w:r>
      <w:r w:rsidR="00AA37C1">
        <w:t xml:space="preserve">an </w:t>
      </w:r>
      <w:r w:rsidR="002D5110">
        <w:t xml:space="preserve">itemized billing statement to the Hutsons during and after </w:t>
      </w:r>
      <w:r>
        <w:t>he represented</w:t>
      </w:r>
      <w:r w:rsidR="002D5110">
        <w:t xml:space="preserve"> them.  He also failed to render appropriate accounts of all </w:t>
      </w:r>
      <w:r>
        <w:t xml:space="preserve">client </w:t>
      </w:r>
      <w:r w:rsidR="002D5110">
        <w:t>funds in his possession.</w:t>
      </w:r>
      <w:r w:rsidR="00901080">
        <w:t xml:space="preserve"> </w:t>
      </w:r>
      <w:r w:rsidR="00AA37C1">
        <w:t xml:space="preserve">  </w:t>
      </w:r>
      <w:r w:rsidR="003D452B">
        <w:t>Phillips</w:t>
      </w:r>
      <w:r w:rsidR="00AA37C1">
        <w:t xml:space="preserve"> is culpable of violating this rule.</w:t>
      </w:r>
    </w:p>
    <w:p w:rsidR="001530D3" w:rsidRDefault="007C0341" w:rsidP="00901080">
      <w:pPr>
        <w:spacing w:line="480" w:lineRule="auto"/>
        <w:rPr>
          <w:b/>
        </w:rPr>
      </w:pPr>
      <w:r>
        <w:rPr>
          <w:b/>
        </w:rPr>
        <w:tab/>
      </w:r>
      <w:r w:rsidR="004255C4" w:rsidRPr="001530D3">
        <w:rPr>
          <w:b/>
        </w:rPr>
        <w:t>Count Seven (E)</w:t>
      </w:r>
      <w:r w:rsidR="001530D3">
        <w:rPr>
          <w:b/>
        </w:rPr>
        <w:t xml:space="preserve"> – Improper Withdrawal from Employment (Rule 3-700(A)(2))</w:t>
      </w:r>
    </w:p>
    <w:p w:rsidR="00443BC2" w:rsidRDefault="007D3A6E" w:rsidP="001530D3">
      <w:pPr>
        <w:spacing w:line="480" w:lineRule="auto"/>
        <w:ind w:firstLine="720"/>
      </w:pPr>
      <w:r>
        <w:t>Rule 3-700(A)(2) prohibits an attorney from withdrawing from employment until his clients</w:t>
      </w:r>
      <w:r w:rsidR="00D35AD0">
        <w:t>’</w:t>
      </w:r>
      <w:r>
        <w:t xml:space="preserve"> rights have been reasonably protected.  </w:t>
      </w:r>
      <w:r w:rsidR="002D5110">
        <w:t>Phillips</w:t>
      </w:r>
      <w:r w:rsidR="003D452B">
        <w:t xml:space="preserve"> improperly withdrew as </w:t>
      </w:r>
      <w:r w:rsidR="002D5110">
        <w:t xml:space="preserve">counsel in </w:t>
      </w:r>
      <w:r w:rsidR="002D5110" w:rsidRPr="0028623B">
        <w:rPr>
          <w:i/>
        </w:rPr>
        <w:t>Phoenix v. Hutson</w:t>
      </w:r>
      <w:r w:rsidR="002D5110">
        <w:t xml:space="preserve"> </w:t>
      </w:r>
      <w:r w:rsidR="003D452B">
        <w:t>since it was less than two weeks</w:t>
      </w:r>
      <w:r w:rsidR="002D5110">
        <w:t xml:space="preserve"> </w:t>
      </w:r>
      <w:r w:rsidR="003D452B">
        <w:t xml:space="preserve">prior to trial </w:t>
      </w:r>
      <w:r w:rsidR="002D5110">
        <w:t>and before the Hutson</w:t>
      </w:r>
      <w:r w:rsidR="00837E01">
        <w:t>s</w:t>
      </w:r>
      <w:r w:rsidR="002D5110">
        <w:t xml:space="preserve"> could retain new counsel.</w:t>
      </w:r>
      <w:r w:rsidR="00EB279D">
        <w:t xml:space="preserve">  </w:t>
      </w:r>
      <w:r w:rsidR="001530D3">
        <w:t xml:space="preserve">Phillips </w:t>
      </w:r>
      <w:r w:rsidR="003D452B">
        <w:t xml:space="preserve">failed to </w:t>
      </w:r>
      <w:r w:rsidR="001530D3">
        <w:t xml:space="preserve">avoid prejudice to </w:t>
      </w:r>
      <w:r w:rsidR="003D452B">
        <w:t xml:space="preserve">the Hutsons </w:t>
      </w:r>
      <w:r w:rsidR="001530D3">
        <w:t>before withdrawing</w:t>
      </w:r>
      <w:r w:rsidR="00EC0999">
        <w:t xml:space="preserve"> as their attorney</w:t>
      </w:r>
      <w:r>
        <w:t>.</w:t>
      </w:r>
    </w:p>
    <w:p w:rsidR="001807DB" w:rsidRDefault="007C0341" w:rsidP="00901080">
      <w:pPr>
        <w:spacing w:line="480" w:lineRule="auto"/>
        <w:rPr>
          <w:b/>
        </w:rPr>
      </w:pPr>
      <w:r>
        <w:rPr>
          <w:b/>
        </w:rPr>
        <w:tab/>
      </w:r>
      <w:r w:rsidR="004255C4" w:rsidRPr="001530D3">
        <w:rPr>
          <w:b/>
        </w:rPr>
        <w:t>Count Seven (F)</w:t>
      </w:r>
      <w:r w:rsidR="001530D3">
        <w:rPr>
          <w:b/>
        </w:rPr>
        <w:t xml:space="preserve"> </w:t>
      </w:r>
      <w:r w:rsidR="001807DB">
        <w:rPr>
          <w:b/>
        </w:rPr>
        <w:t>– Misleading Judge (</w:t>
      </w:r>
      <w:r w:rsidR="008A62E9">
        <w:rPr>
          <w:b/>
        </w:rPr>
        <w:t>§</w:t>
      </w:r>
      <w:r w:rsidR="001807DB">
        <w:rPr>
          <w:b/>
        </w:rPr>
        <w:t xml:space="preserve"> 6068</w:t>
      </w:r>
      <w:r>
        <w:rPr>
          <w:b/>
        </w:rPr>
        <w:t xml:space="preserve">, subd. </w:t>
      </w:r>
      <w:r w:rsidR="001807DB">
        <w:rPr>
          <w:b/>
        </w:rPr>
        <w:t>(d))</w:t>
      </w:r>
    </w:p>
    <w:p w:rsidR="00A35FB3" w:rsidRDefault="00EB279D" w:rsidP="001807DB">
      <w:pPr>
        <w:spacing w:line="480" w:lineRule="auto"/>
        <w:ind w:firstLine="720"/>
      </w:pPr>
      <w:r>
        <w:t xml:space="preserve">Phillips </w:t>
      </w:r>
      <w:r w:rsidR="003D452B">
        <w:t xml:space="preserve">violated </w:t>
      </w:r>
      <w:r>
        <w:t>section 6068</w:t>
      </w:r>
      <w:r w:rsidR="00D35AD0">
        <w:t xml:space="preserve">, subdivision </w:t>
      </w:r>
      <w:r>
        <w:t>(d)</w:t>
      </w:r>
      <w:r w:rsidR="00F92EA3">
        <w:t>,</w:t>
      </w:r>
      <w:r>
        <w:t xml:space="preserve"> when he filed his July 3, 2006 motion to withdraw as attorney in </w:t>
      </w:r>
      <w:r w:rsidRPr="0028623B">
        <w:rPr>
          <w:i/>
        </w:rPr>
        <w:t>Phoenix v. Hutson</w:t>
      </w:r>
      <w:r>
        <w:t xml:space="preserve">.  </w:t>
      </w:r>
      <w:r w:rsidR="003D452B">
        <w:t xml:space="preserve">By including </w:t>
      </w:r>
      <w:r>
        <w:t xml:space="preserve">a </w:t>
      </w:r>
      <w:r w:rsidR="003D452B">
        <w:t xml:space="preserve">false </w:t>
      </w:r>
      <w:r>
        <w:t>declaration stating that his clients terminated his services and were seeking new counsel</w:t>
      </w:r>
      <w:r w:rsidR="003D452B">
        <w:t xml:space="preserve">, he misled </w:t>
      </w:r>
      <w:r>
        <w:t xml:space="preserve">the superior court judge </w:t>
      </w:r>
      <w:r w:rsidR="003D452B">
        <w:t xml:space="preserve">in an effort to win his </w:t>
      </w:r>
      <w:r>
        <w:t>motion to withdraw.</w:t>
      </w:r>
      <w:r w:rsidR="00901080">
        <w:rPr>
          <w:rStyle w:val="FootnoteReference"/>
        </w:rPr>
        <w:footnoteReference w:id="18"/>
      </w:r>
    </w:p>
    <w:p w:rsidR="00A35FB3" w:rsidRPr="0063762B" w:rsidRDefault="00A35FB3" w:rsidP="00443BC2">
      <w:pPr>
        <w:spacing w:line="480" w:lineRule="auto"/>
        <w:jc w:val="center"/>
        <w:rPr>
          <w:b/>
        </w:rPr>
      </w:pPr>
      <w:r>
        <w:rPr>
          <w:b/>
        </w:rPr>
        <w:t>VI</w:t>
      </w:r>
      <w:r w:rsidR="00EB3400">
        <w:rPr>
          <w:b/>
        </w:rPr>
        <w:t>I</w:t>
      </w:r>
      <w:r>
        <w:rPr>
          <w:b/>
        </w:rPr>
        <w:t>I.  AGGRAVATION AND MITIGATION</w:t>
      </w:r>
    </w:p>
    <w:p w:rsidR="00A35FB3" w:rsidRDefault="00A35FB3" w:rsidP="005443D0">
      <w:pPr>
        <w:spacing w:line="480" w:lineRule="auto"/>
        <w:ind w:firstLine="720"/>
      </w:pPr>
      <w:r>
        <w:t xml:space="preserve">The offering party bears the burden of proof for aggravating and mitigating circumstances.  The State Bar must establish </w:t>
      </w:r>
      <w:r w:rsidR="00E251DB">
        <w:t>circumstances in aggravation</w:t>
      </w:r>
      <w:r>
        <w:t xml:space="preserve"> by clear and convincing evidence while Phillips has the same burden to prove </w:t>
      </w:r>
      <w:r w:rsidR="00E251DB">
        <w:t>those in mitigation</w:t>
      </w:r>
      <w:r>
        <w:t>.  (Std. 1.2(b) and (e).)</w:t>
      </w:r>
    </w:p>
    <w:p w:rsidR="00687E28" w:rsidRDefault="00687E28" w:rsidP="005443D0">
      <w:pPr>
        <w:spacing w:line="480" w:lineRule="auto"/>
        <w:ind w:firstLine="720"/>
      </w:pPr>
    </w:p>
    <w:p w:rsidR="00A35FB3" w:rsidRPr="001C3B0F" w:rsidRDefault="00EB3400" w:rsidP="00687E28">
      <w:pPr>
        <w:spacing w:line="480" w:lineRule="auto"/>
        <w:rPr>
          <w:b/>
        </w:rPr>
      </w:pPr>
      <w:r>
        <w:rPr>
          <w:b/>
        </w:rPr>
        <w:t>A.</w:t>
      </w:r>
      <w:r>
        <w:rPr>
          <w:b/>
        </w:rPr>
        <w:tab/>
      </w:r>
      <w:r w:rsidRPr="001C3B0F">
        <w:rPr>
          <w:b/>
        </w:rPr>
        <w:t xml:space="preserve">MITIGATING CIRCUMSTANCES </w:t>
      </w:r>
    </w:p>
    <w:p w:rsidR="00A35FB3" w:rsidRDefault="002B35C8" w:rsidP="001C3B0F">
      <w:pPr>
        <w:spacing w:line="480" w:lineRule="auto"/>
        <w:ind w:firstLine="720"/>
      </w:pPr>
      <w:r>
        <w:t>The</w:t>
      </w:r>
      <w:r w:rsidR="00A35FB3">
        <w:t xml:space="preserve"> hearing judge </w:t>
      </w:r>
      <w:r>
        <w:t xml:space="preserve">correctly found </w:t>
      </w:r>
      <w:r w:rsidR="00A35FB3">
        <w:t xml:space="preserve">that Phillips did not prove any mitigating circumstances.  </w:t>
      </w:r>
      <w:r>
        <w:t xml:space="preserve">In fact, Phillips presented </w:t>
      </w:r>
      <w:r w:rsidR="00A35FB3">
        <w:t xml:space="preserve">two </w:t>
      </w:r>
      <w:r w:rsidR="00D305F0">
        <w:t xml:space="preserve">character </w:t>
      </w:r>
      <w:r w:rsidR="00A35FB3">
        <w:t>witnesses</w:t>
      </w:r>
      <w:r w:rsidR="00D305F0">
        <w:t xml:space="preserve"> </w:t>
      </w:r>
      <w:r>
        <w:t>–</w:t>
      </w:r>
      <w:r w:rsidR="008A62E9">
        <w:t xml:space="preserve"> </w:t>
      </w:r>
      <w:r>
        <w:t xml:space="preserve">an attorney and a </w:t>
      </w:r>
      <w:r w:rsidR="00A35FB3">
        <w:t xml:space="preserve">bankruptcy court clerk </w:t>
      </w:r>
      <w:r>
        <w:t>who had only</w:t>
      </w:r>
      <w:r w:rsidR="00A35FB3">
        <w:t xml:space="preserve"> limited contact with Phillips </w:t>
      </w:r>
      <w:r w:rsidR="008A62E9">
        <w:t>over</w:t>
      </w:r>
      <w:r w:rsidR="00A35FB3">
        <w:t xml:space="preserve"> the past 12 years, and </w:t>
      </w:r>
      <w:r w:rsidR="009A6B3A">
        <w:t>were</w:t>
      </w:r>
      <w:r w:rsidR="00A35FB3">
        <w:t xml:space="preserve"> not</w:t>
      </w:r>
      <w:r w:rsidR="00F4178B">
        <w:t xml:space="preserve"> fully</w:t>
      </w:r>
      <w:r w:rsidR="00A35FB3">
        <w:t xml:space="preserve"> aware of the allegations or Phillips’s prior record.  </w:t>
      </w:r>
      <w:r w:rsidR="00D305F0">
        <w:t>These witnesses do not</w:t>
      </w:r>
      <w:r w:rsidR="00A35FB3">
        <w:t xml:space="preserve"> establish meaningful mitigation, particularly since </w:t>
      </w:r>
      <w:r w:rsidR="00D305F0">
        <w:t>they</w:t>
      </w:r>
      <w:r w:rsidR="00A35FB3">
        <w:t xml:space="preserve"> do not represent an extraordinary demonstration of good character attested to by a wide range of references in the legal and general communities</w:t>
      </w:r>
      <w:r w:rsidR="008A62E9">
        <w:t>,</w:t>
      </w:r>
      <w:r w:rsidR="00A35FB3">
        <w:t xml:space="preserve"> as required by standard 1.2(e)(vi).  (See </w:t>
      </w:r>
      <w:r w:rsidR="00A35FB3" w:rsidRPr="009E4C75">
        <w:rPr>
          <w:i/>
        </w:rPr>
        <w:t xml:space="preserve">In </w:t>
      </w:r>
      <w:r w:rsidR="00A35FB3" w:rsidRPr="00F400FE">
        <w:rPr>
          <w:i/>
        </w:rPr>
        <w:t>the Matter of Kittrell</w:t>
      </w:r>
      <w:r w:rsidR="00A35FB3">
        <w:t xml:space="preserve"> (Review Dept. 2003) 4 Cal. State Bar Ct. Rptr. 615, 624 [two character witnesses insufficient].)</w:t>
      </w:r>
    </w:p>
    <w:p w:rsidR="00A35FB3" w:rsidRDefault="00EB3400" w:rsidP="00C32F05">
      <w:pPr>
        <w:spacing w:line="480" w:lineRule="auto"/>
        <w:rPr>
          <w:b/>
          <w:bCs/>
        </w:rPr>
      </w:pPr>
      <w:r>
        <w:rPr>
          <w:b/>
          <w:bCs/>
        </w:rPr>
        <w:t>B.</w:t>
      </w:r>
      <w:r>
        <w:rPr>
          <w:b/>
          <w:bCs/>
        </w:rPr>
        <w:tab/>
        <w:t>AGGRAVATING CIRCUMSTANCES</w:t>
      </w:r>
    </w:p>
    <w:p w:rsidR="00A35FB3" w:rsidRDefault="00A35FB3" w:rsidP="00080BB6">
      <w:pPr>
        <w:spacing w:line="480" w:lineRule="auto"/>
        <w:ind w:firstLine="720"/>
      </w:pPr>
      <w:r>
        <w:t xml:space="preserve">We adopt </w:t>
      </w:r>
      <w:r w:rsidR="00BA6A3D">
        <w:t xml:space="preserve">four of the </w:t>
      </w:r>
      <w:r>
        <w:t xml:space="preserve">five aggravating circumstances the hearing judge found – prior discipline record, multiple acts of misconduct, significant client harm and indifference to rectification. </w:t>
      </w:r>
      <w:r w:rsidR="003D452B">
        <w:t xml:space="preserve"> We do not, however, adopt a fifth factor the hearing judge found </w:t>
      </w:r>
      <w:r w:rsidR="009A6B3A">
        <w:t>as aggravation</w:t>
      </w:r>
      <w:r w:rsidR="003D452B">
        <w:t xml:space="preserve"> - </w:t>
      </w:r>
      <w:r w:rsidR="00E251DB">
        <w:t xml:space="preserve">that Phillips’s failure to comply with the discovery orders on November 17, 2008 and </w:t>
      </w:r>
      <w:r w:rsidR="009A6B3A">
        <w:t xml:space="preserve">    </w:t>
      </w:r>
      <w:r w:rsidR="00E251DB">
        <w:t xml:space="preserve">February 23, 2009, constitutes an uncharged violation of law under section 6103.  </w:t>
      </w:r>
      <w:r w:rsidR="002073F9">
        <w:t>The hearing judge properly considered and relied on this evidence in ordering the issue preclusion sanction</w:t>
      </w:r>
      <w:r w:rsidR="007D3A6E">
        <w:t>s</w:t>
      </w:r>
      <w:r w:rsidR="002073F9">
        <w:t xml:space="preserve">.  </w:t>
      </w:r>
      <w:r w:rsidR="000057C1">
        <w:t>Considering</w:t>
      </w:r>
      <w:r w:rsidR="00837E01">
        <w:t xml:space="preserve"> the same evidence to prove </w:t>
      </w:r>
      <w:r w:rsidR="002073F9">
        <w:t>an uncharged act in aggravation</w:t>
      </w:r>
      <w:r w:rsidR="000057C1">
        <w:t xml:space="preserve"> is duplicative</w:t>
      </w:r>
      <w:r w:rsidR="002073F9">
        <w:t>.</w:t>
      </w:r>
      <w:r w:rsidR="00E251DB">
        <w:t xml:space="preserve">  </w:t>
      </w:r>
    </w:p>
    <w:p w:rsidR="00A35FB3" w:rsidRDefault="00E2140C" w:rsidP="002C78C6">
      <w:pPr>
        <w:numPr>
          <w:ilvl w:val="0"/>
          <w:numId w:val="29"/>
        </w:numPr>
        <w:spacing w:line="480" w:lineRule="auto"/>
        <w:rPr>
          <w:b/>
        </w:rPr>
      </w:pPr>
      <w:r>
        <w:rPr>
          <w:b/>
        </w:rPr>
        <w:t xml:space="preserve">Three </w:t>
      </w:r>
      <w:r w:rsidR="00A35FB3">
        <w:rPr>
          <w:b/>
        </w:rPr>
        <w:t>Prior Discipline Records (S</w:t>
      </w:r>
      <w:r w:rsidR="00A35FB3" w:rsidRPr="00D33A05">
        <w:rPr>
          <w:b/>
        </w:rPr>
        <w:t>td. 1.2(b)(i))</w:t>
      </w:r>
    </w:p>
    <w:p w:rsidR="009E4C75" w:rsidRDefault="00E2140C" w:rsidP="009E4C75">
      <w:pPr>
        <w:spacing w:line="480" w:lineRule="auto"/>
        <w:ind w:firstLine="720"/>
      </w:pPr>
      <w:r w:rsidRPr="00E2140C">
        <w:t xml:space="preserve">Phillips has an extensive </w:t>
      </w:r>
      <w:r w:rsidR="002B35C8">
        <w:t xml:space="preserve">discipline </w:t>
      </w:r>
      <w:r w:rsidRPr="00E2140C">
        <w:t xml:space="preserve">record.  </w:t>
      </w:r>
      <w:r>
        <w:t>In the early 1990s</w:t>
      </w:r>
      <w:r w:rsidR="00E4022C">
        <w:t>,</w:t>
      </w:r>
      <w:r>
        <w:t xml:space="preserve"> he was disciplined three times for failing to perform competently, communicate with clients and follow court orders.  Phillips testified that he did not believe the cases involved misconduct and “they were nothing cases,” so he stipulated to culpability in “all three of these little private reprovals.”  Unlike Phillips, we assign great aggravating weight </w:t>
      </w:r>
      <w:r w:rsidR="002B35C8">
        <w:t>to these matters</w:t>
      </w:r>
      <w:r>
        <w:t>. (</w:t>
      </w:r>
      <w:r>
        <w:rPr>
          <w:i/>
        </w:rPr>
        <w:t>In the Matter of Bouyer</w:t>
      </w:r>
      <w:r>
        <w:t xml:space="preserve"> (</w:t>
      </w:r>
      <w:r w:rsidR="009E4C75">
        <w:t xml:space="preserve">Review </w:t>
      </w:r>
    </w:p>
    <w:p w:rsidR="00687E28" w:rsidRDefault="00687E28" w:rsidP="009E4C75">
      <w:pPr>
        <w:spacing w:line="480" w:lineRule="auto"/>
        <w:ind w:firstLine="720"/>
      </w:pPr>
    </w:p>
    <w:p w:rsidR="00EB279D" w:rsidRPr="00E2140C" w:rsidRDefault="009E4C75" w:rsidP="009E4C75">
      <w:pPr>
        <w:spacing w:line="480" w:lineRule="auto"/>
      </w:pPr>
      <w:r>
        <w:t xml:space="preserve">Dept. </w:t>
      </w:r>
      <w:r w:rsidR="00E2140C">
        <w:t>1998) 3 Cal. State Bar Ct. Rptr. 888, 892-893 [record of three prior disciplines was serious aggravating factor].)</w:t>
      </w:r>
    </w:p>
    <w:p w:rsidR="00F4178B" w:rsidRDefault="00A35FB3" w:rsidP="00F4178B">
      <w:pPr>
        <w:spacing w:line="480" w:lineRule="auto"/>
        <w:ind w:firstLine="720"/>
        <w:rPr>
          <w:u w:val="single"/>
        </w:rPr>
      </w:pPr>
      <w:r w:rsidRPr="00F11271">
        <w:rPr>
          <w:u w:val="single"/>
        </w:rPr>
        <w:t xml:space="preserve">The First Discipline </w:t>
      </w:r>
      <w:r>
        <w:rPr>
          <w:u w:val="single"/>
        </w:rPr>
        <w:t xml:space="preserve">– April </w:t>
      </w:r>
      <w:r w:rsidR="00C317BA">
        <w:rPr>
          <w:u w:val="single"/>
        </w:rPr>
        <w:t>17, 1991 (State Bar Court Case 89</w:t>
      </w:r>
      <w:r>
        <w:rPr>
          <w:u w:val="single"/>
        </w:rPr>
        <w:t>-O-17584</w:t>
      </w:r>
      <w:r w:rsidRPr="00F11271">
        <w:rPr>
          <w:u w:val="single"/>
        </w:rPr>
        <w:t>)</w:t>
      </w:r>
    </w:p>
    <w:p w:rsidR="00A35FB3" w:rsidRPr="00F4178B" w:rsidRDefault="003016E4" w:rsidP="00F4178B">
      <w:pPr>
        <w:spacing w:line="480" w:lineRule="auto"/>
        <w:ind w:firstLine="720"/>
        <w:rPr>
          <w:u w:val="single"/>
        </w:rPr>
      </w:pPr>
      <w:r>
        <w:t xml:space="preserve">This discipline covers misconduct from 1987 to 1990 in two client matters.  Phillips failed to competently perform </w:t>
      </w:r>
      <w:r w:rsidR="00E4022C">
        <w:t xml:space="preserve">legal services </w:t>
      </w:r>
      <w:r>
        <w:t xml:space="preserve">and communicate with clients.  In mitigation, </w:t>
      </w:r>
      <w:r w:rsidR="008A62E9">
        <w:t>he</w:t>
      </w:r>
      <w:r>
        <w:t xml:space="preserve"> had no record of discipline, had been candid and cooperative with the State Bar, caused no client harm and held a good faith belief in his conduct as to one client.  No aggravating factors were present.  By stipulation, </w:t>
      </w:r>
      <w:r w:rsidR="00A35FB3">
        <w:t>the State Bar Court issued a private reproval with conditions</w:t>
      </w:r>
      <w:r>
        <w:t xml:space="preserve">.  </w:t>
      </w:r>
    </w:p>
    <w:p w:rsidR="00F4178B" w:rsidRDefault="00A35FB3" w:rsidP="00F4178B">
      <w:pPr>
        <w:ind w:firstLine="720"/>
        <w:rPr>
          <w:u w:val="single"/>
        </w:rPr>
      </w:pPr>
      <w:r w:rsidRPr="00F11271">
        <w:rPr>
          <w:u w:val="single"/>
        </w:rPr>
        <w:t>The</w:t>
      </w:r>
      <w:r>
        <w:rPr>
          <w:u w:val="single"/>
        </w:rPr>
        <w:t xml:space="preserve"> Second</w:t>
      </w:r>
      <w:r w:rsidRPr="00F11271">
        <w:rPr>
          <w:u w:val="single"/>
        </w:rPr>
        <w:t xml:space="preserve"> Discipline </w:t>
      </w:r>
      <w:r>
        <w:rPr>
          <w:u w:val="single"/>
        </w:rPr>
        <w:t xml:space="preserve">– </w:t>
      </w:r>
      <w:r w:rsidR="003016E4">
        <w:rPr>
          <w:u w:val="single"/>
        </w:rPr>
        <w:t>February 5, 1992</w:t>
      </w:r>
      <w:r>
        <w:rPr>
          <w:u w:val="single"/>
        </w:rPr>
        <w:t xml:space="preserve"> (State Bar Court Case 90-O-17924</w:t>
      </w:r>
      <w:r w:rsidRPr="00F11271">
        <w:rPr>
          <w:u w:val="single"/>
        </w:rPr>
        <w:t>)</w:t>
      </w:r>
    </w:p>
    <w:p w:rsidR="00F4178B" w:rsidRDefault="00F4178B" w:rsidP="00F4178B">
      <w:pPr>
        <w:ind w:firstLine="720"/>
        <w:rPr>
          <w:u w:val="single"/>
        </w:rPr>
      </w:pPr>
    </w:p>
    <w:p w:rsidR="003016E4" w:rsidRDefault="003016E4" w:rsidP="00F4178B">
      <w:pPr>
        <w:spacing w:line="480" w:lineRule="auto"/>
        <w:ind w:firstLine="720"/>
      </w:pPr>
      <w:r>
        <w:t>This discipline covers misconduct from 1987 to 1988 in one client matter.  Phillips failed to competently perform legal services, improperly withdrew from employment</w:t>
      </w:r>
      <w:r w:rsidR="00EE0843">
        <w:t>, and failed to communicate</w:t>
      </w:r>
      <w:r>
        <w:t>.  In mitigation, Phillips had been candid and cooperative with the State Bar</w:t>
      </w:r>
      <w:r w:rsidR="00D72F90">
        <w:t xml:space="preserve"> and competently performed for the client after his misconduct occurred.  In aggravation, Phillips had a prior record of discipline.</w:t>
      </w:r>
      <w:r>
        <w:t xml:space="preserve">  By stipulation, the State Bar Court issued a private reproval with conditions</w:t>
      </w:r>
      <w:r w:rsidR="000057C1">
        <w:t>.</w:t>
      </w:r>
      <w:r>
        <w:t xml:space="preserve">  </w:t>
      </w:r>
    </w:p>
    <w:p w:rsidR="00F4178B" w:rsidRDefault="00A35FB3" w:rsidP="00F4178B">
      <w:pPr>
        <w:ind w:firstLine="720"/>
        <w:rPr>
          <w:u w:val="single"/>
        </w:rPr>
      </w:pPr>
      <w:r w:rsidRPr="00F11271">
        <w:rPr>
          <w:u w:val="single"/>
        </w:rPr>
        <w:t>The</w:t>
      </w:r>
      <w:r>
        <w:rPr>
          <w:u w:val="single"/>
        </w:rPr>
        <w:t xml:space="preserve"> Third </w:t>
      </w:r>
      <w:r w:rsidRPr="00F11271">
        <w:rPr>
          <w:u w:val="single"/>
        </w:rPr>
        <w:t xml:space="preserve">Discipline </w:t>
      </w:r>
      <w:r>
        <w:rPr>
          <w:u w:val="single"/>
        </w:rPr>
        <w:t>– April 26, 1993 (State Bar Court Case 9</w:t>
      </w:r>
      <w:r w:rsidR="00C317BA">
        <w:rPr>
          <w:u w:val="single"/>
        </w:rPr>
        <w:t>2-H-16663</w:t>
      </w:r>
      <w:r w:rsidRPr="00F11271">
        <w:rPr>
          <w:u w:val="single"/>
        </w:rPr>
        <w:t>)</w:t>
      </w:r>
    </w:p>
    <w:p w:rsidR="00F4178B" w:rsidRDefault="00F4178B" w:rsidP="00F4178B">
      <w:pPr>
        <w:ind w:firstLine="720"/>
        <w:rPr>
          <w:u w:val="single"/>
        </w:rPr>
      </w:pPr>
    </w:p>
    <w:p w:rsidR="00A35FB3" w:rsidRDefault="00D72F90" w:rsidP="00F4178B">
      <w:pPr>
        <w:spacing w:line="480" w:lineRule="auto"/>
        <w:ind w:firstLine="720"/>
      </w:pPr>
      <w:r>
        <w:t xml:space="preserve">This discipline covers misconduct </w:t>
      </w:r>
      <w:r w:rsidR="00A04F83">
        <w:t>in 1992</w:t>
      </w:r>
      <w:r>
        <w:t xml:space="preserve">.  Phillips failed to </w:t>
      </w:r>
      <w:r w:rsidR="00EE0843">
        <w:t xml:space="preserve">timely </w:t>
      </w:r>
      <w:r w:rsidR="00A04F83">
        <w:t>file a quarterly report as required by the terms of his February 5, 199</w:t>
      </w:r>
      <w:r w:rsidR="001E311A">
        <w:t>2 reproval.  In</w:t>
      </w:r>
      <w:r>
        <w:t xml:space="preserve"> mitigation, </w:t>
      </w:r>
      <w:r w:rsidR="008A62E9">
        <w:t>he</w:t>
      </w:r>
      <w:r>
        <w:t xml:space="preserve"> </w:t>
      </w:r>
      <w:r w:rsidR="000057C1">
        <w:t>had been</w:t>
      </w:r>
      <w:r w:rsidR="001E311A">
        <w:t xml:space="preserve"> </w:t>
      </w:r>
      <w:r>
        <w:t>candid and cooperative with the State Bar and</w:t>
      </w:r>
      <w:r w:rsidR="001E311A">
        <w:t xml:space="preserve"> promptly took steps to demonstrate recognition of wrongdoing.  </w:t>
      </w:r>
      <w:r>
        <w:t xml:space="preserve">In aggravation, Phillips had a prior record of </w:t>
      </w:r>
      <w:r w:rsidR="001E311A">
        <w:t xml:space="preserve">two </w:t>
      </w:r>
      <w:r>
        <w:t>discipline</w:t>
      </w:r>
      <w:r w:rsidR="001E311A">
        <w:t>s</w:t>
      </w:r>
      <w:r>
        <w:t xml:space="preserve">.  By stipulation, the State Bar Court issued a private reproval </w:t>
      </w:r>
      <w:r w:rsidR="00A35FB3">
        <w:t xml:space="preserve">and </w:t>
      </w:r>
      <w:r w:rsidR="007D3A6E">
        <w:t xml:space="preserve">imposed </w:t>
      </w:r>
      <w:r w:rsidR="00A35FB3">
        <w:t>six m</w:t>
      </w:r>
      <w:r w:rsidR="001E311A">
        <w:t>onths</w:t>
      </w:r>
      <w:r w:rsidR="008A62E9">
        <w:t>’</w:t>
      </w:r>
      <w:r w:rsidR="001E311A">
        <w:t xml:space="preserve"> probation with conditions.</w:t>
      </w:r>
    </w:p>
    <w:p w:rsidR="00687E28" w:rsidRDefault="00687E28" w:rsidP="00F4178B">
      <w:pPr>
        <w:spacing w:line="480" w:lineRule="auto"/>
        <w:ind w:firstLine="720"/>
      </w:pPr>
    </w:p>
    <w:p w:rsidR="00687E28" w:rsidRDefault="00687E28" w:rsidP="00F4178B">
      <w:pPr>
        <w:spacing w:line="480" w:lineRule="auto"/>
        <w:ind w:firstLine="720"/>
      </w:pPr>
    </w:p>
    <w:p w:rsidR="00687E28" w:rsidRDefault="00687E28" w:rsidP="00F4178B">
      <w:pPr>
        <w:spacing w:line="480" w:lineRule="auto"/>
        <w:ind w:firstLine="720"/>
      </w:pPr>
    </w:p>
    <w:p w:rsidR="00A35FB3" w:rsidRPr="00F4178B" w:rsidRDefault="00A35FB3" w:rsidP="00F4178B">
      <w:pPr>
        <w:pStyle w:val="ListParagraph"/>
        <w:numPr>
          <w:ilvl w:val="0"/>
          <w:numId w:val="29"/>
        </w:numPr>
        <w:spacing w:line="480" w:lineRule="auto"/>
        <w:rPr>
          <w:b/>
        </w:rPr>
      </w:pPr>
      <w:r w:rsidRPr="00F4178B">
        <w:rPr>
          <w:b/>
        </w:rPr>
        <w:t>Multiple Acts of Misconduct (Std. 1.2(b)(ii))</w:t>
      </w:r>
    </w:p>
    <w:p w:rsidR="0028623B" w:rsidRDefault="00BC3FB2" w:rsidP="00BC3FB2">
      <w:pPr>
        <w:spacing w:line="480" w:lineRule="auto"/>
        <w:ind w:firstLine="720"/>
      </w:pPr>
      <w:r>
        <w:t>Phillips committed multiple acts of misconduct</w:t>
      </w:r>
      <w:r w:rsidR="00FD653D">
        <w:t xml:space="preserve"> when he</w:t>
      </w:r>
      <w:r w:rsidR="00C73CC6">
        <w:t xml:space="preserve"> collected</w:t>
      </w:r>
      <w:r w:rsidR="00FD653D">
        <w:t xml:space="preserve"> illegal fee</w:t>
      </w:r>
      <w:r w:rsidR="009A6B3A">
        <w:t>s</w:t>
      </w:r>
      <w:r w:rsidR="00FD653D">
        <w:t xml:space="preserve">, </w:t>
      </w:r>
      <w:r w:rsidR="00C73CC6">
        <w:t xml:space="preserve">misappropriated client </w:t>
      </w:r>
      <w:r w:rsidR="00FD653D">
        <w:t xml:space="preserve">funds and </w:t>
      </w:r>
      <w:r w:rsidR="00C73CC6">
        <w:t>failed</w:t>
      </w:r>
      <w:r w:rsidR="00FD653D">
        <w:t xml:space="preserve"> to obey court orders.</w:t>
      </w:r>
      <w:r>
        <w:t xml:space="preserve"> </w:t>
      </w:r>
      <w:r w:rsidR="008A62E9">
        <w:t xml:space="preserve"> </w:t>
      </w:r>
      <w:r w:rsidR="00FD653D">
        <w:t xml:space="preserve">Due to the repetitive nature of </w:t>
      </w:r>
      <w:r w:rsidR="008A62E9">
        <w:t>his</w:t>
      </w:r>
      <w:r w:rsidR="00FD653D">
        <w:t xml:space="preserve"> </w:t>
      </w:r>
      <w:r w:rsidR="008B7110">
        <w:t xml:space="preserve">20 </w:t>
      </w:r>
      <w:r w:rsidR="000057C1">
        <w:t xml:space="preserve">acts of </w:t>
      </w:r>
      <w:r w:rsidR="00FD653D">
        <w:t xml:space="preserve">misconduct, we </w:t>
      </w:r>
      <w:r>
        <w:t xml:space="preserve">assign </w:t>
      </w:r>
      <w:r w:rsidR="00C73CC6">
        <w:t>great</w:t>
      </w:r>
      <w:r w:rsidR="00FD653D">
        <w:t xml:space="preserve"> weight to this</w:t>
      </w:r>
      <w:r>
        <w:t xml:space="preserve"> aggravating </w:t>
      </w:r>
      <w:r w:rsidR="002B35C8">
        <w:t>factor</w:t>
      </w:r>
      <w:r>
        <w:t>.</w:t>
      </w:r>
    </w:p>
    <w:p w:rsidR="00BA6A3D" w:rsidRDefault="00A35FB3" w:rsidP="00BA6A3D">
      <w:pPr>
        <w:pStyle w:val="ListParagraph"/>
        <w:numPr>
          <w:ilvl w:val="0"/>
          <w:numId w:val="29"/>
        </w:numPr>
        <w:spacing w:line="480" w:lineRule="auto"/>
        <w:rPr>
          <w:b/>
        </w:rPr>
      </w:pPr>
      <w:r w:rsidRPr="00F4178B">
        <w:rPr>
          <w:b/>
        </w:rPr>
        <w:t xml:space="preserve">Significant Client Harm (Std. 1.2(b)(iv)) </w:t>
      </w:r>
    </w:p>
    <w:p w:rsidR="00F013B5" w:rsidRDefault="00BA6A3D" w:rsidP="00F013B5">
      <w:pPr>
        <w:spacing w:line="480" w:lineRule="auto"/>
        <w:ind w:firstLine="720"/>
      </w:pPr>
      <w:r>
        <w:t xml:space="preserve">Phillips’s misconduct significantly harmed his clients.  He misappropriated over $35,000 from </w:t>
      </w:r>
      <w:r w:rsidR="00925B11">
        <w:t>Hearn</w:t>
      </w:r>
      <w:r>
        <w:t xml:space="preserve"> and has not refunded the remaining $32,692.50 plus interest</w:t>
      </w:r>
      <w:r w:rsidR="00E4022C">
        <w:t>,</w:t>
      </w:r>
      <w:r>
        <w:t xml:space="preserve"> even though </w:t>
      </w:r>
      <w:r w:rsidR="002B35C8">
        <w:t xml:space="preserve">he stipulated </w:t>
      </w:r>
      <w:r w:rsidR="00C73CC6">
        <w:t xml:space="preserve">to do so </w:t>
      </w:r>
      <w:r w:rsidR="002B35C8">
        <w:t xml:space="preserve">and the </w:t>
      </w:r>
      <w:r>
        <w:t xml:space="preserve">bankruptcy court ordered him to </w:t>
      </w:r>
      <w:r w:rsidR="00E4022C">
        <w:t>make</w:t>
      </w:r>
      <w:r w:rsidR="00C73CC6">
        <w:t xml:space="preserve"> </w:t>
      </w:r>
      <w:r>
        <w:t xml:space="preserve">$500 monthly installments.  </w:t>
      </w:r>
      <w:r w:rsidR="002B35C8">
        <w:t xml:space="preserve">He also delayed paying $300 to Jackson for over three years.    </w:t>
      </w:r>
    </w:p>
    <w:p w:rsidR="00BA6A3D" w:rsidRPr="00F013B5" w:rsidRDefault="00F013B5" w:rsidP="00F013B5">
      <w:pPr>
        <w:pStyle w:val="ListParagraph"/>
        <w:numPr>
          <w:ilvl w:val="0"/>
          <w:numId w:val="29"/>
        </w:numPr>
        <w:spacing w:line="480" w:lineRule="auto"/>
        <w:rPr>
          <w:b/>
        </w:rPr>
      </w:pPr>
      <w:r>
        <w:rPr>
          <w:b/>
        </w:rPr>
        <w:t xml:space="preserve"> </w:t>
      </w:r>
      <w:r w:rsidR="00A35FB3" w:rsidRPr="00F013B5">
        <w:rPr>
          <w:b/>
        </w:rPr>
        <w:t>Indifference to Rectification (Std. 1.2(b)(v))</w:t>
      </w:r>
    </w:p>
    <w:p w:rsidR="003E2A1B" w:rsidRDefault="00BA6A3D" w:rsidP="003E2A1B">
      <w:pPr>
        <w:spacing w:line="480" w:lineRule="auto"/>
        <w:ind w:firstLine="720"/>
      </w:pPr>
      <w:r>
        <w:t xml:space="preserve">Phillips </w:t>
      </w:r>
      <w:r w:rsidR="00A242C2">
        <w:t xml:space="preserve">has </w:t>
      </w:r>
      <w:r>
        <w:t>demonstrated indifference to rectification</w:t>
      </w:r>
      <w:r w:rsidR="008A62E9">
        <w:t>,</w:t>
      </w:r>
      <w:r w:rsidR="00A242C2">
        <w:t xml:space="preserve"> which </w:t>
      </w:r>
      <w:r w:rsidR="002B35C8">
        <w:t xml:space="preserve">aggravates this case.  Phillips did not acknowledge </w:t>
      </w:r>
      <w:r w:rsidR="00C73CC6">
        <w:t xml:space="preserve">any </w:t>
      </w:r>
      <w:r w:rsidR="002B35C8">
        <w:t xml:space="preserve">misconduct in his trial testimony.  </w:t>
      </w:r>
      <w:r w:rsidR="0014132E">
        <w:t xml:space="preserve">For example, </w:t>
      </w:r>
      <w:r w:rsidR="0028623B">
        <w:t xml:space="preserve">without any persuasive evidence, he </w:t>
      </w:r>
      <w:r w:rsidR="00C30B6E">
        <w:t xml:space="preserve">blamed the bankruptcy </w:t>
      </w:r>
      <w:r w:rsidR="0028623B">
        <w:t>judges for</w:t>
      </w:r>
      <w:r w:rsidR="00C30B6E">
        <w:t xml:space="preserve"> “nitpicking” his cases and </w:t>
      </w:r>
      <w:r w:rsidR="003E2A1B">
        <w:t xml:space="preserve">refusing to appoint him in Chapter 11 cases </w:t>
      </w:r>
      <w:r w:rsidR="000057C1">
        <w:t xml:space="preserve">because they held a </w:t>
      </w:r>
      <w:r w:rsidR="003E2A1B">
        <w:t>bias against him</w:t>
      </w:r>
      <w:r w:rsidR="00E2140C">
        <w:t xml:space="preserve">.  </w:t>
      </w:r>
      <w:r w:rsidR="00457C1B">
        <w:t xml:space="preserve">Phillips’s attorney </w:t>
      </w:r>
      <w:r w:rsidR="00A242C2">
        <w:t>argued at trial</w:t>
      </w:r>
      <w:r w:rsidR="00457C1B">
        <w:t xml:space="preserve"> that “</w:t>
      </w:r>
      <w:r w:rsidR="00A242C2">
        <w:t>[t]</w:t>
      </w:r>
      <w:r w:rsidR="00457C1B">
        <w:t>he only person harmed in any of these cases has been Mr. Phil</w:t>
      </w:r>
      <w:r w:rsidR="00A242C2">
        <w:t>l</w:t>
      </w:r>
      <w:r w:rsidR="00457C1B">
        <w:t>ips, by failure to be able to a [sic] keep or retain or</w:t>
      </w:r>
      <w:r w:rsidR="00A242C2">
        <w:t xml:space="preserve"> be paid fees earned.”  </w:t>
      </w:r>
      <w:r w:rsidR="0014132E">
        <w:t>We conclude that Phillips</w:t>
      </w:r>
      <w:r w:rsidR="00C73CC6">
        <w:t>’s</w:t>
      </w:r>
      <w:r w:rsidR="0014132E">
        <w:t xml:space="preserve"> belief that </w:t>
      </w:r>
      <w:r w:rsidR="0014132E" w:rsidRPr="00C73CC6">
        <w:rPr>
          <w:i/>
        </w:rPr>
        <w:t>he</w:t>
      </w:r>
      <w:r w:rsidR="0014132E">
        <w:t xml:space="preserve"> is the victim</w:t>
      </w:r>
      <w:r w:rsidR="00C73CC6">
        <w:t xml:space="preserve"> demonstrates his lack of insight </w:t>
      </w:r>
      <w:r w:rsidR="000057C1">
        <w:t xml:space="preserve">and </w:t>
      </w:r>
      <w:r w:rsidR="00C73CC6">
        <w:t>indifference to rectification.</w:t>
      </w:r>
      <w:r w:rsidR="0014132E">
        <w:t xml:space="preserve">  </w:t>
      </w:r>
    </w:p>
    <w:p w:rsidR="00A35FB3" w:rsidRPr="00457C1B" w:rsidRDefault="00EB3400" w:rsidP="00EE0843">
      <w:pPr>
        <w:spacing w:line="480" w:lineRule="auto"/>
        <w:jc w:val="center"/>
        <w:rPr>
          <w:b/>
        </w:rPr>
      </w:pPr>
      <w:r>
        <w:rPr>
          <w:b/>
        </w:rPr>
        <w:t>IX</w:t>
      </w:r>
      <w:r w:rsidR="00A35FB3" w:rsidRPr="00457C1B">
        <w:rPr>
          <w:rStyle w:val="apple-converted-space"/>
          <w:b/>
          <w:color w:val="000000"/>
        </w:rPr>
        <w:t>.</w:t>
      </w:r>
      <w:r>
        <w:rPr>
          <w:rStyle w:val="apple-converted-space"/>
          <w:b/>
          <w:color w:val="000000"/>
        </w:rPr>
        <w:t xml:space="preserve"> </w:t>
      </w:r>
      <w:r w:rsidR="00A35FB3" w:rsidRPr="00457C1B">
        <w:rPr>
          <w:rStyle w:val="apple-converted-space"/>
          <w:b/>
          <w:color w:val="000000"/>
        </w:rPr>
        <w:t xml:space="preserve"> </w:t>
      </w:r>
      <w:r w:rsidR="0014132E">
        <w:rPr>
          <w:rStyle w:val="apple-converted-space"/>
          <w:b/>
          <w:color w:val="000000"/>
        </w:rPr>
        <w:t xml:space="preserve">LEVEL OF </w:t>
      </w:r>
      <w:r w:rsidR="00A35FB3" w:rsidRPr="00457C1B">
        <w:rPr>
          <w:rStyle w:val="apple-converted-space"/>
          <w:b/>
          <w:color w:val="000000"/>
        </w:rPr>
        <w:t xml:space="preserve">DISCIPLINE </w:t>
      </w:r>
    </w:p>
    <w:p w:rsidR="00A35FB3" w:rsidRDefault="00A35FB3" w:rsidP="00543E70">
      <w:pPr>
        <w:pStyle w:val="Default"/>
        <w:spacing w:line="480" w:lineRule="auto"/>
        <w:ind w:firstLine="720"/>
      </w:pPr>
      <w:r>
        <w:t>The purpose of attorney discipline is not to punish the attorney, but to protect the public, the courts and the legal profession.  (Std. 1.3.)  No fixed formula exists for determining the appropriate level of discipline.  (</w:t>
      </w:r>
      <w:r>
        <w:rPr>
          <w:i/>
          <w:iCs/>
        </w:rPr>
        <w:t>In the Matter of Brimberry</w:t>
      </w:r>
      <w:r>
        <w:t xml:space="preserve"> (Review Dept. 1995) 3 Cal. State Bar Ct. Rptr. 390, 403.)  Ultimately, we </w:t>
      </w:r>
      <w:r w:rsidR="009E4C75">
        <w:t>“</w:t>
      </w:r>
      <w:r>
        <w:t>balance all relevant factors, including mitigating and aggravating circumstances, on a case-by-case basis</w:t>
      </w:r>
      <w:r w:rsidR="009E4C75">
        <w:t>”</w:t>
      </w:r>
      <w:r>
        <w:t xml:space="preserve"> to ensure that the discipline imposed is consistent with its purpose.  (</w:t>
      </w:r>
      <w:r>
        <w:rPr>
          <w:i/>
          <w:iCs/>
        </w:rPr>
        <w:t xml:space="preserve">In re Young </w:t>
      </w:r>
      <w:r>
        <w:t xml:space="preserve">(1989) 49 Cal.3d 257, 266.) </w:t>
      </w:r>
    </w:p>
    <w:p w:rsidR="00433D09" w:rsidRDefault="00A35FB3" w:rsidP="00543E70">
      <w:pPr>
        <w:pStyle w:val="Default"/>
        <w:spacing w:line="480" w:lineRule="auto"/>
      </w:pPr>
      <w:r>
        <w:tab/>
        <w:t>Our analysis begins with the standards.  While we recognize that they are not binding on us in every case, the Supreme Court has instructed us to follow them “whenever possible.”  (</w:t>
      </w:r>
      <w:r>
        <w:rPr>
          <w:i/>
          <w:iCs/>
        </w:rPr>
        <w:t xml:space="preserve">In re Young, supra, </w:t>
      </w:r>
      <w:r>
        <w:t>49 Cal.3d at p. 267, fn. 11.)  In fact, the standards should be given great weight to promote “the consistent and uniform application of disciplinary measures.”  (</w:t>
      </w:r>
      <w:r>
        <w:rPr>
          <w:i/>
          <w:iCs/>
        </w:rPr>
        <w:t xml:space="preserve">In re Silverton </w:t>
      </w:r>
      <w:r>
        <w:t xml:space="preserve">(2005) 36 Cal.4th 81, 91.)   </w:t>
      </w:r>
    </w:p>
    <w:p w:rsidR="00EF774C" w:rsidRDefault="00A35FB3" w:rsidP="00543E70">
      <w:pPr>
        <w:pStyle w:val="Default"/>
        <w:spacing w:line="480" w:lineRule="auto"/>
        <w:ind w:firstLine="720"/>
      </w:pPr>
      <w:r>
        <w:t>When multiple acts of misconduct call for different sanctions, standard 1.6(a) directs that the most se</w:t>
      </w:r>
      <w:r w:rsidR="00837E01">
        <w:t>vere sanction must apply.  Here</w:t>
      </w:r>
      <w:r>
        <w:t xml:space="preserve"> </w:t>
      </w:r>
      <w:r w:rsidR="0014132E">
        <w:t xml:space="preserve">that </w:t>
      </w:r>
      <w:r>
        <w:t>sanction is disbarment</w:t>
      </w:r>
      <w:r w:rsidR="00022EB9">
        <w:t>,</w:t>
      </w:r>
      <w:r>
        <w:t xml:space="preserve"> </w:t>
      </w:r>
      <w:r w:rsidR="0014132E">
        <w:t xml:space="preserve">which is </w:t>
      </w:r>
      <w:r>
        <w:t>found in two applicab</w:t>
      </w:r>
      <w:r w:rsidR="00A242C2">
        <w:t xml:space="preserve">le standards.  </w:t>
      </w:r>
      <w:r w:rsidR="0026585C">
        <w:t>Standard 1.7(b) provides for disbarment when an attorney has a record of two prior discipline</w:t>
      </w:r>
      <w:r w:rsidR="009E4C75">
        <w:t xml:space="preserve"> record</w:t>
      </w:r>
      <w:r w:rsidR="0026585C">
        <w:t>s “unless the most compelling mitigating circumstances clearly predominate.”  However</w:t>
      </w:r>
      <w:r w:rsidR="00E251DB">
        <w:t>,</w:t>
      </w:r>
      <w:r w:rsidR="00F013B5">
        <w:t xml:space="preserve"> because</w:t>
      </w:r>
      <w:r w:rsidR="0026585C">
        <w:t xml:space="preserve"> Phillips’s prior discipline</w:t>
      </w:r>
      <w:r w:rsidR="009E4C75">
        <w:t xml:space="preserve"> records</w:t>
      </w:r>
      <w:r w:rsidR="0026585C">
        <w:t xml:space="preserve"> involve three reprovals </w:t>
      </w:r>
      <w:r w:rsidR="00C73CC6">
        <w:t xml:space="preserve">and probation </w:t>
      </w:r>
      <w:r w:rsidR="0026585C">
        <w:t>from 20 years ago</w:t>
      </w:r>
      <w:r w:rsidR="009A6B3A">
        <w:t>, we believe</w:t>
      </w:r>
      <w:r w:rsidR="0014132E">
        <w:t xml:space="preserve"> </w:t>
      </w:r>
      <w:r w:rsidR="0026585C">
        <w:t>s</w:t>
      </w:r>
      <w:r w:rsidR="00A242C2">
        <w:t xml:space="preserve">tandard 2.2(a) </w:t>
      </w:r>
      <w:r w:rsidR="0026585C">
        <w:t xml:space="preserve">is </w:t>
      </w:r>
      <w:r w:rsidR="0014132E">
        <w:t xml:space="preserve">more apt </w:t>
      </w:r>
      <w:r w:rsidR="00E251DB">
        <w:t>a</w:t>
      </w:r>
      <w:r w:rsidR="009A6B3A">
        <w:t>s it</w:t>
      </w:r>
      <w:r w:rsidR="00E251DB">
        <w:t xml:space="preserve"> also </w:t>
      </w:r>
      <w:r w:rsidR="0014132E">
        <w:t xml:space="preserve">calls for </w:t>
      </w:r>
      <w:r>
        <w:t>disbarment for misappropriation unless the amount taken is insignificant or “the most compelling mitigation circumstances clearly predominate.</w:t>
      </w:r>
      <w:r w:rsidR="008A62E9">
        <w:t>”</w:t>
      </w:r>
      <w:r>
        <w:t xml:space="preserve">  </w:t>
      </w:r>
      <w:r w:rsidR="0026585C">
        <w:t xml:space="preserve">  </w:t>
      </w:r>
    </w:p>
    <w:p w:rsidR="00501F3E" w:rsidRDefault="0026585C" w:rsidP="00543E70">
      <w:pPr>
        <w:pStyle w:val="Default"/>
        <w:spacing w:line="480" w:lineRule="auto"/>
        <w:ind w:firstLine="720"/>
      </w:pPr>
      <w:r>
        <w:t>Applying standard</w:t>
      </w:r>
      <w:r w:rsidR="0014132E">
        <w:t xml:space="preserve"> 2.2(a)</w:t>
      </w:r>
      <w:r>
        <w:t xml:space="preserve">, we conclude that </w:t>
      </w:r>
      <w:r w:rsidR="00D362A6">
        <w:t>Phillips should be disbarred</w:t>
      </w:r>
      <w:r w:rsidR="00022EB9">
        <w:t>.  He</w:t>
      </w:r>
      <w:r w:rsidR="00A35FB3">
        <w:t xml:space="preserve"> </w:t>
      </w:r>
      <w:r w:rsidR="00F067EB">
        <w:t xml:space="preserve">misappropriated </w:t>
      </w:r>
      <w:r w:rsidR="00EF774C">
        <w:t>over $30,000 in client funds</w:t>
      </w:r>
      <w:r w:rsidR="00E251DB">
        <w:t xml:space="preserve"> from</w:t>
      </w:r>
      <w:r w:rsidR="0068093C">
        <w:t xml:space="preserve"> </w:t>
      </w:r>
      <w:r w:rsidR="00925B11">
        <w:t>Hearn</w:t>
      </w:r>
      <w:r w:rsidR="0068093C">
        <w:t>’s escrow fund</w:t>
      </w:r>
      <w:r w:rsidR="00EF774C">
        <w:t>.  (</w:t>
      </w:r>
      <w:r w:rsidR="00EF774C">
        <w:rPr>
          <w:i/>
        </w:rPr>
        <w:t xml:space="preserve">Lawhorn v. State Bar </w:t>
      </w:r>
      <w:r w:rsidR="00EF774C">
        <w:t xml:space="preserve">(1987) 43 Cal.3d 1357, 1367-1368 [misappropriation of $1,355.75 considered significant].)  </w:t>
      </w:r>
      <w:r w:rsidR="00C73CC6">
        <w:t>And he</w:t>
      </w:r>
      <w:r w:rsidR="00EF774C">
        <w:t xml:space="preserve"> failed to establish compelling mitigation that clearly predominates</w:t>
      </w:r>
      <w:r w:rsidR="0068093C">
        <w:t xml:space="preserve"> to avoid disbarment</w:t>
      </w:r>
      <w:r w:rsidR="00EF774C">
        <w:t xml:space="preserve">. </w:t>
      </w:r>
      <w:r w:rsidR="0014132E">
        <w:t xml:space="preserve"> In fact, he presented no mitigation in the face of </w:t>
      </w:r>
      <w:r w:rsidR="00C73CC6">
        <w:t>four aggravating factors</w:t>
      </w:r>
      <w:r w:rsidR="0014132E">
        <w:t xml:space="preserve">.  </w:t>
      </w:r>
      <w:r w:rsidR="000057C1">
        <w:t>Here,</w:t>
      </w:r>
      <w:r w:rsidR="00837E01">
        <w:t xml:space="preserve"> the standard </w:t>
      </w:r>
      <w:r w:rsidR="00C73CC6">
        <w:t xml:space="preserve">properly </w:t>
      </w:r>
      <w:r w:rsidR="00837E01">
        <w:t>calls for his disbarment.</w:t>
      </w:r>
    </w:p>
    <w:p w:rsidR="00F067EB" w:rsidRDefault="00501F3E" w:rsidP="00501F3E">
      <w:pPr>
        <w:pStyle w:val="Header"/>
        <w:tabs>
          <w:tab w:val="left" w:pos="720"/>
        </w:tabs>
        <w:spacing w:line="480" w:lineRule="auto"/>
      </w:pPr>
      <w:r>
        <w:tab/>
        <w:t xml:space="preserve">In addition to the standards, </w:t>
      </w:r>
      <w:r w:rsidR="00837E01">
        <w:t xml:space="preserve">however, we look </w:t>
      </w:r>
      <w:r>
        <w:t>to decisional law for guidance.  (</w:t>
      </w:r>
      <w:r>
        <w:rPr>
          <w:i/>
        </w:rPr>
        <w:t>Snyder v. State Bar</w:t>
      </w:r>
      <w:r>
        <w:t xml:space="preserve"> (1990) 49 Cal.3d 1302, 1310-1311; </w:t>
      </w:r>
      <w:r>
        <w:rPr>
          <w:i/>
        </w:rPr>
        <w:t>In the Matter of Taylor</w:t>
      </w:r>
      <w:r>
        <w:t xml:space="preserve"> (Review Dept. 1991) 1 Cal. State Bar Ct. Rptr. 563, 580.)  We find that</w:t>
      </w:r>
      <w:r w:rsidR="0068093C">
        <w:t xml:space="preserve"> </w:t>
      </w:r>
      <w:r w:rsidR="00EF774C">
        <w:t xml:space="preserve">Phillips’s misappropriation </w:t>
      </w:r>
      <w:r w:rsidR="0026585C">
        <w:t xml:space="preserve">falls well </w:t>
      </w:r>
      <w:r w:rsidR="00EF774C">
        <w:t>within</w:t>
      </w:r>
      <w:r w:rsidR="00D362A6">
        <w:t xml:space="preserve"> </w:t>
      </w:r>
      <w:r w:rsidR="00EF774C">
        <w:t xml:space="preserve">the </w:t>
      </w:r>
      <w:r w:rsidR="00D362A6">
        <w:t>parameters</w:t>
      </w:r>
      <w:r w:rsidR="00EF774C">
        <w:t xml:space="preserve"> </w:t>
      </w:r>
      <w:r>
        <w:t xml:space="preserve">of case law </w:t>
      </w:r>
      <w:r w:rsidR="00EF774C">
        <w:t>warranting disbarment under standard 2.2(a).  (</w:t>
      </w:r>
      <w:r>
        <w:t>See</w:t>
      </w:r>
      <w:r w:rsidR="008E7875">
        <w:t>,</w:t>
      </w:r>
      <w:r>
        <w:t xml:space="preserve"> e.g., </w:t>
      </w:r>
      <w:r w:rsidR="00EF774C" w:rsidRPr="00D362A6">
        <w:rPr>
          <w:i/>
        </w:rPr>
        <w:t>Kaplan v. S</w:t>
      </w:r>
      <w:r w:rsidR="00D362A6" w:rsidRPr="00D362A6">
        <w:rPr>
          <w:i/>
        </w:rPr>
        <w:t>t</w:t>
      </w:r>
      <w:r w:rsidR="00EF774C" w:rsidRPr="00D362A6">
        <w:rPr>
          <w:i/>
        </w:rPr>
        <w:t>ate Bar</w:t>
      </w:r>
      <w:r w:rsidR="00EF774C">
        <w:t xml:space="preserve"> (1991) 52 Cal.3d 1067 [</w:t>
      </w:r>
      <w:r w:rsidR="00D362A6">
        <w:t xml:space="preserve">disbarment where </w:t>
      </w:r>
      <w:r w:rsidR="00EF774C">
        <w:t xml:space="preserve">attorney </w:t>
      </w:r>
      <w:r w:rsidR="00D362A6">
        <w:t xml:space="preserve">with 10 years of discipline-free practice </w:t>
      </w:r>
      <w:r w:rsidR="00EF774C">
        <w:t>misappropriated $29,000 from law firm and lied about it</w:t>
      </w:r>
      <w:r w:rsidR="00D362A6">
        <w:t xml:space="preserve">]; </w:t>
      </w:r>
      <w:r w:rsidR="00D362A6" w:rsidRPr="00D362A6">
        <w:rPr>
          <w:i/>
        </w:rPr>
        <w:t>Weber v. State Bar</w:t>
      </w:r>
      <w:r w:rsidR="00D362A6">
        <w:t xml:space="preserve"> (1988) 47 Cal</w:t>
      </w:r>
      <w:r w:rsidR="009E4C75">
        <w:t>.</w:t>
      </w:r>
      <w:r w:rsidR="00D362A6">
        <w:t xml:space="preserve">3d 492 [disbarment where attorney with 13 years of discipline-free practice misappropriated over $24,000 and attempted to conceal theft, displayed contempt for State Bar Proceeding and lack of remorse]; </w:t>
      </w:r>
      <w:r w:rsidR="00D362A6" w:rsidRPr="00D362A6">
        <w:rPr>
          <w:i/>
        </w:rPr>
        <w:t>In the Matter of Spaith</w:t>
      </w:r>
      <w:r w:rsidR="00D362A6">
        <w:t xml:space="preserve"> (Review Dept</w:t>
      </w:r>
      <w:r w:rsidR="009E4C75">
        <w:t>.</w:t>
      </w:r>
      <w:r w:rsidR="00D362A6">
        <w:t xml:space="preserve"> 1996) 3 Cal .State Bar Ct. Rptr. 511 [disbarment where attorney with 15 years of discipline-free practice misappropriated $40,000].)</w:t>
      </w:r>
      <w:r w:rsidR="00A242C2">
        <w:t xml:space="preserve">.  </w:t>
      </w:r>
    </w:p>
    <w:p w:rsidR="0028623B" w:rsidRDefault="00F013B5" w:rsidP="0014132E">
      <w:pPr>
        <w:spacing w:line="480" w:lineRule="auto"/>
        <w:ind w:firstLine="720"/>
        <w:rPr>
          <w:b/>
          <w:bCs/>
        </w:rPr>
      </w:pPr>
      <w:r>
        <w:t xml:space="preserve">Overall, </w:t>
      </w:r>
      <w:r w:rsidR="004A5162">
        <w:t xml:space="preserve">Phillips </w:t>
      </w:r>
      <w:r w:rsidR="00A35FB3">
        <w:t xml:space="preserve">has engaged in serious misconduct </w:t>
      </w:r>
      <w:r w:rsidR="00A242C2">
        <w:t xml:space="preserve">for </w:t>
      </w:r>
      <w:r w:rsidR="00A35FB3">
        <w:t xml:space="preserve">over </w:t>
      </w:r>
      <w:r w:rsidR="0035585D">
        <w:t>12</w:t>
      </w:r>
      <w:r w:rsidR="00A25503">
        <w:t xml:space="preserve"> years</w:t>
      </w:r>
      <w:r w:rsidR="00A35FB3">
        <w:t xml:space="preserve">. </w:t>
      </w:r>
      <w:r w:rsidR="004A5162">
        <w:t xml:space="preserve"> </w:t>
      </w:r>
      <w:r>
        <w:t>He</w:t>
      </w:r>
      <w:r w:rsidR="00D362A6">
        <w:t xml:space="preserve"> willfully violated court orders</w:t>
      </w:r>
      <w:r w:rsidR="00C30B6E">
        <w:t xml:space="preserve">, </w:t>
      </w:r>
      <w:r w:rsidR="008E7875">
        <w:t>misconduct</w:t>
      </w:r>
      <w:r w:rsidR="00C30B6E">
        <w:t xml:space="preserve"> about which </w:t>
      </w:r>
      <w:r w:rsidR="00D362A6">
        <w:t xml:space="preserve">the </w:t>
      </w:r>
      <w:r w:rsidR="00C30B6E">
        <w:t>Supreme Court</w:t>
      </w:r>
      <w:r w:rsidR="00D362A6">
        <w:t xml:space="preserve"> </w:t>
      </w:r>
      <w:r w:rsidR="00C30B6E">
        <w:t xml:space="preserve">has voiced </w:t>
      </w:r>
      <w:r w:rsidR="00D362A6">
        <w:t>great concern:  “</w:t>
      </w:r>
      <w:r w:rsidR="00C30B6E">
        <w:t>O</w:t>
      </w:r>
      <w:r w:rsidR="00D362A6">
        <w:t>ther than outright deceit, it</w:t>
      </w:r>
      <w:r w:rsidR="0068093C">
        <w:t xml:space="preserve"> </w:t>
      </w:r>
      <w:r w:rsidR="00D362A6">
        <w:t xml:space="preserve">is difficult to imagine </w:t>
      </w:r>
      <w:r w:rsidR="00C30B6E">
        <w:t>conduct</w:t>
      </w:r>
      <w:r w:rsidR="00D362A6">
        <w:t xml:space="preserve"> in the course of legal representation </w:t>
      </w:r>
      <w:r>
        <w:t xml:space="preserve">[violating a court order] </w:t>
      </w:r>
      <w:r w:rsidR="00D362A6">
        <w:t xml:space="preserve">more </w:t>
      </w:r>
      <w:r w:rsidR="00C30B6E">
        <w:t>unbefitting an</w:t>
      </w:r>
      <w:r w:rsidR="00D362A6">
        <w:t xml:space="preserve"> attorney.” (</w:t>
      </w:r>
      <w:r w:rsidR="00D362A6" w:rsidRPr="009127EF">
        <w:rPr>
          <w:i/>
        </w:rPr>
        <w:t>Barnum v. State Bar</w:t>
      </w:r>
      <w:r w:rsidR="009E4C75">
        <w:rPr>
          <w:i/>
        </w:rPr>
        <w:t xml:space="preserve"> </w:t>
      </w:r>
      <w:r w:rsidR="009E4C75">
        <w:t>(1990)</w:t>
      </w:r>
      <w:r w:rsidR="00D362A6">
        <w:t xml:space="preserve"> 52 Cal.3d </w:t>
      </w:r>
      <w:r w:rsidR="009E4C75">
        <w:t xml:space="preserve">104, </w:t>
      </w:r>
      <w:r w:rsidR="00C30B6E">
        <w:t>112.</w:t>
      </w:r>
      <w:r w:rsidR="00D362A6">
        <w:t xml:space="preserve">) </w:t>
      </w:r>
      <w:r w:rsidR="00C30B6E">
        <w:t xml:space="preserve"> </w:t>
      </w:r>
      <w:r w:rsidR="0068093C">
        <w:t xml:space="preserve">And </w:t>
      </w:r>
      <w:r w:rsidR="00EF0D9F">
        <w:t>considering</w:t>
      </w:r>
      <w:r w:rsidR="00C30B6E">
        <w:t xml:space="preserve"> his prior disciplines and the bankruptcy court’s warning, Phillips </w:t>
      </w:r>
      <w:r w:rsidR="00A242C2">
        <w:t>had many opportunities</w:t>
      </w:r>
      <w:r w:rsidR="00A35FB3">
        <w:t xml:space="preserve"> to reform his behavior to the ethical demands of the profession</w:t>
      </w:r>
      <w:r w:rsidR="00A242C2">
        <w:t>.  Yet, his continued</w:t>
      </w:r>
      <w:r w:rsidR="004A5162">
        <w:t xml:space="preserve"> misconduct and </w:t>
      </w:r>
      <w:r w:rsidR="00A242C2">
        <w:t xml:space="preserve">failure to </w:t>
      </w:r>
      <w:r w:rsidR="00EF774C">
        <w:t>obey court orders</w:t>
      </w:r>
      <w:r w:rsidR="00A35FB3">
        <w:t xml:space="preserve"> “sadly indicate</w:t>
      </w:r>
      <w:r w:rsidR="002E77BA">
        <w:t>[ ]</w:t>
      </w:r>
      <w:r w:rsidR="00A35FB3">
        <w:t xml:space="preserve"> either his unwillingness or inability to do so.”  </w:t>
      </w:r>
      <w:r w:rsidR="00EF774C">
        <w:t>(</w:t>
      </w:r>
      <w:r w:rsidR="00EF774C">
        <w:rPr>
          <w:i/>
          <w:iCs/>
        </w:rPr>
        <w:t>Arden v. State Bar</w:t>
      </w:r>
      <w:r w:rsidR="00EF774C">
        <w:t xml:space="preserve"> (1987) 43 Cal.3d 713, 728 [</w:t>
      </w:r>
      <w:r w:rsidR="002C326A">
        <w:t>disbarment for prior records of disc</w:t>
      </w:r>
      <w:r w:rsidR="00EF0D9F">
        <w:t>i</w:t>
      </w:r>
      <w:r w:rsidR="002C326A">
        <w:t>pline</w:t>
      </w:r>
      <w:r w:rsidR="00EF774C">
        <w:t>].)</w:t>
      </w:r>
      <w:r w:rsidR="00C30B6E">
        <w:t xml:space="preserve">  </w:t>
      </w:r>
      <w:r>
        <w:t>We</w:t>
      </w:r>
      <w:r w:rsidR="002C326A">
        <w:t xml:space="preserve"> conclude that given Phillips’s</w:t>
      </w:r>
      <w:r w:rsidR="005E41C4">
        <w:t xml:space="preserve"> </w:t>
      </w:r>
      <w:r w:rsidR="002C326A">
        <w:t>discipline record</w:t>
      </w:r>
      <w:r w:rsidR="00837E01">
        <w:t xml:space="preserve"> and his repeated disregard for the bankruptcy court’s orders</w:t>
      </w:r>
      <w:r w:rsidR="002C326A">
        <w:t>,</w:t>
      </w:r>
      <w:r w:rsidR="00837E01">
        <w:t xml:space="preserve"> imposing a suspension and a probationary period </w:t>
      </w:r>
      <w:r w:rsidR="002C326A">
        <w:t>will not adequately protect the public and the legal profession.</w:t>
      </w:r>
      <w:r w:rsidR="005E41C4">
        <w:t xml:space="preserve">  </w:t>
      </w:r>
      <w:r w:rsidR="00C30B6E">
        <w:t>(</w:t>
      </w:r>
      <w:r w:rsidR="002C326A" w:rsidRPr="00EF0D9F">
        <w:rPr>
          <w:i/>
        </w:rPr>
        <w:t>I</w:t>
      </w:r>
      <w:r w:rsidR="00135C95">
        <w:rPr>
          <w:i/>
        </w:rPr>
        <w:t>bi</w:t>
      </w:r>
      <w:r w:rsidR="002C326A" w:rsidRPr="00EF0D9F">
        <w:rPr>
          <w:i/>
        </w:rPr>
        <w:t>d</w:t>
      </w:r>
      <w:r w:rsidR="002C326A">
        <w:t xml:space="preserve">.; </w:t>
      </w:r>
      <w:r w:rsidR="00C30B6E">
        <w:rPr>
          <w:i/>
          <w:iCs/>
        </w:rPr>
        <w:t xml:space="preserve">In the Matter of Rose </w:t>
      </w:r>
      <w:r w:rsidR="00C30B6E">
        <w:t xml:space="preserve">(Review Dept. 1997) 3 Cal. State Bar Ct. Rptr. 646 [attorney disbarred where prior discipline coupled with probation did not rehabilitate attorney].)  </w:t>
      </w:r>
    </w:p>
    <w:p w:rsidR="00A35FB3" w:rsidRDefault="00A35FB3" w:rsidP="00EB3400">
      <w:pPr>
        <w:spacing w:line="480" w:lineRule="auto"/>
        <w:jc w:val="center"/>
        <w:rPr>
          <w:b/>
          <w:bCs/>
        </w:rPr>
      </w:pPr>
      <w:r>
        <w:rPr>
          <w:b/>
          <w:bCs/>
        </w:rPr>
        <w:t>X.  RECOMMENDATION</w:t>
      </w:r>
    </w:p>
    <w:p w:rsidR="004B0D63" w:rsidRDefault="00A35FB3" w:rsidP="00F3175E">
      <w:pPr>
        <w:spacing w:line="480" w:lineRule="auto"/>
        <w:ind w:firstLine="720"/>
      </w:pPr>
      <w:r>
        <w:t>We recommend that Willie Ed Phillips, bar number 56009, be disbarred from the practice of law in California and that</w:t>
      </w:r>
      <w:r w:rsidR="009510C2">
        <w:t xml:space="preserve"> his</w:t>
      </w:r>
      <w:r>
        <w:t xml:space="preserve"> name be stricken from the roll of attorneys.</w:t>
      </w:r>
    </w:p>
    <w:p w:rsidR="004B0D63" w:rsidRPr="00DF7AFA" w:rsidRDefault="00DF7AFA" w:rsidP="00DF7AFA">
      <w:pPr>
        <w:spacing w:line="480" w:lineRule="auto"/>
        <w:jc w:val="center"/>
        <w:rPr>
          <w:b/>
        </w:rPr>
      </w:pPr>
      <w:r>
        <w:rPr>
          <w:b/>
        </w:rPr>
        <w:t>XI.  RESTITUTION</w:t>
      </w:r>
    </w:p>
    <w:p w:rsidR="00F21475" w:rsidRPr="00F21475" w:rsidRDefault="00F21475" w:rsidP="00F21475">
      <w:pPr>
        <w:spacing w:line="480" w:lineRule="auto"/>
        <w:contextualSpacing/>
      </w:pPr>
      <w:r>
        <w:tab/>
      </w:r>
      <w:r w:rsidRPr="00F21475">
        <w:t xml:space="preserve">Within 30 days of the effective date of the discipline herein, </w:t>
      </w:r>
      <w:r>
        <w:t>Phillips</w:t>
      </w:r>
      <w:r w:rsidRPr="00F21475">
        <w:t xml:space="preserve"> must make restitution to </w:t>
      </w:r>
      <w:r>
        <w:t>William Hearn</w:t>
      </w:r>
      <w:r w:rsidRPr="00F21475">
        <w:t xml:space="preserve"> in the amount of $</w:t>
      </w:r>
      <w:r>
        <w:t>3</w:t>
      </w:r>
      <w:r w:rsidRPr="00F21475">
        <w:t>2,</w:t>
      </w:r>
      <w:r>
        <w:t>692.50</w:t>
      </w:r>
      <w:r w:rsidRPr="00F21475">
        <w:t xml:space="preserve">, plus 10 per cent per annum from </w:t>
      </w:r>
      <w:r>
        <w:t>the date of his last installment payment</w:t>
      </w:r>
      <w:r w:rsidRPr="00F21475">
        <w:t xml:space="preserve"> (or reimburse the Client Security Fund to the extent of any payment from the F</w:t>
      </w:r>
      <w:r>
        <w:t>und to Hearn</w:t>
      </w:r>
      <w:r w:rsidRPr="00F21475">
        <w:t>, in accordance with Business and Professions Code,</w:t>
      </w:r>
      <w:r>
        <w:t xml:space="preserve">        </w:t>
      </w:r>
      <w:r w:rsidRPr="00F21475">
        <w:t xml:space="preserve"> section 6140.5) and must provide satisfactory proof to the State Bar.</w:t>
      </w:r>
    </w:p>
    <w:p w:rsidR="0014132E" w:rsidRPr="0014132E" w:rsidRDefault="0014132E" w:rsidP="0014132E">
      <w:pPr>
        <w:spacing w:line="480" w:lineRule="auto"/>
        <w:jc w:val="center"/>
        <w:rPr>
          <w:b/>
          <w:bCs/>
        </w:rPr>
      </w:pPr>
      <w:r w:rsidRPr="0014132E">
        <w:rPr>
          <w:b/>
          <w:bCs/>
        </w:rPr>
        <w:t>X</w:t>
      </w:r>
      <w:r w:rsidR="00DF7AFA">
        <w:rPr>
          <w:b/>
          <w:bCs/>
        </w:rPr>
        <w:t>I</w:t>
      </w:r>
      <w:r w:rsidRPr="0014132E">
        <w:rPr>
          <w:b/>
          <w:bCs/>
        </w:rPr>
        <w:t>I.  RULE 9.20</w:t>
      </w:r>
    </w:p>
    <w:p w:rsidR="00433D09" w:rsidRDefault="00A35FB3" w:rsidP="00F3175E">
      <w:pPr>
        <w:spacing w:line="480" w:lineRule="auto"/>
        <w:ind w:firstLine="720"/>
      </w:pPr>
      <w:r>
        <w:t xml:space="preserve">We </w:t>
      </w:r>
      <w:r w:rsidR="00D46F6F">
        <w:t>further</w:t>
      </w:r>
      <w:r>
        <w:t xml:space="preserve"> recommend that </w:t>
      </w:r>
      <w:r w:rsidR="00C73CC6">
        <w:t xml:space="preserve">Phillips </w:t>
      </w:r>
      <w:r>
        <w:t>be required to comply with the provisions of rule 9.20 of the California Rules of Court and to perform the acts specified in subdivision (a) and (c) of that rule within 30 and 40 calendar days, respectively, after the effective date of the Supreme Court’s order in this case.</w:t>
      </w:r>
    </w:p>
    <w:p w:rsidR="0014132E" w:rsidRPr="0014132E" w:rsidRDefault="0014132E" w:rsidP="0014132E">
      <w:pPr>
        <w:spacing w:line="480" w:lineRule="auto"/>
        <w:jc w:val="center"/>
        <w:rPr>
          <w:b/>
          <w:bCs/>
        </w:rPr>
      </w:pPr>
      <w:r w:rsidRPr="0014132E">
        <w:rPr>
          <w:b/>
          <w:bCs/>
        </w:rPr>
        <w:t>XII</w:t>
      </w:r>
      <w:r w:rsidR="00DF7AFA">
        <w:rPr>
          <w:b/>
          <w:bCs/>
        </w:rPr>
        <w:t>I</w:t>
      </w:r>
      <w:r w:rsidRPr="0014132E">
        <w:rPr>
          <w:b/>
          <w:bCs/>
        </w:rPr>
        <w:t>.  COSTS</w:t>
      </w:r>
    </w:p>
    <w:p w:rsidR="00A35FB3" w:rsidRDefault="00A35FB3" w:rsidP="005E41C4">
      <w:pPr>
        <w:spacing w:line="480" w:lineRule="auto"/>
        <w:ind w:firstLine="720"/>
        <w:rPr>
          <w:b/>
          <w:bCs/>
        </w:rPr>
      </w:pPr>
      <w:r>
        <w:t>We further recommend that costs be awarded to the State Bar pursuant to Business and Professions Code section 6086.10 and that such costs are enforceable both as provided in Business and Professions Code section 6140.7 and as a money judgment.</w:t>
      </w:r>
      <w:r w:rsidR="005E41C4">
        <w:rPr>
          <w:b/>
          <w:bCs/>
        </w:rPr>
        <w:t xml:space="preserve"> </w:t>
      </w:r>
    </w:p>
    <w:p w:rsidR="00A35FB3" w:rsidRDefault="00DF7AFA" w:rsidP="00EB3400">
      <w:pPr>
        <w:jc w:val="center"/>
        <w:rPr>
          <w:b/>
          <w:bCs/>
        </w:rPr>
      </w:pPr>
      <w:r>
        <w:rPr>
          <w:b/>
          <w:bCs/>
        </w:rPr>
        <w:t>I</w:t>
      </w:r>
      <w:r w:rsidR="00A35FB3" w:rsidRPr="00C30B6E">
        <w:rPr>
          <w:b/>
          <w:bCs/>
        </w:rPr>
        <w:t>X.  ORDER OF INACTIVE ENROLLMENT</w:t>
      </w:r>
    </w:p>
    <w:p w:rsidR="00A35FB3" w:rsidRDefault="00A35FB3" w:rsidP="00543E70">
      <w:pPr>
        <w:ind w:firstLine="720"/>
        <w:jc w:val="center"/>
        <w:rPr>
          <w:b/>
          <w:bCs/>
        </w:rPr>
      </w:pPr>
    </w:p>
    <w:p w:rsidR="00A35FB3" w:rsidRDefault="00A35FB3" w:rsidP="00A2326A">
      <w:pPr>
        <w:spacing w:line="480" w:lineRule="auto"/>
        <w:ind w:firstLine="720"/>
      </w:pPr>
      <w:r>
        <w:t xml:space="preserve">Because the hearing judge recommended disbarment, </w:t>
      </w:r>
      <w:r w:rsidR="00135C95">
        <w:t>s</w:t>
      </w:r>
      <w:r>
        <w:t xml:space="preserve">he properly ordered that Phillips be involuntarily enrolled as an inactive member of the State Bar as required by section 6007, subdivision (c)(4), and </w:t>
      </w:r>
      <w:r w:rsidR="009E4C75">
        <w:t xml:space="preserve">rule 220(c) of the </w:t>
      </w:r>
      <w:r>
        <w:t>Rules of Procedure of the State Bar.  The hearing judge’s order of involuntary inactive enrollme</w:t>
      </w:r>
      <w:r w:rsidR="00C317BA">
        <w:t xml:space="preserve">nt became effective on </w:t>
      </w:r>
      <w:r w:rsidR="00C317BA" w:rsidRPr="00C30B6E">
        <w:t>January 29</w:t>
      </w:r>
      <w:r w:rsidRPr="00C30B6E">
        <w:t>, 2010,</w:t>
      </w:r>
      <w:r w:rsidR="009127EF">
        <w:t xml:space="preserve"> </w:t>
      </w:r>
      <w:r>
        <w:t>and Phillips</w:t>
      </w:r>
      <w:r w:rsidR="009127EF">
        <w:t xml:space="preserve"> </w:t>
      </w:r>
      <w:r>
        <w:t>has remained on involuntary inactive enrollment since that time and will remain on involuntary inactive enrollment pending the final disposition of this proceeding.</w:t>
      </w:r>
    </w:p>
    <w:p w:rsidR="00A35FB3" w:rsidRDefault="00A35FB3" w:rsidP="00F3175E">
      <w:pPr>
        <w:spacing w:line="480" w:lineRule="auto"/>
        <w:ind w:firstLine="720"/>
        <w:rPr>
          <w:rStyle w:val="apple-style-span"/>
        </w:rPr>
      </w:pPr>
      <w:r>
        <w:rPr>
          <w:rStyle w:val="apple-style-span"/>
        </w:rPr>
        <w:tab/>
      </w:r>
      <w:r>
        <w:rPr>
          <w:rStyle w:val="apple-style-span"/>
        </w:rPr>
        <w:tab/>
      </w:r>
      <w:r>
        <w:rPr>
          <w:rStyle w:val="apple-style-span"/>
        </w:rPr>
        <w:tab/>
      </w:r>
      <w:r>
        <w:rPr>
          <w:rStyle w:val="apple-style-span"/>
        </w:rPr>
        <w:tab/>
      </w:r>
      <w:r w:rsidR="0028623B">
        <w:rPr>
          <w:rStyle w:val="apple-style-span"/>
        </w:rPr>
        <w:tab/>
      </w:r>
      <w:r w:rsidR="0028623B">
        <w:rPr>
          <w:rStyle w:val="apple-style-span"/>
        </w:rPr>
        <w:tab/>
      </w:r>
      <w:r>
        <w:rPr>
          <w:rStyle w:val="apple-style-span"/>
        </w:rPr>
        <w:t>PURCELL, J.</w:t>
      </w:r>
    </w:p>
    <w:p w:rsidR="00A35FB3" w:rsidRDefault="00A35FB3" w:rsidP="00F3175E">
      <w:pPr>
        <w:spacing w:line="480" w:lineRule="auto"/>
        <w:rPr>
          <w:rStyle w:val="apple-style-span"/>
        </w:rPr>
      </w:pPr>
      <w:r>
        <w:rPr>
          <w:rStyle w:val="apple-style-span"/>
        </w:rPr>
        <w:t>WE CONCUR:</w:t>
      </w:r>
    </w:p>
    <w:p w:rsidR="00A35FB3" w:rsidRDefault="00A35FB3" w:rsidP="00F3175E">
      <w:pPr>
        <w:spacing w:line="480" w:lineRule="auto"/>
        <w:rPr>
          <w:rStyle w:val="apple-style-span"/>
        </w:rPr>
      </w:pPr>
      <w:r>
        <w:rPr>
          <w:rStyle w:val="apple-style-span"/>
        </w:rPr>
        <w:t>REMKE, P. J.</w:t>
      </w:r>
    </w:p>
    <w:p w:rsidR="00EB3400" w:rsidRPr="0049732D" w:rsidRDefault="00A35FB3" w:rsidP="0049732D">
      <w:pPr>
        <w:spacing w:line="480" w:lineRule="auto"/>
      </w:pPr>
      <w:r>
        <w:rPr>
          <w:rStyle w:val="apple-style-span"/>
        </w:rPr>
        <w:t>EPSTEIN, J.</w:t>
      </w:r>
    </w:p>
    <w:sectPr w:rsidR="00EB3400" w:rsidRPr="0049732D" w:rsidSect="00314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63" w:rsidRDefault="004B0D63">
      <w:r>
        <w:separator/>
      </w:r>
    </w:p>
  </w:endnote>
  <w:endnote w:type="continuationSeparator" w:id="0">
    <w:p w:rsidR="004B0D63" w:rsidRDefault="004B0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DF" w:rsidRDefault="002162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63" w:rsidRDefault="004B0D63">
    <w:pPr>
      <w:framePr w:w="571" w:wrap="notBeside" w:vAnchor="text" w:hAnchor="page" w:x="6016" w:y="-2"/>
      <w:spacing w:before="120"/>
    </w:pPr>
    <w:r>
      <w:t>-</w:t>
    </w:r>
    <w:fldSimple w:instr=" PAGE  ">
      <w:r w:rsidR="002162DF">
        <w:rPr>
          <w:noProof/>
        </w:rPr>
        <w:t>2</w:t>
      </w:r>
    </w:fldSimple>
    <w:r>
      <w:t>-</w:t>
    </w:r>
  </w:p>
  <w:p w:rsidR="004B0D63" w:rsidRDefault="004B0D63" w:rsidP="0063762B">
    <w:pPr>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DF" w:rsidRDefault="00216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63" w:rsidRDefault="004B0D63">
      <w:r>
        <w:separator/>
      </w:r>
    </w:p>
  </w:footnote>
  <w:footnote w:type="continuationSeparator" w:id="0">
    <w:p w:rsidR="004B0D63" w:rsidRDefault="004B0D63">
      <w:r>
        <w:continuationSeparator/>
      </w:r>
    </w:p>
  </w:footnote>
  <w:footnote w:id="1">
    <w:p w:rsidR="004B0D63" w:rsidRPr="004A6DDC" w:rsidRDefault="004B0D63" w:rsidP="00E57E21">
      <w:pPr>
        <w:pStyle w:val="FootnoteText"/>
        <w:rPr>
          <w:sz w:val="24"/>
          <w:szCs w:val="24"/>
        </w:rPr>
      </w:pPr>
      <w:r>
        <w:rPr>
          <w:sz w:val="24"/>
          <w:szCs w:val="24"/>
        </w:rPr>
        <w:tab/>
      </w:r>
      <w:r w:rsidRPr="004A6DDC">
        <w:rPr>
          <w:rStyle w:val="FootnoteReference"/>
          <w:sz w:val="24"/>
          <w:szCs w:val="24"/>
        </w:rPr>
        <w:footnoteRef/>
      </w:r>
      <w:r w:rsidR="00A2326A">
        <w:rPr>
          <w:sz w:val="24"/>
          <w:szCs w:val="24"/>
        </w:rPr>
        <w:t xml:space="preserve"> </w:t>
      </w:r>
      <w:r w:rsidRPr="004A6DDC">
        <w:rPr>
          <w:sz w:val="24"/>
          <w:szCs w:val="24"/>
        </w:rPr>
        <w:t>The Office of the U</w:t>
      </w:r>
      <w:r>
        <w:rPr>
          <w:sz w:val="24"/>
          <w:szCs w:val="24"/>
        </w:rPr>
        <w:t>.</w:t>
      </w:r>
      <w:r w:rsidRPr="004A6DDC">
        <w:rPr>
          <w:sz w:val="24"/>
          <w:szCs w:val="24"/>
        </w:rPr>
        <w:t xml:space="preserve"> S</w:t>
      </w:r>
      <w:r>
        <w:rPr>
          <w:sz w:val="24"/>
          <w:szCs w:val="24"/>
        </w:rPr>
        <w:t>.</w:t>
      </w:r>
      <w:r w:rsidRPr="004A6DDC">
        <w:rPr>
          <w:sz w:val="24"/>
          <w:szCs w:val="24"/>
        </w:rPr>
        <w:t xml:space="preserve"> Trustee</w:t>
      </w:r>
      <w:r>
        <w:rPr>
          <w:sz w:val="24"/>
          <w:szCs w:val="24"/>
        </w:rPr>
        <w:t>,</w:t>
      </w:r>
      <w:r w:rsidRPr="004A6DDC">
        <w:rPr>
          <w:sz w:val="24"/>
          <w:szCs w:val="24"/>
        </w:rPr>
        <w:t xml:space="preserve"> an agency of the U</w:t>
      </w:r>
      <w:r>
        <w:rPr>
          <w:sz w:val="24"/>
          <w:szCs w:val="24"/>
        </w:rPr>
        <w:t xml:space="preserve">.S. Department of Justice, monitors </w:t>
      </w:r>
      <w:r w:rsidRPr="004A6DDC">
        <w:rPr>
          <w:sz w:val="24"/>
          <w:szCs w:val="24"/>
        </w:rPr>
        <w:t>bankruptcy cases</w:t>
      </w:r>
      <w:r>
        <w:rPr>
          <w:sz w:val="24"/>
          <w:szCs w:val="24"/>
        </w:rPr>
        <w:t xml:space="preserve"> for fraud and abuse.</w:t>
      </w:r>
      <w:r w:rsidRPr="004A6DDC">
        <w:rPr>
          <w:sz w:val="24"/>
          <w:szCs w:val="24"/>
        </w:rPr>
        <w:t xml:space="preserve">  </w:t>
      </w:r>
      <w:r>
        <w:rPr>
          <w:sz w:val="24"/>
          <w:szCs w:val="24"/>
        </w:rPr>
        <w:t>(</w:t>
      </w:r>
      <w:r w:rsidRPr="004A6DDC">
        <w:rPr>
          <w:sz w:val="24"/>
          <w:szCs w:val="24"/>
        </w:rPr>
        <w:t>See 28 U.S.C</w:t>
      </w:r>
      <w:r>
        <w:rPr>
          <w:sz w:val="24"/>
          <w:szCs w:val="24"/>
        </w:rPr>
        <w:t>.</w:t>
      </w:r>
      <w:r w:rsidRPr="004A6DDC">
        <w:rPr>
          <w:sz w:val="24"/>
          <w:szCs w:val="24"/>
        </w:rPr>
        <w:t xml:space="preserve"> </w:t>
      </w:r>
      <w:r>
        <w:rPr>
          <w:sz w:val="24"/>
          <w:szCs w:val="24"/>
        </w:rPr>
        <w:t>§</w:t>
      </w:r>
      <w:r w:rsidRPr="004A6DDC">
        <w:rPr>
          <w:sz w:val="24"/>
          <w:szCs w:val="24"/>
        </w:rPr>
        <w:t xml:space="preserve"> 586(</w:t>
      </w:r>
      <w:r>
        <w:rPr>
          <w:sz w:val="24"/>
          <w:szCs w:val="24"/>
        </w:rPr>
        <w:t>a</w:t>
      </w:r>
      <w:r w:rsidRPr="004A6DDC">
        <w:rPr>
          <w:sz w:val="24"/>
          <w:szCs w:val="24"/>
        </w:rPr>
        <w:t>)(3)</w:t>
      </w:r>
      <w:r>
        <w:rPr>
          <w:sz w:val="24"/>
          <w:szCs w:val="24"/>
        </w:rPr>
        <w:t>;</w:t>
      </w:r>
      <w:r w:rsidRPr="004A6DDC">
        <w:rPr>
          <w:sz w:val="24"/>
          <w:szCs w:val="24"/>
        </w:rPr>
        <w:t xml:space="preserve"> </w:t>
      </w:r>
      <w:r>
        <w:rPr>
          <w:i/>
          <w:sz w:val="24"/>
          <w:szCs w:val="24"/>
        </w:rPr>
        <w:t>In re</w:t>
      </w:r>
      <w:r w:rsidRPr="004A6DDC">
        <w:rPr>
          <w:i/>
          <w:sz w:val="24"/>
          <w:szCs w:val="24"/>
        </w:rPr>
        <w:t xml:space="preserve"> Castillo</w:t>
      </w:r>
      <w:r w:rsidRPr="004A6DDC">
        <w:rPr>
          <w:sz w:val="24"/>
          <w:szCs w:val="24"/>
        </w:rPr>
        <w:t xml:space="preserve"> (9</w:t>
      </w:r>
      <w:r w:rsidRPr="004A6DDC">
        <w:rPr>
          <w:sz w:val="24"/>
          <w:szCs w:val="24"/>
          <w:vertAlign w:val="superscript"/>
        </w:rPr>
        <w:t>th</w:t>
      </w:r>
      <w:r w:rsidRPr="004A6DDC">
        <w:rPr>
          <w:sz w:val="24"/>
          <w:szCs w:val="24"/>
        </w:rPr>
        <w:t xml:space="preserve"> Cir. 2002) 297 F</w:t>
      </w:r>
      <w:r>
        <w:rPr>
          <w:sz w:val="24"/>
          <w:szCs w:val="24"/>
        </w:rPr>
        <w:t>.3d</w:t>
      </w:r>
      <w:r w:rsidRPr="004A6DDC">
        <w:rPr>
          <w:sz w:val="24"/>
          <w:szCs w:val="24"/>
        </w:rPr>
        <w:t xml:space="preserve"> 940, 950.</w:t>
      </w:r>
      <w:r>
        <w:rPr>
          <w:sz w:val="24"/>
          <w:szCs w:val="24"/>
        </w:rPr>
        <w:t>)</w:t>
      </w:r>
      <w:r w:rsidRPr="004A6DDC">
        <w:rPr>
          <w:sz w:val="24"/>
          <w:szCs w:val="24"/>
        </w:rPr>
        <w:t xml:space="preserve"> </w:t>
      </w:r>
    </w:p>
  </w:footnote>
  <w:footnote w:id="2">
    <w:p w:rsidR="004B0D63" w:rsidRDefault="004B0D63" w:rsidP="00CA41F3">
      <w:pPr>
        <w:rPr>
          <w:rFonts w:ascii="Century Gothic" w:hAnsi="Century Gothic"/>
          <w:color w:val="8E0399"/>
        </w:rPr>
      </w:pPr>
      <w:r>
        <w:tab/>
      </w:r>
      <w:r w:rsidRPr="005E352F">
        <w:rPr>
          <w:rStyle w:val="FootnoteReference"/>
        </w:rPr>
        <w:footnoteRef/>
      </w:r>
      <w:r>
        <w:t xml:space="preserve"> We independently review the record to reach our recommendation in this opinion.  (Cal. Rules of Court, rule 9.12.)  Each finding of fact and conclusion of law has been established by clear and convincing evidence which “requires a finding of high probability, based on evidence so clear as to leave no substantial doubt and sufficiently strong to command the unhesitating assent of every reasonable mind.”  (</w:t>
      </w:r>
      <w:r>
        <w:rPr>
          <w:i/>
          <w:iCs/>
        </w:rPr>
        <w:t>Conservatorship of Wendland</w:t>
      </w:r>
      <w:r>
        <w:t xml:space="preserve"> (2001) 26 Cal.4</w:t>
      </w:r>
      <w:r>
        <w:rPr>
          <w:vertAlign w:val="superscript"/>
        </w:rPr>
        <w:t>th</w:t>
      </w:r>
      <w:r>
        <w:t xml:space="preserve"> 519, 552, internal quotation marks omitted.)</w:t>
      </w:r>
    </w:p>
    <w:p w:rsidR="004B0D63" w:rsidRDefault="004B0D63">
      <w:pPr>
        <w:pStyle w:val="FootnoteText"/>
        <w:rPr>
          <w:sz w:val="24"/>
          <w:szCs w:val="24"/>
        </w:rPr>
      </w:pPr>
    </w:p>
  </w:footnote>
  <w:footnote w:id="3">
    <w:p w:rsidR="004B0D63" w:rsidRDefault="004B0D63">
      <w:pPr>
        <w:pStyle w:val="FootnoteText"/>
      </w:pPr>
      <w:r>
        <w:tab/>
      </w:r>
      <w:r w:rsidRPr="00EE68B0">
        <w:rPr>
          <w:rStyle w:val="FootnoteReference"/>
          <w:sz w:val="24"/>
          <w:szCs w:val="24"/>
        </w:rPr>
        <w:footnoteRef/>
      </w:r>
      <w:r w:rsidRPr="00EE68B0">
        <w:rPr>
          <w:rStyle w:val="FootnoteReference"/>
          <w:sz w:val="24"/>
          <w:szCs w:val="24"/>
        </w:rPr>
        <w:t xml:space="preserve"> </w:t>
      </w:r>
      <w:r w:rsidRPr="00EE68B0">
        <w:rPr>
          <w:sz w:val="24"/>
          <w:szCs w:val="24"/>
        </w:rPr>
        <w:t xml:space="preserve">Phillips’s Supplement to Appellant’s Opening Brief, </w:t>
      </w:r>
      <w:r>
        <w:rPr>
          <w:sz w:val="24"/>
          <w:szCs w:val="24"/>
        </w:rPr>
        <w:t>filed November 24, 2010,</w:t>
      </w:r>
      <w:r w:rsidRPr="00EE68B0">
        <w:rPr>
          <w:sz w:val="24"/>
          <w:szCs w:val="24"/>
        </w:rPr>
        <w:t xml:space="preserve"> is stricken</w:t>
      </w:r>
      <w:r>
        <w:rPr>
          <w:sz w:val="24"/>
          <w:szCs w:val="24"/>
        </w:rPr>
        <w:t xml:space="preserve"> as</w:t>
      </w:r>
      <w:r w:rsidRPr="00EE68B0">
        <w:rPr>
          <w:sz w:val="24"/>
          <w:szCs w:val="24"/>
        </w:rPr>
        <w:t xml:space="preserve"> untimely </w:t>
      </w:r>
      <w:r>
        <w:rPr>
          <w:sz w:val="24"/>
          <w:szCs w:val="24"/>
        </w:rPr>
        <w:t xml:space="preserve">under </w:t>
      </w:r>
      <w:r w:rsidRPr="00EE68B0">
        <w:rPr>
          <w:sz w:val="24"/>
          <w:szCs w:val="24"/>
        </w:rPr>
        <w:t>the Rules of Procedure of the St</w:t>
      </w:r>
      <w:r>
        <w:rPr>
          <w:sz w:val="24"/>
          <w:szCs w:val="24"/>
        </w:rPr>
        <w:t>ate Bar of California and</w:t>
      </w:r>
      <w:r w:rsidRPr="00EE68B0">
        <w:rPr>
          <w:sz w:val="24"/>
          <w:szCs w:val="24"/>
        </w:rPr>
        <w:t xml:space="preserve"> the Rules of Practice of the State Bar Court.</w:t>
      </w:r>
    </w:p>
  </w:footnote>
  <w:footnote w:id="4">
    <w:p w:rsidR="004B0D63" w:rsidRPr="00165BCF" w:rsidRDefault="004B0D63">
      <w:pPr>
        <w:pStyle w:val="FootnoteText"/>
        <w:rPr>
          <w:sz w:val="24"/>
          <w:szCs w:val="24"/>
        </w:rPr>
      </w:pPr>
      <w:r>
        <w:tab/>
      </w:r>
      <w:r>
        <w:rPr>
          <w:rStyle w:val="FootnoteReference"/>
        </w:rPr>
        <w:footnoteRef/>
      </w:r>
      <w:r>
        <w:t xml:space="preserve"> </w:t>
      </w:r>
      <w:r>
        <w:rPr>
          <w:sz w:val="24"/>
          <w:szCs w:val="24"/>
        </w:rPr>
        <w:t>This order was designed to prevent Phillips from appearing on matters where his clients were fiduciaries.  In Chapter 11 cases, the debtors rather than a trustee often</w:t>
      </w:r>
      <w:r w:rsidRPr="00165BCF">
        <w:rPr>
          <w:sz w:val="24"/>
          <w:szCs w:val="24"/>
        </w:rPr>
        <w:t xml:space="preserve"> remain in possession of assets and in charge of affairs.  This </w:t>
      </w:r>
      <w:r>
        <w:rPr>
          <w:sz w:val="24"/>
          <w:szCs w:val="24"/>
        </w:rPr>
        <w:t xml:space="preserve">vests the </w:t>
      </w:r>
      <w:r w:rsidRPr="00165BCF">
        <w:rPr>
          <w:sz w:val="24"/>
          <w:szCs w:val="24"/>
        </w:rPr>
        <w:t>debtor-in-possession</w:t>
      </w:r>
      <w:r>
        <w:rPr>
          <w:sz w:val="24"/>
          <w:szCs w:val="24"/>
        </w:rPr>
        <w:t xml:space="preserve"> with the fiduciary</w:t>
      </w:r>
      <w:r w:rsidRPr="00165BCF">
        <w:rPr>
          <w:sz w:val="24"/>
          <w:szCs w:val="24"/>
        </w:rPr>
        <w:t xml:space="preserve"> righ</w:t>
      </w:r>
      <w:r>
        <w:rPr>
          <w:sz w:val="24"/>
          <w:szCs w:val="24"/>
        </w:rPr>
        <w:t>t</w:t>
      </w:r>
      <w:r w:rsidRPr="00165BCF">
        <w:rPr>
          <w:sz w:val="24"/>
          <w:szCs w:val="24"/>
        </w:rPr>
        <w:t>s and powers of a trustee</w:t>
      </w:r>
      <w:r>
        <w:rPr>
          <w:sz w:val="24"/>
          <w:szCs w:val="24"/>
        </w:rPr>
        <w:t xml:space="preserve"> to account for property, examine claims and file reports. (11 </w:t>
      </w:r>
      <w:r w:rsidRPr="00165BCF">
        <w:rPr>
          <w:sz w:val="24"/>
          <w:szCs w:val="24"/>
        </w:rPr>
        <w:t xml:space="preserve">U.S.C. </w:t>
      </w:r>
      <w:r>
        <w:rPr>
          <w:sz w:val="24"/>
          <w:szCs w:val="24"/>
        </w:rPr>
        <w:t xml:space="preserve">       </w:t>
      </w:r>
      <w:r w:rsidRPr="00165BCF">
        <w:rPr>
          <w:sz w:val="24"/>
          <w:szCs w:val="24"/>
        </w:rPr>
        <w:t>§ 1107</w:t>
      </w:r>
      <w:r>
        <w:rPr>
          <w:sz w:val="24"/>
          <w:szCs w:val="24"/>
        </w:rPr>
        <w:t xml:space="preserve">.) </w:t>
      </w:r>
    </w:p>
  </w:footnote>
  <w:footnote w:id="5">
    <w:p w:rsidR="004B0D63" w:rsidRDefault="004B0D63" w:rsidP="00F238AC">
      <w:pPr>
        <w:pStyle w:val="FootnoteText"/>
        <w:spacing w:after="120"/>
        <w:ind w:firstLine="720"/>
        <w:rPr>
          <w:sz w:val="24"/>
          <w:szCs w:val="24"/>
        </w:rPr>
      </w:pPr>
      <w:r>
        <w:rPr>
          <w:rStyle w:val="FootnoteReference"/>
        </w:rPr>
        <w:footnoteRef/>
      </w:r>
      <w:r w:rsidR="00A2326A">
        <w:rPr>
          <w:sz w:val="24"/>
          <w:szCs w:val="24"/>
        </w:rPr>
        <w:t xml:space="preserve"> </w:t>
      </w:r>
      <w:r w:rsidRPr="00080012">
        <w:rPr>
          <w:sz w:val="24"/>
          <w:szCs w:val="24"/>
        </w:rPr>
        <w:t>This section of the Code of Civil Procedure is incorporated into State Bar practice</w:t>
      </w:r>
      <w:r>
        <w:rPr>
          <w:sz w:val="24"/>
          <w:szCs w:val="24"/>
        </w:rPr>
        <w:t xml:space="preserve"> by rule 180(a) of the Rules of Procedure of the State Bar.  Since the request for review was filed prior to January 1, 2011, we do not apply the amended rules approved on September 22, 2010.</w:t>
      </w:r>
    </w:p>
  </w:footnote>
  <w:footnote w:id="6">
    <w:p w:rsidR="004B0D63" w:rsidRPr="0065772E" w:rsidRDefault="004B0D63" w:rsidP="002F4B74">
      <w:pPr>
        <w:pStyle w:val="FootnoteText"/>
        <w:ind w:firstLine="720"/>
        <w:rPr>
          <w:color w:val="FF0000"/>
          <w:sz w:val="24"/>
          <w:szCs w:val="24"/>
        </w:rPr>
      </w:pPr>
      <w:r>
        <w:rPr>
          <w:rStyle w:val="FootnoteReference"/>
        </w:rPr>
        <w:footnoteRef/>
      </w:r>
      <w:r>
        <w:rPr>
          <w:sz w:val="24"/>
          <w:szCs w:val="24"/>
        </w:rPr>
        <w:t xml:space="preserve"> Phillips failed to seek interlocutory review of the sanctions order although the hearing judge postponed the trial to permit Phillips time to do so.  (Rules Proc. of State Bar, rule 300 [interlocutory review available for significant issue requiring pretrial intervention if not readily remediable after trial].)   </w:t>
      </w:r>
    </w:p>
  </w:footnote>
  <w:footnote w:id="7">
    <w:p w:rsidR="004B0D63" w:rsidRDefault="004B0D63" w:rsidP="00180AF8">
      <w:pPr>
        <w:pStyle w:val="FootnoteText"/>
        <w:ind w:firstLine="720"/>
        <w:rPr>
          <w:sz w:val="24"/>
          <w:szCs w:val="24"/>
        </w:rPr>
      </w:pPr>
      <w:r>
        <w:rPr>
          <w:rStyle w:val="FootnoteReference"/>
        </w:rPr>
        <w:footnoteRef/>
      </w:r>
      <w:r>
        <w:rPr>
          <w:sz w:val="24"/>
          <w:szCs w:val="24"/>
        </w:rPr>
        <w:t xml:space="preserve"> On October 24, 2008, Phillips filed a Motion to Dismiss the charges on the same grounds.  On November 21, 2009, the hearing judge denied the motion, finding that rule 51(a) did not apply since the State Bar, rather than a third-party complainant, initiated the proceeding.  On January 7, 2009, we denied Phillips’s petition for interlocutory review.  </w:t>
      </w:r>
    </w:p>
    <w:p w:rsidR="004B0D63" w:rsidRPr="00584148" w:rsidRDefault="004B0D63" w:rsidP="00180AF8">
      <w:pPr>
        <w:pStyle w:val="FootnoteText"/>
        <w:ind w:firstLine="720"/>
        <w:rPr>
          <w:sz w:val="24"/>
          <w:szCs w:val="24"/>
        </w:rPr>
      </w:pPr>
    </w:p>
  </w:footnote>
  <w:footnote w:id="8">
    <w:p w:rsidR="00A2326A" w:rsidRDefault="004B0D63" w:rsidP="00741884">
      <w:pPr>
        <w:pStyle w:val="FootnoteText"/>
        <w:rPr>
          <w:sz w:val="24"/>
          <w:szCs w:val="24"/>
        </w:rPr>
      </w:pPr>
      <w:r>
        <w:tab/>
      </w:r>
      <w:r>
        <w:rPr>
          <w:rStyle w:val="FootnoteReference"/>
        </w:rPr>
        <w:footnoteRef/>
      </w:r>
      <w:r>
        <w:t xml:space="preserve"> </w:t>
      </w:r>
      <w:r>
        <w:rPr>
          <w:sz w:val="24"/>
          <w:szCs w:val="24"/>
        </w:rPr>
        <w:t xml:space="preserve">Rule 51 may also be tolled since the bankruptcy court imposed its own administrative discipline by making disgorgement orders, providing verbal warnings and imposing a limitation on Phillips’s court appearances.  (Rules Proc. of State Bar, rule </w:t>
      </w:r>
      <w:r w:rsidRPr="00F62AB0">
        <w:rPr>
          <w:sz w:val="24"/>
          <w:szCs w:val="24"/>
        </w:rPr>
        <w:t>51(c)(3)</w:t>
      </w:r>
      <w:r>
        <w:rPr>
          <w:sz w:val="24"/>
          <w:szCs w:val="24"/>
        </w:rPr>
        <w:t xml:space="preserve"> [t</w:t>
      </w:r>
      <w:r w:rsidRPr="00F62AB0">
        <w:rPr>
          <w:sz w:val="24"/>
          <w:szCs w:val="24"/>
        </w:rPr>
        <w:t xml:space="preserve">olling where “[c]ivil, </w:t>
      </w:r>
    </w:p>
    <w:p w:rsidR="00A2326A" w:rsidRDefault="00A2326A" w:rsidP="00741884">
      <w:pPr>
        <w:pStyle w:val="FootnoteText"/>
        <w:rPr>
          <w:sz w:val="24"/>
          <w:szCs w:val="24"/>
        </w:rPr>
      </w:pPr>
    </w:p>
    <w:p w:rsidR="00A2326A" w:rsidRDefault="004B0D63" w:rsidP="00741884">
      <w:pPr>
        <w:pStyle w:val="FootnoteText"/>
        <w:rPr>
          <w:sz w:val="24"/>
          <w:szCs w:val="24"/>
        </w:rPr>
      </w:pPr>
      <w:r w:rsidRPr="00F62AB0">
        <w:rPr>
          <w:sz w:val="24"/>
          <w:szCs w:val="24"/>
        </w:rPr>
        <w:t xml:space="preserve">criminal, or administrative investigations or proceedings arising out of substantially the same </w:t>
      </w:r>
    </w:p>
    <w:p w:rsidR="004B0D63" w:rsidRDefault="004B0D63" w:rsidP="00741884">
      <w:pPr>
        <w:pStyle w:val="FootnoteText"/>
        <w:rPr>
          <w:sz w:val="24"/>
          <w:szCs w:val="24"/>
        </w:rPr>
      </w:pPr>
      <w:r w:rsidRPr="00F62AB0">
        <w:rPr>
          <w:sz w:val="24"/>
          <w:szCs w:val="24"/>
        </w:rPr>
        <w:t>acts or circumstances that provide the basis for the alleged violations are pending with any government</w:t>
      </w:r>
      <w:r>
        <w:rPr>
          <w:sz w:val="24"/>
          <w:szCs w:val="24"/>
        </w:rPr>
        <w:t>al</w:t>
      </w:r>
      <w:r w:rsidRPr="00F62AB0">
        <w:rPr>
          <w:sz w:val="24"/>
          <w:szCs w:val="24"/>
        </w:rPr>
        <w:t xml:space="preserve"> agency, court or tribunal”]</w:t>
      </w:r>
      <w:r>
        <w:rPr>
          <w:sz w:val="24"/>
          <w:szCs w:val="24"/>
        </w:rPr>
        <w:t>.)</w:t>
      </w:r>
    </w:p>
    <w:p w:rsidR="004B0D63" w:rsidRPr="00F62AB0" w:rsidRDefault="004B0D63" w:rsidP="00741884">
      <w:pPr>
        <w:pStyle w:val="FootnoteText"/>
        <w:rPr>
          <w:sz w:val="24"/>
          <w:szCs w:val="24"/>
        </w:rPr>
      </w:pPr>
    </w:p>
  </w:footnote>
  <w:footnote w:id="9">
    <w:p w:rsidR="004B0D63" w:rsidRPr="00DA7FB3" w:rsidRDefault="004B0D63" w:rsidP="00DA7FB3">
      <w:pPr>
        <w:pStyle w:val="FootnoteText"/>
        <w:ind w:firstLine="720"/>
        <w:rPr>
          <w:sz w:val="24"/>
          <w:szCs w:val="24"/>
        </w:rPr>
      </w:pPr>
      <w:r w:rsidRPr="00DA7FB3">
        <w:rPr>
          <w:rStyle w:val="FootnoteReference"/>
          <w:sz w:val="24"/>
          <w:szCs w:val="24"/>
        </w:rPr>
        <w:footnoteRef/>
      </w:r>
      <w:r w:rsidRPr="00DA7FB3">
        <w:rPr>
          <w:sz w:val="24"/>
          <w:szCs w:val="24"/>
        </w:rPr>
        <w:t xml:space="preserve"> </w:t>
      </w:r>
      <w:r>
        <w:rPr>
          <w:sz w:val="24"/>
          <w:szCs w:val="24"/>
        </w:rPr>
        <w:t xml:space="preserve">Phillips’s final procedural contention is that the case no. 05-O-03782 (the bankruptcy cases) and case no. 06-O-13490 (the civil case) should not have been “consolidated.”   This contention is without merit because the two cases were never filed separately and then consolidated.  Instead, they were filed together as correlated cases in one NDC, which is appropriate.  </w:t>
      </w:r>
    </w:p>
  </w:footnote>
  <w:footnote w:id="10">
    <w:p w:rsidR="004B0D63" w:rsidRPr="009C7437" w:rsidRDefault="004B0D63" w:rsidP="002F4B74">
      <w:pPr>
        <w:pStyle w:val="FootnoteText"/>
        <w:spacing w:after="120"/>
        <w:rPr>
          <w:sz w:val="24"/>
          <w:szCs w:val="24"/>
        </w:rPr>
      </w:pPr>
      <w:r>
        <w:tab/>
      </w:r>
      <w:r>
        <w:rPr>
          <w:rStyle w:val="FootnoteReference"/>
        </w:rPr>
        <w:footnoteRef/>
      </w:r>
      <w:r w:rsidR="00A2326A">
        <w:t xml:space="preserve"> </w:t>
      </w:r>
      <w:r w:rsidRPr="00E251DB">
        <w:rPr>
          <w:sz w:val="24"/>
          <w:szCs w:val="24"/>
        </w:rPr>
        <w:t>The</w:t>
      </w:r>
      <w:r>
        <w:rPr>
          <w:sz w:val="24"/>
          <w:szCs w:val="24"/>
        </w:rPr>
        <w:t xml:space="preserve"> factual allegations that were deemed admitted establish the 21 counts of misconduct for which the hearing judge found Phillips culpable.  The following is a summary of these findings and conclusions.  </w:t>
      </w:r>
    </w:p>
  </w:footnote>
  <w:footnote w:id="11">
    <w:p w:rsidR="004B0D63" w:rsidRDefault="004B0D63">
      <w:pPr>
        <w:pStyle w:val="FootnoteText"/>
        <w:rPr>
          <w:sz w:val="24"/>
          <w:szCs w:val="24"/>
        </w:rPr>
      </w:pPr>
      <w:r>
        <w:tab/>
      </w:r>
      <w:r>
        <w:rPr>
          <w:rStyle w:val="FootnoteReference"/>
        </w:rPr>
        <w:footnoteRef/>
      </w:r>
      <w:r w:rsidR="00A2326A">
        <w:t xml:space="preserve"> </w:t>
      </w:r>
      <w:r>
        <w:rPr>
          <w:sz w:val="24"/>
          <w:szCs w:val="24"/>
        </w:rPr>
        <w:t>Unless otherwise noted, all further references to “rule(s)” are to the Rules of Professional Conduct of the State Bar.</w:t>
      </w:r>
    </w:p>
    <w:p w:rsidR="004B0D63" w:rsidRPr="00403F57" w:rsidRDefault="004B0D63">
      <w:pPr>
        <w:pStyle w:val="FootnoteText"/>
        <w:rPr>
          <w:sz w:val="24"/>
          <w:szCs w:val="24"/>
        </w:rPr>
      </w:pPr>
    </w:p>
  </w:footnote>
  <w:footnote w:id="12">
    <w:p w:rsidR="004B0D63" w:rsidRDefault="004B0D63" w:rsidP="00A057FA">
      <w:pPr>
        <w:pStyle w:val="FootnoteText"/>
        <w:ind w:firstLine="720"/>
      </w:pPr>
      <w:r>
        <w:rPr>
          <w:rStyle w:val="FootnoteReference"/>
        </w:rPr>
        <w:footnoteRef/>
      </w:r>
      <w:r w:rsidR="00A2326A">
        <w:rPr>
          <w:sz w:val="24"/>
          <w:szCs w:val="24"/>
        </w:rPr>
        <w:t xml:space="preserve"> </w:t>
      </w:r>
      <w:r>
        <w:rPr>
          <w:sz w:val="24"/>
          <w:szCs w:val="24"/>
        </w:rPr>
        <w:t>Unless otherwise noted, all further r</w:t>
      </w:r>
      <w:r w:rsidRPr="007C3C17">
        <w:rPr>
          <w:sz w:val="24"/>
          <w:szCs w:val="24"/>
        </w:rPr>
        <w:t xml:space="preserve">eferences to </w:t>
      </w:r>
      <w:r>
        <w:rPr>
          <w:sz w:val="24"/>
          <w:szCs w:val="24"/>
        </w:rPr>
        <w:t>“</w:t>
      </w:r>
      <w:r w:rsidRPr="007C3C17">
        <w:rPr>
          <w:sz w:val="24"/>
          <w:szCs w:val="24"/>
        </w:rPr>
        <w:t>section(s)</w:t>
      </w:r>
      <w:r>
        <w:rPr>
          <w:sz w:val="24"/>
          <w:szCs w:val="24"/>
        </w:rPr>
        <w:t>”</w:t>
      </w:r>
      <w:r w:rsidRPr="007C3C17">
        <w:rPr>
          <w:sz w:val="24"/>
          <w:szCs w:val="24"/>
        </w:rPr>
        <w:t xml:space="preserve"> are to the Business and Professions Code.</w:t>
      </w:r>
      <w:r>
        <w:t xml:space="preserve">  </w:t>
      </w:r>
    </w:p>
  </w:footnote>
  <w:footnote w:id="13">
    <w:p w:rsidR="004B0D63" w:rsidRPr="00CE4C04" w:rsidRDefault="004B0D63" w:rsidP="002F4B74">
      <w:pPr>
        <w:pStyle w:val="FootnoteText"/>
        <w:spacing w:after="120"/>
        <w:ind w:firstLine="720"/>
        <w:rPr>
          <w:sz w:val="24"/>
          <w:szCs w:val="24"/>
        </w:rPr>
      </w:pPr>
      <w:r>
        <w:rPr>
          <w:rStyle w:val="FootnoteReference"/>
        </w:rPr>
        <w:footnoteRef/>
      </w:r>
      <w:r w:rsidR="00A2326A">
        <w:rPr>
          <w:sz w:val="24"/>
          <w:szCs w:val="24"/>
        </w:rPr>
        <w:t xml:space="preserve"> </w:t>
      </w:r>
      <w:r>
        <w:rPr>
          <w:sz w:val="24"/>
          <w:szCs w:val="24"/>
        </w:rPr>
        <w:t xml:space="preserve">The bankruptcy court’s </w:t>
      </w:r>
      <w:r w:rsidR="00DF7AFA">
        <w:rPr>
          <w:sz w:val="24"/>
          <w:szCs w:val="24"/>
        </w:rPr>
        <w:t xml:space="preserve">November 17, 1997 </w:t>
      </w:r>
      <w:r>
        <w:rPr>
          <w:sz w:val="24"/>
          <w:szCs w:val="24"/>
        </w:rPr>
        <w:t xml:space="preserve">order stated:  </w:t>
      </w:r>
      <w:r w:rsidR="00DF7AFA">
        <w:rPr>
          <w:sz w:val="24"/>
          <w:szCs w:val="24"/>
        </w:rPr>
        <w:t>“T</w:t>
      </w:r>
      <w:r w:rsidRPr="00CE4C04">
        <w:rPr>
          <w:sz w:val="24"/>
          <w:szCs w:val="24"/>
        </w:rPr>
        <w:t>here can be no doubt that Phillips was not entitled to receive any fees in excess of $11,500 for his preconfirmation services</w:t>
      </w:r>
      <w:r>
        <w:rPr>
          <w:sz w:val="24"/>
          <w:szCs w:val="24"/>
        </w:rPr>
        <w:t xml:space="preserve">. . . .  </w:t>
      </w:r>
      <w:r w:rsidRPr="00CE4C04">
        <w:rPr>
          <w:sz w:val="24"/>
          <w:szCs w:val="24"/>
        </w:rPr>
        <w:t>[T]he terms of the debtor’s confirmed chapter 11 plan all required Phil</w:t>
      </w:r>
      <w:r>
        <w:rPr>
          <w:sz w:val="24"/>
          <w:szCs w:val="24"/>
        </w:rPr>
        <w:t>l</w:t>
      </w:r>
      <w:r w:rsidRPr="00CE4C04">
        <w:rPr>
          <w:sz w:val="24"/>
          <w:szCs w:val="24"/>
        </w:rPr>
        <w:t>ips to apply to the court for any compensation, in excess of the $11,</w:t>
      </w:r>
      <w:r>
        <w:rPr>
          <w:sz w:val="24"/>
          <w:szCs w:val="24"/>
        </w:rPr>
        <w:t>5</w:t>
      </w:r>
      <w:r w:rsidRPr="00CE4C04">
        <w:rPr>
          <w:sz w:val="24"/>
          <w:szCs w:val="24"/>
        </w:rPr>
        <w:t xml:space="preserve">00 retainer.  Phillips did not do so.  Rather, he collected payment from the proceeds of a loan escrow in an obvious attempt to circumvent the requirement of a fee application.  </w:t>
      </w:r>
      <w:r w:rsidR="00DF7AFA">
        <w:rPr>
          <w:sz w:val="24"/>
          <w:szCs w:val="24"/>
        </w:rPr>
        <w:t xml:space="preserve">[¶]  </w:t>
      </w:r>
      <w:r w:rsidRPr="00CE4C04">
        <w:rPr>
          <w:sz w:val="24"/>
          <w:szCs w:val="24"/>
        </w:rPr>
        <w:t>Phillips</w:t>
      </w:r>
      <w:r>
        <w:rPr>
          <w:sz w:val="24"/>
          <w:szCs w:val="24"/>
        </w:rPr>
        <w:t>’</w:t>
      </w:r>
      <w:r w:rsidRPr="00CE4C04">
        <w:rPr>
          <w:sz w:val="24"/>
          <w:szCs w:val="24"/>
        </w:rPr>
        <w:t xml:space="preserve"> violation was willful, and without just cause or excuse.  Phillips has been repeatedly warned by this court that abuses regarding attorneys’ fees would not be tolerated</w:t>
      </w:r>
      <w:r w:rsidR="00DF7AFA">
        <w:rPr>
          <w:sz w:val="24"/>
          <w:szCs w:val="24"/>
        </w:rPr>
        <w:t xml:space="preserve"> </w:t>
      </w:r>
      <w:r w:rsidRPr="00CE4C04">
        <w:rPr>
          <w:sz w:val="24"/>
          <w:szCs w:val="24"/>
        </w:rPr>
        <w:t>.</w:t>
      </w:r>
      <w:r w:rsidR="00DF7AFA">
        <w:rPr>
          <w:sz w:val="24"/>
          <w:szCs w:val="24"/>
        </w:rPr>
        <w:t xml:space="preserve"> . . .</w:t>
      </w:r>
      <w:r w:rsidRPr="00CE4C04">
        <w:rPr>
          <w:sz w:val="24"/>
          <w:szCs w:val="24"/>
        </w:rPr>
        <w:t>”</w:t>
      </w:r>
      <w:r>
        <w:rPr>
          <w:sz w:val="24"/>
          <w:szCs w:val="24"/>
        </w:rPr>
        <w:t xml:space="preserve">  </w:t>
      </w:r>
      <w:r w:rsidR="00DF7AFA">
        <w:rPr>
          <w:sz w:val="24"/>
          <w:szCs w:val="24"/>
        </w:rPr>
        <w:t xml:space="preserve">Three days later, on November 20, 1997, </w:t>
      </w:r>
      <w:r>
        <w:rPr>
          <w:sz w:val="24"/>
          <w:szCs w:val="24"/>
        </w:rPr>
        <w:t xml:space="preserve">the bankruptcy judges informed Phillips they would no longer approve future applications to represent Chapter 11 clients. </w:t>
      </w:r>
    </w:p>
  </w:footnote>
  <w:footnote w:id="14">
    <w:p w:rsidR="004B0D63" w:rsidRPr="00032EBF" w:rsidRDefault="004B0D63" w:rsidP="008A2BB8">
      <w:pPr>
        <w:pStyle w:val="FootnoteText"/>
        <w:spacing w:after="120"/>
        <w:rPr>
          <w:sz w:val="24"/>
          <w:szCs w:val="24"/>
        </w:rPr>
      </w:pPr>
      <w:r>
        <w:tab/>
      </w:r>
      <w:r>
        <w:rPr>
          <w:rStyle w:val="FootnoteReference"/>
        </w:rPr>
        <w:footnoteRef/>
      </w:r>
      <w:r w:rsidR="00A2326A">
        <w:t xml:space="preserve"> </w:t>
      </w:r>
      <w:r w:rsidRPr="00032EBF">
        <w:rPr>
          <w:sz w:val="24"/>
          <w:szCs w:val="24"/>
        </w:rPr>
        <w:t xml:space="preserve">The same facts </w:t>
      </w:r>
      <w:r>
        <w:rPr>
          <w:sz w:val="24"/>
          <w:szCs w:val="24"/>
        </w:rPr>
        <w:t>(taking escrow funds) support both Count Two (C) and (D)</w:t>
      </w:r>
      <w:r w:rsidRPr="00032EBF">
        <w:rPr>
          <w:sz w:val="24"/>
          <w:szCs w:val="24"/>
        </w:rPr>
        <w:t xml:space="preserve">.  In </w:t>
      </w:r>
      <w:r w:rsidRPr="00032EBF">
        <w:rPr>
          <w:i/>
          <w:iCs/>
          <w:sz w:val="24"/>
          <w:szCs w:val="24"/>
        </w:rPr>
        <w:t>Bates v. State Bar</w:t>
      </w:r>
      <w:r w:rsidRPr="00032EBF">
        <w:rPr>
          <w:sz w:val="24"/>
          <w:szCs w:val="24"/>
        </w:rPr>
        <w:t xml:space="preserve"> (1999) 51 Cal.3d 1056, 1060, the Supreme Court instructed that little, if any, purpose is served by duplicate allegations of misconduct in State Bar proceedings.  We therefore dismiss </w:t>
      </w:r>
      <w:r>
        <w:rPr>
          <w:sz w:val="24"/>
          <w:szCs w:val="24"/>
        </w:rPr>
        <w:t xml:space="preserve">Count Two (D) with </w:t>
      </w:r>
      <w:r w:rsidRPr="00032EBF">
        <w:rPr>
          <w:sz w:val="24"/>
          <w:szCs w:val="24"/>
        </w:rPr>
        <w:t>prejudice</w:t>
      </w:r>
      <w:r>
        <w:rPr>
          <w:sz w:val="24"/>
          <w:szCs w:val="24"/>
        </w:rPr>
        <w:t xml:space="preserve"> as duplicative.</w:t>
      </w:r>
    </w:p>
  </w:footnote>
  <w:footnote w:id="15">
    <w:p w:rsidR="004B0D63" w:rsidRDefault="004B0D63" w:rsidP="00964DC0">
      <w:pPr>
        <w:pStyle w:val="FootnoteText"/>
        <w:ind w:firstLine="720"/>
        <w:rPr>
          <w:sz w:val="24"/>
          <w:szCs w:val="24"/>
        </w:rPr>
      </w:pPr>
      <w:r>
        <w:rPr>
          <w:rStyle w:val="FootnoteReference"/>
        </w:rPr>
        <w:footnoteRef/>
      </w:r>
      <w:r>
        <w:t xml:space="preserve"> </w:t>
      </w:r>
      <w:r w:rsidRPr="00764D97">
        <w:rPr>
          <w:sz w:val="24"/>
          <w:szCs w:val="24"/>
        </w:rPr>
        <w:t xml:space="preserve">The record contains some evidence that Phillips still owed </w:t>
      </w:r>
      <w:r>
        <w:rPr>
          <w:sz w:val="24"/>
          <w:szCs w:val="24"/>
        </w:rPr>
        <w:t xml:space="preserve">Riley </w:t>
      </w:r>
      <w:r w:rsidRPr="00764D97">
        <w:rPr>
          <w:sz w:val="24"/>
          <w:szCs w:val="24"/>
        </w:rPr>
        <w:t>$6,000</w:t>
      </w:r>
      <w:r>
        <w:rPr>
          <w:sz w:val="24"/>
          <w:szCs w:val="24"/>
        </w:rPr>
        <w:t xml:space="preserve"> at the time of trial</w:t>
      </w:r>
      <w:r w:rsidRPr="00764D97">
        <w:rPr>
          <w:sz w:val="24"/>
          <w:szCs w:val="24"/>
        </w:rPr>
        <w:t xml:space="preserve">, </w:t>
      </w:r>
      <w:r>
        <w:rPr>
          <w:sz w:val="24"/>
          <w:szCs w:val="24"/>
        </w:rPr>
        <w:t>but the</w:t>
      </w:r>
      <w:r w:rsidRPr="00764D97">
        <w:rPr>
          <w:sz w:val="24"/>
          <w:szCs w:val="24"/>
        </w:rPr>
        <w:t xml:space="preserve"> State Bar </w:t>
      </w:r>
      <w:r>
        <w:rPr>
          <w:sz w:val="24"/>
          <w:szCs w:val="24"/>
        </w:rPr>
        <w:t xml:space="preserve">failed to prove this </w:t>
      </w:r>
      <w:r w:rsidRPr="00764D97">
        <w:rPr>
          <w:sz w:val="24"/>
          <w:szCs w:val="24"/>
        </w:rPr>
        <w:t>by clear and convincing evidence.</w:t>
      </w:r>
    </w:p>
    <w:p w:rsidR="004B0D63" w:rsidRPr="00764D97" w:rsidRDefault="004B0D63" w:rsidP="00964DC0">
      <w:pPr>
        <w:pStyle w:val="FootnoteText"/>
        <w:ind w:firstLine="720"/>
        <w:rPr>
          <w:sz w:val="24"/>
          <w:szCs w:val="24"/>
        </w:rPr>
      </w:pPr>
    </w:p>
  </w:footnote>
  <w:footnote w:id="16">
    <w:p w:rsidR="004B0D63" w:rsidRDefault="004B0D63">
      <w:pPr>
        <w:pStyle w:val="FootnoteText"/>
      </w:pPr>
      <w:r>
        <w:tab/>
      </w:r>
      <w:r>
        <w:rPr>
          <w:rStyle w:val="FootnoteReference"/>
        </w:rPr>
        <w:footnoteRef/>
      </w:r>
      <w:r>
        <w:t xml:space="preserve"> </w:t>
      </w:r>
      <w:r>
        <w:rPr>
          <w:sz w:val="24"/>
          <w:szCs w:val="24"/>
        </w:rPr>
        <w:t>Count 6 alleges that Phillips’s illegal fee in the Moualem, Hearn and Riley matters establish a pattern amounting to moral turpitude, in violation of section 6106.  The hearing judge dismissed this count with prejudice because these three incidents (spanning 1996-1998) do not clearly and convincingly establish that Phillips was “systematically engaging in a pattern of charging and collecting illegal fees,” as the State Bar charged.  We agree and affirm the dismissal.</w:t>
      </w:r>
    </w:p>
  </w:footnote>
  <w:footnote w:id="17">
    <w:p w:rsidR="004B0D63" w:rsidRPr="00AA37C1" w:rsidRDefault="004B0D63">
      <w:pPr>
        <w:pStyle w:val="FootnoteText"/>
        <w:rPr>
          <w:sz w:val="24"/>
          <w:szCs w:val="24"/>
        </w:rPr>
      </w:pPr>
      <w:r>
        <w:tab/>
      </w:r>
      <w:r>
        <w:rPr>
          <w:rStyle w:val="FootnoteReference"/>
        </w:rPr>
        <w:footnoteRef/>
      </w:r>
      <w:r>
        <w:t xml:space="preserve"> </w:t>
      </w:r>
      <w:r w:rsidRPr="00AA37C1">
        <w:rPr>
          <w:sz w:val="24"/>
          <w:szCs w:val="24"/>
        </w:rPr>
        <w:t xml:space="preserve">Rule 3-100(A) provides that an attorney “shall not intentionally, recklessly, or repeatedly fail to perform legal services with competence.”  </w:t>
      </w:r>
    </w:p>
  </w:footnote>
  <w:footnote w:id="18">
    <w:p w:rsidR="004B0D63" w:rsidRPr="003D357D" w:rsidRDefault="004B0D63">
      <w:pPr>
        <w:pStyle w:val="FootnoteText"/>
        <w:rPr>
          <w:sz w:val="24"/>
          <w:szCs w:val="24"/>
        </w:rPr>
      </w:pPr>
      <w:r>
        <w:tab/>
      </w:r>
      <w:r>
        <w:rPr>
          <w:rStyle w:val="FootnoteReference"/>
        </w:rPr>
        <w:footnoteRef/>
      </w:r>
      <w:r w:rsidR="00A2326A">
        <w:t xml:space="preserve"> </w:t>
      </w:r>
      <w:r w:rsidRPr="003D357D">
        <w:rPr>
          <w:sz w:val="24"/>
          <w:szCs w:val="24"/>
        </w:rPr>
        <w:t>Count Seven</w:t>
      </w:r>
      <w:r>
        <w:rPr>
          <w:sz w:val="24"/>
          <w:szCs w:val="24"/>
        </w:rPr>
        <w:t xml:space="preserve"> </w:t>
      </w:r>
      <w:r w:rsidRPr="003D357D">
        <w:rPr>
          <w:sz w:val="24"/>
          <w:szCs w:val="24"/>
        </w:rPr>
        <w:t xml:space="preserve">(G) charges Phillips with moral turpitude </w:t>
      </w:r>
      <w:r>
        <w:rPr>
          <w:sz w:val="24"/>
          <w:szCs w:val="24"/>
        </w:rPr>
        <w:t xml:space="preserve">(§ 6106) </w:t>
      </w:r>
      <w:r w:rsidRPr="003D357D">
        <w:rPr>
          <w:sz w:val="24"/>
          <w:szCs w:val="24"/>
        </w:rPr>
        <w:t xml:space="preserve">for </w:t>
      </w:r>
      <w:r>
        <w:rPr>
          <w:sz w:val="24"/>
          <w:szCs w:val="24"/>
        </w:rPr>
        <w:t>submitting the same false declaration</w:t>
      </w:r>
      <w:r w:rsidRPr="003D357D">
        <w:rPr>
          <w:sz w:val="24"/>
          <w:szCs w:val="24"/>
        </w:rPr>
        <w:t xml:space="preserve">.  </w:t>
      </w:r>
      <w:r>
        <w:rPr>
          <w:sz w:val="24"/>
          <w:szCs w:val="24"/>
        </w:rPr>
        <w:t xml:space="preserve">Since this </w:t>
      </w:r>
      <w:r w:rsidRPr="003D357D">
        <w:rPr>
          <w:sz w:val="24"/>
          <w:szCs w:val="24"/>
        </w:rPr>
        <w:t xml:space="preserve">misconduct </w:t>
      </w:r>
      <w:r>
        <w:rPr>
          <w:sz w:val="24"/>
          <w:szCs w:val="24"/>
        </w:rPr>
        <w:t xml:space="preserve">formed </w:t>
      </w:r>
      <w:r w:rsidRPr="003D357D">
        <w:rPr>
          <w:sz w:val="24"/>
          <w:szCs w:val="24"/>
        </w:rPr>
        <w:t>the basis for Count Seven (F)</w:t>
      </w:r>
      <w:r>
        <w:rPr>
          <w:sz w:val="24"/>
          <w:szCs w:val="24"/>
        </w:rPr>
        <w:t xml:space="preserve"> </w:t>
      </w:r>
      <w:r w:rsidRPr="003D357D">
        <w:rPr>
          <w:sz w:val="24"/>
          <w:szCs w:val="24"/>
        </w:rPr>
        <w:t>(</w:t>
      </w:r>
      <w:r>
        <w:rPr>
          <w:sz w:val="24"/>
          <w:szCs w:val="24"/>
        </w:rPr>
        <w:t>Misleading a Judge)</w:t>
      </w:r>
      <w:r w:rsidRPr="003D357D">
        <w:rPr>
          <w:sz w:val="24"/>
          <w:szCs w:val="24"/>
        </w:rPr>
        <w:t xml:space="preserve">, we treat Phillips’s misrepresentation </w:t>
      </w:r>
      <w:r>
        <w:rPr>
          <w:sz w:val="24"/>
          <w:szCs w:val="24"/>
        </w:rPr>
        <w:t xml:space="preserve">to the civil court </w:t>
      </w:r>
      <w:r w:rsidRPr="003D357D">
        <w:rPr>
          <w:sz w:val="24"/>
          <w:szCs w:val="24"/>
        </w:rPr>
        <w:t>as a single violation.  (</w:t>
      </w:r>
      <w:r w:rsidRPr="00AC20F7">
        <w:rPr>
          <w:i/>
          <w:sz w:val="24"/>
          <w:szCs w:val="24"/>
        </w:rPr>
        <w:t xml:space="preserve">In the </w:t>
      </w:r>
      <w:r>
        <w:rPr>
          <w:i/>
          <w:sz w:val="24"/>
          <w:szCs w:val="24"/>
        </w:rPr>
        <w:t>M</w:t>
      </w:r>
      <w:r w:rsidRPr="00AC20F7">
        <w:rPr>
          <w:i/>
          <w:sz w:val="24"/>
          <w:szCs w:val="24"/>
        </w:rPr>
        <w:t>atter of Jeffers, supra</w:t>
      </w:r>
      <w:r w:rsidRPr="003D357D">
        <w:rPr>
          <w:sz w:val="24"/>
          <w:szCs w:val="24"/>
        </w:rPr>
        <w:t>, 3 Cal. State Bar Ct. Rptr</w:t>
      </w:r>
      <w:r>
        <w:rPr>
          <w:sz w:val="24"/>
          <w:szCs w:val="24"/>
        </w:rPr>
        <w:t>.</w:t>
      </w:r>
      <w:r w:rsidRPr="003D357D">
        <w:rPr>
          <w:sz w:val="24"/>
          <w:szCs w:val="24"/>
        </w:rPr>
        <w:t xml:space="preserve"> at p. 2</w:t>
      </w:r>
      <w:r>
        <w:rPr>
          <w:sz w:val="24"/>
          <w:szCs w:val="24"/>
        </w:rPr>
        <w:t>2</w:t>
      </w:r>
      <w:r w:rsidRPr="003D357D">
        <w:rPr>
          <w:sz w:val="24"/>
          <w:szCs w:val="24"/>
        </w:rPr>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DF" w:rsidRDefault="002162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DF" w:rsidRDefault="002162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DF" w:rsidRDefault="002162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121"/>
    <w:multiLevelType w:val="hybridMultilevel"/>
    <w:tmpl w:val="A740F1FE"/>
    <w:lvl w:ilvl="0" w:tplc="35903E84">
      <w:start w:val="5"/>
      <w:numFmt w:val="upperRoman"/>
      <w:lvlText w:val="%1."/>
      <w:lvlJc w:val="left"/>
      <w:pPr>
        <w:ind w:left="2925" w:hanging="72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
    <w:nsid w:val="06BA2C3A"/>
    <w:multiLevelType w:val="hybridMultilevel"/>
    <w:tmpl w:val="1BA4B7EA"/>
    <w:lvl w:ilvl="0" w:tplc="A84E43BC">
      <w:start w:val="4"/>
      <w:numFmt w:val="upperRoman"/>
      <w:lvlText w:val="%1."/>
      <w:lvlJc w:val="left"/>
      <w:pPr>
        <w:tabs>
          <w:tab w:val="num" w:pos="1440"/>
        </w:tabs>
        <w:ind w:left="1440" w:hanging="720"/>
      </w:pPr>
      <w:rPr>
        <w:rFonts w:cs="Times New Roman" w:hint="default"/>
      </w:rPr>
    </w:lvl>
    <w:lvl w:ilvl="1" w:tplc="592683EA">
      <w:start w:val="1"/>
      <w:numFmt w:val="upperLetter"/>
      <w:lvlText w:val="%2."/>
      <w:lvlJc w:val="left"/>
      <w:pPr>
        <w:tabs>
          <w:tab w:val="num" w:pos="1800"/>
        </w:tabs>
        <w:ind w:left="1800" w:hanging="360"/>
      </w:pPr>
      <w:rPr>
        <w:rFonts w:ascii="Times New Roman" w:eastAsia="Times New Roman" w:hAnsi="Times New Roman" w:cs="Times New Roman"/>
      </w:rPr>
    </w:lvl>
    <w:lvl w:ilvl="2" w:tplc="09960A50">
      <w:start w:val="1"/>
      <w:numFmt w:val="upperLetter"/>
      <w:lvlText w:val="%3."/>
      <w:lvlJc w:val="left"/>
      <w:pPr>
        <w:tabs>
          <w:tab w:val="num" w:pos="2700"/>
        </w:tabs>
        <w:ind w:left="2700" w:hanging="360"/>
      </w:pPr>
      <w:rPr>
        <w:rFonts w:cs="Times New Roman" w:hint="default"/>
      </w:rPr>
    </w:lvl>
    <w:lvl w:ilvl="3" w:tplc="296091F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0B63A48"/>
    <w:multiLevelType w:val="hybridMultilevel"/>
    <w:tmpl w:val="76C83F1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0E6ED1"/>
    <w:multiLevelType w:val="hybridMultilevel"/>
    <w:tmpl w:val="3F84FE1A"/>
    <w:lvl w:ilvl="0" w:tplc="20B2A32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13205559"/>
    <w:multiLevelType w:val="hybridMultilevel"/>
    <w:tmpl w:val="6CC88F9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144D7593"/>
    <w:multiLevelType w:val="hybridMultilevel"/>
    <w:tmpl w:val="ABE274E4"/>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17F40F9E"/>
    <w:multiLevelType w:val="hybridMultilevel"/>
    <w:tmpl w:val="DEA04D24"/>
    <w:lvl w:ilvl="0" w:tplc="DBB67E98">
      <w:start w:val="1"/>
      <w:numFmt w:val="upperRoman"/>
      <w:lvlText w:val="%1."/>
      <w:lvlJc w:val="left"/>
      <w:pPr>
        <w:ind w:left="1080" w:hanging="72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1EB4215C"/>
    <w:multiLevelType w:val="hybridMultilevel"/>
    <w:tmpl w:val="86B65C50"/>
    <w:lvl w:ilvl="0" w:tplc="D6C26BF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BA4664"/>
    <w:multiLevelType w:val="hybridMultilevel"/>
    <w:tmpl w:val="99F6E05A"/>
    <w:lvl w:ilvl="0" w:tplc="46AA6FE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97B1555"/>
    <w:multiLevelType w:val="hybridMultilevel"/>
    <w:tmpl w:val="8FE86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A3DFB"/>
    <w:multiLevelType w:val="hybridMultilevel"/>
    <w:tmpl w:val="60309902"/>
    <w:lvl w:ilvl="0" w:tplc="80C468EA">
      <w:start w:val="10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510C42"/>
    <w:multiLevelType w:val="hybridMultilevel"/>
    <w:tmpl w:val="4CAA8D22"/>
    <w:lvl w:ilvl="0" w:tplc="DC48439C">
      <w:start w:val="1"/>
      <w:numFmt w:val="upperRoman"/>
      <w:pStyle w:val="Heading3"/>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2FF62718"/>
    <w:multiLevelType w:val="hybridMultilevel"/>
    <w:tmpl w:val="8638AD68"/>
    <w:lvl w:ilvl="0" w:tplc="CCFE9FD0">
      <w:start w:val="1"/>
      <w:numFmt w:val="upperRoman"/>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nsid w:val="32105E1A"/>
    <w:multiLevelType w:val="hybridMultilevel"/>
    <w:tmpl w:val="25602CA6"/>
    <w:lvl w:ilvl="0" w:tplc="A11ACF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2ED5D8F"/>
    <w:multiLevelType w:val="hybridMultilevel"/>
    <w:tmpl w:val="06E4B89A"/>
    <w:lvl w:ilvl="0" w:tplc="08587C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3FD2262"/>
    <w:multiLevelType w:val="hybridMultilevel"/>
    <w:tmpl w:val="A9B065A8"/>
    <w:lvl w:ilvl="0" w:tplc="EFD8E3E0">
      <w:start w:val="6"/>
      <w:numFmt w:val="upp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48E6D58"/>
    <w:multiLevelType w:val="hybridMultilevel"/>
    <w:tmpl w:val="237A7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E54121"/>
    <w:multiLevelType w:val="hybridMultilevel"/>
    <w:tmpl w:val="CE8C4942"/>
    <w:lvl w:ilvl="0" w:tplc="6F744DD8">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3F09006D"/>
    <w:multiLevelType w:val="hybridMultilevel"/>
    <w:tmpl w:val="2D06B902"/>
    <w:lvl w:ilvl="0" w:tplc="249608B4">
      <w:start w:val="2"/>
      <w:numFmt w:val="upperLetter"/>
      <w:pStyle w:val="Heading5"/>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9">
    <w:nsid w:val="40CF0523"/>
    <w:multiLevelType w:val="hybridMultilevel"/>
    <w:tmpl w:val="1BA4B7EA"/>
    <w:lvl w:ilvl="0" w:tplc="A84E43BC">
      <w:start w:val="4"/>
      <w:numFmt w:val="upperRoman"/>
      <w:lvlText w:val="%1."/>
      <w:lvlJc w:val="left"/>
      <w:pPr>
        <w:tabs>
          <w:tab w:val="num" w:pos="1440"/>
        </w:tabs>
        <w:ind w:left="1440" w:hanging="720"/>
      </w:pPr>
      <w:rPr>
        <w:rFonts w:cs="Times New Roman" w:hint="default"/>
      </w:rPr>
    </w:lvl>
    <w:lvl w:ilvl="1" w:tplc="592683EA">
      <w:start w:val="1"/>
      <w:numFmt w:val="upperLetter"/>
      <w:lvlText w:val="%2."/>
      <w:lvlJc w:val="left"/>
      <w:pPr>
        <w:tabs>
          <w:tab w:val="num" w:pos="1800"/>
        </w:tabs>
        <w:ind w:left="1800" w:hanging="360"/>
      </w:pPr>
      <w:rPr>
        <w:rFonts w:ascii="Times New Roman" w:eastAsia="Times New Roman" w:hAnsi="Times New Roman" w:cs="Times New Roman"/>
      </w:rPr>
    </w:lvl>
    <w:lvl w:ilvl="2" w:tplc="09960A50">
      <w:start w:val="1"/>
      <w:numFmt w:val="upperLetter"/>
      <w:lvlText w:val="%3."/>
      <w:lvlJc w:val="left"/>
      <w:pPr>
        <w:tabs>
          <w:tab w:val="num" w:pos="2700"/>
        </w:tabs>
        <w:ind w:left="2700" w:hanging="360"/>
      </w:pPr>
      <w:rPr>
        <w:rFonts w:cs="Times New Roman" w:hint="default"/>
      </w:rPr>
    </w:lvl>
    <w:lvl w:ilvl="3" w:tplc="296091F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20877DB"/>
    <w:multiLevelType w:val="hybridMultilevel"/>
    <w:tmpl w:val="D6E0E9FC"/>
    <w:lvl w:ilvl="0" w:tplc="D9FE5F7E">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42614904"/>
    <w:multiLevelType w:val="hybridMultilevel"/>
    <w:tmpl w:val="AD24CC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B9E3CC6"/>
    <w:multiLevelType w:val="hybridMultilevel"/>
    <w:tmpl w:val="8A685A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CDE151A"/>
    <w:multiLevelType w:val="hybridMultilevel"/>
    <w:tmpl w:val="B672CD58"/>
    <w:lvl w:ilvl="0" w:tplc="144020D4">
      <w:start w:val="1"/>
      <w:numFmt w:val="decimal"/>
      <w:lvlText w:val="%1."/>
      <w:lvlJc w:val="left"/>
      <w:pPr>
        <w:tabs>
          <w:tab w:val="num" w:pos="1800"/>
        </w:tabs>
        <w:ind w:left="1800" w:hanging="108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nsid w:val="4F6635EA"/>
    <w:multiLevelType w:val="hybridMultilevel"/>
    <w:tmpl w:val="B288A8A2"/>
    <w:lvl w:ilvl="0" w:tplc="0846E2F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37AFE"/>
    <w:multiLevelType w:val="hybridMultilevel"/>
    <w:tmpl w:val="EE48FA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C246B"/>
    <w:multiLevelType w:val="hybridMultilevel"/>
    <w:tmpl w:val="864EBFFE"/>
    <w:lvl w:ilvl="0" w:tplc="DB62B7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947AA5"/>
    <w:multiLevelType w:val="hybridMultilevel"/>
    <w:tmpl w:val="4A2617DA"/>
    <w:lvl w:ilvl="0" w:tplc="CFE073EA">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8">
    <w:nsid w:val="595B3622"/>
    <w:multiLevelType w:val="hybridMultilevel"/>
    <w:tmpl w:val="999EBCEA"/>
    <w:lvl w:ilvl="0" w:tplc="28B2BC7C">
      <w:start w:val="1"/>
      <w:numFmt w:val="upperRoman"/>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9">
    <w:nsid w:val="5C2B24A7"/>
    <w:multiLevelType w:val="hybridMultilevel"/>
    <w:tmpl w:val="3C0E30F4"/>
    <w:lvl w:ilvl="0" w:tplc="C2607572">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685EC8"/>
    <w:multiLevelType w:val="hybridMultilevel"/>
    <w:tmpl w:val="D2049FB8"/>
    <w:lvl w:ilvl="0" w:tplc="F6944402">
      <w:start w:val="1"/>
      <w:numFmt w:val="upperLetter"/>
      <w:lvlText w:val="%1."/>
      <w:lvlJc w:val="left"/>
      <w:pPr>
        <w:ind w:left="1125" w:hanging="360"/>
      </w:pPr>
      <w:rPr>
        <w:rFonts w:ascii="Times New Roman" w:hAnsi="Times New Roman" w:cs="Times New Roman" w:hint="default"/>
        <w:b/>
        <w:bCs/>
      </w:rPr>
    </w:lvl>
    <w:lvl w:ilvl="1" w:tplc="04090019">
      <w:start w:val="1"/>
      <w:numFmt w:val="lowerLetter"/>
      <w:lvlText w:val="%2."/>
      <w:lvlJc w:val="left"/>
      <w:pPr>
        <w:ind w:left="1845" w:hanging="360"/>
      </w:pPr>
      <w:rPr>
        <w:rFonts w:ascii="Times New Roman" w:hAnsi="Times New Roman" w:cs="Times New Roman"/>
      </w:rPr>
    </w:lvl>
    <w:lvl w:ilvl="2" w:tplc="0409001B">
      <w:start w:val="1"/>
      <w:numFmt w:val="lowerRoman"/>
      <w:lvlText w:val="%3."/>
      <w:lvlJc w:val="right"/>
      <w:pPr>
        <w:ind w:left="2565" w:hanging="180"/>
      </w:pPr>
      <w:rPr>
        <w:rFonts w:ascii="Times New Roman" w:hAnsi="Times New Roman" w:cs="Times New Roman"/>
      </w:rPr>
    </w:lvl>
    <w:lvl w:ilvl="3" w:tplc="0409000F">
      <w:start w:val="1"/>
      <w:numFmt w:val="decimal"/>
      <w:lvlText w:val="%4."/>
      <w:lvlJc w:val="left"/>
      <w:pPr>
        <w:ind w:left="3285" w:hanging="360"/>
      </w:pPr>
      <w:rPr>
        <w:rFonts w:ascii="Times New Roman" w:hAnsi="Times New Roman" w:cs="Times New Roman"/>
      </w:rPr>
    </w:lvl>
    <w:lvl w:ilvl="4" w:tplc="04090019">
      <w:start w:val="1"/>
      <w:numFmt w:val="lowerLetter"/>
      <w:lvlText w:val="%5."/>
      <w:lvlJc w:val="left"/>
      <w:pPr>
        <w:ind w:left="4005" w:hanging="360"/>
      </w:pPr>
      <w:rPr>
        <w:rFonts w:ascii="Times New Roman" w:hAnsi="Times New Roman" w:cs="Times New Roman"/>
      </w:rPr>
    </w:lvl>
    <w:lvl w:ilvl="5" w:tplc="0409001B">
      <w:start w:val="1"/>
      <w:numFmt w:val="lowerRoman"/>
      <w:lvlText w:val="%6."/>
      <w:lvlJc w:val="right"/>
      <w:pPr>
        <w:ind w:left="4725" w:hanging="180"/>
      </w:pPr>
      <w:rPr>
        <w:rFonts w:ascii="Times New Roman" w:hAnsi="Times New Roman" w:cs="Times New Roman"/>
      </w:rPr>
    </w:lvl>
    <w:lvl w:ilvl="6" w:tplc="0409000F">
      <w:start w:val="1"/>
      <w:numFmt w:val="decimal"/>
      <w:lvlText w:val="%7."/>
      <w:lvlJc w:val="left"/>
      <w:pPr>
        <w:ind w:left="5445" w:hanging="360"/>
      </w:pPr>
      <w:rPr>
        <w:rFonts w:ascii="Times New Roman" w:hAnsi="Times New Roman" w:cs="Times New Roman"/>
      </w:rPr>
    </w:lvl>
    <w:lvl w:ilvl="7" w:tplc="04090019">
      <w:start w:val="1"/>
      <w:numFmt w:val="lowerLetter"/>
      <w:lvlText w:val="%8."/>
      <w:lvlJc w:val="left"/>
      <w:pPr>
        <w:ind w:left="6165" w:hanging="360"/>
      </w:pPr>
      <w:rPr>
        <w:rFonts w:ascii="Times New Roman" w:hAnsi="Times New Roman" w:cs="Times New Roman"/>
      </w:rPr>
    </w:lvl>
    <w:lvl w:ilvl="8" w:tplc="0409001B">
      <w:start w:val="1"/>
      <w:numFmt w:val="lowerRoman"/>
      <w:lvlText w:val="%9."/>
      <w:lvlJc w:val="right"/>
      <w:pPr>
        <w:ind w:left="6885" w:hanging="180"/>
      </w:pPr>
      <w:rPr>
        <w:rFonts w:ascii="Times New Roman" w:hAnsi="Times New Roman" w:cs="Times New Roman"/>
      </w:rPr>
    </w:lvl>
  </w:abstractNum>
  <w:abstractNum w:abstractNumId="31">
    <w:nsid w:val="6AE75C6E"/>
    <w:multiLevelType w:val="hybridMultilevel"/>
    <w:tmpl w:val="F0AEF600"/>
    <w:lvl w:ilvl="0" w:tplc="4E00CD20">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2">
    <w:nsid w:val="6CCE7198"/>
    <w:multiLevelType w:val="hybridMultilevel"/>
    <w:tmpl w:val="F24013DC"/>
    <w:lvl w:ilvl="0" w:tplc="23968B34">
      <w:start w:val="1"/>
      <w:numFmt w:val="decimal"/>
      <w:lvlText w:val="%1."/>
      <w:lvlJc w:val="left"/>
      <w:pPr>
        <w:tabs>
          <w:tab w:val="num" w:pos="1140"/>
        </w:tabs>
        <w:ind w:left="1140" w:hanging="4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3">
    <w:nsid w:val="728A5960"/>
    <w:multiLevelType w:val="hybridMultilevel"/>
    <w:tmpl w:val="835A981C"/>
    <w:lvl w:ilvl="0" w:tplc="8CC4CB58">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EC646C"/>
    <w:multiLevelType w:val="hybridMultilevel"/>
    <w:tmpl w:val="9AA07F7C"/>
    <w:lvl w:ilvl="0" w:tplc="A3A434F2">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77793B05"/>
    <w:multiLevelType w:val="hybridMultilevel"/>
    <w:tmpl w:val="74F69A4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B327978"/>
    <w:multiLevelType w:val="hybridMultilevel"/>
    <w:tmpl w:val="8DC68C12"/>
    <w:lvl w:ilvl="0" w:tplc="631A6672">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17"/>
  </w:num>
  <w:num w:numId="2">
    <w:abstractNumId w:val="20"/>
  </w:num>
  <w:num w:numId="3">
    <w:abstractNumId w:val="34"/>
  </w:num>
  <w:num w:numId="4">
    <w:abstractNumId w:val="3"/>
  </w:num>
  <w:num w:numId="5">
    <w:abstractNumId w:val="12"/>
  </w:num>
  <w:num w:numId="6">
    <w:abstractNumId w:val="5"/>
  </w:num>
  <w:num w:numId="7">
    <w:abstractNumId w:val="6"/>
  </w:num>
  <w:num w:numId="8">
    <w:abstractNumId w:val="30"/>
  </w:num>
  <w:num w:numId="9">
    <w:abstractNumId w:val="36"/>
  </w:num>
  <w:num w:numId="10">
    <w:abstractNumId w:val="28"/>
  </w:num>
  <w:num w:numId="11">
    <w:abstractNumId w:val="31"/>
  </w:num>
  <w:num w:numId="12">
    <w:abstractNumId w:val="11"/>
  </w:num>
  <w:num w:numId="13">
    <w:abstractNumId w:val="27"/>
  </w:num>
  <w:num w:numId="14">
    <w:abstractNumId w:val="32"/>
  </w:num>
  <w:num w:numId="15">
    <w:abstractNumId w:val="15"/>
  </w:num>
  <w:num w:numId="16">
    <w:abstractNumId w:val="18"/>
  </w:num>
  <w:num w:numId="17">
    <w:abstractNumId w:val="23"/>
  </w:num>
  <w:num w:numId="18">
    <w:abstractNumId w:val="18"/>
    <w:lvlOverride w:ilvl="0">
      <w:startOverride w:val="4"/>
    </w:lvlOverride>
  </w:num>
  <w:num w:numId="19">
    <w:abstractNumId w:val="7"/>
  </w:num>
  <w:num w:numId="20">
    <w:abstractNumId w:val="4"/>
  </w:num>
  <w:num w:numId="21">
    <w:abstractNumId w:val="21"/>
  </w:num>
  <w:num w:numId="22">
    <w:abstractNumId w:val="22"/>
  </w:num>
  <w:num w:numId="23">
    <w:abstractNumId w:val="16"/>
  </w:num>
  <w:num w:numId="24">
    <w:abstractNumId w:val="14"/>
  </w:num>
  <w:num w:numId="25">
    <w:abstractNumId w:val="2"/>
  </w:num>
  <w:num w:numId="26">
    <w:abstractNumId w:val="13"/>
  </w:num>
  <w:num w:numId="27">
    <w:abstractNumId w:val="19"/>
  </w:num>
  <w:num w:numId="28">
    <w:abstractNumId w:val="35"/>
  </w:num>
  <w:num w:numId="29">
    <w:abstractNumId w:val="8"/>
  </w:num>
  <w:num w:numId="30">
    <w:abstractNumId w:val="1"/>
  </w:num>
  <w:num w:numId="31">
    <w:abstractNumId w:val="25"/>
  </w:num>
  <w:num w:numId="32">
    <w:abstractNumId w:val="26"/>
  </w:num>
  <w:num w:numId="33">
    <w:abstractNumId w:val="29"/>
  </w:num>
  <w:num w:numId="34">
    <w:abstractNumId w:val="33"/>
  </w:num>
  <w:num w:numId="35">
    <w:abstractNumId w:val="0"/>
  </w:num>
  <w:num w:numId="36">
    <w:abstractNumId w:val="10"/>
  </w:num>
  <w:num w:numId="37">
    <w:abstractNumId w:val="2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3D38FF"/>
    <w:rsid w:val="00001861"/>
    <w:rsid w:val="000057C1"/>
    <w:rsid w:val="00010C55"/>
    <w:rsid w:val="00011770"/>
    <w:rsid w:val="00012DB7"/>
    <w:rsid w:val="00014580"/>
    <w:rsid w:val="00015540"/>
    <w:rsid w:val="000173C3"/>
    <w:rsid w:val="0002089D"/>
    <w:rsid w:val="00022EB9"/>
    <w:rsid w:val="00023193"/>
    <w:rsid w:val="000246E4"/>
    <w:rsid w:val="00025FA8"/>
    <w:rsid w:val="00031A27"/>
    <w:rsid w:val="00032EBF"/>
    <w:rsid w:val="000342B9"/>
    <w:rsid w:val="00046638"/>
    <w:rsid w:val="000501A6"/>
    <w:rsid w:val="0005030A"/>
    <w:rsid w:val="00056D88"/>
    <w:rsid w:val="00057CEF"/>
    <w:rsid w:val="00067F24"/>
    <w:rsid w:val="000736EC"/>
    <w:rsid w:val="00076349"/>
    <w:rsid w:val="000778D1"/>
    <w:rsid w:val="00080012"/>
    <w:rsid w:val="000804F0"/>
    <w:rsid w:val="00080BB6"/>
    <w:rsid w:val="0008448E"/>
    <w:rsid w:val="00086EC3"/>
    <w:rsid w:val="00090898"/>
    <w:rsid w:val="00092823"/>
    <w:rsid w:val="00092C9A"/>
    <w:rsid w:val="000976F3"/>
    <w:rsid w:val="000977D8"/>
    <w:rsid w:val="000A49AF"/>
    <w:rsid w:val="000A4E1C"/>
    <w:rsid w:val="000A5688"/>
    <w:rsid w:val="000A68ED"/>
    <w:rsid w:val="000B0016"/>
    <w:rsid w:val="000B353A"/>
    <w:rsid w:val="000B35F2"/>
    <w:rsid w:val="000B6806"/>
    <w:rsid w:val="000C07BC"/>
    <w:rsid w:val="000C55A1"/>
    <w:rsid w:val="000C5C26"/>
    <w:rsid w:val="000C6683"/>
    <w:rsid w:val="000D29AE"/>
    <w:rsid w:val="000D40E8"/>
    <w:rsid w:val="000D7965"/>
    <w:rsid w:val="000E07C5"/>
    <w:rsid w:val="000E397E"/>
    <w:rsid w:val="000E431D"/>
    <w:rsid w:val="000E7F2C"/>
    <w:rsid w:val="000F0892"/>
    <w:rsid w:val="000F0D0B"/>
    <w:rsid w:val="000F2D15"/>
    <w:rsid w:val="000F3D56"/>
    <w:rsid w:val="000F419C"/>
    <w:rsid w:val="000F67C2"/>
    <w:rsid w:val="000F6BEC"/>
    <w:rsid w:val="001102A4"/>
    <w:rsid w:val="001205E3"/>
    <w:rsid w:val="00120A03"/>
    <w:rsid w:val="001222EB"/>
    <w:rsid w:val="00123164"/>
    <w:rsid w:val="00125BE8"/>
    <w:rsid w:val="0012632C"/>
    <w:rsid w:val="00126DDF"/>
    <w:rsid w:val="00127BA6"/>
    <w:rsid w:val="00127FC6"/>
    <w:rsid w:val="00130516"/>
    <w:rsid w:val="001330BA"/>
    <w:rsid w:val="00135C95"/>
    <w:rsid w:val="00135DF2"/>
    <w:rsid w:val="00136E71"/>
    <w:rsid w:val="0014132E"/>
    <w:rsid w:val="00142BB3"/>
    <w:rsid w:val="00143135"/>
    <w:rsid w:val="0014412D"/>
    <w:rsid w:val="00146869"/>
    <w:rsid w:val="00151299"/>
    <w:rsid w:val="00151D55"/>
    <w:rsid w:val="00152C61"/>
    <w:rsid w:val="001530D3"/>
    <w:rsid w:val="00164674"/>
    <w:rsid w:val="001654F0"/>
    <w:rsid w:val="00165BCF"/>
    <w:rsid w:val="00165D17"/>
    <w:rsid w:val="00167BC6"/>
    <w:rsid w:val="001707F4"/>
    <w:rsid w:val="00172F88"/>
    <w:rsid w:val="00173D16"/>
    <w:rsid w:val="001743BC"/>
    <w:rsid w:val="00175A86"/>
    <w:rsid w:val="00176511"/>
    <w:rsid w:val="001770D4"/>
    <w:rsid w:val="001807DB"/>
    <w:rsid w:val="00180AF8"/>
    <w:rsid w:val="00183B21"/>
    <w:rsid w:val="001869C3"/>
    <w:rsid w:val="001879C6"/>
    <w:rsid w:val="00191AD8"/>
    <w:rsid w:val="0019236B"/>
    <w:rsid w:val="00193874"/>
    <w:rsid w:val="00193E0E"/>
    <w:rsid w:val="0019493D"/>
    <w:rsid w:val="001A0F42"/>
    <w:rsid w:val="001A4AB8"/>
    <w:rsid w:val="001A7A18"/>
    <w:rsid w:val="001B13D8"/>
    <w:rsid w:val="001B28CC"/>
    <w:rsid w:val="001B358A"/>
    <w:rsid w:val="001B44CB"/>
    <w:rsid w:val="001B4D45"/>
    <w:rsid w:val="001B505F"/>
    <w:rsid w:val="001B563F"/>
    <w:rsid w:val="001B59DF"/>
    <w:rsid w:val="001B5B91"/>
    <w:rsid w:val="001C0BAC"/>
    <w:rsid w:val="001C1B1F"/>
    <w:rsid w:val="001C3B0F"/>
    <w:rsid w:val="001C401E"/>
    <w:rsid w:val="001C5585"/>
    <w:rsid w:val="001C6DCA"/>
    <w:rsid w:val="001D0928"/>
    <w:rsid w:val="001D162E"/>
    <w:rsid w:val="001D4EA9"/>
    <w:rsid w:val="001E0654"/>
    <w:rsid w:val="001E09F6"/>
    <w:rsid w:val="001E0E87"/>
    <w:rsid w:val="001E2977"/>
    <w:rsid w:val="001E2B8D"/>
    <w:rsid w:val="001E311A"/>
    <w:rsid w:val="001E41E2"/>
    <w:rsid w:val="001E4A55"/>
    <w:rsid w:val="001E73E9"/>
    <w:rsid w:val="001F0F0A"/>
    <w:rsid w:val="001F1AF4"/>
    <w:rsid w:val="001F2B58"/>
    <w:rsid w:val="001F300C"/>
    <w:rsid w:val="001F43A0"/>
    <w:rsid w:val="001F4B66"/>
    <w:rsid w:val="001F5DC4"/>
    <w:rsid w:val="001F606D"/>
    <w:rsid w:val="001F6102"/>
    <w:rsid w:val="001F67EC"/>
    <w:rsid w:val="00200C9B"/>
    <w:rsid w:val="00200CEF"/>
    <w:rsid w:val="00202C26"/>
    <w:rsid w:val="002073F9"/>
    <w:rsid w:val="002133A9"/>
    <w:rsid w:val="002162DF"/>
    <w:rsid w:val="00216798"/>
    <w:rsid w:val="002179E5"/>
    <w:rsid w:val="002213B2"/>
    <w:rsid w:val="00221AA5"/>
    <w:rsid w:val="002222E8"/>
    <w:rsid w:val="00222A39"/>
    <w:rsid w:val="00226EDC"/>
    <w:rsid w:val="002273E9"/>
    <w:rsid w:val="00230CA7"/>
    <w:rsid w:val="002319F6"/>
    <w:rsid w:val="00240C19"/>
    <w:rsid w:val="00244AA7"/>
    <w:rsid w:val="00247EC3"/>
    <w:rsid w:val="0025131C"/>
    <w:rsid w:val="00252A04"/>
    <w:rsid w:val="00255513"/>
    <w:rsid w:val="00264E23"/>
    <w:rsid w:val="0026541E"/>
    <w:rsid w:val="0026585C"/>
    <w:rsid w:val="00265EC7"/>
    <w:rsid w:val="002701BE"/>
    <w:rsid w:val="00270263"/>
    <w:rsid w:val="00270C9D"/>
    <w:rsid w:val="0027104A"/>
    <w:rsid w:val="00272955"/>
    <w:rsid w:val="0027624D"/>
    <w:rsid w:val="00276C29"/>
    <w:rsid w:val="002777EA"/>
    <w:rsid w:val="002800AF"/>
    <w:rsid w:val="0028194B"/>
    <w:rsid w:val="0028299C"/>
    <w:rsid w:val="002848B0"/>
    <w:rsid w:val="0028623B"/>
    <w:rsid w:val="00286E99"/>
    <w:rsid w:val="00291104"/>
    <w:rsid w:val="002915E8"/>
    <w:rsid w:val="002918DF"/>
    <w:rsid w:val="002946D4"/>
    <w:rsid w:val="002959B4"/>
    <w:rsid w:val="002A5DCD"/>
    <w:rsid w:val="002A6F5E"/>
    <w:rsid w:val="002B3303"/>
    <w:rsid w:val="002B35C8"/>
    <w:rsid w:val="002B3697"/>
    <w:rsid w:val="002B6608"/>
    <w:rsid w:val="002B770D"/>
    <w:rsid w:val="002C0E76"/>
    <w:rsid w:val="002C1919"/>
    <w:rsid w:val="002C326A"/>
    <w:rsid w:val="002C35F0"/>
    <w:rsid w:val="002C56D3"/>
    <w:rsid w:val="002C778B"/>
    <w:rsid w:val="002C78C6"/>
    <w:rsid w:val="002D036A"/>
    <w:rsid w:val="002D1BD7"/>
    <w:rsid w:val="002D2934"/>
    <w:rsid w:val="002D3F5E"/>
    <w:rsid w:val="002D4759"/>
    <w:rsid w:val="002D5110"/>
    <w:rsid w:val="002D727B"/>
    <w:rsid w:val="002E3808"/>
    <w:rsid w:val="002E4242"/>
    <w:rsid w:val="002E6792"/>
    <w:rsid w:val="002E6BE9"/>
    <w:rsid w:val="002E77BA"/>
    <w:rsid w:val="002F3650"/>
    <w:rsid w:val="002F45AA"/>
    <w:rsid w:val="002F4B74"/>
    <w:rsid w:val="002F5CB7"/>
    <w:rsid w:val="002F7E30"/>
    <w:rsid w:val="003016E4"/>
    <w:rsid w:val="00303B59"/>
    <w:rsid w:val="003056DD"/>
    <w:rsid w:val="00306204"/>
    <w:rsid w:val="00306836"/>
    <w:rsid w:val="003072DE"/>
    <w:rsid w:val="0030772A"/>
    <w:rsid w:val="00311F8B"/>
    <w:rsid w:val="00314467"/>
    <w:rsid w:val="00327180"/>
    <w:rsid w:val="00331C3E"/>
    <w:rsid w:val="00334021"/>
    <w:rsid w:val="00340F07"/>
    <w:rsid w:val="00341DE1"/>
    <w:rsid w:val="00344611"/>
    <w:rsid w:val="00344D79"/>
    <w:rsid w:val="00345F28"/>
    <w:rsid w:val="00347131"/>
    <w:rsid w:val="0034759B"/>
    <w:rsid w:val="0035273B"/>
    <w:rsid w:val="00352A48"/>
    <w:rsid w:val="00355416"/>
    <w:rsid w:val="003556E6"/>
    <w:rsid w:val="0035585D"/>
    <w:rsid w:val="003579D6"/>
    <w:rsid w:val="0036112B"/>
    <w:rsid w:val="003645AE"/>
    <w:rsid w:val="00366AE8"/>
    <w:rsid w:val="00370AB4"/>
    <w:rsid w:val="00371830"/>
    <w:rsid w:val="00372BD0"/>
    <w:rsid w:val="003733BA"/>
    <w:rsid w:val="00373CDF"/>
    <w:rsid w:val="003758B9"/>
    <w:rsid w:val="0038176F"/>
    <w:rsid w:val="00383216"/>
    <w:rsid w:val="00385F62"/>
    <w:rsid w:val="00387E62"/>
    <w:rsid w:val="00393562"/>
    <w:rsid w:val="00396B92"/>
    <w:rsid w:val="003970FF"/>
    <w:rsid w:val="003A63B9"/>
    <w:rsid w:val="003A6EA3"/>
    <w:rsid w:val="003A77D6"/>
    <w:rsid w:val="003B4180"/>
    <w:rsid w:val="003C1C00"/>
    <w:rsid w:val="003C4261"/>
    <w:rsid w:val="003C4686"/>
    <w:rsid w:val="003C4795"/>
    <w:rsid w:val="003C4EF6"/>
    <w:rsid w:val="003C5312"/>
    <w:rsid w:val="003C7D8F"/>
    <w:rsid w:val="003D357D"/>
    <w:rsid w:val="003D38FF"/>
    <w:rsid w:val="003D407B"/>
    <w:rsid w:val="003D42A2"/>
    <w:rsid w:val="003D452B"/>
    <w:rsid w:val="003D6886"/>
    <w:rsid w:val="003E1F29"/>
    <w:rsid w:val="003E260B"/>
    <w:rsid w:val="003E2A1B"/>
    <w:rsid w:val="003E2A59"/>
    <w:rsid w:val="003E3AC0"/>
    <w:rsid w:val="003F79E8"/>
    <w:rsid w:val="00400217"/>
    <w:rsid w:val="004003E0"/>
    <w:rsid w:val="00402F26"/>
    <w:rsid w:val="00403F57"/>
    <w:rsid w:val="00410C59"/>
    <w:rsid w:val="0041150F"/>
    <w:rsid w:val="00413A91"/>
    <w:rsid w:val="004150C5"/>
    <w:rsid w:val="00416671"/>
    <w:rsid w:val="00416CCC"/>
    <w:rsid w:val="00416D42"/>
    <w:rsid w:val="00416E81"/>
    <w:rsid w:val="004255C4"/>
    <w:rsid w:val="00426974"/>
    <w:rsid w:val="00427031"/>
    <w:rsid w:val="00432231"/>
    <w:rsid w:val="004333FE"/>
    <w:rsid w:val="00433615"/>
    <w:rsid w:val="00433D09"/>
    <w:rsid w:val="00437CD2"/>
    <w:rsid w:val="0044157B"/>
    <w:rsid w:val="00443BC2"/>
    <w:rsid w:val="00444674"/>
    <w:rsid w:val="004449EE"/>
    <w:rsid w:val="0045312F"/>
    <w:rsid w:val="0045318D"/>
    <w:rsid w:val="00455240"/>
    <w:rsid w:val="004559BB"/>
    <w:rsid w:val="004568C4"/>
    <w:rsid w:val="0045699D"/>
    <w:rsid w:val="00457774"/>
    <w:rsid w:val="00457C1B"/>
    <w:rsid w:val="00464EC0"/>
    <w:rsid w:val="00465FAC"/>
    <w:rsid w:val="0047167B"/>
    <w:rsid w:val="00472A16"/>
    <w:rsid w:val="004800C2"/>
    <w:rsid w:val="00481B24"/>
    <w:rsid w:val="00482727"/>
    <w:rsid w:val="004833A6"/>
    <w:rsid w:val="0048340D"/>
    <w:rsid w:val="004845FF"/>
    <w:rsid w:val="00486771"/>
    <w:rsid w:val="00486F5B"/>
    <w:rsid w:val="00487284"/>
    <w:rsid w:val="00487CB5"/>
    <w:rsid w:val="004914FF"/>
    <w:rsid w:val="004934D1"/>
    <w:rsid w:val="00493FC3"/>
    <w:rsid w:val="004953E1"/>
    <w:rsid w:val="00495BDC"/>
    <w:rsid w:val="00495F62"/>
    <w:rsid w:val="0049732D"/>
    <w:rsid w:val="00497481"/>
    <w:rsid w:val="004976F0"/>
    <w:rsid w:val="004A1C62"/>
    <w:rsid w:val="004A4EA4"/>
    <w:rsid w:val="004A5162"/>
    <w:rsid w:val="004A6DDC"/>
    <w:rsid w:val="004B0D63"/>
    <w:rsid w:val="004B1B2F"/>
    <w:rsid w:val="004B29C2"/>
    <w:rsid w:val="004B35FD"/>
    <w:rsid w:val="004B3612"/>
    <w:rsid w:val="004B46DF"/>
    <w:rsid w:val="004B7D73"/>
    <w:rsid w:val="004C2991"/>
    <w:rsid w:val="004C42D9"/>
    <w:rsid w:val="004C6552"/>
    <w:rsid w:val="004C6B24"/>
    <w:rsid w:val="004C7231"/>
    <w:rsid w:val="004D0E44"/>
    <w:rsid w:val="004D32B3"/>
    <w:rsid w:val="004D35EA"/>
    <w:rsid w:val="004D52B8"/>
    <w:rsid w:val="004D64C3"/>
    <w:rsid w:val="004D67C9"/>
    <w:rsid w:val="004D746F"/>
    <w:rsid w:val="004E0B6C"/>
    <w:rsid w:val="004E4142"/>
    <w:rsid w:val="004E548C"/>
    <w:rsid w:val="004E6CCA"/>
    <w:rsid w:val="004F081C"/>
    <w:rsid w:val="004F2F89"/>
    <w:rsid w:val="004F6DF6"/>
    <w:rsid w:val="004F7FDD"/>
    <w:rsid w:val="005000D1"/>
    <w:rsid w:val="00500EBC"/>
    <w:rsid w:val="00501F3E"/>
    <w:rsid w:val="005034DB"/>
    <w:rsid w:val="0050522F"/>
    <w:rsid w:val="0050535F"/>
    <w:rsid w:val="00506363"/>
    <w:rsid w:val="00506F08"/>
    <w:rsid w:val="00507B75"/>
    <w:rsid w:val="005105EE"/>
    <w:rsid w:val="00510CC3"/>
    <w:rsid w:val="00513589"/>
    <w:rsid w:val="00514361"/>
    <w:rsid w:val="00515E6B"/>
    <w:rsid w:val="00517DF8"/>
    <w:rsid w:val="00517E56"/>
    <w:rsid w:val="00521FE2"/>
    <w:rsid w:val="00522E27"/>
    <w:rsid w:val="00522EC3"/>
    <w:rsid w:val="00527353"/>
    <w:rsid w:val="00532112"/>
    <w:rsid w:val="00532AD5"/>
    <w:rsid w:val="005404BF"/>
    <w:rsid w:val="00543E70"/>
    <w:rsid w:val="005443D0"/>
    <w:rsid w:val="00544C7E"/>
    <w:rsid w:val="00545163"/>
    <w:rsid w:val="00551007"/>
    <w:rsid w:val="00551842"/>
    <w:rsid w:val="00556763"/>
    <w:rsid w:val="00560A9D"/>
    <w:rsid w:val="00566CE5"/>
    <w:rsid w:val="00566F54"/>
    <w:rsid w:val="0057236F"/>
    <w:rsid w:val="00575DDC"/>
    <w:rsid w:val="00584148"/>
    <w:rsid w:val="0058428F"/>
    <w:rsid w:val="00584A7F"/>
    <w:rsid w:val="005851EA"/>
    <w:rsid w:val="005852B4"/>
    <w:rsid w:val="00586365"/>
    <w:rsid w:val="005915ED"/>
    <w:rsid w:val="00591C26"/>
    <w:rsid w:val="00592494"/>
    <w:rsid w:val="0059261F"/>
    <w:rsid w:val="00592AE1"/>
    <w:rsid w:val="00592B0C"/>
    <w:rsid w:val="00593B31"/>
    <w:rsid w:val="00594BCD"/>
    <w:rsid w:val="0059667A"/>
    <w:rsid w:val="005A1022"/>
    <w:rsid w:val="005A4EFC"/>
    <w:rsid w:val="005A51DF"/>
    <w:rsid w:val="005A62AC"/>
    <w:rsid w:val="005A6A87"/>
    <w:rsid w:val="005B0067"/>
    <w:rsid w:val="005B172D"/>
    <w:rsid w:val="005B3828"/>
    <w:rsid w:val="005B3D93"/>
    <w:rsid w:val="005B503B"/>
    <w:rsid w:val="005B6BAF"/>
    <w:rsid w:val="005C0059"/>
    <w:rsid w:val="005C2F03"/>
    <w:rsid w:val="005C4FFA"/>
    <w:rsid w:val="005C52BE"/>
    <w:rsid w:val="005C54C6"/>
    <w:rsid w:val="005C5A12"/>
    <w:rsid w:val="005C7653"/>
    <w:rsid w:val="005D06A2"/>
    <w:rsid w:val="005D2C9A"/>
    <w:rsid w:val="005D2E70"/>
    <w:rsid w:val="005D4439"/>
    <w:rsid w:val="005D5303"/>
    <w:rsid w:val="005D5C32"/>
    <w:rsid w:val="005D65A1"/>
    <w:rsid w:val="005E0359"/>
    <w:rsid w:val="005E0429"/>
    <w:rsid w:val="005E0FCC"/>
    <w:rsid w:val="005E30EB"/>
    <w:rsid w:val="005E352F"/>
    <w:rsid w:val="005E41C4"/>
    <w:rsid w:val="005E7333"/>
    <w:rsid w:val="005E7E8B"/>
    <w:rsid w:val="005E7F39"/>
    <w:rsid w:val="005F06EE"/>
    <w:rsid w:val="005F129C"/>
    <w:rsid w:val="005F1736"/>
    <w:rsid w:val="005F3055"/>
    <w:rsid w:val="005F4921"/>
    <w:rsid w:val="005F493B"/>
    <w:rsid w:val="005F51CA"/>
    <w:rsid w:val="005F64F9"/>
    <w:rsid w:val="00601F6D"/>
    <w:rsid w:val="00604B4C"/>
    <w:rsid w:val="00604F70"/>
    <w:rsid w:val="0060695C"/>
    <w:rsid w:val="0060705F"/>
    <w:rsid w:val="00607497"/>
    <w:rsid w:val="00610ACA"/>
    <w:rsid w:val="006151F6"/>
    <w:rsid w:val="00615748"/>
    <w:rsid w:val="00616C21"/>
    <w:rsid w:val="006209D6"/>
    <w:rsid w:val="00622537"/>
    <w:rsid w:val="0062382F"/>
    <w:rsid w:val="00625E69"/>
    <w:rsid w:val="00632B8F"/>
    <w:rsid w:val="00633BA2"/>
    <w:rsid w:val="00635533"/>
    <w:rsid w:val="00635D5D"/>
    <w:rsid w:val="0063762B"/>
    <w:rsid w:val="00640BC2"/>
    <w:rsid w:val="00641525"/>
    <w:rsid w:val="00642088"/>
    <w:rsid w:val="0065200B"/>
    <w:rsid w:val="0065249B"/>
    <w:rsid w:val="00652740"/>
    <w:rsid w:val="0065772E"/>
    <w:rsid w:val="006615E6"/>
    <w:rsid w:val="00663915"/>
    <w:rsid w:val="0066400F"/>
    <w:rsid w:val="00665C50"/>
    <w:rsid w:val="00670BF0"/>
    <w:rsid w:val="00671FA1"/>
    <w:rsid w:val="00672BDA"/>
    <w:rsid w:val="00672BF4"/>
    <w:rsid w:val="0067411B"/>
    <w:rsid w:val="00675742"/>
    <w:rsid w:val="00676647"/>
    <w:rsid w:val="00680601"/>
    <w:rsid w:val="0068093C"/>
    <w:rsid w:val="00684F23"/>
    <w:rsid w:val="00686B33"/>
    <w:rsid w:val="00687E28"/>
    <w:rsid w:val="00692B87"/>
    <w:rsid w:val="00693212"/>
    <w:rsid w:val="00694387"/>
    <w:rsid w:val="006A75A9"/>
    <w:rsid w:val="006B157B"/>
    <w:rsid w:val="006B5FBB"/>
    <w:rsid w:val="006B73A6"/>
    <w:rsid w:val="006C0294"/>
    <w:rsid w:val="006C1CC4"/>
    <w:rsid w:val="006C4800"/>
    <w:rsid w:val="006C483F"/>
    <w:rsid w:val="006C763E"/>
    <w:rsid w:val="006D1346"/>
    <w:rsid w:val="006D2623"/>
    <w:rsid w:val="006D6D7A"/>
    <w:rsid w:val="006D7A0C"/>
    <w:rsid w:val="006E17DA"/>
    <w:rsid w:val="006E22A9"/>
    <w:rsid w:val="006E3A77"/>
    <w:rsid w:val="006E47FD"/>
    <w:rsid w:val="006F10AE"/>
    <w:rsid w:val="006F1624"/>
    <w:rsid w:val="006F176D"/>
    <w:rsid w:val="006F1FDC"/>
    <w:rsid w:val="007014C7"/>
    <w:rsid w:val="007025B3"/>
    <w:rsid w:val="0070430C"/>
    <w:rsid w:val="00705B9A"/>
    <w:rsid w:val="0070637E"/>
    <w:rsid w:val="007073B3"/>
    <w:rsid w:val="00710EFF"/>
    <w:rsid w:val="00711ADE"/>
    <w:rsid w:val="0071391E"/>
    <w:rsid w:val="00714E88"/>
    <w:rsid w:val="00716F2D"/>
    <w:rsid w:val="00723300"/>
    <w:rsid w:val="007239C4"/>
    <w:rsid w:val="00726192"/>
    <w:rsid w:val="00727477"/>
    <w:rsid w:val="007315A9"/>
    <w:rsid w:val="00733CAD"/>
    <w:rsid w:val="00735602"/>
    <w:rsid w:val="00736702"/>
    <w:rsid w:val="00740285"/>
    <w:rsid w:val="00741884"/>
    <w:rsid w:val="00742560"/>
    <w:rsid w:val="00744E49"/>
    <w:rsid w:val="00745749"/>
    <w:rsid w:val="00747AC3"/>
    <w:rsid w:val="007512CE"/>
    <w:rsid w:val="00757909"/>
    <w:rsid w:val="00760BB3"/>
    <w:rsid w:val="00763B30"/>
    <w:rsid w:val="00763FF4"/>
    <w:rsid w:val="00764D97"/>
    <w:rsid w:val="00765C9C"/>
    <w:rsid w:val="00767EDB"/>
    <w:rsid w:val="00770E3F"/>
    <w:rsid w:val="0077172E"/>
    <w:rsid w:val="007739AC"/>
    <w:rsid w:val="00773A49"/>
    <w:rsid w:val="00775B6D"/>
    <w:rsid w:val="00775CD7"/>
    <w:rsid w:val="00776166"/>
    <w:rsid w:val="00777AF6"/>
    <w:rsid w:val="00781F8B"/>
    <w:rsid w:val="00782BC9"/>
    <w:rsid w:val="00787C57"/>
    <w:rsid w:val="00792A85"/>
    <w:rsid w:val="0079326D"/>
    <w:rsid w:val="007946F3"/>
    <w:rsid w:val="00794BD5"/>
    <w:rsid w:val="0079665C"/>
    <w:rsid w:val="007966F8"/>
    <w:rsid w:val="007A052D"/>
    <w:rsid w:val="007A101F"/>
    <w:rsid w:val="007A3E6C"/>
    <w:rsid w:val="007A7653"/>
    <w:rsid w:val="007A7FFD"/>
    <w:rsid w:val="007B5922"/>
    <w:rsid w:val="007C0341"/>
    <w:rsid w:val="007C0DA8"/>
    <w:rsid w:val="007C1819"/>
    <w:rsid w:val="007C3C17"/>
    <w:rsid w:val="007C3EBD"/>
    <w:rsid w:val="007C469B"/>
    <w:rsid w:val="007D2569"/>
    <w:rsid w:val="007D3A6E"/>
    <w:rsid w:val="007D55D1"/>
    <w:rsid w:val="007D682E"/>
    <w:rsid w:val="007D7804"/>
    <w:rsid w:val="007E0B89"/>
    <w:rsid w:val="007E7136"/>
    <w:rsid w:val="007F1DB9"/>
    <w:rsid w:val="007F58EC"/>
    <w:rsid w:val="007F6760"/>
    <w:rsid w:val="007F6E5B"/>
    <w:rsid w:val="007F79E9"/>
    <w:rsid w:val="007F7A36"/>
    <w:rsid w:val="0080091E"/>
    <w:rsid w:val="00804644"/>
    <w:rsid w:val="008063C3"/>
    <w:rsid w:val="00810DA7"/>
    <w:rsid w:val="0081108D"/>
    <w:rsid w:val="00811125"/>
    <w:rsid w:val="00813336"/>
    <w:rsid w:val="008161C9"/>
    <w:rsid w:val="00817514"/>
    <w:rsid w:val="00817E0D"/>
    <w:rsid w:val="00821847"/>
    <w:rsid w:val="0082433F"/>
    <w:rsid w:val="008251F5"/>
    <w:rsid w:val="00825EDB"/>
    <w:rsid w:val="00827C53"/>
    <w:rsid w:val="00830B39"/>
    <w:rsid w:val="0083125B"/>
    <w:rsid w:val="008313EF"/>
    <w:rsid w:val="00834705"/>
    <w:rsid w:val="00834DCC"/>
    <w:rsid w:val="00837E01"/>
    <w:rsid w:val="00840647"/>
    <w:rsid w:val="00841C0F"/>
    <w:rsid w:val="00847900"/>
    <w:rsid w:val="00851073"/>
    <w:rsid w:val="0085151E"/>
    <w:rsid w:val="00855E0B"/>
    <w:rsid w:val="008668F3"/>
    <w:rsid w:val="00871A10"/>
    <w:rsid w:val="00872221"/>
    <w:rsid w:val="00873742"/>
    <w:rsid w:val="00875474"/>
    <w:rsid w:val="008764AA"/>
    <w:rsid w:val="00880826"/>
    <w:rsid w:val="00880CD0"/>
    <w:rsid w:val="00882687"/>
    <w:rsid w:val="00885DC0"/>
    <w:rsid w:val="00887643"/>
    <w:rsid w:val="00890DA8"/>
    <w:rsid w:val="00894461"/>
    <w:rsid w:val="00895224"/>
    <w:rsid w:val="00895756"/>
    <w:rsid w:val="008A1110"/>
    <w:rsid w:val="008A2BB8"/>
    <w:rsid w:val="008A60EE"/>
    <w:rsid w:val="008A62E9"/>
    <w:rsid w:val="008A6E34"/>
    <w:rsid w:val="008A772E"/>
    <w:rsid w:val="008B11AB"/>
    <w:rsid w:val="008B27C7"/>
    <w:rsid w:val="008B3A2D"/>
    <w:rsid w:val="008B7110"/>
    <w:rsid w:val="008C1CFC"/>
    <w:rsid w:val="008C2ED3"/>
    <w:rsid w:val="008C437C"/>
    <w:rsid w:val="008C44D7"/>
    <w:rsid w:val="008C6A9E"/>
    <w:rsid w:val="008D1D42"/>
    <w:rsid w:val="008D27E5"/>
    <w:rsid w:val="008D2D39"/>
    <w:rsid w:val="008D37A3"/>
    <w:rsid w:val="008D395F"/>
    <w:rsid w:val="008D6BCD"/>
    <w:rsid w:val="008E008E"/>
    <w:rsid w:val="008E02EA"/>
    <w:rsid w:val="008E0DF6"/>
    <w:rsid w:val="008E1A90"/>
    <w:rsid w:val="008E3D7C"/>
    <w:rsid w:val="008E66D2"/>
    <w:rsid w:val="008E6B16"/>
    <w:rsid w:val="008E7875"/>
    <w:rsid w:val="008F067C"/>
    <w:rsid w:val="008F1FA2"/>
    <w:rsid w:val="008F3CE8"/>
    <w:rsid w:val="008F7003"/>
    <w:rsid w:val="00900ABE"/>
    <w:rsid w:val="00901080"/>
    <w:rsid w:val="00903850"/>
    <w:rsid w:val="00903F14"/>
    <w:rsid w:val="00907848"/>
    <w:rsid w:val="0091251C"/>
    <w:rsid w:val="009127EF"/>
    <w:rsid w:val="0091450D"/>
    <w:rsid w:val="00914987"/>
    <w:rsid w:val="00914A38"/>
    <w:rsid w:val="00914FD7"/>
    <w:rsid w:val="00916B2F"/>
    <w:rsid w:val="00916FFA"/>
    <w:rsid w:val="00917C41"/>
    <w:rsid w:val="009200C2"/>
    <w:rsid w:val="00925B11"/>
    <w:rsid w:val="00930E0D"/>
    <w:rsid w:val="0094549D"/>
    <w:rsid w:val="00950465"/>
    <w:rsid w:val="009510C2"/>
    <w:rsid w:val="00952412"/>
    <w:rsid w:val="0095716A"/>
    <w:rsid w:val="00957AD9"/>
    <w:rsid w:val="00960CE1"/>
    <w:rsid w:val="00961E8E"/>
    <w:rsid w:val="00962A54"/>
    <w:rsid w:val="009639CA"/>
    <w:rsid w:val="00964577"/>
    <w:rsid w:val="00964DC0"/>
    <w:rsid w:val="00965A45"/>
    <w:rsid w:val="00966D52"/>
    <w:rsid w:val="00967206"/>
    <w:rsid w:val="00970CF2"/>
    <w:rsid w:val="0097127B"/>
    <w:rsid w:val="00972A60"/>
    <w:rsid w:val="00976A13"/>
    <w:rsid w:val="00976DC9"/>
    <w:rsid w:val="00980EAB"/>
    <w:rsid w:val="00981582"/>
    <w:rsid w:val="00986EB4"/>
    <w:rsid w:val="00991BF7"/>
    <w:rsid w:val="00996615"/>
    <w:rsid w:val="009A169B"/>
    <w:rsid w:val="009A34A4"/>
    <w:rsid w:val="009A3E4B"/>
    <w:rsid w:val="009A6B3A"/>
    <w:rsid w:val="009A7D1A"/>
    <w:rsid w:val="009B1109"/>
    <w:rsid w:val="009B68DF"/>
    <w:rsid w:val="009B712A"/>
    <w:rsid w:val="009C082B"/>
    <w:rsid w:val="009C4134"/>
    <w:rsid w:val="009C58E5"/>
    <w:rsid w:val="009C7437"/>
    <w:rsid w:val="009D230D"/>
    <w:rsid w:val="009D592D"/>
    <w:rsid w:val="009D7289"/>
    <w:rsid w:val="009E01D9"/>
    <w:rsid w:val="009E0A5B"/>
    <w:rsid w:val="009E14D6"/>
    <w:rsid w:val="009E4C75"/>
    <w:rsid w:val="009F528F"/>
    <w:rsid w:val="009F65BA"/>
    <w:rsid w:val="00A00285"/>
    <w:rsid w:val="00A020C2"/>
    <w:rsid w:val="00A032B8"/>
    <w:rsid w:val="00A049B5"/>
    <w:rsid w:val="00A04F83"/>
    <w:rsid w:val="00A05073"/>
    <w:rsid w:val="00A057FA"/>
    <w:rsid w:val="00A067B0"/>
    <w:rsid w:val="00A06F8F"/>
    <w:rsid w:val="00A12466"/>
    <w:rsid w:val="00A138D2"/>
    <w:rsid w:val="00A217C7"/>
    <w:rsid w:val="00A2203F"/>
    <w:rsid w:val="00A2326A"/>
    <w:rsid w:val="00A242C2"/>
    <w:rsid w:val="00A25503"/>
    <w:rsid w:val="00A3037E"/>
    <w:rsid w:val="00A33DAE"/>
    <w:rsid w:val="00A347DE"/>
    <w:rsid w:val="00A35FB3"/>
    <w:rsid w:val="00A45B86"/>
    <w:rsid w:val="00A46793"/>
    <w:rsid w:val="00A5187D"/>
    <w:rsid w:val="00A531D1"/>
    <w:rsid w:val="00A55D18"/>
    <w:rsid w:val="00A574C4"/>
    <w:rsid w:val="00A62BB9"/>
    <w:rsid w:val="00A71DF4"/>
    <w:rsid w:val="00A72E7E"/>
    <w:rsid w:val="00A7320F"/>
    <w:rsid w:val="00A74652"/>
    <w:rsid w:val="00A80EDF"/>
    <w:rsid w:val="00A839AE"/>
    <w:rsid w:val="00A8459E"/>
    <w:rsid w:val="00A87615"/>
    <w:rsid w:val="00A91110"/>
    <w:rsid w:val="00A96B4C"/>
    <w:rsid w:val="00AA37C1"/>
    <w:rsid w:val="00AA460E"/>
    <w:rsid w:val="00AA6C85"/>
    <w:rsid w:val="00AA7B20"/>
    <w:rsid w:val="00AA7BBD"/>
    <w:rsid w:val="00AB2F05"/>
    <w:rsid w:val="00AB4E6D"/>
    <w:rsid w:val="00AB5238"/>
    <w:rsid w:val="00AC16FB"/>
    <w:rsid w:val="00AC1C70"/>
    <w:rsid w:val="00AC20F7"/>
    <w:rsid w:val="00AD4753"/>
    <w:rsid w:val="00AE00F9"/>
    <w:rsid w:val="00AE0666"/>
    <w:rsid w:val="00AE3F11"/>
    <w:rsid w:val="00AF16DD"/>
    <w:rsid w:val="00AF410B"/>
    <w:rsid w:val="00B02C8C"/>
    <w:rsid w:val="00B072C1"/>
    <w:rsid w:val="00B07679"/>
    <w:rsid w:val="00B109BD"/>
    <w:rsid w:val="00B10FD2"/>
    <w:rsid w:val="00B11D45"/>
    <w:rsid w:val="00B12DD9"/>
    <w:rsid w:val="00B174B5"/>
    <w:rsid w:val="00B174C1"/>
    <w:rsid w:val="00B17DAF"/>
    <w:rsid w:val="00B2133C"/>
    <w:rsid w:val="00B21B12"/>
    <w:rsid w:val="00B220BD"/>
    <w:rsid w:val="00B22C37"/>
    <w:rsid w:val="00B23AA8"/>
    <w:rsid w:val="00B23EA2"/>
    <w:rsid w:val="00B25D10"/>
    <w:rsid w:val="00B25D9D"/>
    <w:rsid w:val="00B26E57"/>
    <w:rsid w:val="00B342A8"/>
    <w:rsid w:val="00B34C9D"/>
    <w:rsid w:val="00B40D7B"/>
    <w:rsid w:val="00B4114E"/>
    <w:rsid w:val="00B42107"/>
    <w:rsid w:val="00B445BC"/>
    <w:rsid w:val="00B46B93"/>
    <w:rsid w:val="00B51A01"/>
    <w:rsid w:val="00B52B21"/>
    <w:rsid w:val="00B55A50"/>
    <w:rsid w:val="00B56A26"/>
    <w:rsid w:val="00B622AA"/>
    <w:rsid w:val="00B630C8"/>
    <w:rsid w:val="00B6349E"/>
    <w:rsid w:val="00B64136"/>
    <w:rsid w:val="00B70608"/>
    <w:rsid w:val="00B70DF3"/>
    <w:rsid w:val="00B71E1F"/>
    <w:rsid w:val="00B737CD"/>
    <w:rsid w:val="00B73E9D"/>
    <w:rsid w:val="00B7406E"/>
    <w:rsid w:val="00B75E81"/>
    <w:rsid w:val="00B83ADD"/>
    <w:rsid w:val="00B843C1"/>
    <w:rsid w:val="00B9064D"/>
    <w:rsid w:val="00B93E4B"/>
    <w:rsid w:val="00BA2B85"/>
    <w:rsid w:val="00BA37ED"/>
    <w:rsid w:val="00BA55C9"/>
    <w:rsid w:val="00BA59A5"/>
    <w:rsid w:val="00BA6A3D"/>
    <w:rsid w:val="00BA6C5A"/>
    <w:rsid w:val="00BB19EA"/>
    <w:rsid w:val="00BB1E83"/>
    <w:rsid w:val="00BB302E"/>
    <w:rsid w:val="00BB3785"/>
    <w:rsid w:val="00BB6DDF"/>
    <w:rsid w:val="00BC0D84"/>
    <w:rsid w:val="00BC3FB2"/>
    <w:rsid w:val="00BC5E36"/>
    <w:rsid w:val="00BC6C56"/>
    <w:rsid w:val="00BC78D4"/>
    <w:rsid w:val="00BD16EF"/>
    <w:rsid w:val="00BD1D1A"/>
    <w:rsid w:val="00BD58CA"/>
    <w:rsid w:val="00BD5921"/>
    <w:rsid w:val="00BE0C49"/>
    <w:rsid w:val="00BE32E5"/>
    <w:rsid w:val="00BE4AB8"/>
    <w:rsid w:val="00BF2DCB"/>
    <w:rsid w:val="00BF3D35"/>
    <w:rsid w:val="00BF41D5"/>
    <w:rsid w:val="00BF5046"/>
    <w:rsid w:val="00C04C6A"/>
    <w:rsid w:val="00C06111"/>
    <w:rsid w:val="00C1341C"/>
    <w:rsid w:val="00C169CA"/>
    <w:rsid w:val="00C16DC3"/>
    <w:rsid w:val="00C20007"/>
    <w:rsid w:val="00C23183"/>
    <w:rsid w:val="00C25176"/>
    <w:rsid w:val="00C268E2"/>
    <w:rsid w:val="00C275D3"/>
    <w:rsid w:val="00C30B6E"/>
    <w:rsid w:val="00C317BA"/>
    <w:rsid w:val="00C31D85"/>
    <w:rsid w:val="00C32F05"/>
    <w:rsid w:val="00C33B91"/>
    <w:rsid w:val="00C36212"/>
    <w:rsid w:val="00C36A7F"/>
    <w:rsid w:val="00C43556"/>
    <w:rsid w:val="00C44CB6"/>
    <w:rsid w:val="00C4788F"/>
    <w:rsid w:val="00C55B43"/>
    <w:rsid w:val="00C60D8A"/>
    <w:rsid w:val="00C6445F"/>
    <w:rsid w:val="00C65255"/>
    <w:rsid w:val="00C70303"/>
    <w:rsid w:val="00C707C7"/>
    <w:rsid w:val="00C71B8F"/>
    <w:rsid w:val="00C73AD8"/>
    <w:rsid w:val="00C73CC6"/>
    <w:rsid w:val="00C744FA"/>
    <w:rsid w:val="00C77DDE"/>
    <w:rsid w:val="00C81901"/>
    <w:rsid w:val="00C83A14"/>
    <w:rsid w:val="00C91DB9"/>
    <w:rsid w:val="00C9281B"/>
    <w:rsid w:val="00C93483"/>
    <w:rsid w:val="00C93884"/>
    <w:rsid w:val="00C9654F"/>
    <w:rsid w:val="00CA20B5"/>
    <w:rsid w:val="00CA2B6D"/>
    <w:rsid w:val="00CA358D"/>
    <w:rsid w:val="00CA41F3"/>
    <w:rsid w:val="00CA4FC9"/>
    <w:rsid w:val="00CA5C50"/>
    <w:rsid w:val="00CA6578"/>
    <w:rsid w:val="00CA6819"/>
    <w:rsid w:val="00CC7C3B"/>
    <w:rsid w:val="00CD3FF1"/>
    <w:rsid w:val="00CD4503"/>
    <w:rsid w:val="00CD4FDC"/>
    <w:rsid w:val="00CE3B3D"/>
    <w:rsid w:val="00CE3BA0"/>
    <w:rsid w:val="00CE4C04"/>
    <w:rsid w:val="00CE632B"/>
    <w:rsid w:val="00CF03D4"/>
    <w:rsid w:val="00CF458A"/>
    <w:rsid w:val="00CF5DB1"/>
    <w:rsid w:val="00CF6DC4"/>
    <w:rsid w:val="00D00EAA"/>
    <w:rsid w:val="00D03BF2"/>
    <w:rsid w:val="00D11DA2"/>
    <w:rsid w:val="00D11DCA"/>
    <w:rsid w:val="00D13C7C"/>
    <w:rsid w:val="00D15F23"/>
    <w:rsid w:val="00D16BF6"/>
    <w:rsid w:val="00D206A8"/>
    <w:rsid w:val="00D228A5"/>
    <w:rsid w:val="00D23B93"/>
    <w:rsid w:val="00D26AC1"/>
    <w:rsid w:val="00D277B4"/>
    <w:rsid w:val="00D305F0"/>
    <w:rsid w:val="00D30F94"/>
    <w:rsid w:val="00D31BC7"/>
    <w:rsid w:val="00D335D7"/>
    <w:rsid w:val="00D33A05"/>
    <w:rsid w:val="00D355D1"/>
    <w:rsid w:val="00D35AD0"/>
    <w:rsid w:val="00D362A6"/>
    <w:rsid w:val="00D377A7"/>
    <w:rsid w:val="00D403E1"/>
    <w:rsid w:val="00D416A5"/>
    <w:rsid w:val="00D41719"/>
    <w:rsid w:val="00D42736"/>
    <w:rsid w:val="00D43413"/>
    <w:rsid w:val="00D46F6F"/>
    <w:rsid w:val="00D551D5"/>
    <w:rsid w:val="00D55587"/>
    <w:rsid w:val="00D55FED"/>
    <w:rsid w:val="00D62478"/>
    <w:rsid w:val="00D65338"/>
    <w:rsid w:val="00D66F30"/>
    <w:rsid w:val="00D67A55"/>
    <w:rsid w:val="00D72E16"/>
    <w:rsid w:val="00D72F90"/>
    <w:rsid w:val="00D75300"/>
    <w:rsid w:val="00D762DD"/>
    <w:rsid w:val="00D76733"/>
    <w:rsid w:val="00D77E84"/>
    <w:rsid w:val="00D811E5"/>
    <w:rsid w:val="00D8189C"/>
    <w:rsid w:val="00D8278F"/>
    <w:rsid w:val="00D86F28"/>
    <w:rsid w:val="00D87BB1"/>
    <w:rsid w:val="00D96128"/>
    <w:rsid w:val="00DA03FD"/>
    <w:rsid w:val="00DA28BA"/>
    <w:rsid w:val="00DA4460"/>
    <w:rsid w:val="00DA4769"/>
    <w:rsid w:val="00DA6CD8"/>
    <w:rsid w:val="00DA7FB3"/>
    <w:rsid w:val="00DB7823"/>
    <w:rsid w:val="00DC025D"/>
    <w:rsid w:val="00DC0FEF"/>
    <w:rsid w:val="00DC207B"/>
    <w:rsid w:val="00DC6447"/>
    <w:rsid w:val="00DC7DB5"/>
    <w:rsid w:val="00DD5458"/>
    <w:rsid w:val="00DD63E1"/>
    <w:rsid w:val="00DE0303"/>
    <w:rsid w:val="00DE0D65"/>
    <w:rsid w:val="00DE0DE7"/>
    <w:rsid w:val="00DE1737"/>
    <w:rsid w:val="00DE22FF"/>
    <w:rsid w:val="00DE6562"/>
    <w:rsid w:val="00DF0367"/>
    <w:rsid w:val="00DF18D0"/>
    <w:rsid w:val="00DF5AD3"/>
    <w:rsid w:val="00DF7AFA"/>
    <w:rsid w:val="00DF7DC5"/>
    <w:rsid w:val="00E01739"/>
    <w:rsid w:val="00E0188C"/>
    <w:rsid w:val="00E05E32"/>
    <w:rsid w:val="00E0676C"/>
    <w:rsid w:val="00E1048D"/>
    <w:rsid w:val="00E113A0"/>
    <w:rsid w:val="00E1352F"/>
    <w:rsid w:val="00E14049"/>
    <w:rsid w:val="00E2140C"/>
    <w:rsid w:val="00E251DB"/>
    <w:rsid w:val="00E275B5"/>
    <w:rsid w:val="00E27B7F"/>
    <w:rsid w:val="00E27F5B"/>
    <w:rsid w:val="00E34CE4"/>
    <w:rsid w:val="00E365A3"/>
    <w:rsid w:val="00E36A63"/>
    <w:rsid w:val="00E4022C"/>
    <w:rsid w:val="00E423F8"/>
    <w:rsid w:val="00E428B4"/>
    <w:rsid w:val="00E42E0A"/>
    <w:rsid w:val="00E4591B"/>
    <w:rsid w:val="00E45DC3"/>
    <w:rsid w:val="00E46BCA"/>
    <w:rsid w:val="00E4775C"/>
    <w:rsid w:val="00E50943"/>
    <w:rsid w:val="00E55792"/>
    <w:rsid w:val="00E57E21"/>
    <w:rsid w:val="00E60981"/>
    <w:rsid w:val="00E63077"/>
    <w:rsid w:val="00E651F8"/>
    <w:rsid w:val="00E67AB7"/>
    <w:rsid w:val="00E717ED"/>
    <w:rsid w:val="00E738DE"/>
    <w:rsid w:val="00E87734"/>
    <w:rsid w:val="00E906A5"/>
    <w:rsid w:val="00E90782"/>
    <w:rsid w:val="00E9105E"/>
    <w:rsid w:val="00E950D6"/>
    <w:rsid w:val="00E96F23"/>
    <w:rsid w:val="00E9724D"/>
    <w:rsid w:val="00E97D9B"/>
    <w:rsid w:val="00EA0F29"/>
    <w:rsid w:val="00EB1FDE"/>
    <w:rsid w:val="00EB2533"/>
    <w:rsid w:val="00EB2705"/>
    <w:rsid w:val="00EB279D"/>
    <w:rsid w:val="00EB3400"/>
    <w:rsid w:val="00EB444D"/>
    <w:rsid w:val="00EB6C06"/>
    <w:rsid w:val="00EB7423"/>
    <w:rsid w:val="00EC0999"/>
    <w:rsid w:val="00EC2C52"/>
    <w:rsid w:val="00EC3059"/>
    <w:rsid w:val="00EC5F8B"/>
    <w:rsid w:val="00ED5B37"/>
    <w:rsid w:val="00ED7916"/>
    <w:rsid w:val="00EE04DC"/>
    <w:rsid w:val="00EE0843"/>
    <w:rsid w:val="00EE095D"/>
    <w:rsid w:val="00EE679C"/>
    <w:rsid w:val="00EE68B0"/>
    <w:rsid w:val="00EE7920"/>
    <w:rsid w:val="00EF0D9F"/>
    <w:rsid w:val="00EF1234"/>
    <w:rsid w:val="00EF5A5E"/>
    <w:rsid w:val="00EF6098"/>
    <w:rsid w:val="00EF662F"/>
    <w:rsid w:val="00EF6814"/>
    <w:rsid w:val="00EF6DB3"/>
    <w:rsid w:val="00EF774C"/>
    <w:rsid w:val="00F0000B"/>
    <w:rsid w:val="00F013B5"/>
    <w:rsid w:val="00F067EB"/>
    <w:rsid w:val="00F07DD0"/>
    <w:rsid w:val="00F11271"/>
    <w:rsid w:val="00F1334F"/>
    <w:rsid w:val="00F1398F"/>
    <w:rsid w:val="00F14DA3"/>
    <w:rsid w:val="00F16651"/>
    <w:rsid w:val="00F16B4C"/>
    <w:rsid w:val="00F16C84"/>
    <w:rsid w:val="00F172A7"/>
    <w:rsid w:val="00F21475"/>
    <w:rsid w:val="00F238AC"/>
    <w:rsid w:val="00F2426D"/>
    <w:rsid w:val="00F26933"/>
    <w:rsid w:val="00F3079E"/>
    <w:rsid w:val="00F30FA3"/>
    <w:rsid w:val="00F3175E"/>
    <w:rsid w:val="00F32AD7"/>
    <w:rsid w:val="00F32F48"/>
    <w:rsid w:val="00F3496E"/>
    <w:rsid w:val="00F35D0D"/>
    <w:rsid w:val="00F3649B"/>
    <w:rsid w:val="00F3661C"/>
    <w:rsid w:val="00F400FE"/>
    <w:rsid w:val="00F4178B"/>
    <w:rsid w:val="00F41CBF"/>
    <w:rsid w:val="00F424E9"/>
    <w:rsid w:val="00F42CB7"/>
    <w:rsid w:val="00F4345F"/>
    <w:rsid w:val="00F45524"/>
    <w:rsid w:val="00F51F07"/>
    <w:rsid w:val="00F5208D"/>
    <w:rsid w:val="00F533BD"/>
    <w:rsid w:val="00F54991"/>
    <w:rsid w:val="00F5569A"/>
    <w:rsid w:val="00F55EDB"/>
    <w:rsid w:val="00F56339"/>
    <w:rsid w:val="00F567B3"/>
    <w:rsid w:val="00F6083D"/>
    <w:rsid w:val="00F61380"/>
    <w:rsid w:val="00F61D51"/>
    <w:rsid w:val="00F624F6"/>
    <w:rsid w:val="00F62AB0"/>
    <w:rsid w:val="00F64739"/>
    <w:rsid w:val="00F64F42"/>
    <w:rsid w:val="00F65DC1"/>
    <w:rsid w:val="00F71177"/>
    <w:rsid w:val="00F731B0"/>
    <w:rsid w:val="00F84F83"/>
    <w:rsid w:val="00F90914"/>
    <w:rsid w:val="00F92EA3"/>
    <w:rsid w:val="00F93DA3"/>
    <w:rsid w:val="00F965B8"/>
    <w:rsid w:val="00F96E7B"/>
    <w:rsid w:val="00FA0295"/>
    <w:rsid w:val="00FA0749"/>
    <w:rsid w:val="00FA3A62"/>
    <w:rsid w:val="00FA4776"/>
    <w:rsid w:val="00FA6405"/>
    <w:rsid w:val="00FA6616"/>
    <w:rsid w:val="00FA6792"/>
    <w:rsid w:val="00FB25B3"/>
    <w:rsid w:val="00FB2D69"/>
    <w:rsid w:val="00FB324F"/>
    <w:rsid w:val="00FB4C8E"/>
    <w:rsid w:val="00FB7636"/>
    <w:rsid w:val="00FC20DF"/>
    <w:rsid w:val="00FC2967"/>
    <w:rsid w:val="00FC2F09"/>
    <w:rsid w:val="00FC3799"/>
    <w:rsid w:val="00FC5173"/>
    <w:rsid w:val="00FC7690"/>
    <w:rsid w:val="00FD0274"/>
    <w:rsid w:val="00FD0836"/>
    <w:rsid w:val="00FD350E"/>
    <w:rsid w:val="00FD3D50"/>
    <w:rsid w:val="00FD48E6"/>
    <w:rsid w:val="00FD653D"/>
    <w:rsid w:val="00FD6B79"/>
    <w:rsid w:val="00FE2F66"/>
    <w:rsid w:val="00FE3D1E"/>
    <w:rsid w:val="00FE3F00"/>
    <w:rsid w:val="00FF2D53"/>
    <w:rsid w:val="00FF31CD"/>
    <w:rsid w:val="00FF4AC4"/>
    <w:rsid w:val="00FF6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4611"/>
    <w:rPr>
      <w:rFonts w:ascii="Times New Roman" w:hAnsi="Times New Roman"/>
      <w:sz w:val="24"/>
      <w:szCs w:val="24"/>
    </w:rPr>
  </w:style>
  <w:style w:type="paragraph" w:styleId="Heading1">
    <w:name w:val="heading 1"/>
    <w:basedOn w:val="Normal"/>
    <w:next w:val="Normal"/>
    <w:link w:val="Heading1Char"/>
    <w:uiPriority w:val="99"/>
    <w:qFormat/>
    <w:rsid w:val="00344611"/>
    <w:pPr>
      <w:keepNext/>
      <w:spacing w:before="30" w:line="235" w:lineRule="exact"/>
      <w:outlineLvl w:val="0"/>
    </w:pPr>
    <w:rPr>
      <w:b/>
      <w:bCs/>
    </w:rPr>
  </w:style>
  <w:style w:type="paragraph" w:styleId="Heading2">
    <w:name w:val="heading 2"/>
    <w:basedOn w:val="Normal"/>
    <w:next w:val="Normal"/>
    <w:link w:val="Heading2Char"/>
    <w:uiPriority w:val="99"/>
    <w:qFormat/>
    <w:rsid w:val="00344611"/>
    <w:pPr>
      <w:keepNext/>
      <w:spacing w:line="480" w:lineRule="auto"/>
      <w:ind w:firstLine="720"/>
      <w:jc w:val="center"/>
      <w:outlineLvl w:val="1"/>
    </w:pPr>
    <w:rPr>
      <w:b/>
      <w:bCs/>
    </w:rPr>
  </w:style>
  <w:style w:type="paragraph" w:styleId="Heading3">
    <w:name w:val="heading 3"/>
    <w:basedOn w:val="Normal"/>
    <w:next w:val="Normal"/>
    <w:link w:val="Heading3Char"/>
    <w:uiPriority w:val="99"/>
    <w:qFormat/>
    <w:rsid w:val="00344611"/>
    <w:pPr>
      <w:keepNext/>
      <w:numPr>
        <w:numId w:val="12"/>
      </w:numPr>
      <w:jc w:val="center"/>
      <w:outlineLvl w:val="2"/>
    </w:pPr>
    <w:rPr>
      <w:b/>
      <w:bCs/>
    </w:rPr>
  </w:style>
  <w:style w:type="paragraph" w:styleId="Heading4">
    <w:name w:val="heading 4"/>
    <w:basedOn w:val="Normal"/>
    <w:next w:val="Normal"/>
    <w:link w:val="Heading4Char"/>
    <w:uiPriority w:val="99"/>
    <w:qFormat/>
    <w:rsid w:val="00344611"/>
    <w:pPr>
      <w:keepNext/>
      <w:spacing w:line="480" w:lineRule="auto"/>
      <w:ind w:firstLine="720"/>
      <w:outlineLvl w:val="3"/>
    </w:pPr>
    <w:rPr>
      <w:b/>
      <w:bCs/>
    </w:rPr>
  </w:style>
  <w:style w:type="paragraph" w:styleId="Heading5">
    <w:name w:val="heading 5"/>
    <w:basedOn w:val="Normal"/>
    <w:next w:val="Normal"/>
    <w:link w:val="Heading5Char"/>
    <w:uiPriority w:val="99"/>
    <w:qFormat/>
    <w:rsid w:val="00344611"/>
    <w:pPr>
      <w:keepNext/>
      <w:numPr>
        <w:numId w:val="16"/>
      </w:numPr>
      <w:spacing w:line="480" w:lineRule="auto"/>
      <w:outlineLvl w:val="4"/>
    </w:pPr>
    <w:rPr>
      <w:b/>
      <w:bCs/>
    </w:rPr>
  </w:style>
  <w:style w:type="paragraph" w:styleId="Heading6">
    <w:name w:val="heading 6"/>
    <w:basedOn w:val="Normal"/>
    <w:next w:val="Normal"/>
    <w:link w:val="Heading6Char"/>
    <w:uiPriority w:val="99"/>
    <w:qFormat/>
    <w:rsid w:val="00344611"/>
    <w:pPr>
      <w:keepNext/>
      <w:spacing w:line="480" w:lineRule="auto"/>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61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34461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344611"/>
    <w:rPr>
      <w:rFonts w:ascii="Cambria" w:hAnsi="Cambria" w:cs="Cambria"/>
      <w:b/>
      <w:bCs/>
      <w:sz w:val="26"/>
      <w:szCs w:val="26"/>
    </w:rPr>
  </w:style>
  <w:style w:type="character" w:customStyle="1" w:styleId="Heading4Char">
    <w:name w:val="Heading 4 Char"/>
    <w:basedOn w:val="DefaultParagraphFont"/>
    <w:link w:val="Heading4"/>
    <w:uiPriority w:val="99"/>
    <w:locked/>
    <w:rsid w:val="00344611"/>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344611"/>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344611"/>
    <w:rPr>
      <w:rFonts w:ascii="Times New Roman" w:hAnsi="Times New Roman" w:cs="Times New Roman"/>
      <w:b/>
      <w:bCs/>
    </w:rPr>
  </w:style>
  <w:style w:type="paragraph" w:customStyle="1" w:styleId="Style1">
    <w:name w:val="Style1"/>
    <w:basedOn w:val="Normal"/>
    <w:uiPriority w:val="99"/>
    <w:rsid w:val="00344611"/>
    <w:pPr>
      <w:spacing w:before="28"/>
      <w:ind w:right="90"/>
    </w:pPr>
    <w:rPr>
      <w:sz w:val="19"/>
      <w:szCs w:val="19"/>
    </w:rPr>
  </w:style>
  <w:style w:type="paragraph" w:styleId="FootnoteText">
    <w:name w:val="footnote text"/>
    <w:basedOn w:val="Normal"/>
    <w:link w:val="FootnoteTextChar"/>
    <w:uiPriority w:val="99"/>
    <w:qFormat/>
    <w:rsid w:val="00344611"/>
    <w:rPr>
      <w:sz w:val="20"/>
      <w:szCs w:val="20"/>
    </w:rPr>
  </w:style>
  <w:style w:type="character" w:customStyle="1" w:styleId="FootnoteTextChar">
    <w:name w:val="Footnote Text Char"/>
    <w:basedOn w:val="DefaultParagraphFont"/>
    <w:link w:val="FootnoteText"/>
    <w:uiPriority w:val="99"/>
    <w:locked/>
    <w:rsid w:val="00344611"/>
    <w:rPr>
      <w:rFonts w:ascii="Times New Roman" w:hAnsi="Times New Roman" w:cs="Times New Roman"/>
    </w:rPr>
  </w:style>
  <w:style w:type="character" w:styleId="FootnoteReference">
    <w:name w:val="footnote reference"/>
    <w:basedOn w:val="DefaultParagraphFont"/>
    <w:uiPriority w:val="99"/>
    <w:rsid w:val="00344611"/>
    <w:rPr>
      <w:rFonts w:ascii="Times New Roman" w:hAnsi="Times New Roman" w:cs="Times New Roman"/>
      <w:vertAlign w:val="superscript"/>
    </w:rPr>
  </w:style>
  <w:style w:type="paragraph" w:styleId="Header">
    <w:name w:val="header"/>
    <w:basedOn w:val="Normal"/>
    <w:link w:val="HeaderChar"/>
    <w:rsid w:val="00344611"/>
    <w:pPr>
      <w:tabs>
        <w:tab w:val="center" w:pos="4680"/>
        <w:tab w:val="right" w:pos="9360"/>
      </w:tabs>
    </w:pPr>
  </w:style>
  <w:style w:type="character" w:customStyle="1" w:styleId="HeaderChar">
    <w:name w:val="Header Char"/>
    <w:basedOn w:val="DefaultParagraphFont"/>
    <w:link w:val="Header"/>
    <w:locked/>
    <w:rsid w:val="00344611"/>
    <w:rPr>
      <w:rFonts w:ascii="Times New Roman" w:hAnsi="Times New Roman" w:cs="Times New Roman"/>
      <w:sz w:val="24"/>
      <w:szCs w:val="24"/>
    </w:rPr>
  </w:style>
  <w:style w:type="paragraph" w:styleId="Footer">
    <w:name w:val="footer"/>
    <w:basedOn w:val="Normal"/>
    <w:link w:val="FooterChar"/>
    <w:uiPriority w:val="99"/>
    <w:rsid w:val="00344611"/>
    <w:pPr>
      <w:tabs>
        <w:tab w:val="center" w:pos="4680"/>
        <w:tab w:val="right" w:pos="9360"/>
      </w:tabs>
    </w:pPr>
  </w:style>
  <w:style w:type="character" w:customStyle="1" w:styleId="FooterChar">
    <w:name w:val="Footer Char"/>
    <w:basedOn w:val="DefaultParagraphFont"/>
    <w:link w:val="Footer"/>
    <w:uiPriority w:val="99"/>
    <w:locked/>
    <w:rsid w:val="00344611"/>
    <w:rPr>
      <w:rFonts w:ascii="Times New Roman" w:hAnsi="Times New Roman" w:cs="Times New Roman"/>
      <w:sz w:val="24"/>
      <w:szCs w:val="24"/>
    </w:rPr>
  </w:style>
  <w:style w:type="paragraph" w:styleId="ListParagraph">
    <w:name w:val="List Paragraph"/>
    <w:basedOn w:val="Normal"/>
    <w:uiPriority w:val="34"/>
    <w:qFormat/>
    <w:rsid w:val="00344611"/>
    <w:pPr>
      <w:ind w:left="720"/>
    </w:pPr>
  </w:style>
  <w:style w:type="paragraph" w:styleId="BodyText2">
    <w:name w:val="Body Text 2"/>
    <w:basedOn w:val="Normal"/>
    <w:link w:val="BodyText2Char"/>
    <w:uiPriority w:val="99"/>
    <w:rsid w:val="00344611"/>
    <w:pPr>
      <w:spacing w:line="470" w:lineRule="exact"/>
      <w:ind w:firstLine="720"/>
      <w:jc w:val="both"/>
    </w:pPr>
  </w:style>
  <w:style w:type="character" w:customStyle="1" w:styleId="BodyText2Char">
    <w:name w:val="Body Text 2 Char"/>
    <w:basedOn w:val="DefaultParagraphFont"/>
    <w:link w:val="BodyText2"/>
    <w:uiPriority w:val="99"/>
    <w:locked/>
    <w:rsid w:val="00344611"/>
    <w:rPr>
      <w:rFonts w:ascii="Times New Roman" w:hAnsi="Times New Roman" w:cs="Times New Roman"/>
      <w:sz w:val="24"/>
      <w:szCs w:val="24"/>
    </w:rPr>
  </w:style>
  <w:style w:type="character" w:customStyle="1" w:styleId="BodyTextIndentChar">
    <w:name w:val="Body Text Indent Char"/>
    <w:basedOn w:val="DefaultParagraphFont"/>
    <w:uiPriority w:val="99"/>
    <w:rsid w:val="00344611"/>
    <w:rPr>
      <w:rFonts w:ascii="Times New Roman" w:hAnsi="Times New Roman" w:cs="Times New Roman"/>
      <w:sz w:val="24"/>
      <w:szCs w:val="24"/>
    </w:rPr>
  </w:style>
  <w:style w:type="character" w:customStyle="1" w:styleId="apple-style-span">
    <w:name w:val="apple-style-span"/>
    <w:basedOn w:val="DefaultParagraphFont"/>
    <w:rsid w:val="00344611"/>
    <w:rPr>
      <w:rFonts w:ascii="Times New Roman" w:hAnsi="Times New Roman" w:cs="Times New Roman"/>
    </w:rPr>
  </w:style>
  <w:style w:type="character" w:customStyle="1" w:styleId="apple-converted-space">
    <w:name w:val="apple-converted-space"/>
    <w:basedOn w:val="DefaultParagraphFont"/>
    <w:uiPriority w:val="99"/>
    <w:rsid w:val="00344611"/>
    <w:rPr>
      <w:rFonts w:ascii="Times New Roman" w:hAnsi="Times New Roman" w:cs="Times New Roman"/>
    </w:rPr>
  </w:style>
  <w:style w:type="character" w:styleId="Hyperlink">
    <w:name w:val="Hyperlink"/>
    <w:basedOn w:val="DefaultParagraphFont"/>
    <w:uiPriority w:val="99"/>
    <w:rsid w:val="00344611"/>
    <w:rPr>
      <w:rFonts w:ascii="Times New Roman" w:hAnsi="Times New Roman" w:cs="Times New Roman"/>
      <w:color w:val="0000FF"/>
      <w:u w:val="single"/>
    </w:rPr>
  </w:style>
  <w:style w:type="character" w:customStyle="1" w:styleId="starpage">
    <w:name w:val="starpage"/>
    <w:basedOn w:val="DefaultParagraphFont"/>
    <w:uiPriority w:val="99"/>
    <w:rsid w:val="00344611"/>
    <w:rPr>
      <w:rFonts w:ascii="Times New Roman" w:hAnsi="Times New Roman" w:cs="Times New Roman"/>
    </w:rPr>
  </w:style>
  <w:style w:type="character" w:styleId="FollowedHyperlink">
    <w:name w:val="FollowedHyperlink"/>
    <w:basedOn w:val="DefaultParagraphFont"/>
    <w:uiPriority w:val="99"/>
    <w:rsid w:val="00344611"/>
    <w:rPr>
      <w:rFonts w:ascii="Times New Roman" w:hAnsi="Times New Roman" w:cs="Times New Roman"/>
      <w:color w:val="800080"/>
      <w:u w:val="single"/>
    </w:rPr>
  </w:style>
  <w:style w:type="character" w:customStyle="1" w:styleId="searchterm">
    <w:name w:val="searchterm"/>
    <w:basedOn w:val="DefaultParagraphFont"/>
    <w:uiPriority w:val="99"/>
    <w:rsid w:val="00344611"/>
    <w:rPr>
      <w:rFonts w:ascii="Times New Roman" w:hAnsi="Times New Roman" w:cs="Times New Roman"/>
    </w:rPr>
  </w:style>
  <w:style w:type="paragraph" w:styleId="BodyTextIndent2">
    <w:name w:val="Body Text Indent 2"/>
    <w:basedOn w:val="Normal"/>
    <w:link w:val="BodyTextIndent2Char"/>
    <w:uiPriority w:val="99"/>
    <w:rsid w:val="00344611"/>
    <w:pPr>
      <w:spacing w:after="200"/>
      <w:ind w:firstLine="360"/>
    </w:pPr>
  </w:style>
  <w:style w:type="character" w:customStyle="1" w:styleId="BodyTextIndent2Char">
    <w:name w:val="Body Text Indent 2 Char"/>
    <w:basedOn w:val="DefaultParagraphFont"/>
    <w:link w:val="BodyTextIndent2"/>
    <w:uiPriority w:val="99"/>
    <w:locked/>
    <w:rsid w:val="00344611"/>
    <w:rPr>
      <w:rFonts w:ascii="Times New Roman" w:hAnsi="Times New Roman" w:cs="Times New Roman"/>
      <w:sz w:val="24"/>
      <w:szCs w:val="24"/>
    </w:rPr>
  </w:style>
  <w:style w:type="character" w:customStyle="1" w:styleId="resultsublistitem1">
    <w:name w:val="resultsublistitem1"/>
    <w:basedOn w:val="DefaultParagraphFont"/>
    <w:uiPriority w:val="99"/>
    <w:rsid w:val="00821847"/>
    <w:rPr>
      <w:rFonts w:ascii="Arial" w:hAnsi="Arial" w:cs="Arial"/>
      <w:sz w:val="16"/>
      <w:szCs w:val="16"/>
    </w:rPr>
  </w:style>
  <w:style w:type="paragraph" w:styleId="BalloonText">
    <w:name w:val="Balloon Text"/>
    <w:basedOn w:val="Normal"/>
    <w:link w:val="BalloonTextChar"/>
    <w:uiPriority w:val="99"/>
    <w:semiHidden/>
    <w:rsid w:val="007F1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DB9"/>
    <w:rPr>
      <w:rFonts w:ascii="Tahoma" w:hAnsi="Tahoma" w:cs="Tahoma"/>
      <w:sz w:val="16"/>
      <w:szCs w:val="16"/>
    </w:rPr>
  </w:style>
  <w:style w:type="table" w:styleId="TableGrid">
    <w:name w:val="Table Grid"/>
    <w:basedOn w:val="TableNormal"/>
    <w:uiPriority w:val="99"/>
    <w:rsid w:val="000D40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BF5046"/>
    <w:rPr>
      <w:rFonts w:ascii="Consolas" w:hAnsi="Consolas"/>
      <w:sz w:val="21"/>
      <w:szCs w:val="21"/>
    </w:rPr>
  </w:style>
  <w:style w:type="character" w:customStyle="1" w:styleId="PlainTextChar">
    <w:name w:val="Plain Text Char"/>
    <w:basedOn w:val="DefaultParagraphFont"/>
    <w:link w:val="PlainText"/>
    <w:uiPriority w:val="99"/>
    <w:locked/>
    <w:rsid w:val="00BF5046"/>
    <w:rPr>
      <w:rFonts w:ascii="Consolas" w:hAnsi="Consolas" w:cs="Times New Roman"/>
      <w:sz w:val="21"/>
      <w:szCs w:val="21"/>
    </w:rPr>
  </w:style>
  <w:style w:type="paragraph" w:styleId="HTMLPreformatted">
    <w:name w:val="HTML Preformatted"/>
    <w:basedOn w:val="Normal"/>
    <w:link w:val="HTMLPreformattedChar"/>
    <w:uiPriority w:val="99"/>
    <w:semiHidden/>
    <w:rsid w:val="0046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65FAC"/>
    <w:rPr>
      <w:rFonts w:ascii="Courier New" w:hAnsi="Courier New" w:cs="Courier New"/>
      <w:sz w:val="20"/>
      <w:szCs w:val="20"/>
    </w:rPr>
  </w:style>
  <w:style w:type="paragraph" w:customStyle="1" w:styleId="Default">
    <w:name w:val="Default"/>
    <w:uiPriority w:val="99"/>
    <w:rsid w:val="00543E7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03794092">
      <w:marLeft w:val="0"/>
      <w:marRight w:val="0"/>
      <w:marTop w:val="0"/>
      <w:marBottom w:val="0"/>
      <w:divBdr>
        <w:top w:val="none" w:sz="0" w:space="0" w:color="auto"/>
        <w:left w:val="none" w:sz="0" w:space="0" w:color="auto"/>
        <w:bottom w:val="none" w:sz="0" w:space="0" w:color="auto"/>
        <w:right w:val="none" w:sz="0" w:space="0" w:color="auto"/>
      </w:divBdr>
    </w:div>
    <w:div w:id="721099649">
      <w:bodyDiv w:val="1"/>
      <w:marLeft w:val="0"/>
      <w:marRight w:val="0"/>
      <w:marTop w:val="0"/>
      <w:marBottom w:val="0"/>
      <w:divBdr>
        <w:top w:val="none" w:sz="0" w:space="0" w:color="auto"/>
        <w:left w:val="none" w:sz="0" w:space="0" w:color="auto"/>
        <w:bottom w:val="none" w:sz="0" w:space="0" w:color="auto"/>
        <w:right w:val="none" w:sz="0" w:space="0" w:color="auto"/>
      </w:divBdr>
    </w:div>
    <w:div w:id="20596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F7DD-4328-4E39-9370-109B4C87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6945</Words>
  <Characters>37535</Characters>
  <Application>Microsoft Office Word</Application>
  <DocSecurity>0</DocSecurity>
  <Lines>312</Lines>
  <Paragraphs>88</Paragraphs>
  <ScaleCrop>false</ScaleCrop>
  <Company/>
  <LinksUpToDate>false</LinksUpToDate>
  <CharactersWithSpaces>44392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2011-03-28T18:39:00Z</dcterms:created>
  <dcterms:modified xsi:type="dcterms:W3CDTF">2011-03-28T18:39:00Z</dcterms:modified>
</cp:coreProperties>
</file>