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CB" w:rsidRPr="004727AA" w:rsidRDefault="00057ECB" w:rsidP="00BC6F33">
      <w:pPr>
        <w:pStyle w:val="Heading2"/>
        <w:rPr>
          <w:sz w:val="24"/>
          <w:szCs w:val="24"/>
        </w:rPr>
      </w:pPr>
      <w:r w:rsidRPr="004727AA">
        <w:rPr>
          <w:sz w:val="24"/>
          <w:szCs w:val="24"/>
        </w:rPr>
        <w:t xml:space="preserve">PUBLIC MATTER – NOT </w:t>
      </w:r>
      <w:proofErr w:type="gramStart"/>
      <w:r w:rsidRPr="004727AA">
        <w:rPr>
          <w:sz w:val="24"/>
          <w:szCs w:val="24"/>
        </w:rPr>
        <w:t>DESIGNATED  FOR</w:t>
      </w:r>
      <w:proofErr w:type="gramEnd"/>
      <w:r w:rsidRPr="004727AA">
        <w:rPr>
          <w:sz w:val="24"/>
          <w:szCs w:val="24"/>
        </w:rPr>
        <w:t xml:space="preserve"> PUBLICATION</w:t>
      </w:r>
    </w:p>
    <w:p w:rsidR="00057ECB" w:rsidRDefault="00057ECB" w:rsidP="00BC6F33">
      <w:pPr>
        <w:spacing w:line="235" w:lineRule="exact"/>
        <w:rPr>
          <w:b/>
          <w:bCs/>
        </w:rPr>
      </w:pPr>
      <w:r>
        <w:rPr>
          <w:b/>
          <w:bCs/>
        </w:rPr>
        <w:tab/>
      </w:r>
      <w:r>
        <w:rPr>
          <w:b/>
          <w:bCs/>
        </w:rPr>
        <w:tab/>
      </w:r>
      <w:r>
        <w:rPr>
          <w:b/>
          <w:bCs/>
        </w:rPr>
        <w:tab/>
      </w:r>
      <w:r>
        <w:rPr>
          <w:b/>
          <w:bCs/>
        </w:rPr>
        <w:tab/>
      </w:r>
      <w:r>
        <w:rPr>
          <w:b/>
          <w:bCs/>
        </w:rPr>
        <w:tab/>
      </w:r>
      <w:r>
        <w:rPr>
          <w:b/>
          <w:bCs/>
        </w:rPr>
        <w:tab/>
      </w:r>
    </w:p>
    <w:p w:rsidR="00057ECB" w:rsidRDefault="00057ECB" w:rsidP="00BC6F33">
      <w:pPr>
        <w:spacing w:line="235" w:lineRule="exact"/>
        <w:rPr>
          <w:b/>
          <w:bCs/>
        </w:rPr>
      </w:pPr>
    </w:p>
    <w:p w:rsidR="00057ECB" w:rsidRDefault="006E3B49" w:rsidP="00BC6F33">
      <w:pPr>
        <w:spacing w:line="235" w:lineRule="exact"/>
        <w:rPr>
          <w:b/>
          <w:bCs/>
        </w:rPr>
      </w:pPr>
      <w:r>
        <w:rPr>
          <w:b/>
          <w:bCs/>
        </w:rPr>
        <w:tab/>
      </w:r>
      <w:r>
        <w:rPr>
          <w:b/>
          <w:bCs/>
        </w:rPr>
        <w:tab/>
      </w:r>
      <w:r>
        <w:rPr>
          <w:b/>
          <w:bCs/>
        </w:rPr>
        <w:tab/>
      </w:r>
      <w:r>
        <w:rPr>
          <w:b/>
          <w:bCs/>
        </w:rPr>
        <w:tab/>
      </w:r>
      <w:r>
        <w:rPr>
          <w:b/>
          <w:bCs/>
        </w:rPr>
        <w:tab/>
      </w:r>
      <w:r>
        <w:rPr>
          <w:b/>
          <w:bCs/>
        </w:rPr>
        <w:tab/>
      </w:r>
      <w:r>
        <w:rPr>
          <w:b/>
          <w:bCs/>
        </w:rPr>
        <w:tab/>
      </w:r>
      <w:r>
        <w:rPr>
          <w:b/>
          <w:bCs/>
        </w:rPr>
        <w:tab/>
        <w:t>Filed May 15, 2009</w:t>
      </w:r>
    </w:p>
    <w:p w:rsidR="00057ECB" w:rsidRDefault="00057ECB" w:rsidP="00BC6F33">
      <w:pPr>
        <w:spacing w:line="235" w:lineRule="exact"/>
        <w:rPr>
          <w:b/>
          <w:bCs/>
        </w:rPr>
      </w:pPr>
    </w:p>
    <w:p w:rsidR="00057ECB" w:rsidRDefault="00057ECB" w:rsidP="00BC6F33">
      <w:pPr>
        <w:spacing w:line="235" w:lineRule="exact"/>
        <w:rPr>
          <w:b/>
          <w:bCs/>
        </w:rPr>
      </w:pPr>
    </w:p>
    <w:p w:rsidR="00057ECB" w:rsidRDefault="00057ECB" w:rsidP="00BC6F33">
      <w:pPr>
        <w:spacing w:line="235" w:lineRule="exact"/>
        <w:rPr>
          <w:b/>
          <w:bCs/>
        </w:rPr>
      </w:pPr>
    </w:p>
    <w:p w:rsidR="00057ECB" w:rsidRDefault="00057ECB" w:rsidP="00BC6F33">
      <w:pPr>
        <w:spacing w:line="235" w:lineRule="exact"/>
        <w:rPr>
          <w:b/>
          <w:bCs/>
        </w:rPr>
      </w:pPr>
    </w:p>
    <w:p w:rsidR="00057ECB" w:rsidRDefault="00057ECB" w:rsidP="00BC6F33">
      <w:pPr>
        <w:spacing w:line="235" w:lineRule="exact"/>
        <w:ind w:left="720" w:hanging="720"/>
        <w:jc w:val="center"/>
        <w:rPr>
          <w:b/>
          <w:bCs/>
        </w:rPr>
      </w:pPr>
      <w:r>
        <w:rPr>
          <w:b/>
          <w:bCs/>
        </w:rPr>
        <w:t xml:space="preserve">REVIEW DEPARTMENT OF THE </w:t>
      </w:r>
      <w:smartTag w:uri="urn:schemas-microsoft-com:office:smarttags" w:element="address">
        <w:smartTag w:uri="urn:schemas-microsoft-com:office:smarttags" w:element="Street">
          <w:r>
            <w:rPr>
              <w:b/>
              <w:bCs/>
            </w:rPr>
            <w:t>STATE BAR COURT</w:t>
          </w:r>
        </w:smartTag>
      </w:smartTag>
    </w:p>
    <w:p w:rsidR="00057ECB" w:rsidRDefault="00057ECB" w:rsidP="00BC6F33">
      <w:pPr>
        <w:spacing w:line="62" w:lineRule="exact"/>
      </w:pPr>
    </w:p>
    <w:p w:rsidR="00057ECB" w:rsidRDefault="00057ECB" w:rsidP="00BC6F33">
      <w:pPr>
        <w:spacing w:line="235" w:lineRule="exact"/>
      </w:pPr>
    </w:p>
    <w:p w:rsidR="00057ECB" w:rsidRDefault="00057ECB" w:rsidP="00BC6F33">
      <w:pPr>
        <w:spacing w:line="235" w:lineRule="exact"/>
      </w:pPr>
    </w:p>
    <w:tbl>
      <w:tblPr>
        <w:tblW w:w="9360" w:type="dxa"/>
        <w:tblInd w:w="8" w:type="dxa"/>
        <w:tblLayout w:type="fixed"/>
        <w:tblCellMar>
          <w:left w:w="0" w:type="dxa"/>
          <w:right w:w="0" w:type="dxa"/>
        </w:tblCellMar>
        <w:tblLook w:val="0000"/>
      </w:tblPr>
      <w:tblGrid>
        <w:gridCol w:w="4320"/>
        <w:gridCol w:w="1072"/>
        <w:gridCol w:w="3968"/>
      </w:tblGrid>
      <w:tr w:rsidR="00057ECB">
        <w:trPr>
          <w:cantSplit/>
          <w:trHeight w:val="535"/>
        </w:trPr>
        <w:tc>
          <w:tcPr>
            <w:tcW w:w="4320" w:type="dxa"/>
            <w:vMerge w:val="restart"/>
            <w:tcBorders>
              <w:bottom w:val="single" w:sz="6" w:space="0" w:color="000000"/>
            </w:tcBorders>
          </w:tcPr>
          <w:p w:rsidR="00057ECB" w:rsidRDefault="00057ECB" w:rsidP="00814CAF">
            <w:pPr>
              <w:spacing w:before="30"/>
            </w:pPr>
            <w:r>
              <w:t>In the Matter of</w:t>
            </w:r>
          </w:p>
          <w:p w:rsidR="00057ECB" w:rsidRDefault="00057ECB" w:rsidP="00814CAF"/>
          <w:p w:rsidR="00057ECB" w:rsidRDefault="00057ECB" w:rsidP="00814CAF">
            <w:bookmarkStart w:id="0" w:name="respondent"/>
            <w:bookmarkEnd w:id="0"/>
            <w:r w:rsidRPr="004727AA">
              <w:rPr>
                <w:b/>
                <w:bCs/>
              </w:rPr>
              <w:t>ROBERT S. PELCYGER</w:t>
            </w:r>
            <w:r>
              <w:t>,</w:t>
            </w:r>
          </w:p>
          <w:p w:rsidR="00057ECB" w:rsidRDefault="00057ECB" w:rsidP="00814CAF"/>
          <w:p w:rsidR="00057ECB" w:rsidRDefault="00057ECB" w:rsidP="00814CAF">
            <w:bookmarkStart w:id="1" w:name="type"/>
            <w:bookmarkEnd w:id="1"/>
            <w:r>
              <w:t>A Member of the State Bar.</w:t>
            </w:r>
          </w:p>
          <w:p w:rsidR="00057ECB" w:rsidRDefault="00057ECB" w:rsidP="00814CAF"/>
        </w:tc>
        <w:tc>
          <w:tcPr>
            <w:tcW w:w="1072" w:type="dxa"/>
            <w:vMerge w:val="restart"/>
          </w:tcPr>
          <w:p w:rsidR="00057ECB" w:rsidRDefault="00057ECB" w:rsidP="00A9172C">
            <w:pPr>
              <w:spacing w:before="30" w:line="235" w:lineRule="exact"/>
            </w:pPr>
            <w:r>
              <w:t>)</w:t>
            </w:r>
          </w:p>
          <w:p w:rsidR="00057ECB" w:rsidRDefault="00057ECB" w:rsidP="00A9172C">
            <w:pPr>
              <w:spacing w:line="235" w:lineRule="exact"/>
            </w:pPr>
            <w:r>
              <w:t>)</w:t>
            </w:r>
          </w:p>
          <w:p w:rsidR="00057ECB" w:rsidRDefault="00057ECB" w:rsidP="00A9172C">
            <w:pPr>
              <w:spacing w:line="235" w:lineRule="exact"/>
            </w:pPr>
            <w:r>
              <w:t>)</w:t>
            </w:r>
          </w:p>
          <w:p w:rsidR="00057ECB" w:rsidRDefault="00057ECB" w:rsidP="00A9172C">
            <w:pPr>
              <w:spacing w:line="235" w:lineRule="exact"/>
            </w:pPr>
            <w:r>
              <w:t>)</w:t>
            </w:r>
          </w:p>
          <w:p w:rsidR="00057ECB" w:rsidRDefault="00057ECB" w:rsidP="00A9172C">
            <w:pPr>
              <w:spacing w:line="235" w:lineRule="exact"/>
            </w:pPr>
            <w:r>
              <w:t>)</w:t>
            </w:r>
          </w:p>
          <w:p w:rsidR="00057ECB" w:rsidRDefault="00057ECB" w:rsidP="004727AA">
            <w:pPr>
              <w:spacing w:line="235" w:lineRule="exact"/>
            </w:pPr>
            <w:r>
              <w:t>)</w:t>
            </w:r>
          </w:p>
          <w:p w:rsidR="00057ECB" w:rsidRDefault="00057ECB" w:rsidP="004727AA">
            <w:pPr>
              <w:spacing w:line="235" w:lineRule="exact"/>
            </w:pPr>
            <w:r>
              <w:t>)</w:t>
            </w:r>
          </w:p>
        </w:tc>
        <w:tc>
          <w:tcPr>
            <w:tcW w:w="3968" w:type="dxa"/>
            <w:vMerge w:val="restart"/>
          </w:tcPr>
          <w:p w:rsidR="00057ECB" w:rsidRPr="004727AA" w:rsidRDefault="00057ECB" w:rsidP="00BC6F33">
            <w:pPr>
              <w:spacing w:before="30" w:line="235" w:lineRule="exact"/>
              <w:rPr>
                <w:b/>
                <w:bCs/>
              </w:rPr>
            </w:pPr>
            <w:bookmarkStart w:id="2" w:name="caseno"/>
            <w:bookmarkEnd w:id="2"/>
            <w:r w:rsidRPr="004727AA">
              <w:rPr>
                <w:b/>
                <w:bCs/>
              </w:rPr>
              <w:t>05-O-03802</w:t>
            </w:r>
          </w:p>
        </w:tc>
      </w:tr>
      <w:tr w:rsidR="00057ECB">
        <w:trPr>
          <w:cantSplit/>
          <w:trHeight w:val="270"/>
        </w:trPr>
        <w:tc>
          <w:tcPr>
            <w:tcW w:w="4320" w:type="dxa"/>
            <w:vMerge/>
            <w:tcBorders>
              <w:bottom w:val="single" w:sz="6" w:space="0" w:color="000000"/>
            </w:tcBorders>
          </w:tcPr>
          <w:p w:rsidR="00057ECB" w:rsidRDefault="00057ECB" w:rsidP="00A9172C">
            <w:pPr>
              <w:spacing w:before="30" w:line="235" w:lineRule="exact"/>
            </w:pPr>
          </w:p>
        </w:tc>
        <w:tc>
          <w:tcPr>
            <w:tcW w:w="1072" w:type="dxa"/>
            <w:vMerge/>
          </w:tcPr>
          <w:p w:rsidR="00057ECB" w:rsidRDefault="00057ECB" w:rsidP="00A9172C">
            <w:pPr>
              <w:spacing w:before="30" w:line="235" w:lineRule="exact"/>
            </w:pPr>
          </w:p>
        </w:tc>
        <w:tc>
          <w:tcPr>
            <w:tcW w:w="3968" w:type="dxa"/>
            <w:vMerge/>
          </w:tcPr>
          <w:p w:rsidR="00057ECB" w:rsidRDefault="00057ECB" w:rsidP="00A9172C">
            <w:pPr>
              <w:spacing w:before="30" w:line="235" w:lineRule="exact"/>
            </w:pPr>
          </w:p>
        </w:tc>
      </w:tr>
      <w:tr w:rsidR="00057ECB">
        <w:trPr>
          <w:cantSplit/>
          <w:trHeight w:val="570"/>
        </w:trPr>
        <w:tc>
          <w:tcPr>
            <w:tcW w:w="4320" w:type="dxa"/>
            <w:vMerge/>
            <w:tcBorders>
              <w:bottom w:val="single" w:sz="6" w:space="0" w:color="000000"/>
            </w:tcBorders>
          </w:tcPr>
          <w:p w:rsidR="00057ECB" w:rsidRDefault="00057ECB" w:rsidP="00A9172C">
            <w:pPr>
              <w:spacing w:before="30" w:line="235" w:lineRule="exact"/>
            </w:pPr>
          </w:p>
        </w:tc>
        <w:tc>
          <w:tcPr>
            <w:tcW w:w="1072" w:type="dxa"/>
            <w:vMerge/>
          </w:tcPr>
          <w:p w:rsidR="00057ECB" w:rsidRDefault="00057ECB" w:rsidP="00A9172C">
            <w:pPr>
              <w:spacing w:before="30" w:line="235" w:lineRule="exact"/>
            </w:pPr>
          </w:p>
        </w:tc>
        <w:tc>
          <w:tcPr>
            <w:tcW w:w="3968" w:type="dxa"/>
          </w:tcPr>
          <w:p w:rsidR="00057ECB" w:rsidRDefault="00057ECB" w:rsidP="00A9172C">
            <w:pPr>
              <w:pStyle w:val="Heading1"/>
            </w:pPr>
            <w:r>
              <w:t>OPINION ON REVIEW</w:t>
            </w:r>
          </w:p>
          <w:p w:rsidR="00057ECB" w:rsidRPr="004009A0" w:rsidRDefault="00057ECB" w:rsidP="0062012B">
            <w:pPr>
              <w:rPr>
                <w:b/>
                <w:bCs/>
              </w:rPr>
            </w:pPr>
          </w:p>
        </w:tc>
      </w:tr>
    </w:tbl>
    <w:p w:rsidR="00057ECB" w:rsidRDefault="00057ECB" w:rsidP="00814CAF">
      <w:pPr>
        <w:spacing w:line="480" w:lineRule="auto"/>
        <w:jc w:val="center"/>
        <w:rPr>
          <w:b/>
          <w:bCs/>
        </w:rPr>
      </w:pPr>
    </w:p>
    <w:p w:rsidR="00057ECB" w:rsidRPr="004727AA" w:rsidRDefault="00057ECB" w:rsidP="00675F93">
      <w:pPr>
        <w:tabs>
          <w:tab w:val="center" w:pos="4680"/>
          <w:tab w:val="left" w:pos="6735"/>
        </w:tabs>
        <w:spacing w:line="480" w:lineRule="auto"/>
        <w:rPr>
          <w:b/>
          <w:bCs/>
        </w:rPr>
      </w:pPr>
      <w:r>
        <w:rPr>
          <w:b/>
          <w:bCs/>
        </w:rPr>
        <w:tab/>
        <w:t xml:space="preserve">I.  </w:t>
      </w:r>
      <w:r w:rsidRPr="004727AA">
        <w:rPr>
          <w:b/>
          <w:bCs/>
        </w:rPr>
        <w:t>SUMMARY</w:t>
      </w:r>
      <w:r>
        <w:rPr>
          <w:b/>
          <w:bCs/>
        </w:rPr>
        <w:tab/>
      </w:r>
    </w:p>
    <w:p w:rsidR="00057ECB" w:rsidRDefault="00057ECB" w:rsidP="00034A5D">
      <w:pPr>
        <w:spacing w:line="480" w:lineRule="auto"/>
        <w:ind w:firstLine="720"/>
      </w:pPr>
      <w:r>
        <w:t>For nearly 18 years</w:t>
      </w:r>
      <w:r w:rsidR="008B7BBE">
        <w:t>,</w:t>
      </w:r>
      <w:r w:rsidR="00117E99">
        <w:t xml:space="preserve"> Robert S. </w:t>
      </w:r>
      <w:proofErr w:type="spellStart"/>
      <w:r w:rsidR="00117E99">
        <w:t>Pelcyger</w:t>
      </w:r>
      <w:proofErr w:type="spellEnd"/>
      <w:r w:rsidR="00117E99">
        <w:t xml:space="preserve"> </w:t>
      </w:r>
      <w:r>
        <w:t xml:space="preserve">engaged in the unauthorized practice of law </w:t>
      </w:r>
      <w:proofErr w:type="gramStart"/>
      <w:r>
        <w:t>(UPL).</w:t>
      </w:r>
      <w:proofErr w:type="gramEnd"/>
      <w:r>
        <w:t xml:space="preserve">  The State </w:t>
      </w:r>
      <w:r w:rsidR="008B7BBE">
        <w:t xml:space="preserve">Bar </w:t>
      </w:r>
      <w:r>
        <w:t>Office of Chief Trial Counsel (State Bar) charged him with four counts of misconduct for UPL</w:t>
      </w:r>
      <w:r w:rsidR="00BC7477">
        <w:t xml:space="preserve"> in California and Nevada</w:t>
      </w:r>
      <w:r>
        <w:t>, for acts of moral turpitude or dishonesty, and for collecting an illegal fee.  The hearing judge found Pelcyger culpable of all counts and recommended he be suspended from the practice of law for one year with a three-year stayed suspension and five years</w:t>
      </w:r>
      <w:r w:rsidR="008B7BBE">
        <w:t>’</w:t>
      </w:r>
      <w:r>
        <w:t xml:space="preserve"> probation.  Pelcyger seeks review.  He challenges the recommended one</w:t>
      </w:r>
      <w:r w:rsidR="00F36755">
        <w:t>-</w:t>
      </w:r>
      <w:r>
        <w:t>year suspension</w:t>
      </w:r>
      <w:r w:rsidR="008B7BBE">
        <w:t>,</w:t>
      </w:r>
      <w:r>
        <w:t xml:space="preserve"> claiming the trial court failed to accurately assess his conduct or </w:t>
      </w:r>
      <w:r w:rsidR="008B7BBE">
        <w:t xml:space="preserve">to </w:t>
      </w:r>
      <w:r>
        <w:t>give proper weight to the mitigation evidence.  The State Bar supports the reco</w:t>
      </w:r>
      <w:r w:rsidR="0046099E">
        <w:t xml:space="preserve">mmended discipline.  </w:t>
      </w:r>
      <w:r w:rsidR="007B486B">
        <w:t>O</w:t>
      </w:r>
      <w:r>
        <w:t>n independent review,</w:t>
      </w:r>
      <w:r>
        <w:rPr>
          <w:rStyle w:val="FootnoteReference"/>
        </w:rPr>
        <w:footnoteReference w:id="2"/>
      </w:r>
      <w:r>
        <w:t xml:space="preserve"> we adopt the hearing judge’s findings</w:t>
      </w:r>
      <w:r w:rsidR="00F36755">
        <w:t>, decision</w:t>
      </w:r>
      <w:r>
        <w:t xml:space="preserve"> and recommendation for discipline, except we do not find lack of harm as a factor in mitigation.</w:t>
      </w:r>
    </w:p>
    <w:p w:rsidR="00057ECB" w:rsidRPr="00EA2927" w:rsidRDefault="00057ECB" w:rsidP="00814CAF">
      <w:pPr>
        <w:spacing w:line="480" w:lineRule="auto"/>
        <w:jc w:val="center"/>
        <w:rPr>
          <w:b/>
          <w:bCs/>
        </w:rPr>
      </w:pPr>
      <w:r>
        <w:rPr>
          <w:b/>
          <w:bCs/>
        </w:rPr>
        <w:t>II</w:t>
      </w:r>
      <w:proofErr w:type="gramStart"/>
      <w:r>
        <w:rPr>
          <w:b/>
          <w:bCs/>
        </w:rPr>
        <w:t xml:space="preserve">.  </w:t>
      </w:r>
      <w:r w:rsidRPr="00EA2927">
        <w:rPr>
          <w:b/>
          <w:bCs/>
        </w:rPr>
        <w:t>STATEMENT</w:t>
      </w:r>
      <w:proofErr w:type="gramEnd"/>
      <w:r w:rsidRPr="00EA2927">
        <w:rPr>
          <w:b/>
          <w:bCs/>
        </w:rPr>
        <w:t xml:space="preserve"> OF </w:t>
      </w:r>
      <w:r>
        <w:rPr>
          <w:b/>
          <w:bCs/>
        </w:rPr>
        <w:t>FACTS</w:t>
      </w:r>
    </w:p>
    <w:p w:rsidR="00FF06AA" w:rsidRDefault="00057ECB" w:rsidP="00CC05BF">
      <w:pPr>
        <w:spacing w:line="480" w:lineRule="auto"/>
        <w:ind w:firstLine="720"/>
      </w:pPr>
      <w:r>
        <w:t xml:space="preserve">Pelcyger was admitted to practice law in California in 1969 and has spent his entire legal career representing Native American </w:t>
      </w:r>
      <w:r w:rsidR="00FF06AA">
        <w:t>claims</w:t>
      </w:r>
      <w:r>
        <w:t xml:space="preserve">.  After returning from </w:t>
      </w:r>
      <w:smartTag w:uri="urn:schemas-microsoft-com:office:smarttags" w:element="place">
        <w:smartTag w:uri="urn:schemas-microsoft-com:office:smarttags" w:element="country-region">
          <w:r>
            <w:t>England</w:t>
          </w:r>
        </w:smartTag>
      </w:smartTag>
      <w:r>
        <w:t xml:space="preserve"> on a Fulbright scholarship, he worked briefly on a Navajo Indian Reservation.  </w:t>
      </w:r>
      <w:r w:rsidR="00FF06AA">
        <w:t>He then</w:t>
      </w:r>
      <w:r>
        <w:t xml:space="preserve"> began </w:t>
      </w:r>
      <w:r w:rsidR="00F36755">
        <w:t xml:space="preserve">to practice </w:t>
      </w:r>
      <w:r>
        <w:t xml:space="preserve">Indian </w:t>
      </w:r>
      <w:r>
        <w:lastRenderedPageBreak/>
        <w:t>law</w:t>
      </w:r>
      <w:r w:rsidR="00F36755">
        <w:t xml:space="preserve"> and </w:t>
      </w:r>
      <w:r>
        <w:t xml:space="preserve">worked </w:t>
      </w:r>
      <w:r w:rsidR="00F36755">
        <w:t xml:space="preserve">in California </w:t>
      </w:r>
      <w:r>
        <w:t>for the Office of Indian Services and the Department of the Interior’s Nativ</w:t>
      </w:r>
      <w:r w:rsidR="00FF06AA">
        <w:t xml:space="preserve">e American Rights Fund (NARF).   In 1981, Pelcyger went into private practice in </w:t>
      </w:r>
      <w:smartTag w:uri="urn:schemas-microsoft-com:office:smarttags" w:element="place">
        <w:smartTag w:uri="urn:schemas-microsoft-com:office:smarttags" w:element="State">
          <w:r w:rsidR="00FF06AA">
            <w:t>Colorado</w:t>
          </w:r>
        </w:smartTag>
      </w:smartTag>
      <w:r w:rsidR="00FF06AA">
        <w:t>, and continued to represent NARF and other Indian tribes.</w:t>
      </w:r>
      <w:r w:rsidR="00FF06AA">
        <w:rPr>
          <w:rStyle w:val="FootnoteReference"/>
        </w:rPr>
        <w:footnoteReference w:id="3"/>
      </w:r>
      <w:r w:rsidR="00FF06AA">
        <w:t xml:space="preserve">  </w:t>
      </w:r>
      <w:r w:rsidR="00AD3270">
        <w:t>Over the years, he</w:t>
      </w:r>
      <w:r>
        <w:t xml:space="preserve"> developed an expertise in asserting Indian rights to waters flowing through or along tribal lands.  </w:t>
      </w:r>
      <w:r w:rsidR="00AD3270">
        <w:t>Pelcyger</w:t>
      </w:r>
      <w:r w:rsidR="00F36755">
        <w:t xml:space="preserve"> became a national authority</w:t>
      </w:r>
      <w:r>
        <w:t xml:space="preserve"> in </w:t>
      </w:r>
      <w:r w:rsidR="00FF06AA">
        <w:t>this area</w:t>
      </w:r>
      <w:r>
        <w:t>, developed a successful law practice and earned a reputation for excellence among clients, colleagues, and opponents</w:t>
      </w:r>
      <w:r w:rsidR="00FF06AA">
        <w:t xml:space="preserve">.  </w:t>
      </w:r>
    </w:p>
    <w:p w:rsidR="007179DB" w:rsidRDefault="00057ECB" w:rsidP="00CC05BF">
      <w:pPr>
        <w:spacing w:line="480" w:lineRule="auto"/>
        <w:ind w:firstLine="720"/>
      </w:pPr>
      <w:r>
        <w:t xml:space="preserve">From 1987 to 2005, Pelcyger began </w:t>
      </w:r>
      <w:r w:rsidR="00FF06AA">
        <w:t xml:space="preserve">practicing law </w:t>
      </w:r>
      <w:r>
        <w:t>extensively in the Nevada</w:t>
      </w:r>
      <w:r w:rsidR="00F36755">
        <w:t xml:space="preserve"> state and federal courts, representing</w:t>
      </w:r>
      <w:r>
        <w:t xml:space="preserve"> the Pyramid Lake Paiute Indian Tribe (Paiute Tribe) in seeking water and fishery rights.  </w:t>
      </w:r>
      <w:r w:rsidR="008B7BBE">
        <w:t>He</w:t>
      </w:r>
      <w:r>
        <w:t xml:space="preserve"> appeared </w:t>
      </w:r>
      <w:r w:rsidR="00FF06AA">
        <w:t xml:space="preserve">regularly </w:t>
      </w:r>
      <w:r w:rsidR="00F36755">
        <w:t xml:space="preserve">before </w:t>
      </w:r>
      <w:r>
        <w:t xml:space="preserve">the U.S. District Court and the State Engineering Board.  Although Pelcyger </w:t>
      </w:r>
      <w:r w:rsidR="007179DB">
        <w:t xml:space="preserve">enjoyed an esteemed reputation </w:t>
      </w:r>
      <w:r>
        <w:t xml:space="preserve">in the Nevada courts, he </w:t>
      </w:r>
      <w:r w:rsidR="00FF06AA">
        <w:t xml:space="preserve">never </w:t>
      </w:r>
      <w:r w:rsidR="008B7BBE">
        <w:t>obtained</w:t>
      </w:r>
      <w:r w:rsidR="00FF06AA">
        <w:t xml:space="preserve"> </w:t>
      </w:r>
      <w:r>
        <w:t xml:space="preserve">admission </w:t>
      </w:r>
      <w:r w:rsidR="007179DB">
        <w:t xml:space="preserve">to practice there.  He </w:t>
      </w:r>
      <w:r w:rsidR="00FF06AA">
        <w:t xml:space="preserve">was not a member of the </w:t>
      </w:r>
      <w:r>
        <w:t>Nevada state or federal bar</w:t>
      </w:r>
      <w:r w:rsidR="007179DB">
        <w:t>,</w:t>
      </w:r>
      <w:r>
        <w:t xml:space="preserve"> </w:t>
      </w:r>
      <w:r w:rsidR="007179DB">
        <w:t xml:space="preserve">and </w:t>
      </w:r>
      <w:r w:rsidR="00FF06AA">
        <w:t xml:space="preserve">the courts had not granted him </w:t>
      </w:r>
      <w:r w:rsidR="007179DB">
        <w:t xml:space="preserve">permission to appear.  </w:t>
      </w:r>
    </w:p>
    <w:p w:rsidR="00057ECB" w:rsidRDefault="00BC7477" w:rsidP="00CC05BF">
      <w:pPr>
        <w:spacing w:line="480" w:lineRule="auto"/>
        <w:ind w:firstLine="720"/>
      </w:pPr>
      <w:r>
        <w:t xml:space="preserve">In fact, </w:t>
      </w:r>
      <w:r w:rsidR="007179DB">
        <w:t xml:space="preserve">Pelcyger </w:t>
      </w:r>
      <w:r w:rsidR="00FF06AA">
        <w:t xml:space="preserve">had </w:t>
      </w:r>
      <w:r w:rsidR="007179DB">
        <w:t xml:space="preserve">unsuccessfully tried to obtain </w:t>
      </w:r>
      <w:r w:rsidR="007179DB" w:rsidRPr="00AA14BF">
        <w:rPr>
          <w:i/>
        </w:rPr>
        <w:t>pro hac vice</w:t>
      </w:r>
      <w:r w:rsidR="00FF06AA">
        <w:rPr>
          <w:rStyle w:val="FootnoteReference"/>
          <w:i/>
        </w:rPr>
        <w:t xml:space="preserve"> </w:t>
      </w:r>
      <w:r w:rsidR="007179DB">
        <w:t>status to appear</w:t>
      </w:r>
      <w:r w:rsidR="00FF06AA">
        <w:t xml:space="preserve"> in the federal court</w:t>
      </w:r>
      <w:r w:rsidR="007179DB">
        <w:t xml:space="preserve">.  </w:t>
      </w:r>
      <w:r w:rsidR="00057ECB">
        <w:t>In 1987</w:t>
      </w:r>
      <w:r w:rsidR="007179DB">
        <w:t>,</w:t>
      </w:r>
      <w:r w:rsidR="00057ECB">
        <w:t xml:space="preserve"> </w:t>
      </w:r>
      <w:r w:rsidR="00FF06AA">
        <w:t xml:space="preserve">at the direction of the </w:t>
      </w:r>
      <w:r w:rsidR="008B7BBE">
        <w:t xml:space="preserve">court </w:t>
      </w:r>
      <w:r w:rsidR="00FF06AA">
        <w:t xml:space="preserve">clerk, </w:t>
      </w:r>
      <w:r w:rsidR="00057ECB">
        <w:t xml:space="preserve">Pelcyger </w:t>
      </w:r>
      <w:r w:rsidR="00FF06AA">
        <w:t xml:space="preserve">filed a </w:t>
      </w:r>
      <w:r w:rsidR="00057ECB" w:rsidRPr="00B96562">
        <w:rPr>
          <w:i/>
          <w:iCs/>
        </w:rPr>
        <w:t>pro hac vice</w:t>
      </w:r>
      <w:r>
        <w:rPr>
          <w:iCs/>
        </w:rPr>
        <w:t xml:space="preserve"> petition</w:t>
      </w:r>
      <w:r w:rsidR="00FF06AA">
        <w:t>, but the court did not rule on it</w:t>
      </w:r>
      <w:r w:rsidR="008B7BBE">
        <w:t xml:space="preserve">.  Pelcyger </w:t>
      </w:r>
      <w:r w:rsidR="00FF06AA">
        <w:t xml:space="preserve">never followed up on the status of </w:t>
      </w:r>
      <w:r w:rsidR="008B7BBE">
        <w:t>that</w:t>
      </w:r>
      <w:r w:rsidR="00FF06AA">
        <w:t xml:space="preserve"> petition.</w:t>
      </w:r>
      <w:r w:rsidR="00057ECB">
        <w:t xml:space="preserve">  </w:t>
      </w:r>
      <w:r w:rsidR="008B7BBE">
        <w:t>He</w:t>
      </w:r>
      <w:r w:rsidR="002A6B08">
        <w:t xml:space="preserve"> testified he thought </w:t>
      </w:r>
      <w:r>
        <w:t>it</w:t>
      </w:r>
      <w:r w:rsidR="00FF06AA">
        <w:t xml:space="preserve"> had been granted</w:t>
      </w:r>
      <w:r>
        <w:t>,</w:t>
      </w:r>
      <w:r w:rsidR="00AD3270">
        <w:t xml:space="preserve"> but his</w:t>
      </w:r>
      <w:r w:rsidR="00FF06AA">
        <w:t xml:space="preserve"> assumption was incorrect.  In </w:t>
      </w:r>
      <w:r w:rsidR="00057ECB">
        <w:t>August 2005, he</w:t>
      </w:r>
      <w:r w:rsidR="00057ECB" w:rsidRPr="004727AA">
        <w:t xml:space="preserve"> filed </w:t>
      </w:r>
      <w:r w:rsidR="00057ECB">
        <w:t>two more petitions.  Again, the court did not rule on one,</w:t>
      </w:r>
      <w:r>
        <w:t xml:space="preserve"> but</w:t>
      </w:r>
      <w:r w:rsidR="00057ECB">
        <w:t xml:space="preserve"> the other </w:t>
      </w:r>
      <w:r>
        <w:t xml:space="preserve">petition </w:t>
      </w:r>
      <w:r w:rsidR="00057ECB">
        <w:t xml:space="preserve">was </w:t>
      </w:r>
      <w:r w:rsidR="00057ECB" w:rsidRPr="004727AA">
        <w:t xml:space="preserve">denied </w:t>
      </w:r>
      <w:r w:rsidR="00057ECB">
        <w:t>primarily because, under the local rules, Pelcyger</w:t>
      </w:r>
      <w:r w:rsidR="00057ECB" w:rsidRPr="004727AA">
        <w:t xml:space="preserve"> </w:t>
      </w:r>
      <w:r>
        <w:t xml:space="preserve">was not entitled to </w:t>
      </w:r>
      <w:r>
        <w:rPr>
          <w:i/>
        </w:rPr>
        <w:t xml:space="preserve">pro hac vice </w:t>
      </w:r>
      <w:r>
        <w:t xml:space="preserve">status since he </w:t>
      </w:r>
      <w:r w:rsidR="00057ECB" w:rsidRPr="00BC7477">
        <w:t>engaged</w:t>
      </w:r>
      <w:r w:rsidR="00057ECB">
        <w:t xml:space="preserve"> in </w:t>
      </w:r>
      <w:r>
        <w:t>the practice of law on a regular basis in Ne</w:t>
      </w:r>
      <w:r w:rsidR="00057ECB">
        <w:t xml:space="preserve">vada.  The judge ruled:  “The plain and simple reason for denying the pro hac vice application is that Mr. Pelcyger has engaged in substantial business and practice of law in </w:t>
      </w:r>
      <w:smartTag w:uri="urn:schemas-microsoft-com:office:smarttags" w:element="place">
        <w:smartTag w:uri="urn:schemas-microsoft-com:office:smarttags" w:element="State">
          <w:r w:rsidR="00057ECB">
            <w:t>Nevada</w:t>
          </w:r>
        </w:smartTag>
      </w:smartTag>
      <w:r w:rsidR="00723622">
        <w:t xml:space="preserve"> over a long period of time . . . .”</w:t>
      </w:r>
    </w:p>
    <w:p w:rsidR="00057ECB" w:rsidRDefault="002A6B08" w:rsidP="00CA0B10">
      <w:pPr>
        <w:spacing w:line="480" w:lineRule="auto"/>
        <w:ind w:firstLine="720"/>
      </w:pPr>
      <w:r>
        <w:lastRenderedPageBreak/>
        <w:t>Pelcyger began to experience</w:t>
      </w:r>
      <w:r w:rsidR="00057ECB">
        <w:t xml:space="preserve"> significant stress </w:t>
      </w:r>
      <w:r w:rsidR="00AD3270">
        <w:t xml:space="preserve">in his personal life </w:t>
      </w:r>
      <w:r w:rsidR="00057ECB">
        <w:t xml:space="preserve">from 1990 to 1995.  His wife and child suffered life-threatening illnesses, and he was required to undergo surgery.  Several close personal friends became seriously ill or died, and his widowed mother passed away from cancer after intensive treatment. </w:t>
      </w:r>
      <w:r>
        <w:t xml:space="preserve">Because of these stressors, Pelcyger had difficulty </w:t>
      </w:r>
      <w:r w:rsidR="008B7BBE">
        <w:t>fulfilling</w:t>
      </w:r>
      <w:r>
        <w:t xml:space="preserve"> his professional responsibilities.</w:t>
      </w:r>
    </w:p>
    <w:p w:rsidR="00FF5293" w:rsidRDefault="00057ECB" w:rsidP="00FF5293">
      <w:pPr>
        <w:spacing w:line="480" w:lineRule="auto"/>
        <w:ind w:firstLine="720"/>
      </w:pPr>
      <w:r>
        <w:t xml:space="preserve">On </w:t>
      </w:r>
      <w:smartTag w:uri="urn:schemas-microsoft-com:office:smarttags" w:element="date">
        <w:smartTagPr>
          <w:attr w:name="Month" w:val="7"/>
          <w:attr w:name="Day" w:val="19"/>
          <w:attr w:name="Year" w:val="1993"/>
        </w:smartTagPr>
        <w:r>
          <w:t>July 19, 1993</w:t>
        </w:r>
      </w:smartTag>
      <w:r>
        <w:t xml:space="preserve">, Pelcyger </w:t>
      </w:r>
      <w:r w:rsidR="0046099E">
        <w:t>lost his eligibility</w:t>
      </w:r>
      <w:r>
        <w:t xml:space="preserve"> to practice law in </w:t>
      </w:r>
      <w:smartTag w:uri="urn:schemas-microsoft-com:office:smarttags" w:element="place">
        <w:smartTag w:uri="urn:schemas-microsoft-com:office:smarttags" w:element="State">
          <w:r>
            <w:t>California</w:t>
          </w:r>
        </w:smartTag>
      </w:smartTag>
      <w:r>
        <w:t>.  Although he completed his Mandatory Continuing Legal Education (MCLE), he failed to provide proof to the State Bar of California</w:t>
      </w:r>
      <w:r w:rsidR="00FF5293">
        <w:t xml:space="preserve">.  He was </w:t>
      </w:r>
      <w:r>
        <w:t>placed on administrative “inactive”</w:t>
      </w:r>
      <w:r w:rsidRPr="00B16661">
        <w:t xml:space="preserve"> </w:t>
      </w:r>
      <w:r>
        <w:t>status</w:t>
      </w:r>
      <w:r w:rsidR="00BC7477">
        <w:t>.</w:t>
      </w:r>
      <w:r w:rsidR="00FF5293" w:rsidRPr="00FF5293">
        <w:t xml:space="preserve"> </w:t>
      </w:r>
      <w:r w:rsidR="00FF5293">
        <w:t xml:space="preserve"> </w:t>
      </w:r>
      <w:r w:rsidR="00FF5293" w:rsidRPr="00803AC7">
        <w:t>From September 1, 2001 to October 29, 2001, Pelcyger’s license to practice was suspended because he failed to pay his dues</w:t>
      </w:r>
      <w:r w:rsidR="008B7BBE">
        <w:t xml:space="preserve">, which </w:t>
      </w:r>
      <w:r w:rsidR="00FF06AA">
        <w:t xml:space="preserve">continued to </w:t>
      </w:r>
      <w:r w:rsidR="00FF5293">
        <w:t xml:space="preserve">accumulate even </w:t>
      </w:r>
      <w:r w:rsidR="00FF5293" w:rsidRPr="00803AC7">
        <w:t xml:space="preserve">during </w:t>
      </w:r>
      <w:r w:rsidR="00FF06AA">
        <w:t xml:space="preserve">his </w:t>
      </w:r>
      <w:r w:rsidR="00FF5293" w:rsidRPr="00803AC7">
        <w:t xml:space="preserve">inactive enrollment.  (Bus. </w:t>
      </w:r>
      <w:proofErr w:type="gramStart"/>
      <w:r w:rsidR="00FF5293" w:rsidRPr="00803AC7">
        <w:t xml:space="preserve">&amp; Prof. Code </w:t>
      </w:r>
      <w:r w:rsidR="00C53ADF">
        <w:t>§</w:t>
      </w:r>
      <w:r w:rsidR="00FF5293" w:rsidRPr="00803AC7">
        <w:t xml:space="preserve"> 6143).</w:t>
      </w:r>
      <w:proofErr w:type="gramEnd"/>
      <w:r w:rsidR="00FF5293" w:rsidRPr="00803AC7">
        <w:t xml:space="preserve">  After </w:t>
      </w:r>
      <w:r w:rsidR="00FF5293">
        <w:t>Pelcyger</w:t>
      </w:r>
      <w:r w:rsidR="00FF5293" w:rsidRPr="00803AC7">
        <w:t xml:space="preserve"> paid the delinquent fees and his suspension</w:t>
      </w:r>
      <w:r w:rsidR="00BC7477">
        <w:t xml:space="preserve"> for failure to pay fees</w:t>
      </w:r>
      <w:r w:rsidR="00FF5293" w:rsidRPr="00803AC7">
        <w:t xml:space="preserve"> was terminated, the State Bar of California sent him a letter advising that he remained </w:t>
      </w:r>
      <w:r w:rsidR="00302AAE">
        <w:t>ineligible to practice law</w:t>
      </w:r>
      <w:r w:rsidR="00FF5293" w:rsidRPr="00803AC7">
        <w:t xml:space="preserve"> because of the MCLE non-compliance.  </w:t>
      </w:r>
      <w:r w:rsidR="00FF06AA">
        <w:t xml:space="preserve">Unfortunately, he ignored this </w:t>
      </w:r>
      <w:r w:rsidR="008B7BBE">
        <w:t>notice</w:t>
      </w:r>
      <w:r w:rsidR="00FF06AA">
        <w:t>.</w:t>
      </w:r>
    </w:p>
    <w:p w:rsidR="00803AC7" w:rsidRDefault="00057ECB" w:rsidP="00803AC7">
      <w:pPr>
        <w:spacing w:line="480" w:lineRule="auto"/>
        <w:ind w:firstLine="720"/>
      </w:pPr>
      <w:r w:rsidRPr="00803AC7">
        <w:t>From</w:t>
      </w:r>
      <w:r>
        <w:t xml:space="preserve"> 1993 to 2005, Pelcyger held </w:t>
      </w:r>
      <w:proofErr w:type="gramStart"/>
      <w:r>
        <w:t>himse</w:t>
      </w:r>
      <w:r w:rsidR="00302AAE">
        <w:t>lf</w:t>
      </w:r>
      <w:proofErr w:type="gramEnd"/>
      <w:r w:rsidR="00302AAE">
        <w:t xml:space="preserve"> out as entitled to </w:t>
      </w:r>
      <w:r w:rsidR="008B7BBE">
        <w:t xml:space="preserve">-- </w:t>
      </w:r>
      <w:r w:rsidR="00302AAE">
        <w:t>and did in</w:t>
      </w:r>
      <w:r>
        <w:t xml:space="preserve"> fact </w:t>
      </w:r>
      <w:r w:rsidR="008B7BBE">
        <w:t xml:space="preserve">-- </w:t>
      </w:r>
      <w:r>
        <w:t>practice law in California</w:t>
      </w:r>
      <w:r w:rsidR="00FF5293">
        <w:t>,</w:t>
      </w:r>
      <w:r>
        <w:t xml:space="preserve"> even though he knew he was not authorized to do so.  He used legal letterhead that stated he was admitt</w:t>
      </w:r>
      <w:r w:rsidR="00FF06AA">
        <w:t>ed to practice law in California</w:t>
      </w:r>
      <w:r w:rsidR="00117E99">
        <w:t>,</w:t>
      </w:r>
      <w:r w:rsidR="00FF06AA">
        <w:t xml:space="preserve"> and </w:t>
      </w:r>
      <w:r w:rsidR="00117E99">
        <w:t xml:space="preserve">in 1994, he </w:t>
      </w:r>
      <w:r>
        <w:t xml:space="preserve">executed </w:t>
      </w:r>
      <w:r w:rsidR="00117E99">
        <w:t>a retainer agreement</w:t>
      </w:r>
      <w:r w:rsidR="00BC7477">
        <w:t xml:space="preserve"> entitled </w:t>
      </w:r>
      <w:r>
        <w:t xml:space="preserve">“Tribal Attorney Special Counsel Contract” </w:t>
      </w:r>
      <w:r w:rsidR="00BC7477">
        <w:t>on behalf of hi</w:t>
      </w:r>
      <w:r>
        <w:t>s firm to represent the Paiute Tribe</w:t>
      </w:r>
      <w:r w:rsidR="00302AAE">
        <w:t>.  The contract recited that Pelcyger</w:t>
      </w:r>
      <w:r>
        <w:t xml:space="preserve"> was “a fully licensed member in good standing of the bar of the State of California</w:t>
      </w:r>
      <w:r w:rsidR="00302AAE">
        <w:t>,</w:t>
      </w:r>
      <w:r>
        <w:t xml:space="preserve">” </w:t>
      </w:r>
      <w:r w:rsidR="00117E99">
        <w:t>and was</w:t>
      </w:r>
      <w:r w:rsidR="00302AAE">
        <w:t xml:space="preserve"> </w:t>
      </w:r>
      <w:r>
        <w:t xml:space="preserve">approved by the </w:t>
      </w:r>
      <w:r w:rsidR="008B7BBE">
        <w:t>U.</w:t>
      </w:r>
      <w:r w:rsidR="00117E99">
        <w:t xml:space="preserve"> </w:t>
      </w:r>
      <w:r w:rsidR="008B7BBE">
        <w:t xml:space="preserve">S. Department </w:t>
      </w:r>
      <w:r>
        <w:t xml:space="preserve">of the Interior.  </w:t>
      </w:r>
      <w:r w:rsidR="00117E99">
        <w:t>It was exten</w:t>
      </w:r>
      <w:r w:rsidR="00723622">
        <w:t>ded by written amendment in 1999</w:t>
      </w:r>
      <w:r w:rsidR="00117E99">
        <w:t xml:space="preserve">, 2001, and 2003.  </w:t>
      </w:r>
      <w:r w:rsidR="00FF06AA">
        <w:t>Also,</w:t>
      </w:r>
      <w:r>
        <w:t xml:space="preserve"> </w:t>
      </w:r>
      <w:proofErr w:type="spellStart"/>
      <w:r>
        <w:t>Pelcyger</w:t>
      </w:r>
      <w:proofErr w:type="spellEnd"/>
      <w:r>
        <w:t xml:space="preserve"> continued </w:t>
      </w:r>
      <w:r w:rsidR="008B7BBE">
        <w:t>to represent</w:t>
      </w:r>
      <w:r>
        <w:t xml:space="preserve"> </w:t>
      </w:r>
      <w:r w:rsidR="00BC7477">
        <w:t xml:space="preserve">a long-term client, </w:t>
      </w:r>
      <w:r>
        <w:t>the San Luis Rey Indian Water Authority (San Luis Rey)</w:t>
      </w:r>
      <w:r w:rsidR="00BC7477">
        <w:t>,</w:t>
      </w:r>
      <w:r>
        <w:t xml:space="preserve"> in negotiations and settlements in California.  </w:t>
      </w:r>
      <w:r w:rsidR="00FF06AA">
        <w:t>During thi</w:t>
      </w:r>
      <w:r w:rsidR="008B7BBE">
        <w:t>s</w:t>
      </w:r>
      <w:r w:rsidR="00FF06AA">
        <w:t xml:space="preserve"> period of UPL, Pelcyger personally received a portion of the</w:t>
      </w:r>
      <w:r>
        <w:t xml:space="preserve"> $1.7 million in attorney fees </w:t>
      </w:r>
      <w:r w:rsidR="00FF06AA">
        <w:t xml:space="preserve">his firm collected in the </w:t>
      </w:r>
      <w:r>
        <w:t xml:space="preserve">Paiute </w:t>
      </w:r>
      <w:r>
        <w:lastRenderedPageBreak/>
        <w:t>Tribe</w:t>
      </w:r>
      <w:r w:rsidR="00FF5293">
        <w:t xml:space="preserve"> </w:t>
      </w:r>
      <w:r w:rsidR="00FF06AA">
        <w:t>case</w:t>
      </w:r>
      <w:r w:rsidR="008B7BBE">
        <w:t>s</w:t>
      </w:r>
      <w:r w:rsidR="00FF06AA">
        <w:t>.</w:t>
      </w:r>
      <w:r>
        <w:t xml:space="preserve"> </w:t>
      </w:r>
      <w:r w:rsidR="00BC7477">
        <w:t xml:space="preserve"> Throughout this time, Pelcyger never told anyone that he was not entitled to practice law in California.</w:t>
      </w:r>
    </w:p>
    <w:p w:rsidR="002A6B08" w:rsidRDefault="002A6B08" w:rsidP="002A6B08">
      <w:pPr>
        <w:spacing w:line="480" w:lineRule="auto"/>
        <w:ind w:firstLine="720"/>
      </w:pPr>
      <w:r>
        <w:t xml:space="preserve">Twelve years later, in 2005, opposing </w:t>
      </w:r>
      <w:r w:rsidR="00302AAE">
        <w:t xml:space="preserve">counsel </w:t>
      </w:r>
      <w:r w:rsidR="005C750D">
        <w:t xml:space="preserve">discovered that Pelcyger did not have </w:t>
      </w:r>
      <w:r w:rsidR="008B7BBE">
        <w:t xml:space="preserve">a valid </w:t>
      </w:r>
      <w:r w:rsidR="005C750D">
        <w:t>license to practice law</w:t>
      </w:r>
      <w:r>
        <w:t xml:space="preserve">.  The attorney reported </w:t>
      </w:r>
      <w:r w:rsidR="00302AAE">
        <w:t>the finding</w:t>
      </w:r>
      <w:r>
        <w:t xml:space="preserve"> to a federal judge in Nevada.  Pelcyger </w:t>
      </w:r>
      <w:r w:rsidR="00BC7477">
        <w:t xml:space="preserve">then </w:t>
      </w:r>
      <w:r>
        <w:t>submitted proof of MCLE compliance to the California State Bar</w:t>
      </w:r>
      <w:r w:rsidR="00302AAE">
        <w:t>,</w:t>
      </w:r>
      <w:r w:rsidR="00BC7477">
        <w:t xml:space="preserve"> and</w:t>
      </w:r>
      <w:r>
        <w:t xml:space="preserve"> his license </w:t>
      </w:r>
      <w:r w:rsidR="00302AAE">
        <w:t xml:space="preserve">to practice law was </w:t>
      </w:r>
      <w:r>
        <w:t>reinstated</w:t>
      </w:r>
      <w:r w:rsidR="00BC7477">
        <w:t xml:space="preserve">.  Shortly thereafter, </w:t>
      </w:r>
      <w:r w:rsidR="005C750D">
        <w:t xml:space="preserve">the State Bar </w:t>
      </w:r>
      <w:r w:rsidR="00AD3270">
        <w:t>filed charges</w:t>
      </w:r>
      <w:r>
        <w:t xml:space="preserve">.  </w:t>
      </w:r>
    </w:p>
    <w:p w:rsidR="00057ECB" w:rsidRDefault="00057ECB" w:rsidP="00E769BE">
      <w:pPr>
        <w:spacing w:line="480" w:lineRule="auto"/>
        <w:jc w:val="center"/>
      </w:pPr>
      <w:r>
        <w:rPr>
          <w:b/>
          <w:bCs/>
        </w:rPr>
        <w:t>III</w:t>
      </w:r>
      <w:proofErr w:type="gramStart"/>
      <w:r>
        <w:rPr>
          <w:b/>
          <w:bCs/>
        </w:rPr>
        <w:t xml:space="preserve">.  </w:t>
      </w:r>
      <w:r w:rsidRPr="00B04466">
        <w:rPr>
          <w:b/>
          <w:bCs/>
        </w:rPr>
        <w:t>CULPABILITY</w:t>
      </w:r>
      <w:proofErr w:type="gramEnd"/>
    </w:p>
    <w:p w:rsidR="00057ECB" w:rsidRPr="002C7077" w:rsidRDefault="00057ECB" w:rsidP="00814CAF">
      <w:pPr>
        <w:spacing w:line="480" w:lineRule="auto"/>
        <w:rPr>
          <w:b/>
          <w:bCs/>
        </w:rPr>
      </w:pPr>
      <w:r>
        <w:rPr>
          <w:b/>
          <w:bCs/>
        </w:rPr>
        <w:t>A.</w:t>
      </w:r>
      <w:r>
        <w:rPr>
          <w:b/>
          <w:bCs/>
        </w:rPr>
        <w:tab/>
      </w:r>
      <w:r w:rsidRPr="002C7077">
        <w:rPr>
          <w:b/>
          <w:bCs/>
        </w:rPr>
        <w:t xml:space="preserve">Count 1 – Failure to </w:t>
      </w:r>
      <w:r>
        <w:rPr>
          <w:b/>
          <w:bCs/>
        </w:rPr>
        <w:t>O</w:t>
      </w:r>
      <w:r w:rsidRPr="002C7077">
        <w:rPr>
          <w:b/>
          <w:bCs/>
        </w:rPr>
        <w:t xml:space="preserve">bey the </w:t>
      </w:r>
      <w:r>
        <w:rPr>
          <w:b/>
          <w:bCs/>
        </w:rPr>
        <w:t>L</w:t>
      </w:r>
      <w:r w:rsidRPr="002C7077">
        <w:rPr>
          <w:b/>
          <w:bCs/>
        </w:rPr>
        <w:t>aw (</w:t>
      </w:r>
      <w:r>
        <w:rPr>
          <w:b/>
          <w:bCs/>
        </w:rPr>
        <w:t xml:space="preserve">Bus. </w:t>
      </w:r>
      <w:proofErr w:type="gramStart"/>
      <w:r>
        <w:rPr>
          <w:b/>
          <w:bCs/>
        </w:rPr>
        <w:t>&amp; Prof. Code, §</w:t>
      </w:r>
      <w:r w:rsidRPr="002C7077">
        <w:rPr>
          <w:b/>
          <w:bCs/>
        </w:rPr>
        <w:t xml:space="preserve"> 6068</w:t>
      </w:r>
      <w:r>
        <w:rPr>
          <w:b/>
          <w:bCs/>
        </w:rPr>
        <w:t>, subd.</w:t>
      </w:r>
      <w:proofErr w:type="gramEnd"/>
      <w:r>
        <w:rPr>
          <w:b/>
          <w:bCs/>
        </w:rPr>
        <w:t xml:space="preserve"> </w:t>
      </w:r>
      <w:r w:rsidRPr="002C7077">
        <w:rPr>
          <w:b/>
          <w:bCs/>
        </w:rPr>
        <w:t>(</w:t>
      </w:r>
      <w:proofErr w:type="gramStart"/>
      <w:r w:rsidRPr="002C7077">
        <w:rPr>
          <w:b/>
          <w:bCs/>
        </w:rPr>
        <w:t>a</w:t>
      </w:r>
      <w:proofErr w:type="gramEnd"/>
      <w:r w:rsidRPr="002C7077">
        <w:rPr>
          <w:b/>
          <w:bCs/>
        </w:rPr>
        <w:t>))</w:t>
      </w:r>
      <w:r w:rsidRPr="00DD5081">
        <w:rPr>
          <w:rStyle w:val="FootnoteReference"/>
          <w:b/>
          <w:bCs/>
        </w:rPr>
        <w:footnoteReference w:id="4"/>
      </w:r>
    </w:p>
    <w:p w:rsidR="000A283E" w:rsidRDefault="00057ECB" w:rsidP="00723622">
      <w:pPr>
        <w:spacing w:line="480" w:lineRule="auto"/>
        <w:ind w:firstLine="720"/>
      </w:pPr>
      <w:r>
        <w:t xml:space="preserve">We adopt the hearing judge’s findings and conclusion that Pelcyger willfully violated his duty to comply with the laws of the state, as </w:t>
      </w:r>
      <w:r w:rsidR="00C53ADF">
        <w:t>required</w:t>
      </w:r>
      <w:r>
        <w:t xml:space="preserve"> by section 6068, subdivision (a)</w:t>
      </w:r>
      <w:r w:rsidR="00C53ADF">
        <w:t>,</w:t>
      </w:r>
      <w:r>
        <w:t xml:space="preserve"> because he violated sections 6125 and 6126.  Section 6125 prohibits the practice of law in </w:t>
      </w:r>
      <w:smartTag w:uri="urn:schemas-microsoft-com:office:smarttags" w:element="place">
        <w:smartTag w:uri="urn:schemas-microsoft-com:office:smarttags" w:element="State">
          <w:r>
            <w:t>California</w:t>
          </w:r>
        </w:smartTag>
      </w:smartTag>
      <w:r>
        <w:t xml:space="preserve"> without active membership in the State Bar.  Section 6126 prohibits an attorney from advertising or holding himself out as entitled to practice law without active membership. </w:t>
      </w:r>
      <w:r w:rsidR="00117E99">
        <w:t xml:space="preserve"> </w:t>
      </w:r>
      <w:r w:rsidR="00723622">
        <w:t xml:space="preserve">From 1993 to 2005, when his California license to practice was on inactive status, </w:t>
      </w:r>
      <w:proofErr w:type="spellStart"/>
      <w:r w:rsidR="00117E99">
        <w:t>Pelcyger</w:t>
      </w:r>
      <w:proofErr w:type="spellEnd"/>
      <w:r w:rsidR="00117E99">
        <w:t xml:space="preserve"> </w:t>
      </w:r>
      <w:r>
        <w:t>used</w:t>
      </w:r>
      <w:r w:rsidR="00723622">
        <w:t xml:space="preserve"> legal</w:t>
      </w:r>
      <w:r>
        <w:t xml:space="preserve"> letterhead</w:t>
      </w:r>
      <w:r w:rsidR="00117E99">
        <w:t>,</w:t>
      </w:r>
      <w:r>
        <w:t xml:space="preserve"> executed </w:t>
      </w:r>
      <w:r w:rsidR="00302AAE">
        <w:t xml:space="preserve">client </w:t>
      </w:r>
      <w:r>
        <w:t xml:space="preserve">contracts misrepresenting </w:t>
      </w:r>
      <w:r w:rsidR="005C750D">
        <w:t xml:space="preserve">that </w:t>
      </w:r>
      <w:r w:rsidR="00302AAE">
        <w:t xml:space="preserve">he had an </w:t>
      </w:r>
      <w:r>
        <w:t xml:space="preserve">active California </w:t>
      </w:r>
      <w:r w:rsidR="00302AAE">
        <w:t xml:space="preserve">bar </w:t>
      </w:r>
      <w:r>
        <w:t>membership</w:t>
      </w:r>
      <w:r w:rsidR="00117E99">
        <w:t xml:space="preserve">, and </w:t>
      </w:r>
      <w:r>
        <w:t xml:space="preserve">continued to represent San Luis Rey clients in </w:t>
      </w:r>
      <w:smartTag w:uri="urn:schemas-microsoft-com:office:smarttags" w:element="place">
        <w:smartTag w:uri="urn:schemas-microsoft-com:office:smarttags" w:element="State">
          <w:r>
            <w:t>California</w:t>
          </w:r>
        </w:smartTag>
      </w:smartTag>
      <w:r w:rsidR="000A283E">
        <w:t xml:space="preserve">.  He </w:t>
      </w:r>
      <w:r>
        <w:t xml:space="preserve">has clearly violated sections 6125 and 6126, thereby establishing the section 6068 violation. </w:t>
      </w:r>
      <w:r w:rsidRPr="00070F5D">
        <w:t xml:space="preserve"> </w:t>
      </w:r>
      <w:r>
        <w:t xml:space="preserve">(See </w:t>
      </w:r>
      <w:r>
        <w:rPr>
          <w:i/>
          <w:iCs/>
        </w:rPr>
        <w:t>In the Matter of Acuna</w:t>
      </w:r>
      <w:r>
        <w:t xml:space="preserve"> (</w:t>
      </w:r>
      <w:smartTag w:uri="urn:schemas-microsoft-com:office:smarttags" w:element="address">
        <w:r>
          <w:t>Review Dept. 1996</w:t>
        </w:r>
      </w:smartTag>
      <w:r>
        <w:t>) 3 Cal. State Bar Ct. Rptr. 495, 505-506 [appropriate method of charging violations of §§ 6125 and 6126 is by charging violation of § 6068, subd. (</w:t>
      </w:r>
      <w:proofErr w:type="gramStart"/>
      <w:r>
        <w:t>a</w:t>
      </w:r>
      <w:proofErr w:type="gramEnd"/>
      <w:r>
        <w:t xml:space="preserve">).])  </w:t>
      </w:r>
    </w:p>
    <w:p w:rsidR="000A283E" w:rsidRDefault="000A283E">
      <w:r>
        <w:br w:type="page"/>
      </w:r>
    </w:p>
    <w:p w:rsidR="00057ECB" w:rsidRDefault="00057ECB" w:rsidP="000A283E">
      <w:pPr>
        <w:ind w:left="720" w:hanging="720"/>
        <w:rPr>
          <w:b/>
          <w:bCs/>
        </w:rPr>
      </w:pPr>
      <w:r>
        <w:rPr>
          <w:b/>
          <w:bCs/>
        </w:rPr>
        <w:lastRenderedPageBreak/>
        <w:t>B.</w:t>
      </w:r>
      <w:r>
        <w:rPr>
          <w:b/>
          <w:bCs/>
        </w:rPr>
        <w:tab/>
      </w:r>
      <w:r w:rsidRPr="002C7077">
        <w:rPr>
          <w:b/>
          <w:bCs/>
        </w:rPr>
        <w:t xml:space="preserve">Count 2 – Unauthorized </w:t>
      </w:r>
      <w:r>
        <w:rPr>
          <w:b/>
          <w:bCs/>
        </w:rPr>
        <w:t xml:space="preserve">Practice of Law in </w:t>
      </w:r>
      <w:proofErr w:type="gramStart"/>
      <w:r>
        <w:rPr>
          <w:b/>
          <w:bCs/>
        </w:rPr>
        <w:t>Another</w:t>
      </w:r>
      <w:proofErr w:type="gramEnd"/>
      <w:r>
        <w:rPr>
          <w:b/>
          <w:bCs/>
        </w:rPr>
        <w:t xml:space="preserve"> J</w:t>
      </w:r>
      <w:r w:rsidRPr="002C7077">
        <w:rPr>
          <w:b/>
          <w:bCs/>
        </w:rPr>
        <w:t>urisdiction (</w:t>
      </w:r>
      <w:r>
        <w:rPr>
          <w:b/>
          <w:bCs/>
        </w:rPr>
        <w:t>R</w:t>
      </w:r>
      <w:r w:rsidRPr="002C7077">
        <w:rPr>
          <w:b/>
          <w:bCs/>
        </w:rPr>
        <w:t>ule</w:t>
      </w:r>
      <w:r w:rsidR="000A283E">
        <w:rPr>
          <w:b/>
          <w:bCs/>
        </w:rPr>
        <w:t xml:space="preserve">s Prof. Conduct, Rule </w:t>
      </w:r>
      <w:r w:rsidRPr="002C7077">
        <w:rPr>
          <w:b/>
          <w:bCs/>
        </w:rPr>
        <w:t>1-300(B))</w:t>
      </w:r>
      <w:r w:rsidR="000A283E">
        <w:rPr>
          <w:rStyle w:val="FootnoteReference"/>
        </w:rPr>
        <w:footnoteReference w:id="5"/>
      </w:r>
    </w:p>
    <w:p w:rsidR="000A283E" w:rsidRPr="002C7077" w:rsidRDefault="000A283E" w:rsidP="000A283E">
      <w:pPr>
        <w:ind w:left="720" w:hanging="720"/>
        <w:rPr>
          <w:b/>
          <w:bCs/>
        </w:rPr>
      </w:pPr>
    </w:p>
    <w:p w:rsidR="00057ECB" w:rsidRDefault="00057ECB" w:rsidP="009039A2">
      <w:pPr>
        <w:spacing w:line="480" w:lineRule="auto"/>
        <w:ind w:firstLine="720"/>
      </w:pPr>
      <w:r>
        <w:t>We adopt the hearing judge’s findings and conclusion that Pelcyger violated rule 1-300(B) of the Rules of Professional Conduct</w:t>
      </w:r>
      <w:r w:rsidR="00302AAE">
        <w:t>.</w:t>
      </w:r>
      <w:r>
        <w:t xml:space="preserve"> </w:t>
      </w:r>
      <w:r w:rsidR="00302AAE">
        <w:t xml:space="preserve"> This rule prohibits </w:t>
      </w:r>
      <w:r>
        <w:t xml:space="preserve">the unauthorized practice of law in a jurisdiction where such practice is in violation of that jurisdiction’s professional regulations.  </w:t>
      </w:r>
      <w:r w:rsidR="00997119">
        <w:t>He</w:t>
      </w:r>
      <w:r>
        <w:t xml:space="preserve"> made unauthorized appearances in both the federal and state co</w:t>
      </w:r>
      <w:r w:rsidR="00302AAE">
        <w:t>urts in Nevada</w:t>
      </w:r>
      <w:r w:rsidR="00C53ADF">
        <w:t xml:space="preserve"> from 1987 to 2005,</w:t>
      </w:r>
      <w:r w:rsidR="00302AAE">
        <w:t xml:space="preserve"> in violation of </w:t>
      </w:r>
      <w:r w:rsidR="005C750D">
        <w:t>the rules of practice associated with each court.</w:t>
      </w:r>
      <w:r>
        <w:t xml:space="preserve">  </w:t>
      </w:r>
    </w:p>
    <w:p w:rsidR="00C53ADF" w:rsidRDefault="0046099E" w:rsidP="00814CAF">
      <w:pPr>
        <w:spacing w:line="480" w:lineRule="auto"/>
        <w:ind w:firstLine="720"/>
      </w:pPr>
      <w:r>
        <w:t xml:space="preserve">Pelcyger engaged in UPL when he appeared regularly before the U. S. District Court in Nevada.  </w:t>
      </w:r>
      <w:r w:rsidR="00302AAE">
        <w:t>The local rules require</w:t>
      </w:r>
      <w:r w:rsidR="00057ECB">
        <w:t xml:space="preserve"> </w:t>
      </w:r>
      <w:r w:rsidR="00302AAE">
        <w:t xml:space="preserve">attorneys </w:t>
      </w:r>
      <w:r w:rsidR="005C750D">
        <w:t xml:space="preserve">who practice there </w:t>
      </w:r>
      <w:r w:rsidR="00302AAE">
        <w:t xml:space="preserve">to be </w:t>
      </w:r>
      <w:r w:rsidR="00057ECB">
        <w:t>either a member of the Nevada bar</w:t>
      </w:r>
      <w:r w:rsidR="00057ECB">
        <w:rPr>
          <w:rStyle w:val="FootnoteReference"/>
        </w:rPr>
        <w:footnoteReference w:id="6"/>
      </w:r>
      <w:r w:rsidR="00057ECB">
        <w:t xml:space="preserve"> or admitted </w:t>
      </w:r>
      <w:r w:rsidR="00057ECB" w:rsidRPr="00C53ADF">
        <w:rPr>
          <w:i/>
        </w:rPr>
        <w:t>pro hac vice</w:t>
      </w:r>
      <w:r w:rsidR="00057ECB">
        <w:t>.</w:t>
      </w:r>
      <w:r w:rsidR="00057ECB">
        <w:rPr>
          <w:rStyle w:val="FootnoteReference"/>
        </w:rPr>
        <w:footnoteReference w:id="7"/>
      </w:r>
      <w:r w:rsidR="00057ECB">
        <w:t xml:space="preserve">  From 1987 to 1993, although properly licensed in California, Pelcyger was not </w:t>
      </w:r>
      <w:r w:rsidR="00C53ADF">
        <w:t xml:space="preserve">authorized to practice in Nevada federal </w:t>
      </w:r>
      <w:r w:rsidR="002A0977">
        <w:t xml:space="preserve">court.  He was </w:t>
      </w:r>
      <w:r w:rsidR="00057ECB">
        <w:t xml:space="preserve">not a member of the federal bar there, had not been admitted </w:t>
      </w:r>
      <w:r w:rsidR="00057ECB">
        <w:rPr>
          <w:i/>
          <w:iCs/>
        </w:rPr>
        <w:t>pro hac vice</w:t>
      </w:r>
      <w:r w:rsidR="00057ECB">
        <w:t xml:space="preserve">, and </w:t>
      </w:r>
      <w:r w:rsidR="005C750D">
        <w:t xml:space="preserve">had not been granted </w:t>
      </w:r>
      <w:r w:rsidR="00AD3270">
        <w:t xml:space="preserve">any admission </w:t>
      </w:r>
      <w:r w:rsidR="005C750D">
        <w:t xml:space="preserve">exception by the court.  </w:t>
      </w:r>
      <w:r w:rsidR="00C53ADF">
        <w:t xml:space="preserve">From 1993 to 2005, during his 12 years of inactive status in California, Pelcyger was not qualified to even petition the court for </w:t>
      </w:r>
      <w:r w:rsidR="00C53ADF" w:rsidRPr="00B96562">
        <w:rPr>
          <w:i/>
          <w:iCs/>
        </w:rPr>
        <w:t>pro hac vice</w:t>
      </w:r>
      <w:r w:rsidR="00C53ADF">
        <w:t xml:space="preserve"> status because he lacked the fundamental requirement of being licensed in another state.  </w:t>
      </w:r>
    </w:p>
    <w:p w:rsidR="00CA0DC6" w:rsidRDefault="002A0977" w:rsidP="00814CAF">
      <w:pPr>
        <w:spacing w:line="480" w:lineRule="auto"/>
        <w:ind w:firstLine="720"/>
      </w:pPr>
      <w:r>
        <w:lastRenderedPageBreak/>
        <w:t>P</w:t>
      </w:r>
      <w:r w:rsidR="00057ECB">
        <w:t xml:space="preserve">elcyger argues that he mistakenly believed he had been granted </w:t>
      </w:r>
      <w:r w:rsidR="00057ECB" w:rsidRPr="00C93286">
        <w:rPr>
          <w:i/>
          <w:iCs/>
        </w:rPr>
        <w:t>pro hac</w:t>
      </w:r>
      <w:r w:rsidR="00057ECB">
        <w:t xml:space="preserve"> </w:t>
      </w:r>
      <w:r w:rsidR="00057ECB" w:rsidRPr="00CC7A74">
        <w:rPr>
          <w:i/>
        </w:rPr>
        <w:t>vice</w:t>
      </w:r>
      <w:r w:rsidR="00057ECB">
        <w:t xml:space="preserve"> status</w:t>
      </w:r>
      <w:r w:rsidR="005C750D">
        <w:t xml:space="preserve"> in the federal court</w:t>
      </w:r>
      <w:r w:rsidR="00CC7A74">
        <w:t xml:space="preserve"> in 1987</w:t>
      </w:r>
      <w:r w:rsidR="005C750D">
        <w:t>.</w:t>
      </w:r>
      <w:r w:rsidR="00CC7A74">
        <w:t xml:space="preserve"> </w:t>
      </w:r>
      <w:r w:rsidR="005C750D">
        <w:t xml:space="preserve"> This argument lacks merit.  Even though he petitioned for </w:t>
      </w:r>
      <w:r w:rsidR="005C750D">
        <w:rPr>
          <w:i/>
        </w:rPr>
        <w:t>pro hac vice</w:t>
      </w:r>
      <w:r w:rsidR="005C750D">
        <w:t xml:space="preserve"> authority to appear, it was never granted.  </w:t>
      </w:r>
      <w:r>
        <w:t xml:space="preserve">The U.S. District Court in Nevada </w:t>
      </w:r>
      <w:r w:rsidR="005C750D">
        <w:t xml:space="preserve">has enacted local rules which clearly identify the requirements and process for such admission.  </w:t>
      </w:r>
      <w:r w:rsidR="00057ECB">
        <w:t xml:space="preserve">Pelcyger was obligated as an officer of the court to </w:t>
      </w:r>
      <w:r w:rsidR="005C750D">
        <w:t>confirm</w:t>
      </w:r>
      <w:r w:rsidR="00057ECB">
        <w:t xml:space="preserve"> </w:t>
      </w:r>
      <w:r w:rsidR="00AD3270">
        <w:t xml:space="preserve">that </w:t>
      </w:r>
      <w:r w:rsidR="005C750D">
        <w:t xml:space="preserve">the petition had been granted </w:t>
      </w:r>
      <w:r>
        <w:t xml:space="preserve">before </w:t>
      </w:r>
      <w:r w:rsidR="005C750D">
        <w:t xml:space="preserve">filing </w:t>
      </w:r>
      <w:r w:rsidR="00057ECB">
        <w:t xml:space="preserve">pleadings or </w:t>
      </w:r>
      <w:r w:rsidR="005C750D">
        <w:t xml:space="preserve">making </w:t>
      </w:r>
      <w:r w:rsidR="00057ECB">
        <w:t>appearances.  Th</w:t>
      </w:r>
      <w:r w:rsidR="00CC7A74">
        <w:t>at</w:t>
      </w:r>
      <w:r w:rsidR="00057ECB">
        <w:t xml:space="preserve"> obligation </w:t>
      </w:r>
      <w:r w:rsidR="005C750D">
        <w:t>is an ethical one that rests</w:t>
      </w:r>
      <w:r w:rsidR="00CC7A74">
        <w:t xml:space="preserve"> with</w:t>
      </w:r>
      <w:r w:rsidR="005C750D">
        <w:t xml:space="preserve"> </w:t>
      </w:r>
      <w:r w:rsidR="00057ECB">
        <w:t xml:space="preserve">the attorney.  </w:t>
      </w:r>
    </w:p>
    <w:p w:rsidR="00057ECB" w:rsidRDefault="00997119" w:rsidP="00814CAF">
      <w:pPr>
        <w:spacing w:line="480" w:lineRule="auto"/>
        <w:ind w:firstLine="720"/>
      </w:pPr>
      <w:r>
        <w:t xml:space="preserve">Pelcyger also engaged in UPL in Nevada when he </w:t>
      </w:r>
      <w:r w:rsidR="0046099E">
        <w:t xml:space="preserve">repeatedly </w:t>
      </w:r>
      <w:r>
        <w:t>appeared before the Sta</w:t>
      </w:r>
      <w:r w:rsidR="00CC7A74">
        <w:t>te Engineering Board</w:t>
      </w:r>
      <w:r>
        <w:t>.  T</w:t>
      </w:r>
      <w:r w:rsidR="00AD3270">
        <w:t xml:space="preserve">he </w:t>
      </w:r>
      <w:r w:rsidR="00057ECB" w:rsidRPr="00C93286">
        <w:t xml:space="preserve">Nevada Administrative Code section 533.200(2) </w:t>
      </w:r>
      <w:r w:rsidR="00CA0DC6">
        <w:t xml:space="preserve">has required </w:t>
      </w:r>
      <w:r w:rsidR="00CC7A74">
        <w:t xml:space="preserve">since 1995 </w:t>
      </w:r>
      <w:r w:rsidR="00057ECB" w:rsidRPr="00C93286">
        <w:t>that an attorney be either an active member of the State Bar of Nevada or associated with an active member</w:t>
      </w:r>
      <w:r>
        <w:t xml:space="preserve"> to appear before the State Engineering Board</w:t>
      </w:r>
      <w:r w:rsidR="00057ECB" w:rsidRPr="00C93286">
        <w:t xml:space="preserve">. </w:t>
      </w:r>
      <w:r w:rsidR="00057ECB">
        <w:t xml:space="preserve"> Pelcyger was neither</w:t>
      </w:r>
      <w:r>
        <w:t>,</w:t>
      </w:r>
      <w:r w:rsidR="00AD3270">
        <w:t xml:space="preserve"> yet he practiced </w:t>
      </w:r>
      <w:r>
        <w:t>before that Board</w:t>
      </w:r>
      <w:r w:rsidR="00AD3270">
        <w:t xml:space="preserve"> from 1995 to 2003</w:t>
      </w:r>
      <w:r w:rsidR="00057ECB">
        <w:t xml:space="preserve">.  </w:t>
      </w:r>
      <w:r>
        <w:t>H</w:t>
      </w:r>
      <w:r w:rsidR="00CA0DC6">
        <w:t>e asserts</w:t>
      </w:r>
      <w:r w:rsidR="00057ECB">
        <w:t xml:space="preserve"> that he did not think of himself as practicing in the state cour</w:t>
      </w:r>
      <w:r w:rsidR="005C750D">
        <w:t>t</w:t>
      </w:r>
      <w:r w:rsidR="00057ECB">
        <w:t xml:space="preserve"> when he appeared before the Engineering Board because </w:t>
      </w:r>
      <w:r w:rsidR="00CA0DC6">
        <w:t>it was</w:t>
      </w:r>
      <w:r w:rsidR="00057ECB">
        <w:t xml:space="preserve"> ancillary or connected to the federal cases in which he </w:t>
      </w:r>
      <w:r w:rsidR="00CA0DC6">
        <w:t>appeared</w:t>
      </w:r>
      <w:r w:rsidR="00057ECB">
        <w:t xml:space="preserve"> in the U. S. District Court.  This argument </w:t>
      </w:r>
      <w:r w:rsidR="005C750D">
        <w:t>also fails since, as previously</w:t>
      </w:r>
      <w:r w:rsidR="00AD3270">
        <w:t xml:space="preserve"> discussed</w:t>
      </w:r>
      <w:r w:rsidR="005C750D">
        <w:t xml:space="preserve">, Pelcyger </w:t>
      </w:r>
      <w:r w:rsidR="00057ECB">
        <w:t xml:space="preserve">was </w:t>
      </w:r>
      <w:r w:rsidR="005C750D">
        <w:t xml:space="preserve">not </w:t>
      </w:r>
      <w:r w:rsidR="00057ECB">
        <w:t>authorized to appear before the federal court</w:t>
      </w:r>
      <w:r w:rsidR="005C750D">
        <w:t xml:space="preserve"> from 1987 to 2005.</w:t>
      </w:r>
      <w:r w:rsidR="00BC7477">
        <w:rPr>
          <w:rStyle w:val="FootnoteReference"/>
        </w:rPr>
        <w:footnoteReference w:id="8"/>
      </w:r>
    </w:p>
    <w:p w:rsidR="00057ECB" w:rsidRPr="002C7077" w:rsidRDefault="00057ECB" w:rsidP="00814CAF">
      <w:pPr>
        <w:spacing w:line="480" w:lineRule="auto"/>
        <w:rPr>
          <w:b/>
          <w:bCs/>
        </w:rPr>
      </w:pPr>
      <w:r>
        <w:rPr>
          <w:b/>
          <w:bCs/>
        </w:rPr>
        <w:t>C.</w:t>
      </w:r>
      <w:r>
        <w:rPr>
          <w:b/>
          <w:bCs/>
        </w:rPr>
        <w:tab/>
        <w:t>Count 3 – Moral T</w:t>
      </w:r>
      <w:r w:rsidRPr="002C7077">
        <w:rPr>
          <w:b/>
          <w:bCs/>
        </w:rPr>
        <w:t xml:space="preserve">urpitude, </w:t>
      </w:r>
      <w:r>
        <w:rPr>
          <w:b/>
          <w:bCs/>
        </w:rPr>
        <w:t>D</w:t>
      </w:r>
      <w:r w:rsidRPr="002C7077">
        <w:rPr>
          <w:b/>
          <w:bCs/>
        </w:rPr>
        <w:t xml:space="preserve">ishonesty, or </w:t>
      </w:r>
      <w:r>
        <w:rPr>
          <w:b/>
          <w:bCs/>
        </w:rPr>
        <w:t>C</w:t>
      </w:r>
      <w:r w:rsidRPr="002C7077">
        <w:rPr>
          <w:b/>
          <w:bCs/>
        </w:rPr>
        <w:t>orruption (</w:t>
      </w:r>
      <w:r>
        <w:rPr>
          <w:b/>
          <w:bCs/>
        </w:rPr>
        <w:t>§</w:t>
      </w:r>
      <w:r w:rsidRPr="002C7077">
        <w:rPr>
          <w:b/>
          <w:bCs/>
        </w:rPr>
        <w:t xml:space="preserve"> 6106)  </w:t>
      </w:r>
    </w:p>
    <w:p w:rsidR="00AD3270" w:rsidRDefault="00057ECB" w:rsidP="00B03996">
      <w:pPr>
        <w:spacing w:line="480" w:lineRule="auto"/>
        <w:ind w:firstLine="720"/>
      </w:pPr>
      <w:r>
        <w:t>We adopt the hearing judge’s finding</w:t>
      </w:r>
      <w:r w:rsidR="005C750D">
        <w:t>s</w:t>
      </w:r>
      <w:r>
        <w:t xml:space="preserve"> and conclusion that </w:t>
      </w:r>
      <w:proofErr w:type="spellStart"/>
      <w:r w:rsidR="00826146">
        <w:t>Pelcyger</w:t>
      </w:r>
      <w:proofErr w:type="spellEnd"/>
      <w:r>
        <w:t xml:space="preserve"> is culpable of moral turpitude and dishonesty, proscribed by section 6106.  As we instructed in </w:t>
      </w:r>
      <w:r>
        <w:rPr>
          <w:i/>
          <w:iCs/>
        </w:rPr>
        <w:t>In the Matter of Wells</w:t>
      </w:r>
      <w:r>
        <w:t xml:space="preserve"> (Review Dept. 2006) 4 Cal. State Bar Ct. Rptr. 896, 910), “However else moral turpitude may be defined, it most assuredly includes creating a false impression by concealment as well as affirmative misrepresentations. </w:t>
      </w:r>
      <w:proofErr w:type="gramStart"/>
      <w:r>
        <w:t>[Citation</w:t>
      </w:r>
      <w:r w:rsidR="00977613">
        <w:t>s</w:t>
      </w:r>
      <w:r>
        <w:t>].”</w:t>
      </w:r>
      <w:proofErr w:type="gramEnd"/>
      <w:r>
        <w:t xml:space="preserve">  </w:t>
      </w:r>
      <w:r w:rsidR="005C750D">
        <w:t xml:space="preserve">Pelcyger both concealed and misrepresented the </w:t>
      </w:r>
      <w:r w:rsidR="005C750D">
        <w:lastRenderedPageBreak/>
        <w:t xml:space="preserve">status of his California license to practice law.  He was </w:t>
      </w:r>
      <w:r>
        <w:t>repeatedly dishonest with his clients, counsel</w:t>
      </w:r>
      <w:r w:rsidR="00997119">
        <w:t>, the Department of the Interior</w:t>
      </w:r>
      <w:r>
        <w:t xml:space="preserve"> and the court</w:t>
      </w:r>
      <w:r w:rsidR="00997119">
        <w:t>s,</w:t>
      </w:r>
      <w:r>
        <w:t xml:space="preserve"> and collected considerable fees</w:t>
      </w:r>
      <w:r w:rsidR="00997119">
        <w:t xml:space="preserve"> by reason of this dishonesty</w:t>
      </w:r>
      <w:r>
        <w:t>.</w:t>
      </w:r>
      <w:r w:rsidR="00CA0DC6">
        <w:t xml:space="preserve">   </w:t>
      </w:r>
    </w:p>
    <w:p w:rsidR="00CC7A74" w:rsidRDefault="00CA0DC6" w:rsidP="00B03996">
      <w:pPr>
        <w:spacing w:line="480" w:lineRule="auto"/>
        <w:ind w:firstLine="720"/>
      </w:pPr>
      <w:r>
        <w:t>Pelcyger</w:t>
      </w:r>
      <w:r w:rsidR="00057ECB">
        <w:t xml:space="preserve"> argues he did not intentionally misrepresent his license status in the </w:t>
      </w:r>
      <w:r w:rsidR="00A02C3F">
        <w:t xml:space="preserve">Paiute Tribe </w:t>
      </w:r>
      <w:r w:rsidR="00057ECB">
        <w:t xml:space="preserve">client contracts because he merely re-used an older standard fee agreement and </w:t>
      </w:r>
      <w:r w:rsidR="00997119">
        <w:t>he failed to</w:t>
      </w:r>
      <w:r w:rsidR="00A02C3F">
        <w:t xml:space="preserve"> </w:t>
      </w:r>
      <w:r w:rsidR="00057ECB">
        <w:t xml:space="preserve">note that it recited his good standing with the California Bar.  However, this inattention to contract provisions contradicts </w:t>
      </w:r>
      <w:r w:rsidR="0046099E">
        <w:t>Pelcyger’s</w:t>
      </w:r>
      <w:r w:rsidR="00057ECB">
        <w:t xml:space="preserve"> reputation as a careful, discerning practitioner</w:t>
      </w:r>
      <w:r w:rsidR="0046099E">
        <w:t xml:space="preserve"> and his own admission that he knew he was not entitled to practice law in California</w:t>
      </w:r>
      <w:r w:rsidR="00A02C3F">
        <w:t xml:space="preserve">.  </w:t>
      </w:r>
      <w:r>
        <w:t xml:space="preserve">We conclude </w:t>
      </w:r>
      <w:r w:rsidR="00CC7A74">
        <w:t>that</w:t>
      </w:r>
      <w:r w:rsidR="0046099E">
        <w:t xml:space="preserve"> Pelcyger’s misrepresentation was intentional and his</w:t>
      </w:r>
      <w:r w:rsidR="00AD3270">
        <w:t xml:space="preserve"> </w:t>
      </w:r>
      <w:r w:rsidR="00A02C3F">
        <w:t>18 years of UPL clearly constitute</w:t>
      </w:r>
      <w:r>
        <w:t xml:space="preserve"> moral turpitude</w:t>
      </w:r>
      <w:r w:rsidR="00A02C3F">
        <w:t>.</w:t>
      </w:r>
      <w:r>
        <w:t xml:space="preserve"> </w:t>
      </w:r>
    </w:p>
    <w:p w:rsidR="00057ECB" w:rsidRPr="002C7077" w:rsidRDefault="00057ECB" w:rsidP="00814CAF">
      <w:pPr>
        <w:spacing w:line="480" w:lineRule="auto"/>
        <w:rPr>
          <w:b/>
          <w:bCs/>
        </w:rPr>
      </w:pPr>
      <w:r>
        <w:rPr>
          <w:b/>
          <w:bCs/>
        </w:rPr>
        <w:t>D.</w:t>
      </w:r>
      <w:r>
        <w:rPr>
          <w:b/>
          <w:bCs/>
        </w:rPr>
        <w:tab/>
      </w:r>
      <w:r w:rsidRPr="002C7077">
        <w:rPr>
          <w:b/>
          <w:bCs/>
        </w:rPr>
        <w:t>Count 4 – Illegal Fees (</w:t>
      </w:r>
      <w:r>
        <w:rPr>
          <w:b/>
          <w:bCs/>
        </w:rPr>
        <w:t>R</w:t>
      </w:r>
      <w:r w:rsidRPr="002C7077">
        <w:rPr>
          <w:b/>
          <w:bCs/>
        </w:rPr>
        <w:t>ule 4-200(A)</w:t>
      </w:r>
      <w:r w:rsidR="00A02C3F">
        <w:rPr>
          <w:b/>
          <w:bCs/>
        </w:rPr>
        <w:t>)</w:t>
      </w:r>
    </w:p>
    <w:p w:rsidR="00057ECB" w:rsidRPr="00CA0DC6" w:rsidRDefault="00057ECB" w:rsidP="00B477AF">
      <w:pPr>
        <w:spacing w:line="480" w:lineRule="auto"/>
        <w:ind w:firstLine="720"/>
      </w:pPr>
      <w:r>
        <w:t xml:space="preserve">We adopt the hearing judge’s finding and conclusion that </w:t>
      </w:r>
      <w:r w:rsidR="00A02C3F">
        <w:t>Pelcyger</w:t>
      </w:r>
      <w:r>
        <w:t xml:space="preserve"> willfully violated rule 4-200 (A)</w:t>
      </w:r>
      <w:r w:rsidR="00AD3270">
        <w:t xml:space="preserve">, which </w:t>
      </w:r>
      <w:r w:rsidR="00A02C3F">
        <w:t>provides that “[a] member shall not enter into an agreement for, charge, or collect an illegal or unconscionable fee.”</w:t>
      </w:r>
      <w:r w:rsidR="00CA0DC6">
        <w:t xml:space="preserve">  Pelcyger</w:t>
      </w:r>
      <w:r>
        <w:t xml:space="preserve"> stipulated that </w:t>
      </w:r>
      <w:r w:rsidR="00A02C3F">
        <w:t>the</w:t>
      </w:r>
      <w:r w:rsidR="00CC7A74">
        <w:t xml:space="preserve"> Department of the Interior’s</w:t>
      </w:r>
      <w:r w:rsidR="00A02C3F">
        <w:t xml:space="preserve"> Bureau of Indian Affairs </w:t>
      </w:r>
      <w:r>
        <w:t xml:space="preserve">paid $1,171,816.40 in attorney fees to his law firm for </w:t>
      </w:r>
      <w:r w:rsidR="00CA0DC6">
        <w:t xml:space="preserve">representing the </w:t>
      </w:r>
      <w:r>
        <w:t>Paiute Tribe</w:t>
      </w:r>
      <w:r w:rsidR="00A02C3F">
        <w:t xml:space="preserve"> from 1995 to 2004</w:t>
      </w:r>
      <w:r>
        <w:t xml:space="preserve">.  </w:t>
      </w:r>
      <w:r w:rsidR="00CC7A74">
        <w:t>W</w:t>
      </w:r>
      <w:r w:rsidR="00A02C3F">
        <w:t>hile</w:t>
      </w:r>
      <w:r>
        <w:t xml:space="preserve"> he could not estimate what percentage of fees were attributed to his individual work</w:t>
      </w:r>
      <w:r w:rsidR="00CC7A74">
        <w:t>,</w:t>
      </w:r>
      <w:r>
        <w:t xml:space="preserve"> he testified, “I benefitted from those fees in accordance with the distribution of income to the firm, in accordance with our agreement, our partnership agreement.”  </w:t>
      </w:r>
      <w:r w:rsidR="00CA0DC6">
        <w:t xml:space="preserve">We find </w:t>
      </w:r>
      <w:r w:rsidR="00997119">
        <w:t>Pelcyger charged</w:t>
      </w:r>
      <w:r w:rsidR="00CC7A74">
        <w:t xml:space="preserve"> and </w:t>
      </w:r>
      <w:r w:rsidR="00CA0DC6">
        <w:t>collected substantial illegal fees</w:t>
      </w:r>
      <w:r w:rsidR="00A02C3F">
        <w:t xml:space="preserve"> during his UPL</w:t>
      </w:r>
      <w:r w:rsidR="00CA0DC6">
        <w:t xml:space="preserve">.  </w:t>
      </w:r>
      <w:proofErr w:type="gramStart"/>
      <w:r w:rsidR="00CA0DC6" w:rsidRPr="00977613">
        <w:t>(</w:t>
      </w:r>
      <w:r w:rsidR="00CA0DC6">
        <w:rPr>
          <w:i/>
        </w:rPr>
        <w:t>In the Matters of Wells, supra,</w:t>
      </w:r>
      <w:r w:rsidR="00CC7A74">
        <w:t xml:space="preserve"> 4 Cal. State Bar Ct. Rptr. a</w:t>
      </w:r>
      <w:r w:rsidR="00CA0DC6">
        <w:t xml:space="preserve">t p. 904 [even under contract, no entitlement </w:t>
      </w:r>
      <w:r w:rsidR="00CC7A74">
        <w:t>t</w:t>
      </w:r>
      <w:r w:rsidR="00CA0DC6">
        <w:t>o fees for services that constituted UPL].)</w:t>
      </w:r>
      <w:proofErr w:type="gramEnd"/>
    </w:p>
    <w:p w:rsidR="00057ECB" w:rsidRDefault="00057ECB" w:rsidP="00814CAF">
      <w:pPr>
        <w:spacing w:line="480" w:lineRule="auto"/>
        <w:jc w:val="center"/>
      </w:pPr>
      <w:r>
        <w:rPr>
          <w:b/>
          <w:bCs/>
        </w:rPr>
        <w:t>IV</w:t>
      </w:r>
      <w:proofErr w:type="gramStart"/>
      <w:r>
        <w:rPr>
          <w:b/>
          <w:bCs/>
        </w:rPr>
        <w:t xml:space="preserve">.  </w:t>
      </w:r>
      <w:r w:rsidRPr="002C7077">
        <w:rPr>
          <w:b/>
          <w:bCs/>
        </w:rPr>
        <w:t>MITIGATION</w:t>
      </w:r>
      <w:proofErr w:type="gramEnd"/>
    </w:p>
    <w:p w:rsidR="002774CA" w:rsidRDefault="00A02C3F" w:rsidP="00814CAF">
      <w:pPr>
        <w:spacing w:line="480" w:lineRule="auto"/>
        <w:ind w:firstLine="720"/>
      </w:pPr>
      <w:r>
        <w:t>Pelcyger</w:t>
      </w:r>
      <w:r w:rsidR="00057ECB">
        <w:t xml:space="preserve"> presented significant evidence in mitigation.  The hearing judge found that </w:t>
      </w:r>
      <w:r>
        <w:t>he</w:t>
      </w:r>
      <w:r w:rsidR="00057ECB">
        <w:t xml:space="preserve"> (1) had no prior record of discipline, (2) had not caused harm to clients, (3) had experienced </w:t>
      </w:r>
      <w:r w:rsidR="00057ECB">
        <w:lastRenderedPageBreak/>
        <w:t xml:space="preserve">excessive </w:t>
      </w:r>
      <w:r w:rsidR="00910FCA">
        <w:t xml:space="preserve">stress </w:t>
      </w:r>
      <w:r w:rsidR="00057ECB">
        <w:t xml:space="preserve">in his personal life, (4) was candid and cooperative, (5) established good character, </w:t>
      </w:r>
      <w:r w:rsidR="00910FCA">
        <w:t xml:space="preserve">and </w:t>
      </w:r>
      <w:r w:rsidR="00057ECB">
        <w:t>(6) demonstrated remorse and took steps to atone for his misconduct.  We adopt the hearing judge’s findings of fact and credibility,</w:t>
      </w:r>
      <w:r w:rsidR="00057ECB">
        <w:rPr>
          <w:rStyle w:val="FootnoteReference"/>
        </w:rPr>
        <w:footnoteReference w:id="9"/>
      </w:r>
      <w:r w:rsidR="00057ECB">
        <w:t xml:space="preserve"> conclusions of law, and assessment of mitigation, except that we do not find lack of harm in mitigation.</w:t>
      </w:r>
    </w:p>
    <w:p w:rsidR="00057ECB" w:rsidRDefault="00057ECB" w:rsidP="00977613">
      <w:pPr>
        <w:ind w:left="720" w:hanging="720"/>
        <w:rPr>
          <w:b/>
          <w:bCs/>
        </w:rPr>
      </w:pPr>
      <w:r>
        <w:rPr>
          <w:b/>
          <w:bCs/>
        </w:rPr>
        <w:t>A.</w:t>
      </w:r>
      <w:r>
        <w:rPr>
          <w:b/>
          <w:bCs/>
        </w:rPr>
        <w:tab/>
      </w:r>
      <w:r w:rsidRPr="002C7077">
        <w:rPr>
          <w:b/>
          <w:bCs/>
        </w:rPr>
        <w:t>Lack of Prior Discipline (</w:t>
      </w:r>
      <w:r w:rsidR="00977613">
        <w:rPr>
          <w:b/>
          <w:bCs/>
        </w:rPr>
        <w:t>Rules Proc. of State Bar, Tit. IV, Stds. for Atty. Sanctions for Prof. Misconduct, S</w:t>
      </w:r>
      <w:r w:rsidRPr="002C7077">
        <w:rPr>
          <w:b/>
          <w:bCs/>
        </w:rPr>
        <w:t>td. 1.2(e)(i))</w:t>
      </w:r>
      <w:r w:rsidR="00977613">
        <w:rPr>
          <w:rStyle w:val="FootnoteReference"/>
          <w:b/>
          <w:bCs/>
        </w:rPr>
        <w:footnoteReference w:id="10"/>
      </w:r>
    </w:p>
    <w:p w:rsidR="00977613" w:rsidRPr="002C7077" w:rsidRDefault="00977613" w:rsidP="00977613">
      <w:pPr>
        <w:ind w:left="720" w:hanging="720"/>
        <w:rPr>
          <w:b/>
          <w:bCs/>
        </w:rPr>
      </w:pPr>
    </w:p>
    <w:p w:rsidR="00057ECB" w:rsidRDefault="00CA0DC6" w:rsidP="00814CAF">
      <w:pPr>
        <w:spacing w:line="480" w:lineRule="auto"/>
      </w:pPr>
      <w:r>
        <w:tab/>
      </w:r>
      <w:r w:rsidR="00B361D8">
        <w:t xml:space="preserve">Prior to his </w:t>
      </w:r>
      <w:r w:rsidR="00AD3270">
        <w:t>lengthy</w:t>
      </w:r>
      <w:r w:rsidR="00B361D8">
        <w:t xml:space="preserve"> period of UPL, </w:t>
      </w:r>
      <w:r>
        <w:t xml:space="preserve">Pelcyger </w:t>
      </w:r>
      <w:r w:rsidR="00B361D8">
        <w:t>had</w:t>
      </w:r>
      <w:r>
        <w:t xml:space="preserve"> no record of discipline </w:t>
      </w:r>
      <w:r w:rsidR="00B361D8">
        <w:t xml:space="preserve">since </w:t>
      </w:r>
      <w:r w:rsidR="00A02C3F">
        <w:t>his admission to the bar in 1969</w:t>
      </w:r>
      <w:r w:rsidR="00B361D8">
        <w:t xml:space="preserve">.  We acknowledge mitigating credit </w:t>
      </w:r>
      <w:r w:rsidR="00A02C3F">
        <w:t xml:space="preserve">for a </w:t>
      </w:r>
      <w:r w:rsidR="00B361D8">
        <w:t>discipline-free practice</w:t>
      </w:r>
      <w:r w:rsidR="00A02C3F">
        <w:t xml:space="preserve"> for 18 years from 1969 to 1987</w:t>
      </w:r>
      <w:r w:rsidR="00997119">
        <w:t xml:space="preserve"> when he began his misconduct</w:t>
      </w:r>
      <w:r w:rsidR="00A02C3F">
        <w:t>.</w:t>
      </w:r>
      <w:r w:rsidR="00B361D8">
        <w:t xml:space="preserve"> </w:t>
      </w:r>
      <w:r w:rsidR="00057ECB">
        <w:t xml:space="preserve"> </w:t>
      </w:r>
      <w:proofErr w:type="gramStart"/>
      <w:r w:rsidR="00057ECB">
        <w:t>(</w:t>
      </w:r>
      <w:r w:rsidR="00057ECB">
        <w:rPr>
          <w:i/>
          <w:iCs/>
        </w:rPr>
        <w:t xml:space="preserve">Hawes v. State Bar </w:t>
      </w:r>
      <w:r w:rsidR="00057ECB" w:rsidRPr="008A2746">
        <w:t>(1990) 5</w:t>
      </w:r>
      <w:r w:rsidR="00977613">
        <w:t>1</w:t>
      </w:r>
      <w:r w:rsidR="00057ECB" w:rsidRPr="008A2746">
        <w:t xml:space="preserve"> Cal.3d 587, 596 [more than ten years of discipline-free practice entitled to significant weight]</w:t>
      </w:r>
      <w:r w:rsidR="00057ECB">
        <w:t>.</w:t>
      </w:r>
      <w:r w:rsidR="00057ECB" w:rsidRPr="008A2746">
        <w:t>)</w:t>
      </w:r>
      <w:proofErr w:type="gramEnd"/>
      <w:r w:rsidR="00057ECB">
        <w:rPr>
          <w:i/>
          <w:iCs/>
        </w:rPr>
        <w:t xml:space="preserve"> </w:t>
      </w:r>
      <w:r w:rsidR="00057ECB">
        <w:t xml:space="preserve"> </w:t>
      </w:r>
    </w:p>
    <w:p w:rsidR="00057ECB" w:rsidRPr="002C7077" w:rsidRDefault="00057ECB" w:rsidP="00814CAF">
      <w:pPr>
        <w:spacing w:line="480" w:lineRule="auto"/>
        <w:rPr>
          <w:b/>
          <w:bCs/>
        </w:rPr>
      </w:pPr>
      <w:r>
        <w:rPr>
          <w:b/>
          <w:bCs/>
        </w:rPr>
        <w:t>B.</w:t>
      </w:r>
      <w:r>
        <w:rPr>
          <w:b/>
          <w:bCs/>
        </w:rPr>
        <w:tab/>
      </w:r>
      <w:r w:rsidRPr="002C7077">
        <w:rPr>
          <w:b/>
          <w:bCs/>
        </w:rPr>
        <w:t>Lack of Harm (Std. 1.2(e</w:t>
      </w:r>
      <w:proofErr w:type="gramStart"/>
      <w:r w:rsidRPr="002C7077">
        <w:rPr>
          <w:b/>
          <w:bCs/>
        </w:rPr>
        <w:t>)(</w:t>
      </w:r>
      <w:proofErr w:type="gramEnd"/>
      <w:r w:rsidRPr="002C7077">
        <w:rPr>
          <w:b/>
          <w:bCs/>
        </w:rPr>
        <w:t>iii))</w:t>
      </w:r>
    </w:p>
    <w:p w:rsidR="00E769BE" w:rsidRDefault="00B361D8" w:rsidP="00814CAF">
      <w:pPr>
        <w:spacing w:line="480" w:lineRule="auto"/>
      </w:pPr>
      <w:r>
        <w:tab/>
        <w:t xml:space="preserve">We do not find Pelcyger established lack of harm as a factor in mitigation.  </w:t>
      </w:r>
      <w:r w:rsidR="00057ECB">
        <w:t>Standard 1.2(e</w:t>
      </w:r>
      <w:proofErr w:type="gramStart"/>
      <w:r w:rsidR="00057ECB">
        <w:t>)(</w:t>
      </w:r>
      <w:proofErr w:type="gramEnd"/>
      <w:r w:rsidR="00057ECB">
        <w:t xml:space="preserve">iii) provides </w:t>
      </w:r>
      <w:r>
        <w:t xml:space="preserve">that </w:t>
      </w:r>
      <w:r w:rsidR="00057ECB">
        <w:t xml:space="preserve">“lack of harm to the client or person who is the object of the misconduct” is a mitigating circumstance.  </w:t>
      </w:r>
      <w:r>
        <w:t>Pelcyger argue</w:t>
      </w:r>
      <w:r w:rsidR="00A02C3F">
        <w:t>d</w:t>
      </w:r>
      <w:r w:rsidR="00CC7A74">
        <w:t>,</w:t>
      </w:r>
      <w:r>
        <w:t xml:space="preserve"> and the trial court </w:t>
      </w:r>
      <w:r w:rsidR="00CC7A74">
        <w:t>agreed,</w:t>
      </w:r>
      <w:r>
        <w:t xml:space="preserve"> that his misconduct did not cause</w:t>
      </w:r>
      <w:r w:rsidR="00A02C3F">
        <w:t xml:space="preserve"> </w:t>
      </w:r>
      <w:r>
        <w:t xml:space="preserve">client harm.  While </w:t>
      </w:r>
      <w:r w:rsidR="00A02C3F">
        <w:t xml:space="preserve">no court decisions have yet been </w:t>
      </w:r>
      <w:r>
        <w:t xml:space="preserve">overturned based on Pelcyger’s UPL, we consider this merely fortuitous.  </w:t>
      </w:r>
      <w:r w:rsidR="00057ECB">
        <w:t xml:space="preserve">When legal services are rendered by </w:t>
      </w:r>
      <w:r w:rsidR="00057ECB" w:rsidRPr="008033CC">
        <w:t>someone</w:t>
      </w:r>
      <w:r w:rsidR="00057ECB">
        <w:rPr>
          <w:color w:val="FF0000"/>
        </w:rPr>
        <w:t xml:space="preserve"> </w:t>
      </w:r>
      <w:r w:rsidR="00057ECB" w:rsidRPr="00F45726">
        <w:t>not licensed</w:t>
      </w:r>
      <w:r w:rsidR="00057ECB">
        <w:t xml:space="preserve"> to practice law, it is likely the opposing party may dispute any result obtained by the unauthorized </w:t>
      </w:r>
      <w:r w:rsidR="00AD3270">
        <w:t>repres</w:t>
      </w:r>
      <w:r w:rsidR="00CC7A74">
        <w:t>e</w:t>
      </w:r>
      <w:r w:rsidR="00AD3270">
        <w:t>ntative</w:t>
      </w:r>
      <w:r w:rsidR="00057ECB">
        <w:t xml:space="preserve">.  The </w:t>
      </w:r>
      <w:r w:rsidR="00057ECB" w:rsidRPr="008033CC">
        <w:t xml:space="preserve">outcome of the </w:t>
      </w:r>
      <w:r w:rsidR="00057ECB">
        <w:t xml:space="preserve">numerous </w:t>
      </w:r>
      <w:r w:rsidR="00057ECB" w:rsidRPr="008033CC">
        <w:t xml:space="preserve">water rights cases in which </w:t>
      </w:r>
      <w:r>
        <w:t>Pelcyger</w:t>
      </w:r>
      <w:r w:rsidR="00057ECB" w:rsidRPr="008033CC">
        <w:t xml:space="preserve"> appeared for so many years </w:t>
      </w:r>
      <w:r>
        <w:t>have</w:t>
      </w:r>
      <w:r w:rsidR="00057ECB" w:rsidRPr="008033CC">
        <w:t xml:space="preserve"> great po</w:t>
      </w:r>
      <w:r w:rsidR="00057ECB">
        <w:t xml:space="preserve">tential to be challenged, given their highly protracted and contentious nature. </w:t>
      </w:r>
      <w:r w:rsidR="00CC7A74">
        <w:t xml:space="preserve"> </w:t>
      </w:r>
      <w:r>
        <w:t xml:space="preserve">Pelcyger himself </w:t>
      </w:r>
      <w:r w:rsidR="00057ECB">
        <w:t>testified that legal challenge</w:t>
      </w:r>
      <w:r w:rsidR="00910FCA">
        <w:t>s</w:t>
      </w:r>
      <w:r w:rsidR="00057ECB">
        <w:t>, albeit unsuccessful, ha</w:t>
      </w:r>
      <w:r w:rsidR="00910FCA">
        <w:t>ve</w:t>
      </w:r>
      <w:r w:rsidR="00057ECB">
        <w:t xml:space="preserve"> already been made to overturn cases</w:t>
      </w:r>
      <w:r w:rsidR="00997119">
        <w:t xml:space="preserve"> as a result of his UPL</w:t>
      </w:r>
      <w:r w:rsidR="00476828">
        <w:t>.  Any</w:t>
      </w:r>
      <w:r w:rsidR="00057ECB">
        <w:t xml:space="preserve"> </w:t>
      </w:r>
      <w:r>
        <w:t xml:space="preserve">unsuccessful </w:t>
      </w:r>
      <w:r w:rsidR="00057ECB">
        <w:t xml:space="preserve">challenge is harmful </w:t>
      </w:r>
      <w:r>
        <w:t>to the client and the courts because time and money are wasted in the process.</w:t>
      </w:r>
      <w:r w:rsidR="00DF36AF">
        <w:t xml:space="preserve"> </w:t>
      </w:r>
      <w:proofErr w:type="gramStart"/>
      <w:r w:rsidR="00DF36AF">
        <w:t>(</w:t>
      </w:r>
      <w:r w:rsidR="00DF36AF" w:rsidRPr="00977613">
        <w:rPr>
          <w:i/>
          <w:iCs/>
        </w:rPr>
        <w:t xml:space="preserve">In the </w:t>
      </w:r>
      <w:r w:rsidR="00DF36AF" w:rsidRPr="00977613">
        <w:rPr>
          <w:i/>
          <w:iCs/>
        </w:rPr>
        <w:lastRenderedPageBreak/>
        <w:t>Matter of Mason</w:t>
      </w:r>
      <w:r w:rsidR="00DF36AF" w:rsidRPr="00977613">
        <w:t xml:space="preserve"> (Review Dept. 1997) 3 Cal. State Bar Ct. Rptr. 639, 642 [object of UPL can be court and not client]; </w:t>
      </w:r>
      <w:r w:rsidR="00DF36AF" w:rsidRPr="00977613">
        <w:rPr>
          <w:i/>
          <w:iCs/>
        </w:rPr>
        <w:t>In the Matter of Trousil</w:t>
      </w:r>
      <w:r w:rsidR="00DF36AF" w:rsidRPr="00977613">
        <w:t xml:space="preserve"> (Review Dept. 1990) 1 Cal. State Bar Ct. Rptr. 229, 240 [harm to public and administration of justice is inherent in UPL cases].</w:t>
      </w:r>
      <w:r w:rsidR="00DF36AF">
        <w:t>)</w:t>
      </w:r>
      <w:proofErr w:type="gramEnd"/>
      <w:r w:rsidR="00DF36AF" w:rsidRPr="00977613">
        <w:t xml:space="preserve">  </w:t>
      </w:r>
    </w:p>
    <w:p w:rsidR="00057ECB" w:rsidRPr="002C7077" w:rsidRDefault="00057ECB" w:rsidP="00814CAF">
      <w:pPr>
        <w:spacing w:line="480" w:lineRule="auto"/>
        <w:rPr>
          <w:b/>
          <w:bCs/>
        </w:rPr>
      </w:pPr>
      <w:r>
        <w:rPr>
          <w:b/>
          <w:bCs/>
        </w:rPr>
        <w:t>C.</w:t>
      </w:r>
      <w:r>
        <w:rPr>
          <w:b/>
          <w:bCs/>
        </w:rPr>
        <w:tab/>
      </w:r>
      <w:r w:rsidRPr="002C7077">
        <w:rPr>
          <w:b/>
          <w:bCs/>
        </w:rPr>
        <w:t>Extreme Emotional or Physical Difficulties (Std. 1.2(e</w:t>
      </w:r>
      <w:proofErr w:type="gramStart"/>
      <w:r w:rsidRPr="002C7077">
        <w:rPr>
          <w:b/>
          <w:bCs/>
        </w:rPr>
        <w:t>)(</w:t>
      </w:r>
      <w:proofErr w:type="gramEnd"/>
      <w:r w:rsidRPr="002C7077">
        <w:rPr>
          <w:b/>
          <w:bCs/>
        </w:rPr>
        <w:t>iv))</w:t>
      </w:r>
    </w:p>
    <w:p w:rsidR="00057ECB" w:rsidRDefault="00057ECB" w:rsidP="00814CAF">
      <w:pPr>
        <w:spacing w:line="480" w:lineRule="auto"/>
      </w:pPr>
      <w:r>
        <w:tab/>
      </w:r>
      <w:r w:rsidR="00EF7326">
        <w:t xml:space="preserve">Pelcyger presented clear and convincing evidence that he suffered extreme emotional </w:t>
      </w:r>
      <w:r w:rsidR="00CC7A74">
        <w:t>and/</w:t>
      </w:r>
      <w:r w:rsidR="00EF7326">
        <w:t xml:space="preserve">or physical difficulties during </w:t>
      </w:r>
      <w:r w:rsidR="00AA14BF">
        <w:t>a</w:t>
      </w:r>
      <w:r w:rsidR="00A02C3F">
        <w:t xml:space="preserve"> </w:t>
      </w:r>
      <w:r w:rsidR="00AD3270">
        <w:t>five-</w:t>
      </w:r>
      <w:r w:rsidR="00A02C3F">
        <w:t>year period of his UPL</w:t>
      </w:r>
      <w:r w:rsidR="00EF7326">
        <w:t>.</w:t>
      </w:r>
      <w:r w:rsidR="00924552">
        <w:rPr>
          <w:rStyle w:val="FootnoteReference"/>
        </w:rPr>
        <w:footnoteReference w:id="11"/>
      </w:r>
      <w:r w:rsidR="00EF7326">
        <w:t xml:space="preserve">  From about </w:t>
      </w:r>
      <w:r>
        <w:t>199</w:t>
      </w:r>
      <w:r w:rsidR="00924552">
        <w:t>0</w:t>
      </w:r>
      <w:r>
        <w:t xml:space="preserve"> </w:t>
      </w:r>
      <w:r w:rsidR="00AA14BF">
        <w:t>to</w:t>
      </w:r>
      <w:r>
        <w:t xml:space="preserve"> 1995</w:t>
      </w:r>
      <w:r w:rsidR="00AA14BF">
        <w:t>, his</w:t>
      </w:r>
      <w:r w:rsidR="00EF7326">
        <w:t xml:space="preserve"> wife was extremely ill with cancer, and his widowed mother un</w:t>
      </w:r>
      <w:r w:rsidR="00AA14BF">
        <w:t>derwent cancer surgery and died.</w:t>
      </w:r>
      <w:r w:rsidR="00EF7326">
        <w:t xml:space="preserve"> Pelcyger’s father-in-law </w:t>
      </w:r>
      <w:r w:rsidR="00924552">
        <w:t xml:space="preserve">had </w:t>
      </w:r>
      <w:r>
        <w:t xml:space="preserve">emergency cardiac surgery.  </w:t>
      </w:r>
      <w:r w:rsidR="00EF7326">
        <w:t xml:space="preserve">Two of his close friends died, leaving children that </w:t>
      </w:r>
      <w:r w:rsidR="00CC7A74">
        <w:t>Pelcyger</w:t>
      </w:r>
      <w:r w:rsidR="00EF7326">
        <w:t xml:space="preserve"> helped support.  Pelcyger’s </w:t>
      </w:r>
      <w:r w:rsidR="00CC7A74">
        <w:t xml:space="preserve">own 10-year-old </w:t>
      </w:r>
      <w:r>
        <w:t xml:space="preserve">son </w:t>
      </w:r>
      <w:r w:rsidR="00924552">
        <w:t xml:space="preserve">had a </w:t>
      </w:r>
      <w:r>
        <w:t>melanoma</w:t>
      </w:r>
      <w:r w:rsidR="00924552">
        <w:t xml:space="preserve"> surgically removed and </w:t>
      </w:r>
      <w:r>
        <w:t xml:space="preserve">was on crutches for months.  </w:t>
      </w:r>
      <w:r w:rsidR="00EF7326">
        <w:t xml:space="preserve">Even </w:t>
      </w:r>
      <w:r w:rsidR="00924552">
        <w:t>his</w:t>
      </w:r>
      <w:r>
        <w:t xml:space="preserve"> legal secretary of many years developed a serious illness, underwent two brain surgeries, and died.  </w:t>
      </w:r>
      <w:r w:rsidR="00EF7326">
        <w:t xml:space="preserve">Finally, </w:t>
      </w:r>
      <w:proofErr w:type="spellStart"/>
      <w:r w:rsidR="00EF7326">
        <w:t>Pelcyger</w:t>
      </w:r>
      <w:proofErr w:type="spellEnd"/>
      <w:r w:rsidR="00EF7326">
        <w:t xml:space="preserve"> </w:t>
      </w:r>
      <w:r w:rsidR="00924552">
        <w:t xml:space="preserve">had gallbladder surgery and was </w:t>
      </w:r>
      <w:r>
        <w:t xml:space="preserve">hospitalized with kidney stones. </w:t>
      </w:r>
    </w:p>
    <w:p w:rsidR="00EF7326" w:rsidRDefault="00AA14BF" w:rsidP="00F63ED3">
      <w:pPr>
        <w:spacing w:line="480" w:lineRule="auto"/>
      </w:pPr>
      <w:r>
        <w:tab/>
      </w:r>
      <w:r w:rsidR="00EF7326">
        <w:t>Pelcyger presented expert testimony</w:t>
      </w:r>
      <w:r w:rsidR="00924552">
        <w:t xml:space="preserve"> in support of his s</w:t>
      </w:r>
      <w:r w:rsidR="00CC7A74">
        <w:t>ubstantial</w:t>
      </w:r>
      <w:r w:rsidR="00924552">
        <w:t xml:space="preserve"> emotional and physical difficulties</w:t>
      </w:r>
      <w:r w:rsidR="00EF7326">
        <w:t xml:space="preserve">.  A forensic psychiatrist testified that </w:t>
      </w:r>
      <w:r w:rsidR="00D1494D">
        <w:t xml:space="preserve">he </w:t>
      </w:r>
      <w:r w:rsidR="00F63ED3">
        <w:t xml:space="preserve">had </w:t>
      </w:r>
      <w:r w:rsidR="00D1494D">
        <w:t>evaluated and counseled Pelcyger</w:t>
      </w:r>
      <w:r w:rsidR="00F63ED3">
        <w:t xml:space="preserve">, </w:t>
      </w:r>
      <w:r w:rsidR="00D1494D">
        <w:t xml:space="preserve">and found </w:t>
      </w:r>
      <w:r w:rsidR="00AD3270">
        <w:t xml:space="preserve">that the personal turmoil caused a </w:t>
      </w:r>
      <w:r w:rsidR="00997119">
        <w:t xml:space="preserve">mental </w:t>
      </w:r>
      <w:r w:rsidR="00AD3270">
        <w:t>block and Pelcyger</w:t>
      </w:r>
      <w:r w:rsidR="00D1494D">
        <w:t xml:space="preserve"> </w:t>
      </w:r>
      <w:r w:rsidR="00924552">
        <w:t xml:space="preserve">essentially </w:t>
      </w:r>
      <w:r>
        <w:t xml:space="preserve">procrastinated </w:t>
      </w:r>
      <w:r w:rsidR="00D1494D">
        <w:t xml:space="preserve">about </w:t>
      </w:r>
      <w:r w:rsidR="00924552">
        <w:t>submitting</w:t>
      </w:r>
      <w:r w:rsidR="00D1494D">
        <w:t xml:space="preserve"> the MCLE proof.  As month</w:t>
      </w:r>
      <w:r w:rsidR="00F63ED3">
        <w:t>s</w:t>
      </w:r>
      <w:r w:rsidR="00D1494D">
        <w:t xml:space="preserve"> turned into years, Pelcyger was unable to face his predicament even when his personal life became more manageable.</w:t>
      </w:r>
      <w:r w:rsidR="00924552">
        <w:t xml:space="preserve">  </w:t>
      </w:r>
      <w:r w:rsidR="00D1494D">
        <w:t>Ultimately, the expert opined that Pelcyger was remorseful, had learned his lesson and was not likely to repeat the offense.</w:t>
      </w:r>
      <w:r w:rsidR="00CC7A74">
        <w:t xml:space="preserve">  </w:t>
      </w:r>
      <w:r w:rsidR="00F63ED3" w:rsidRPr="00F63ED3">
        <w:t>Pelcyger</w:t>
      </w:r>
      <w:r w:rsidR="00CC7A74">
        <w:t xml:space="preserve"> </w:t>
      </w:r>
      <w:r w:rsidR="00F63ED3" w:rsidRPr="00F63ED3">
        <w:t>testified that he “just kept procrastinating</w:t>
      </w:r>
      <w:r w:rsidR="00AD3270">
        <w:t>,</w:t>
      </w:r>
      <w:r w:rsidR="00F63ED3" w:rsidRPr="00F63ED3">
        <w:t xml:space="preserve">” </w:t>
      </w:r>
      <w:r w:rsidR="00AD3270">
        <w:t>regretted</w:t>
      </w:r>
      <w:r w:rsidR="00F63ED3" w:rsidRPr="00F63ED3">
        <w:t xml:space="preserve"> the error and was certain he would not repeat it.</w:t>
      </w:r>
      <w:r w:rsidR="00997119">
        <w:t xml:space="preserve"> </w:t>
      </w:r>
      <w:r w:rsidR="00AD3270">
        <w:t xml:space="preserve"> Based on this evidence, we accord significant mitigation credit.</w:t>
      </w:r>
      <w:r w:rsidR="00997119">
        <w:t xml:space="preserve">  </w:t>
      </w:r>
      <w:r w:rsidR="00997119">
        <w:lastRenderedPageBreak/>
        <w:t xml:space="preserve">However, we do </w:t>
      </w:r>
      <w:r w:rsidR="00997119" w:rsidRPr="008033CC">
        <w:t xml:space="preserve">not assign any additional </w:t>
      </w:r>
      <w:r w:rsidR="00997119">
        <w:t xml:space="preserve">mitigation </w:t>
      </w:r>
      <w:r w:rsidR="00997119" w:rsidRPr="008033CC">
        <w:t xml:space="preserve">weight </w:t>
      </w:r>
      <w:r w:rsidR="00997119">
        <w:t xml:space="preserve">beyond the five-year period of stress from 1990 to 1995, </w:t>
      </w:r>
      <w:r w:rsidR="00997119" w:rsidRPr="008033CC">
        <w:t xml:space="preserve">since another 10 years elapsed </w:t>
      </w:r>
      <w:r w:rsidR="00997119">
        <w:t>after the stressful period ended before Pelcyger was forced to rectify the</w:t>
      </w:r>
      <w:r w:rsidR="00997119" w:rsidRPr="008033CC">
        <w:t xml:space="preserve"> situation.</w:t>
      </w:r>
      <w:r w:rsidR="00997119">
        <w:t xml:space="preserve">  </w:t>
      </w:r>
      <w:r w:rsidR="00997119" w:rsidRPr="008033CC">
        <w:t xml:space="preserve">  </w:t>
      </w:r>
    </w:p>
    <w:p w:rsidR="00057ECB" w:rsidRPr="002C7077" w:rsidRDefault="00057ECB" w:rsidP="00814CAF">
      <w:pPr>
        <w:spacing w:line="480" w:lineRule="auto"/>
        <w:rPr>
          <w:b/>
          <w:bCs/>
        </w:rPr>
      </w:pPr>
      <w:r>
        <w:rPr>
          <w:b/>
          <w:bCs/>
        </w:rPr>
        <w:t>D.</w:t>
      </w:r>
      <w:r>
        <w:rPr>
          <w:b/>
          <w:bCs/>
        </w:rPr>
        <w:tab/>
      </w:r>
      <w:r w:rsidRPr="002C7077">
        <w:rPr>
          <w:b/>
          <w:bCs/>
        </w:rPr>
        <w:t>Candor and Cooperation (Std. 1.2(e</w:t>
      </w:r>
      <w:proofErr w:type="gramStart"/>
      <w:r w:rsidRPr="002C7077">
        <w:rPr>
          <w:b/>
          <w:bCs/>
        </w:rPr>
        <w:t>)(</w:t>
      </w:r>
      <w:proofErr w:type="gramEnd"/>
      <w:r w:rsidRPr="002C7077">
        <w:rPr>
          <w:b/>
          <w:bCs/>
        </w:rPr>
        <w:t>v))</w:t>
      </w:r>
    </w:p>
    <w:p w:rsidR="00CC7A74" w:rsidRDefault="00057ECB" w:rsidP="00814CAF">
      <w:pPr>
        <w:spacing w:line="480" w:lineRule="auto"/>
      </w:pPr>
      <w:r>
        <w:tab/>
      </w:r>
      <w:r w:rsidR="00D1494D">
        <w:t xml:space="preserve">Pelcyger is </w:t>
      </w:r>
      <w:r w:rsidR="00AD3270">
        <w:t xml:space="preserve">also </w:t>
      </w:r>
      <w:r w:rsidR="00D1494D">
        <w:t xml:space="preserve">entitled to mitigation credit for candor </w:t>
      </w:r>
      <w:r>
        <w:t xml:space="preserve">and cooperation with the State Bar.  He entered into a </w:t>
      </w:r>
      <w:r w:rsidR="00D1494D">
        <w:t xml:space="preserve">substantial </w:t>
      </w:r>
      <w:r>
        <w:t>stipulation</w:t>
      </w:r>
      <w:r w:rsidR="00D1494D">
        <w:t xml:space="preserve"> and </w:t>
      </w:r>
      <w:r>
        <w:t xml:space="preserve">admitted culpability for his </w:t>
      </w:r>
      <w:proofErr w:type="spellStart"/>
      <w:r>
        <w:t>UPL</w:t>
      </w:r>
      <w:proofErr w:type="spellEnd"/>
      <w:r w:rsidR="00D1494D">
        <w:t xml:space="preserve">.  He was </w:t>
      </w:r>
      <w:r w:rsidR="00CC7A74">
        <w:t>forthright</w:t>
      </w:r>
      <w:r w:rsidR="00924552">
        <w:t xml:space="preserve"> </w:t>
      </w:r>
      <w:r>
        <w:t>in his testimony</w:t>
      </w:r>
      <w:r w:rsidR="00CC7A74">
        <w:t xml:space="preserve"> </w:t>
      </w:r>
      <w:r>
        <w:t>and conducted himself professionally during the disciplinary proceedings.  (</w:t>
      </w:r>
      <w:r w:rsidRPr="00FA08F2">
        <w:rPr>
          <w:i/>
          <w:iCs/>
        </w:rPr>
        <w:t>See In the Matter of Respond</w:t>
      </w:r>
      <w:r>
        <w:rPr>
          <w:i/>
          <w:iCs/>
        </w:rPr>
        <w:t>ent</w:t>
      </w:r>
      <w:r w:rsidRPr="00FA08F2">
        <w:rPr>
          <w:i/>
          <w:iCs/>
        </w:rPr>
        <w:t xml:space="preserve"> K</w:t>
      </w:r>
      <w:r>
        <w:t xml:space="preserve"> (Review Dept. 1993) 2 Cal. State Bar Ct. Rptr. 335, 358 [mitigation credit </w:t>
      </w:r>
      <w:r w:rsidR="00D1494D">
        <w:t xml:space="preserve">under </w:t>
      </w:r>
      <w:r>
        <w:t>std. 1.2(e</w:t>
      </w:r>
      <w:proofErr w:type="gramStart"/>
      <w:r>
        <w:t>)(</w:t>
      </w:r>
      <w:proofErr w:type="gramEnd"/>
      <w:r>
        <w:t>v) for exemplary and cooperative conduct during disciplinary proceedings despite vigorous defense]).</w:t>
      </w:r>
    </w:p>
    <w:p w:rsidR="00057ECB" w:rsidRPr="002C7077" w:rsidRDefault="00057ECB" w:rsidP="00814CAF">
      <w:pPr>
        <w:spacing w:line="480" w:lineRule="auto"/>
        <w:rPr>
          <w:b/>
          <w:bCs/>
        </w:rPr>
      </w:pPr>
      <w:r>
        <w:rPr>
          <w:b/>
          <w:bCs/>
        </w:rPr>
        <w:t>E.</w:t>
      </w:r>
      <w:r>
        <w:rPr>
          <w:b/>
          <w:bCs/>
        </w:rPr>
        <w:tab/>
      </w:r>
      <w:r w:rsidRPr="002C7077">
        <w:rPr>
          <w:b/>
          <w:bCs/>
        </w:rPr>
        <w:t>Good Character (Std. 1.2(e</w:t>
      </w:r>
      <w:proofErr w:type="gramStart"/>
      <w:r w:rsidRPr="002C7077">
        <w:rPr>
          <w:b/>
          <w:bCs/>
        </w:rPr>
        <w:t>)(</w:t>
      </w:r>
      <w:proofErr w:type="gramEnd"/>
      <w:r w:rsidRPr="002C7077">
        <w:rPr>
          <w:b/>
          <w:bCs/>
        </w:rPr>
        <w:t>vi))</w:t>
      </w:r>
    </w:p>
    <w:p w:rsidR="00B84278" w:rsidRDefault="00057ECB" w:rsidP="00814CAF">
      <w:pPr>
        <w:spacing w:line="480" w:lineRule="auto"/>
      </w:pPr>
      <w:r>
        <w:tab/>
        <w:t xml:space="preserve">We find that </w:t>
      </w:r>
      <w:r w:rsidR="00D1494D">
        <w:t>Pelcyger</w:t>
      </w:r>
      <w:r>
        <w:t xml:space="preserve"> established good characte</w:t>
      </w:r>
      <w:r w:rsidR="00B84278">
        <w:t>r</w:t>
      </w:r>
      <w:r w:rsidR="00CC7A74">
        <w:t>,</w:t>
      </w:r>
      <w:r w:rsidR="00B84278">
        <w:t xml:space="preserve"> </w:t>
      </w:r>
      <w:r w:rsidR="00924552">
        <w:t xml:space="preserve">which entitles him </w:t>
      </w:r>
      <w:r w:rsidR="00B84278">
        <w:t>to significant mitigation</w:t>
      </w:r>
      <w:r>
        <w:t>.</w:t>
      </w:r>
      <w:r w:rsidR="00924552">
        <w:rPr>
          <w:rStyle w:val="FootnoteReference"/>
        </w:rPr>
        <w:footnoteReference w:id="12"/>
      </w:r>
      <w:r>
        <w:t xml:space="preserve">  Twelve witnesses provided impressive </w:t>
      </w:r>
      <w:r w:rsidR="00B84278">
        <w:t xml:space="preserve">character </w:t>
      </w:r>
      <w:r>
        <w:t>testimony</w:t>
      </w:r>
      <w:r w:rsidR="00910FCA">
        <w:t>, including a</w:t>
      </w:r>
      <w:r w:rsidR="00D1494D">
        <w:t xml:space="preserve"> </w:t>
      </w:r>
      <w:r>
        <w:t xml:space="preserve">law school dean, a former nine-term member of Congress, attorneys, Native American tribal leaders, and a water department general manager whose interest was often </w:t>
      </w:r>
      <w:r w:rsidR="00910FCA">
        <w:t>adversarial.</w:t>
      </w:r>
      <w:r>
        <w:t xml:space="preserve">  Although we note that several witnesses were either unaware of the full nature of the disciplinary charges or did not consider them serious, each established </w:t>
      </w:r>
      <w:r w:rsidR="00B84278">
        <w:t xml:space="preserve">Pelcyger’s </w:t>
      </w:r>
      <w:r>
        <w:t xml:space="preserve">reputation for high integrity and good moral character in the community.  </w:t>
      </w:r>
    </w:p>
    <w:p w:rsidR="00057ECB" w:rsidRDefault="00057ECB" w:rsidP="00814CAF">
      <w:pPr>
        <w:spacing w:line="480" w:lineRule="auto"/>
      </w:pPr>
      <w:r>
        <w:rPr>
          <w:b/>
          <w:bCs/>
        </w:rPr>
        <w:t>F.</w:t>
      </w:r>
      <w:r>
        <w:rPr>
          <w:b/>
          <w:bCs/>
        </w:rPr>
        <w:tab/>
      </w:r>
      <w:r w:rsidRPr="002C7077">
        <w:rPr>
          <w:b/>
          <w:bCs/>
        </w:rPr>
        <w:t>Remorse (Std. 1.2(e</w:t>
      </w:r>
      <w:proofErr w:type="gramStart"/>
      <w:r w:rsidRPr="002C7077">
        <w:rPr>
          <w:b/>
          <w:bCs/>
        </w:rPr>
        <w:t>)(</w:t>
      </w:r>
      <w:proofErr w:type="gramEnd"/>
      <w:r w:rsidRPr="002C7077">
        <w:rPr>
          <w:b/>
          <w:bCs/>
        </w:rPr>
        <w:t>vii))</w:t>
      </w:r>
    </w:p>
    <w:p w:rsidR="001D671F" w:rsidRDefault="00B84278" w:rsidP="00814CAF">
      <w:pPr>
        <w:spacing w:line="480" w:lineRule="auto"/>
        <w:ind w:firstLine="720"/>
      </w:pPr>
      <w:r>
        <w:t xml:space="preserve">Pelcyger </w:t>
      </w:r>
      <w:r w:rsidR="009F3E7F">
        <w:t xml:space="preserve">presented compelling evidence of remorse as a mitigating factor.  </w:t>
      </w:r>
      <w:r w:rsidR="00CC7A74">
        <w:t>He</w:t>
      </w:r>
      <w:r w:rsidR="00057ECB">
        <w:t xml:space="preserve"> sought psychological evaluation and therapy and testified repeatedly throughout the trial that he had “dug a hole” and was “fearful of the consequences.”  He </w:t>
      </w:r>
      <w:r w:rsidR="009F3E7F">
        <w:t xml:space="preserve">also </w:t>
      </w:r>
      <w:r w:rsidR="00057ECB">
        <w:t xml:space="preserve">confessed that he was “panicked, </w:t>
      </w:r>
      <w:r w:rsidR="00057ECB">
        <w:lastRenderedPageBreak/>
        <w:t xml:space="preserve">and . . . had a block, and . . . was embarrassed and ashamed.”  </w:t>
      </w:r>
      <w:r w:rsidR="009F3E7F">
        <w:t>Although he testified he felt “qualified” to represent clients during the time of his UPL, we are persuaded that he recognizes the seriousness of his misconduct</w:t>
      </w:r>
      <w:r w:rsidR="009F3E7F" w:rsidRPr="00F67970">
        <w:t>.</w:t>
      </w:r>
      <w:r w:rsidR="009F3E7F">
        <w:t xml:space="preserve"> </w:t>
      </w:r>
      <w:r w:rsidR="00DF36AF">
        <w:t xml:space="preserve"> </w:t>
      </w:r>
      <w:r w:rsidR="00057ECB">
        <w:t xml:space="preserve">We find </w:t>
      </w:r>
      <w:r>
        <w:t>Pelcyger</w:t>
      </w:r>
      <w:r w:rsidR="00057ECB">
        <w:t xml:space="preserve"> to be genuine in his remorse </w:t>
      </w:r>
      <w:r w:rsidR="00CC7A74">
        <w:t xml:space="preserve">and </w:t>
      </w:r>
      <w:r w:rsidR="00C535CD">
        <w:t>believe h</w:t>
      </w:r>
      <w:r w:rsidR="009F3E7F">
        <w:t xml:space="preserve">e will </w:t>
      </w:r>
      <w:proofErr w:type="gramStart"/>
      <w:r w:rsidR="00057ECB">
        <w:t>conform</w:t>
      </w:r>
      <w:proofErr w:type="gramEnd"/>
      <w:r w:rsidR="00057ECB">
        <w:t xml:space="preserve"> his </w:t>
      </w:r>
      <w:r w:rsidR="009F3E7F">
        <w:t xml:space="preserve">future </w:t>
      </w:r>
      <w:r w:rsidR="00057ECB">
        <w:t>conduct to professional standards.</w:t>
      </w:r>
    </w:p>
    <w:p w:rsidR="00057ECB" w:rsidRPr="002C7077" w:rsidRDefault="00057ECB" w:rsidP="00814CAF">
      <w:pPr>
        <w:spacing w:line="480" w:lineRule="auto"/>
        <w:jc w:val="center"/>
        <w:rPr>
          <w:b/>
          <w:bCs/>
        </w:rPr>
      </w:pPr>
      <w:r>
        <w:rPr>
          <w:b/>
          <w:bCs/>
        </w:rPr>
        <w:t xml:space="preserve">V.  </w:t>
      </w:r>
      <w:r w:rsidRPr="002C7077">
        <w:rPr>
          <w:b/>
          <w:bCs/>
        </w:rPr>
        <w:t>AGGRAVATION</w:t>
      </w:r>
    </w:p>
    <w:p w:rsidR="00057ECB" w:rsidRPr="002F2A2E" w:rsidRDefault="00057ECB" w:rsidP="00814CAF">
      <w:pPr>
        <w:spacing w:line="480" w:lineRule="auto"/>
      </w:pPr>
      <w:r>
        <w:tab/>
        <w:t xml:space="preserve">In aggravation, </w:t>
      </w:r>
      <w:r w:rsidR="008519AE">
        <w:t xml:space="preserve">Pelcyger committed multiple acts of misconduct and caused harm.  He </w:t>
      </w:r>
      <w:r w:rsidR="00AD3270">
        <w:t>engaged in</w:t>
      </w:r>
      <w:r w:rsidR="008519AE">
        <w:t xml:space="preserve"> UPL for 18 years in two jurisdictions </w:t>
      </w:r>
      <w:r>
        <w:t>(std. 1.2(b</w:t>
      </w:r>
      <w:proofErr w:type="gramStart"/>
      <w:r>
        <w:t>)(</w:t>
      </w:r>
      <w:proofErr w:type="gramEnd"/>
      <w:r>
        <w:t xml:space="preserve">ii)), </w:t>
      </w:r>
      <w:r w:rsidR="008519AE">
        <w:t>which harmed clients, the courts and the administration of justice</w:t>
      </w:r>
      <w:r>
        <w:t xml:space="preserve"> (std. 1.2(b)(iv)).  These are significant factors in aggravation.  </w:t>
      </w:r>
      <w:r w:rsidR="008519AE">
        <w:t>Pelcyger violated</w:t>
      </w:r>
      <w:r w:rsidR="00C535CD">
        <w:t xml:space="preserve"> one of</w:t>
      </w:r>
      <w:r w:rsidR="008519AE">
        <w:t xml:space="preserve"> the most fundamental requ</w:t>
      </w:r>
      <w:r w:rsidR="00CC7A74">
        <w:t>irement</w:t>
      </w:r>
      <w:r w:rsidR="00C535CD">
        <w:t>s</w:t>
      </w:r>
      <w:r w:rsidR="00CC7A74">
        <w:t xml:space="preserve"> of an attorney – to maintain</w:t>
      </w:r>
      <w:r w:rsidR="008519AE">
        <w:t xml:space="preserve"> a valid </w:t>
      </w:r>
      <w:r w:rsidR="009F3E7F">
        <w:t xml:space="preserve">professional license to practice law.  This obligation is </w:t>
      </w:r>
      <w:r w:rsidR="008519AE">
        <w:t xml:space="preserve">inseparable from the </w:t>
      </w:r>
      <w:r>
        <w:t xml:space="preserve">status and duty </w:t>
      </w:r>
      <w:r w:rsidR="008519AE">
        <w:t>of</w:t>
      </w:r>
      <w:r>
        <w:t xml:space="preserve"> an attorney.  </w:t>
      </w:r>
    </w:p>
    <w:p w:rsidR="00057ECB" w:rsidRPr="002C7077" w:rsidRDefault="00057ECB" w:rsidP="00814CAF">
      <w:pPr>
        <w:spacing w:line="480" w:lineRule="auto"/>
        <w:jc w:val="center"/>
        <w:rPr>
          <w:b/>
          <w:bCs/>
        </w:rPr>
      </w:pPr>
      <w:r>
        <w:rPr>
          <w:b/>
          <w:bCs/>
        </w:rPr>
        <w:t>VI</w:t>
      </w:r>
      <w:proofErr w:type="gramStart"/>
      <w:r>
        <w:rPr>
          <w:b/>
          <w:bCs/>
        </w:rPr>
        <w:t xml:space="preserve">.  </w:t>
      </w:r>
      <w:r w:rsidRPr="002C7077">
        <w:rPr>
          <w:b/>
          <w:bCs/>
        </w:rPr>
        <w:t>DEGREE</w:t>
      </w:r>
      <w:proofErr w:type="gramEnd"/>
      <w:r w:rsidRPr="002C7077">
        <w:rPr>
          <w:b/>
          <w:bCs/>
        </w:rPr>
        <w:t xml:space="preserve"> OF DISCIPLINE</w:t>
      </w:r>
    </w:p>
    <w:p w:rsidR="00AC765A" w:rsidRDefault="00AC765A" w:rsidP="00AC765A">
      <w:pPr>
        <w:spacing w:line="480" w:lineRule="auto"/>
      </w:pPr>
      <w:r>
        <w:tab/>
        <w:t xml:space="preserve">The primary </w:t>
      </w:r>
      <w:r w:rsidR="00173DB9">
        <w:t>objectives</w:t>
      </w:r>
      <w:r>
        <w:t xml:space="preserve"> of disciplinary proceedings are the protection of the public, the courts and the legal profession, the maintenance of high professional standards for attorneys, and the preservation of public confidence in the legal profession.  </w:t>
      </w:r>
      <w:proofErr w:type="gramStart"/>
      <w:r>
        <w:t xml:space="preserve">(Std. 1.3; </w:t>
      </w:r>
      <w:r>
        <w:rPr>
          <w:i/>
          <w:iCs/>
        </w:rPr>
        <w:t>Bach v. State Bar</w:t>
      </w:r>
      <w:r w:rsidRPr="002444C4">
        <w:rPr>
          <w:iCs/>
        </w:rPr>
        <w:t xml:space="preserve"> (1987) </w:t>
      </w:r>
      <w:r>
        <w:t>43 Cal.3d 848, 856-857.)</w:t>
      </w:r>
      <w:proofErr w:type="gramEnd"/>
      <w:r>
        <w:t xml:space="preserve">  There is no fixed formula for determining the </w:t>
      </w:r>
      <w:r w:rsidR="00173DB9">
        <w:t>appropriate</w:t>
      </w:r>
      <w:r>
        <w:t xml:space="preserve"> level of discipline.  </w:t>
      </w:r>
      <w:proofErr w:type="gramStart"/>
      <w:r>
        <w:t>(</w:t>
      </w:r>
      <w:r w:rsidRPr="0051301A">
        <w:rPr>
          <w:i/>
        </w:rPr>
        <w:t>In the Matter of Brimberry</w:t>
      </w:r>
      <w:r>
        <w:t xml:space="preserve"> (Review Dept. 1995) 3 Cal. State Bar Ct. Rptr. 390, 403.)</w:t>
      </w:r>
      <w:proofErr w:type="gramEnd"/>
      <w:r>
        <w:t xml:space="preserve">  Ultimately, the degree of discipline to be recommended rests on a balanced consideration</w:t>
      </w:r>
      <w:r w:rsidR="00977613">
        <w:t xml:space="preserve"> of all relevant factors.  The s</w:t>
      </w:r>
      <w:r>
        <w:t>tandards</w:t>
      </w:r>
      <w:r w:rsidR="00977613">
        <w:t>, wh</w:t>
      </w:r>
      <w:r>
        <w:t>ich serve as guidelines, are accorded great weight (</w:t>
      </w:r>
      <w:r>
        <w:rPr>
          <w:i/>
          <w:iCs/>
        </w:rPr>
        <w:t>In the Matter of Taylor</w:t>
      </w:r>
      <w:r>
        <w:t xml:space="preserve"> (Review Dept. 1991) 1 Cal. State Bar Ct. Rptr. 563, 580).  </w:t>
      </w:r>
    </w:p>
    <w:p w:rsidR="00057ECB" w:rsidRDefault="00AC765A" w:rsidP="00AC765A">
      <w:pPr>
        <w:spacing w:line="480" w:lineRule="auto"/>
      </w:pPr>
      <w:r>
        <w:tab/>
      </w:r>
      <w:r w:rsidR="00057ECB">
        <w:t xml:space="preserve">Several standards </w:t>
      </w:r>
      <w:r w:rsidR="00D35CF7">
        <w:t xml:space="preserve">apply </w:t>
      </w:r>
      <w:r>
        <w:t xml:space="preserve">in this case, </w:t>
      </w:r>
      <w:r w:rsidR="00057ECB">
        <w:t>including</w:t>
      </w:r>
      <w:r w:rsidR="00057ECB" w:rsidRPr="00F67970">
        <w:t xml:space="preserve"> 2.6 (</w:t>
      </w:r>
      <w:r w:rsidR="00173DB9">
        <w:t>f</w:t>
      </w:r>
      <w:r w:rsidR="00D35CF7">
        <w:t xml:space="preserve">ailure to </w:t>
      </w:r>
      <w:r w:rsidR="00173DB9">
        <w:t>o</w:t>
      </w:r>
      <w:r w:rsidR="00D35CF7">
        <w:t xml:space="preserve">bey the </w:t>
      </w:r>
      <w:r w:rsidR="00173DB9">
        <w:t>l</w:t>
      </w:r>
      <w:r w:rsidR="00D35CF7">
        <w:t>aw by UPL – section 6068</w:t>
      </w:r>
      <w:r w:rsidR="00057ECB" w:rsidRPr="00F67970">
        <w:t>),</w:t>
      </w:r>
      <w:r w:rsidR="00C535CD" w:rsidRPr="00B96562">
        <w:rPr>
          <w:rStyle w:val="FootnoteReference"/>
        </w:rPr>
        <w:footnoteReference w:id="13"/>
      </w:r>
      <w:r w:rsidR="00057ECB" w:rsidRPr="00F67970">
        <w:t xml:space="preserve"> 2.3 (</w:t>
      </w:r>
      <w:r w:rsidR="00D35CF7">
        <w:t xml:space="preserve">moral turpitude or dishonesty – section 6106) </w:t>
      </w:r>
      <w:r w:rsidR="00057ECB" w:rsidRPr="00F67970">
        <w:t>and 2.10 (</w:t>
      </w:r>
      <w:r w:rsidR="00D35CF7">
        <w:t xml:space="preserve">unauthorized </w:t>
      </w:r>
      <w:r w:rsidR="00D35CF7">
        <w:lastRenderedPageBreak/>
        <w:t>practice of law in another jurisdiction – rule 1-300(B) and collecting illegal fees – rule 4-200(A))</w:t>
      </w:r>
      <w:r>
        <w:t xml:space="preserve">.  When two or more acts of misconduct are found in a single proceeding and different sanctions are prescribed by the standards, the more severe of the applicable sanctions for these violations should be imposed (std. 1.6(a)), adjusted as appropriate to reflect the balance of aggravating and mitigating circumstances.  </w:t>
      </w:r>
      <w:proofErr w:type="gramStart"/>
      <w:r>
        <w:t>(Std. 1.6(b).)</w:t>
      </w:r>
      <w:proofErr w:type="gramEnd"/>
      <w:r>
        <w:t xml:space="preserve">   </w:t>
      </w:r>
      <w:r w:rsidR="00D35CF7">
        <w:t>Here, s</w:t>
      </w:r>
      <w:r w:rsidR="00057ECB">
        <w:t xml:space="preserve">tandard </w:t>
      </w:r>
      <w:r w:rsidR="00057ECB" w:rsidRPr="00F67970">
        <w:t xml:space="preserve">2.3 </w:t>
      </w:r>
      <w:r w:rsidR="00057ECB">
        <w:t xml:space="preserve">is the most severe, providing </w:t>
      </w:r>
      <w:r w:rsidR="00057ECB" w:rsidRPr="00F67970">
        <w:t xml:space="preserve">a range from actual suspension to disbarment, depending on the degree to which the victim is harmed or misled and on the magnitude of </w:t>
      </w:r>
      <w:r w:rsidR="00173DB9">
        <w:t>the misconduct</w:t>
      </w:r>
      <w:r w:rsidR="00057ECB" w:rsidRPr="00F67970">
        <w:t xml:space="preserve"> and the extent to which it relates to “the member’s acts within the practice of law.”</w:t>
      </w:r>
      <w:r w:rsidR="00D35CF7" w:rsidRPr="00D35CF7">
        <w:rPr>
          <w:rStyle w:val="FootnoteReference"/>
        </w:rPr>
        <w:t xml:space="preserve"> </w:t>
      </w:r>
    </w:p>
    <w:p w:rsidR="00AC765A" w:rsidRDefault="00AC765A" w:rsidP="00AC765A">
      <w:pPr>
        <w:spacing w:line="480" w:lineRule="auto"/>
      </w:pPr>
      <w:r>
        <w:tab/>
        <w:t>We adopt the hearing judge’s recommended discipline</w:t>
      </w:r>
      <w:r w:rsidR="00CA7289">
        <w:t>, including the one</w:t>
      </w:r>
      <w:r w:rsidR="00AD3270">
        <w:t>-</w:t>
      </w:r>
      <w:r w:rsidR="00CA7289">
        <w:t>year suspension</w:t>
      </w:r>
      <w:r>
        <w:t>.  Despite</w:t>
      </w:r>
      <w:r w:rsidR="00117E99">
        <w:t xml:space="preserve"> </w:t>
      </w:r>
      <w:proofErr w:type="spellStart"/>
      <w:r w:rsidR="00117E99">
        <w:t>Pelcyger</w:t>
      </w:r>
      <w:r>
        <w:t>’s</w:t>
      </w:r>
      <w:proofErr w:type="spellEnd"/>
      <w:r>
        <w:t xml:space="preserve"> excellent reputation and catastrophic </w:t>
      </w:r>
      <w:r w:rsidR="00173DB9">
        <w:t xml:space="preserve">personal </w:t>
      </w:r>
      <w:r>
        <w:t xml:space="preserve">events, he failed </w:t>
      </w:r>
      <w:r w:rsidR="00173DB9">
        <w:t>to fulfill a crucial</w:t>
      </w:r>
      <w:r>
        <w:t xml:space="preserve"> duty of honesty toward his clients and the court</w:t>
      </w:r>
      <w:r w:rsidR="00C535CD">
        <w:t>s</w:t>
      </w:r>
      <w:r>
        <w:t xml:space="preserve"> for 18 years.  This lengthy period of </w:t>
      </w:r>
      <w:r w:rsidR="00C535CD">
        <w:t>UPL</w:t>
      </w:r>
      <w:r>
        <w:t xml:space="preserve"> is simply inexcusable</w:t>
      </w:r>
      <w:r w:rsidR="00173DB9">
        <w:t>.</w:t>
      </w:r>
      <w:r w:rsidR="00C535CD" w:rsidRPr="00C535CD">
        <w:rPr>
          <w:rStyle w:val="FootnoteReference"/>
        </w:rPr>
        <w:t xml:space="preserve"> </w:t>
      </w:r>
      <w:r w:rsidR="00C535CD">
        <w:rPr>
          <w:rStyle w:val="FootnoteReference"/>
        </w:rPr>
        <w:footnoteReference w:id="14"/>
      </w:r>
      <w:r w:rsidR="00173DB9">
        <w:t xml:space="preserve">  </w:t>
      </w:r>
      <w:r>
        <w:t xml:space="preserve">The </w:t>
      </w:r>
      <w:r w:rsidR="00C535CD">
        <w:t>nature and extent of misconduct</w:t>
      </w:r>
      <w:r>
        <w:t xml:space="preserve"> in this case far outweighs even the significant mitigation.  </w:t>
      </w:r>
      <w:r w:rsidR="00AD3270">
        <w:t>But for</w:t>
      </w:r>
      <w:r w:rsidR="00173DB9">
        <w:t xml:space="preserve"> the mitigation evidence, a much </w:t>
      </w:r>
      <w:r w:rsidR="00AD3270">
        <w:t xml:space="preserve">greater discipline would be recommended.  </w:t>
      </w:r>
      <w:r w:rsidRPr="00F67970">
        <w:t xml:space="preserve">As our Supreme Court noted in </w:t>
      </w:r>
      <w:r w:rsidRPr="00F67970">
        <w:rPr>
          <w:i/>
          <w:iCs/>
        </w:rPr>
        <w:t>Porter v. State Bar</w:t>
      </w:r>
      <w:r w:rsidRPr="00F67970">
        <w:t xml:space="preserve"> (1990) 52 Cal.3d 518, 528, “[t]hough we are persuaded by petitioner’s showing of mitigation, we are nonetheless constrained to observe our responsibility to preserve confidence in the legal profession and maintain the highest possible professional standards for attorney</w:t>
      </w:r>
      <w:r w:rsidR="00173DB9">
        <w:t>s</w:t>
      </w:r>
      <w:r>
        <w:t>.</w:t>
      </w:r>
      <w:r w:rsidR="00977613">
        <w:t xml:space="preserve"> </w:t>
      </w:r>
      <w:proofErr w:type="gramStart"/>
      <w:r w:rsidR="00977613">
        <w:t>[Citation.]</w:t>
      </w:r>
      <w:r>
        <w:t>”</w:t>
      </w:r>
      <w:proofErr w:type="gramEnd"/>
    </w:p>
    <w:p w:rsidR="00E718A9" w:rsidRDefault="00406F78" w:rsidP="00406F78">
      <w:pPr>
        <w:spacing w:line="480" w:lineRule="auto"/>
      </w:pPr>
      <w:r>
        <w:tab/>
        <w:t xml:space="preserve">In making this recommendation, we look to comparable case law as the appropriate sanction to ensure discipline proportionate to the misconduct.  </w:t>
      </w:r>
      <w:r w:rsidR="00AC765A">
        <w:t xml:space="preserve">Because </w:t>
      </w:r>
      <w:r w:rsidR="00C535CD">
        <w:t xml:space="preserve">the duration of </w:t>
      </w:r>
      <w:r w:rsidR="00173DB9">
        <w:t>Pelcyger’s</w:t>
      </w:r>
      <w:r w:rsidR="00AC765A">
        <w:t xml:space="preserve"> UPL is unprecedented, California law does not provide significant guidance</w:t>
      </w:r>
      <w:r w:rsidR="00AD3270">
        <w:t xml:space="preserve">, as most </w:t>
      </w:r>
      <w:r w:rsidR="00AC765A">
        <w:t xml:space="preserve">cases </w:t>
      </w:r>
      <w:r>
        <w:t>involve</w:t>
      </w:r>
      <w:r w:rsidR="00AC765A">
        <w:t xml:space="preserve"> short</w:t>
      </w:r>
      <w:r w:rsidR="00C535CD">
        <w:t>er</w:t>
      </w:r>
      <w:r w:rsidR="00AC765A">
        <w:t xml:space="preserve"> periods of UPL or </w:t>
      </w:r>
      <w:r w:rsidR="00AD3270">
        <w:t xml:space="preserve">additional unrelated </w:t>
      </w:r>
      <w:r w:rsidR="00AC765A">
        <w:t>misconduct.</w:t>
      </w:r>
      <w:r>
        <w:t xml:space="preserve">  However, other </w:t>
      </w:r>
      <w:r>
        <w:lastRenderedPageBreak/>
        <w:t>jurisdictions support a one</w:t>
      </w:r>
      <w:r w:rsidR="00E718A9">
        <w:t xml:space="preserve">-year suspension in lengthy UPL cases.  (See </w:t>
      </w:r>
      <w:r w:rsidR="00E718A9" w:rsidRPr="00CC2704">
        <w:rPr>
          <w:i/>
          <w:iCs/>
        </w:rPr>
        <w:t>In the Matter of the Re</w:t>
      </w:r>
      <w:r w:rsidR="00173DB9">
        <w:rPr>
          <w:i/>
          <w:iCs/>
        </w:rPr>
        <w:t>i</w:t>
      </w:r>
      <w:r w:rsidR="00E718A9" w:rsidRPr="00CC2704">
        <w:rPr>
          <w:i/>
          <w:iCs/>
        </w:rPr>
        <w:t>nstatement of Michael L</w:t>
      </w:r>
      <w:r w:rsidR="00E718A9">
        <w:rPr>
          <w:i/>
          <w:iCs/>
        </w:rPr>
        <w:t>.</w:t>
      </w:r>
      <w:r w:rsidR="00E718A9" w:rsidRPr="00CC2704">
        <w:rPr>
          <w:i/>
          <w:iCs/>
        </w:rPr>
        <w:t xml:space="preserve"> DeBacker</w:t>
      </w:r>
      <w:r w:rsidR="00E718A9">
        <w:t xml:space="preserve"> (</w:t>
      </w:r>
      <w:r w:rsidR="00977613">
        <w:t xml:space="preserve">Okla. </w:t>
      </w:r>
      <w:r w:rsidR="00E718A9">
        <w:t xml:space="preserve">2008) 184 P.3d 506 [one-year deferral for reinstatement </w:t>
      </w:r>
      <w:r w:rsidR="00AD3270">
        <w:t xml:space="preserve">in Oklahoma </w:t>
      </w:r>
      <w:r w:rsidR="00E718A9">
        <w:t xml:space="preserve">for unintentional non-payment of dues for 27 years]; </w:t>
      </w:r>
      <w:r w:rsidR="00E718A9" w:rsidRPr="00CC2704">
        <w:rPr>
          <w:i/>
          <w:iCs/>
        </w:rPr>
        <w:t>Hipwell v. Kentucky Bar Association</w:t>
      </w:r>
      <w:r w:rsidR="00E718A9">
        <w:t xml:space="preserve"> (</w:t>
      </w:r>
      <w:r w:rsidR="00977613">
        <w:t xml:space="preserve">Ky. </w:t>
      </w:r>
      <w:r w:rsidR="00E718A9">
        <w:t xml:space="preserve">2008) 267 S.W.3d 682 [one-year suspension </w:t>
      </w:r>
      <w:r w:rsidR="00AD3270">
        <w:t xml:space="preserve">in Kentucky </w:t>
      </w:r>
      <w:r w:rsidR="00E718A9">
        <w:t>for non-payment of dues for 22 years where attorney did not believe bar membership requir</w:t>
      </w:r>
      <w:r w:rsidR="00173DB9">
        <w:t>ed for general counsel position].</w:t>
      </w:r>
      <w:r w:rsidR="00E718A9">
        <w:t>)</w:t>
      </w:r>
      <w:r w:rsidR="00E718A9" w:rsidRPr="003774D3">
        <w:t xml:space="preserve">  </w:t>
      </w:r>
    </w:p>
    <w:p w:rsidR="00057ECB" w:rsidRPr="002C7077" w:rsidRDefault="00057ECB" w:rsidP="00CA25A2">
      <w:pPr>
        <w:spacing w:line="480" w:lineRule="auto"/>
        <w:jc w:val="center"/>
        <w:rPr>
          <w:b/>
          <w:bCs/>
        </w:rPr>
      </w:pPr>
      <w:r>
        <w:rPr>
          <w:b/>
          <w:bCs/>
        </w:rPr>
        <w:t>VII</w:t>
      </w:r>
      <w:proofErr w:type="gramStart"/>
      <w:r>
        <w:rPr>
          <w:b/>
          <w:bCs/>
        </w:rPr>
        <w:t xml:space="preserve">.  </w:t>
      </w:r>
      <w:r w:rsidRPr="002C7077">
        <w:rPr>
          <w:b/>
          <w:bCs/>
        </w:rPr>
        <w:t>RECOMMENDATION</w:t>
      </w:r>
      <w:proofErr w:type="gramEnd"/>
    </w:p>
    <w:p w:rsidR="00057ECB" w:rsidRDefault="00057ECB">
      <w:pPr>
        <w:spacing w:line="480" w:lineRule="auto"/>
        <w:ind w:firstLine="720"/>
      </w:pPr>
      <w:r>
        <w:t>For the foregoing reasons, we re</w:t>
      </w:r>
      <w:r w:rsidR="00173DB9">
        <w:t>commend that Robert S. Pelcyger</w:t>
      </w:r>
      <w:r>
        <w:t xml:space="preserve"> be suspended from the practice of law in the State of California for three years, that </w:t>
      </w:r>
      <w:r w:rsidR="00CA7289">
        <w:t xml:space="preserve">the suspension be stayed and that </w:t>
      </w:r>
      <w:r w:rsidR="00C535CD">
        <w:t>he</w:t>
      </w:r>
      <w:r>
        <w:t xml:space="preserve"> be placed on probation for </w:t>
      </w:r>
      <w:r w:rsidR="00CA7289">
        <w:t xml:space="preserve">five years, subject to the following conditions:  </w:t>
      </w:r>
    </w:p>
    <w:p w:rsidR="00E718A9" w:rsidRDefault="001D671F" w:rsidP="001D671F">
      <w:pPr>
        <w:ind w:left="288" w:hanging="288"/>
      </w:pPr>
      <w:r>
        <w:t xml:space="preserve">1.  </w:t>
      </w:r>
      <w:r w:rsidR="00C535CD">
        <w:t>He</w:t>
      </w:r>
      <w:r w:rsidR="00CA7289">
        <w:t xml:space="preserve"> </w:t>
      </w:r>
      <w:r w:rsidR="00C535CD">
        <w:t>is</w:t>
      </w:r>
      <w:r w:rsidR="00CA7289">
        <w:t xml:space="preserve"> suspended from the practice of law for the first year of his probation</w:t>
      </w:r>
      <w:r w:rsidR="00173DB9">
        <w:t>.</w:t>
      </w:r>
      <w:r w:rsidR="00CA7289">
        <w:t xml:space="preserve">  </w:t>
      </w:r>
    </w:p>
    <w:p w:rsidR="00E718A9" w:rsidRDefault="00E718A9" w:rsidP="001D671F"/>
    <w:p w:rsidR="00E718A9" w:rsidRDefault="00E718A9" w:rsidP="00E718A9">
      <w:pPr>
        <w:ind w:left="288" w:hanging="288"/>
      </w:pPr>
      <w:r>
        <w:t xml:space="preserve">2.  </w:t>
      </w:r>
      <w:r w:rsidR="00173DB9">
        <w:t>He</w:t>
      </w:r>
      <w:r>
        <w:t xml:space="preserve"> is to comply with the provisions </w:t>
      </w:r>
      <w:r w:rsidR="00173DB9">
        <w:t>of the California State Bar Act and</w:t>
      </w:r>
      <w:r>
        <w:t xml:space="preserve"> the Rules of Professional Conduct of the State Bar of California</w:t>
      </w:r>
      <w:r w:rsidR="00173DB9">
        <w:t>.</w:t>
      </w:r>
    </w:p>
    <w:p w:rsidR="00E718A9" w:rsidRDefault="00E718A9" w:rsidP="00E718A9">
      <w:pPr>
        <w:ind w:left="288" w:hanging="288"/>
      </w:pPr>
    </w:p>
    <w:p w:rsidR="00E718A9" w:rsidRDefault="00173DB9" w:rsidP="00E718A9">
      <w:pPr>
        <w:ind w:left="288" w:hanging="288"/>
      </w:pPr>
      <w:r>
        <w:t xml:space="preserve">3.  He </w:t>
      </w:r>
      <w:r w:rsidR="00E718A9">
        <w:t>is to maintain w</w:t>
      </w:r>
      <w:r w:rsidR="00657A1E">
        <w:t>ith the California State Bar’</w:t>
      </w:r>
      <w:r w:rsidR="00E718A9">
        <w:t>s Membership Records Offi</w:t>
      </w:r>
      <w:r w:rsidR="00657A1E">
        <w:t>ce and the California State Bar’s Office of Probation</w:t>
      </w:r>
      <w:r w:rsidR="00E718A9">
        <w:t xml:space="preserve"> his current office address and telephone number or, if no office is maintained, an address to be used for State Bar purposes (Bus. </w:t>
      </w:r>
      <w:proofErr w:type="gramStart"/>
      <w:r w:rsidR="00E718A9">
        <w:t>&amp; Prof. Code, § 6002.1, subd.</w:t>
      </w:r>
      <w:proofErr w:type="gramEnd"/>
      <w:r w:rsidR="00E718A9">
        <w:t xml:space="preserve"> (a)(1)).  In addition, Pelcyger is to maintain</w:t>
      </w:r>
      <w:r w:rsidR="00657A1E">
        <w:t xml:space="preserve"> with the State Bar’</w:t>
      </w:r>
      <w:r w:rsidR="00E718A9">
        <w:t xml:space="preserve">s Office of Probation his current home address and telephone number (Bus. </w:t>
      </w:r>
      <w:proofErr w:type="gramStart"/>
      <w:r w:rsidR="00E718A9">
        <w:t>&amp; Prof. Code, § 6002.1, subd.</w:t>
      </w:r>
      <w:proofErr w:type="gramEnd"/>
      <w:r w:rsidR="00E718A9">
        <w:t xml:space="preserve"> (a)</w:t>
      </w:r>
      <w:proofErr w:type="gramStart"/>
      <w:r w:rsidR="00E718A9">
        <w:t>(5)).</w:t>
      </w:r>
      <w:proofErr w:type="gramEnd"/>
      <w:r w:rsidR="00E718A9">
        <w:t xml:space="preserve">  </w:t>
      </w:r>
    </w:p>
    <w:p w:rsidR="00E718A9" w:rsidRDefault="00E718A9" w:rsidP="00E718A9">
      <w:pPr>
        <w:ind w:left="288" w:hanging="288"/>
      </w:pPr>
    </w:p>
    <w:p w:rsidR="00E718A9" w:rsidRDefault="00E718A9" w:rsidP="00413E50">
      <w:pPr>
        <w:spacing w:after="120"/>
        <w:ind w:left="288" w:hanging="288"/>
      </w:pPr>
      <w:r>
        <w:t xml:space="preserve">4.  </w:t>
      </w:r>
      <w:r w:rsidR="00657A1E">
        <w:t>He</w:t>
      </w:r>
      <w:r>
        <w:t xml:space="preserve"> is to submit written quarterly reports to the California State Bar’s Office of Probation on each January 10, April 10, July 10, and October 10.  Under penalty of perjury under the laws of the State of </w:t>
      </w:r>
      <w:smartTag w:uri="urn:schemas-microsoft-com:office:smarttags" w:element="State">
        <w:smartTag w:uri="urn:schemas-microsoft-com:office:smarttags" w:element="place">
          <w:r>
            <w:t>California</w:t>
          </w:r>
        </w:smartTag>
      </w:smartTag>
      <w:r>
        <w:t>, Pelcyger must state whether he has complied with the State Bar Act, the Rules of Professional Conduct of the State Bar, and all conditions of this probation during the preceding calendar quarter.  If the first report will cover less than 30 days, that report must be submitted on the next following quarter date, and cover the extended period.</w:t>
      </w:r>
    </w:p>
    <w:p w:rsidR="00E718A9" w:rsidRDefault="00E718A9" w:rsidP="00E718A9">
      <w:pPr>
        <w:ind w:left="288" w:hanging="288"/>
      </w:pPr>
      <w:r>
        <w:tab/>
        <w:t>In addition to all quarterly reports, a final report, containing the same information, is due no earlier than 20 days before the last day of the probation period and no later than the last day of the probation period.</w:t>
      </w:r>
    </w:p>
    <w:p w:rsidR="00E718A9" w:rsidRDefault="00E718A9" w:rsidP="00E718A9">
      <w:pPr>
        <w:ind w:left="288" w:hanging="288"/>
      </w:pPr>
    </w:p>
    <w:p w:rsidR="00E718A9" w:rsidRDefault="00E718A9" w:rsidP="00E718A9">
      <w:pPr>
        <w:ind w:left="288" w:hanging="288"/>
      </w:pPr>
      <w:r>
        <w:t>5.  Subject to the assertion of any applicable privilege, Pelcyger is to fully, promptly, and truthfully answer all inquir</w:t>
      </w:r>
      <w:r w:rsidR="00657A1E">
        <w:t>ies of the California State Bar’</w:t>
      </w:r>
      <w:r>
        <w:t>s Office of Probation directed to him, whether orally or in writing, relating to whether he is complying or has complied with the conditions of this probation.</w:t>
      </w:r>
    </w:p>
    <w:p w:rsidR="00E718A9" w:rsidRDefault="00E718A9" w:rsidP="00E718A9">
      <w:pPr>
        <w:ind w:left="288" w:hanging="288"/>
      </w:pPr>
      <w:r>
        <w:lastRenderedPageBreak/>
        <w:t>6.  Within the first year of his probation, Pelcyger is to attend and satisfactorily co</w:t>
      </w:r>
      <w:r w:rsidR="00657A1E">
        <w:t>mplete the California State Bar’</w:t>
      </w:r>
      <w:r>
        <w:t xml:space="preserve">s </w:t>
      </w:r>
      <w:smartTag w:uri="urn:schemas-microsoft-com:office:smarttags" w:element="place">
        <w:smartTag w:uri="urn:schemas-microsoft-com:office:smarttags" w:element="PlaceName">
          <w:r>
            <w:t>Ethics</w:t>
          </w:r>
        </w:smartTag>
        <w:r>
          <w:t xml:space="preserve"> </w:t>
        </w:r>
        <w:smartTag w:uri="urn:schemas-microsoft-com:office:smarttags" w:element="PlaceType">
          <w:r>
            <w:t>School</w:t>
          </w:r>
        </w:smartTag>
      </w:smartTag>
      <w:r>
        <w:t xml:space="preserve"> and to provide satisfactory proof of completion of that prog</w:t>
      </w:r>
      <w:r w:rsidR="00657A1E">
        <w:t>ram to the California State Bar’</w:t>
      </w:r>
      <w:r>
        <w:t xml:space="preserve">s Office of Probation.  </w:t>
      </w:r>
    </w:p>
    <w:p w:rsidR="00E718A9" w:rsidRDefault="00E718A9" w:rsidP="00E718A9">
      <w:pPr>
        <w:ind w:left="288" w:hanging="288"/>
      </w:pPr>
    </w:p>
    <w:p w:rsidR="00E718A9" w:rsidRDefault="00E718A9" w:rsidP="00E718A9">
      <w:pPr>
        <w:ind w:left="288" w:hanging="288"/>
      </w:pPr>
      <w:r>
        <w:t xml:space="preserve">7. </w:t>
      </w:r>
      <w:r w:rsidR="00FF3B85">
        <w:t xml:space="preserve"> </w:t>
      </w:r>
      <w:r>
        <w:t>This probation will commence on the effective date of the order of the California Supreme Court imposing discipline in this matter.  At the expiration of the period of this probation, if Pelcyger has complied with all the terms of probation, the three year</w:t>
      </w:r>
      <w:r w:rsidR="00EE1373">
        <w:t xml:space="preserve"> stayed suspension</w:t>
      </w:r>
      <w:r>
        <w:t xml:space="preserve"> will be satisfied and terminated.</w:t>
      </w:r>
    </w:p>
    <w:p w:rsidR="001D671F" w:rsidRDefault="001D671F" w:rsidP="00E718A9">
      <w:pPr>
        <w:ind w:left="288" w:hanging="288"/>
      </w:pPr>
    </w:p>
    <w:p w:rsidR="00057ECB" w:rsidRDefault="00057ECB">
      <w:pPr>
        <w:spacing w:line="480" w:lineRule="auto"/>
        <w:jc w:val="center"/>
        <w:rPr>
          <w:b/>
          <w:bCs/>
        </w:rPr>
      </w:pPr>
      <w:r w:rsidRPr="002C7077">
        <w:rPr>
          <w:b/>
          <w:bCs/>
        </w:rPr>
        <w:t>VIII</w:t>
      </w:r>
      <w:proofErr w:type="gramStart"/>
      <w:r w:rsidRPr="002C7077">
        <w:rPr>
          <w:b/>
          <w:bCs/>
        </w:rPr>
        <w:t>.  PROFESSIONAL</w:t>
      </w:r>
      <w:proofErr w:type="gramEnd"/>
      <w:r w:rsidRPr="002C7077">
        <w:rPr>
          <w:b/>
          <w:bCs/>
        </w:rPr>
        <w:t xml:space="preserve"> RESPONSIBILITY EXAMINATION</w:t>
      </w:r>
    </w:p>
    <w:p w:rsidR="00057ECB" w:rsidRDefault="00057ECB" w:rsidP="00E16EC0">
      <w:pPr>
        <w:spacing w:line="480" w:lineRule="auto"/>
        <w:ind w:firstLine="720"/>
      </w:pPr>
      <w:r>
        <w:t xml:space="preserve">We recommend that </w:t>
      </w:r>
      <w:proofErr w:type="spellStart"/>
      <w:r w:rsidR="00826146">
        <w:t>Pelcyger</w:t>
      </w:r>
      <w:proofErr w:type="spellEnd"/>
      <w:r>
        <w:t xml:space="preserve"> be ordered to take and pass the Multistate Professional Responsibility Examination administered by the National Conference of Bar Examiners within one year of the effective date of the Supreme Court order in this matter and to provide satisfactory proof of such passage to the State Bar’s Office of Probation in Los Angeles within the same period.</w:t>
      </w:r>
    </w:p>
    <w:p w:rsidR="00057ECB" w:rsidRDefault="00057ECB" w:rsidP="00E16EC0">
      <w:pPr>
        <w:spacing w:line="480" w:lineRule="auto"/>
        <w:jc w:val="center"/>
        <w:rPr>
          <w:b/>
          <w:bCs/>
        </w:rPr>
      </w:pPr>
      <w:r w:rsidRPr="002C7077">
        <w:rPr>
          <w:b/>
          <w:bCs/>
        </w:rPr>
        <w:t>IX</w:t>
      </w:r>
      <w:proofErr w:type="gramStart"/>
      <w:r w:rsidRPr="002C7077">
        <w:rPr>
          <w:b/>
          <w:bCs/>
        </w:rPr>
        <w:t>.  RULE</w:t>
      </w:r>
      <w:proofErr w:type="gramEnd"/>
      <w:r w:rsidRPr="002C7077">
        <w:rPr>
          <w:b/>
          <w:bCs/>
        </w:rPr>
        <w:t xml:space="preserve"> 9.20</w:t>
      </w:r>
    </w:p>
    <w:p w:rsidR="00E769BE" w:rsidRDefault="00057ECB">
      <w:pPr>
        <w:spacing w:line="480" w:lineRule="auto"/>
        <w:ind w:firstLine="720"/>
      </w:pPr>
      <w:r>
        <w:t xml:space="preserve">We further recommend that </w:t>
      </w:r>
      <w:proofErr w:type="spellStart"/>
      <w:r w:rsidR="00826146">
        <w:t>Pelcyger</w:t>
      </w:r>
      <w:proofErr w:type="spellEnd"/>
      <w:r>
        <w:t xml:space="preserve"> be ordered to comply with rule 9.20, California Rules of Court, and to perform the acts specified in subdivisions (a) and (c) of that rule, within 30 and 40 days, respectively, from the effective date of the Supreme Court order herein.  Willful failure to comply with the provisions of rule 9.20 may result in revocation of probation, suspension, </w:t>
      </w:r>
      <w:proofErr w:type="gramStart"/>
      <w:r>
        <w:t>disbarment</w:t>
      </w:r>
      <w:proofErr w:type="gramEnd"/>
      <w:r>
        <w:t>, denial of reinstatement, conviction of contempt, or criminal conviction.</w:t>
      </w:r>
    </w:p>
    <w:p w:rsidR="00057ECB" w:rsidRDefault="00057ECB">
      <w:pPr>
        <w:spacing w:line="480" w:lineRule="auto"/>
        <w:jc w:val="center"/>
        <w:rPr>
          <w:b/>
          <w:bCs/>
        </w:rPr>
      </w:pPr>
      <w:r w:rsidRPr="002C7077">
        <w:rPr>
          <w:b/>
          <w:bCs/>
        </w:rPr>
        <w:t>X.  COSTS</w:t>
      </w:r>
    </w:p>
    <w:p w:rsidR="00B83FF4" w:rsidRDefault="00CA7289" w:rsidP="00B83FF4">
      <w:pPr>
        <w:spacing w:line="480" w:lineRule="auto"/>
        <w:ind w:firstLine="720"/>
      </w:pPr>
      <w:r>
        <w:t>Finally, we</w:t>
      </w:r>
      <w:r w:rsidR="00057ECB" w:rsidRPr="008519AE">
        <w:t xml:space="preserve"> recommend that costs be awarded to the State Bar in accordance with Business and Professions Code section 6086.10, such costs being enforceable both as provided in Business and Professions Code section 6140.7 and as a money judgment.</w:t>
      </w:r>
    </w:p>
    <w:p w:rsidR="00057ECB" w:rsidRDefault="00057ECB" w:rsidP="00B83FF4">
      <w:pPr>
        <w:spacing w:line="480" w:lineRule="auto"/>
      </w:pPr>
      <w:r>
        <w:tab/>
      </w:r>
      <w:r>
        <w:tab/>
      </w:r>
      <w:r>
        <w:tab/>
      </w:r>
      <w:r>
        <w:tab/>
      </w:r>
      <w:r>
        <w:tab/>
      </w:r>
      <w:r>
        <w:tab/>
      </w:r>
      <w:r>
        <w:tab/>
        <w:t>PURCELL, J.</w:t>
      </w:r>
    </w:p>
    <w:p w:rsidR="00057ECB" w:rsidRDefault="00057ECB">
      <w:pPr>
        <w:spacing w:line="480" w:lineRule="auto"/>
      </w:pPr>
      <w:r>
        <w:t>We concur:</w:t>
      </w:r>
    </w:p>
    <w:p w:rsidR="00057ECB" w:rsidRDefault="00057ECB">
      <w:pPr>
        <w:spacing w:line="480" w:lineRule="auto"/>
      </w:pPr>
      <w:r>
        <w:t>REMKE, P. J.</w:t>
      </w:r>
    </w:p>
    <w:p w:rsidR="00723622" w:rsidRDefault="00057ECB" w:rsidP="00B83FF4">
      <w:pPr>
        <w:spacing w:line="480" w:lineRule="auto"/>
      </w:pPr>
      <w:r>
        <w:t>EPSTEIN, J.</w:t>
      </w:r>
    </w:p>
    <w:sectPr w:rsidR="00723622" w:rsidSect="004727AA">
      <w:footerReference w:type="default" r:id="rId8"/>
      <w:pgSz w:w="12240" w:h="15840" w:code="1"/>
      <w:pgMar w:top="1440" w:right="1440" w:bottom="864"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491" w:rsidRDefault="00F44491" w:rsidP="00E03FC0">
      <w:r>
        <w:separator/>
      </w:r>
    </w:p>
  </w:endnote>
  <w:endnote w:type="continuationSeparator" w:id="1">
    <w:p w:rsidR="00F44491" w:rsidRDefault="00F44491" w:rsidP="00E03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91" w:rsidRDefault="00F44491" w:rsidP="00EA2927">
    <w:pPr>
      <w:pStyle w:val="Footer"/>
      <w:spacing w:before="240"/>
      <w:jc w:val="center"/>
    </w:pPr>
    <w:r>
      <w:t>-</w:t>
    </w:r>
    <w:fldSimple w:instr=" PAGE   \* MERGEFORMAT ">
      <w:r w:rsidR="00C9161B">
        <w:rPr>
          <w:noProof/>
        </w:rPr>
        <w:t>14</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491" w:rsidRDefault="00F44491" w:rsidP="00E03FC0">
      <w:r>
        <w:separator/>
      </w:r>
    </w:p>
  </w:footnote>
  <w:footnote w:type="continuationSeparator" w:id="1">
    <w:p w:rsidR="00F44491" w:rsidRDefault="00F44491" w:rsidP="00E03FC0">
      <w:r>
        <w:t>________________________</w:t>
      </w:r>
    </w:p>
  </w:footnote>
  <w:footnote w:id="2">
    <w:p w:rsidR="00F44491" w:rsidRDefault="00F44491">
      <w:pPr>
        <w:pStyle w:val="FootnoteText"/>
      </w:pPr>
      <w:r>
        <w:rPr>
          <w:sz w:val="24"/>
          <w:szCs w:val="24"/>
        </w:rPr>
        <w:tab/>
      </w:r>
      <w:r w:rsidRPr="00572321">
        <w:rPr>
          <w:rStyle w:val="FootnoteReference"/>
          <w:sz w:val="24"/>
          <w:szCs w:val="24"/>
        </w:rPr>
        <w:footnoteRef/>
      </w:r>
      <w:proofErr w:type="gramStart"/>
      <w:r w:rsidRPr="00464F24">
        <w:rPr>
          <w:iCs/>
          <w:sz w:val="24"/>
          <w:szCs w:val="24"/>
        </w:rPr>
        <w:t>(</w:t>
      </w:r>
      <w:r w:rsidRPr="00572321">
        <w:rPr>
          <w:i/>
          <w:iCs/>
          <w:sz w:val="24"/>
          <w:szCs w:val="24"/>
        </w:rPr>
        <w:t>In re Morse</w:t>
      </w:r>
      <w:r w:rsidR="00262C31">
        <w:rPr>
          <w:sz w:val="24"/>
          <w:szCs w:val="24"/>
        </w:rPr>
        <w:t xml:space="preserve"> (199</w:t>
      </w:r>
      <w:r w:rsidRPr="00572321">
        <w:rPr>
          <w:sz w:val="24"/>
          <w:szCs w:val="24"/>
        </w:rPr>
        <w:t>5) 11 Cal.4</w:t>
      </w:r>
      <w:r w:rsidRPr="00572321">
        <w:rPr>
          <w:sz w:val="24"/>
          <w:szCs w:val="24"/>
          <w:vertAlign w:val="superscript"/>
        </w:rPr>
        <w:t>th</w:t>
      </w:r>
      <w:r w:rsidRPr="00572321">
        <w:rPr>
          <w:sz w:val="24"/>
          <w:szCs w:val="24"/>
        </w:rPr>
        <w:t xml:space="preserve"> 184, 207</w:t>
      </w:r>
      <w:r>
        <w:rPr>
          <w:sz w:val="24"/>
          <w:szCs w:val="24"/>
        </w:rPr>
        <w:t>.)</w:t>
      </w:r>
      <w:proofErr w:type="gramEnd"/>
    </w:p>
  </w:footnote>
  <w:footnote w:id="3">
    <w:p w:rsidR="00F44491" w:rsidRDefault="00F44491" w:rsidP="00FF06AA">
      <w:pPr>
        <w:pStyle w:val="FootnoteText"/>
      </w:pPr>
      <w:r>
        <w:rPr>
          <w:sz w:val="24"/>
          <w:szCs w:val="24"/>
        </w:rPr>
        <w:tab/>
      </w:r>
      <w:r w:rsidRPr="00464F24">
        <w:rPr>
          <w:sz w:val="24"/>
          <w:szCs w:val="24"/>
          <w:vertAlign w:val="superscript"/>
        </w:rPr>
        <w:footnoteRef/>
      </w:r>
      <w:r>
        <w:rPr>
          <w:sz w:val="24"/>
          <w:szCs w:val="24"/>
        </w:rPr>
        <w:t>Pelcyger was never a member of the Colorado bar.  However, he was able to practice in Colorado as a partner with</w:t>
      </w:r>
      <w:r w:rsidRPr="00C57077">
        <w:rPr>
          <w:sz w:val="24"/>
          <w:szCs w:val="24"/>
        </w:rPr>
        <w:t xml:space="preserve"> Fredericks, Pelcyger &amp; Hester, </w:t>
      </w:r>
      <w:proofErr w:type="gramStart"/>
      <w:r w:rsidRPr="00C57077">
        <w:rPr>
          <w:sz w:val="24"/>
          <w:szCs w:val="24"/>
        </w:rPr>
        <w:t>LLC</w:t>
      </w:r>
      <w:proofErr w:type="gramEnd"/>
      <w:r>
        <w:rPr>
          <w:sz w:val="24"/>
          <w:szCs w:val="24"/>
        </w:rPr>
        <w:t>, after the Colorado Supreme Court gave NARF limited permission to hire him to represent NARF’s interests.</w:t>
      </w:r>
      <w:r w:rsidRPr="008162A0">
        <w:rPr>
          <w:sz w:val="24"/>
          <w:szCs w:val="24"/>
        </w:rPr>
        <w:t xml:space="preserve">  </w:t>
      </w:r>
      <w:r w:rsidRPr="00C57077">
        <w:rPr>
          <w:sz w:val="24"/>
          <w:szCs w:val="24"/>
        </w:rPr>
        <w:t xml:space="preserve"> </w:t>
      </w:r>
    </w:p>
  </w:footnote>
  <w:footnote w:id="4">
    <w:p w:rsidR="00F44491" w:rsidRDefault="00F44491" w:rsidP="000A283E">
      <w:pPr>
        <w:pStyle w:val="FootnoteText"/>
        <w:spacing w:after="120"/>
        <w:ind w:firstLine="720"/>
      </w:pPr>
      <w:r w:rsidRPr="004727AA">
        <w:rPr>
          <w:rStyle w:val="FootnoteReference"/>
          <w:sz w:val="24"/>
          <w:szCs w:val="24"/>
        </w:rPr>
        <w:footnoteRef/>
      </w:r>
      <w:r w:rsidRPr="004727AA">
        <w:rPr>
          <w:sz w:val="24"/>
          <w:szCs w:val="24"/>
        </w:rPr>
        <w:t xml:space="preserve">Unless noted otherwise, all </w:t>
      </w:r>
      <w:r>
        <w:rPr>
          <w:sz w:val="24"/>
          <w:szCs w:val="24"/>
        </w:rPr>
        <w:t>future</w:t>
      </w:r>
      <w:r w:rsidRPr="004727AA">
        <w:rPr>
          <w:sz w:val="24"/>
          <w:szCs w:val="24"/>
        </w:rPr>
        <w:t xml:space="preserve"> references to statutes are to the provisions of the</w:t>
      </w:r>
      <w:r>
        <w:rPr>
          <w:sz w:val="24"/>
          <w:szCs w:val="24"/>
        </w:rPr>
        <w:t xml:space="preserve"> Business and Professions Code.</w:t>
      </w:r>
    </w:p>
  </w:footnote>
  <w:footnote w:id="5">
    <w:p w:rsidR="00F44491" w:rsidRDefault="00F44491" w:rsidP="000A283E">
      <w:pPr>
        <w:pStyle w:val="FootnoteText"/>
        <w:spacing w:after="120"/>
        <w:ind w:firstLine="720"/>
      </w:pPr>
      <w:r w:rsidRPr="004727AA">
        <w:rPr>
          <w:rStyle w:val="FootnoteReference"/>
          <w:sz w:val="24"/>
          <w:szCs w:val="24"/>
        </w:rPr>
        <w:footnoteRef/>
      </w:r>
      <w:r w:rsidRPr="004727AA">
        <w:rPr>
          <w:sz w:val="24"/>
          <w:szCs w:val="24"/>
        </w:rPr>
        <w:t xml:space="preserve">Unless noted otherwise, all </w:t>
      </w:r>
      <w:r>
        <w:rPr>
          <w:sz w:val="24"/>
          <w:szCs w:val="24"/>
        </w:rPr>
        <w:t>future</w:t>
      </w:r>
      <w:r w:rsidRPr="004727AA">
        <w:rPr>
          <w:sz w:val="24"/>
          <w:szCs w:val="24"/>
        </w:rPr>
        <w:t xml:space="preserve"> references to rules are to the provisions of the Rules of Professional Conduct of the State Bar.</w:t>
      </w:r>
    </w:p>
  </w:footnote>
  <w:footnote w:id="6">
    <w:p w:rsidR="00F44491" w:rsidRPr="001D671F" w:rsidRDefault="00F44491" w:rsidP="001D671F">
      <w:pPr>
        <w:pStyle w:val="FootnoteText"/>
        <w:spacing w:after="120"/>
        <w:ind w:firstLine="720"/>
        <w:rPr>
          <w:sz w:val="24"/>
          <w:szCs w:val="24"/>
        </w:rPr>
      </w:pPr>
      <w:r w:rsidRPr="00405FC0">
        <w:rPr>
          <w:rStyle w:val="FootnoteReference"/>
          <w:sz w:val="24"/>
          <w:szCs w:val="24"/>
        </w:rPr>
        <w:footnoteRef/>
      </w:r>
      <w:r>
        <w:rPr>
          <w:sz w:val="24"/>
          <w:szCs w:val="24"/>
        </w:rPr>
        <w:t xml:space="preserve">Rule </w:t>
      </w:r>
      <w:r w:rsidR="00262C31">
        <w:rPr>
          <w:sz w:val="24"/>
          <w:szCs w:val="24"/>
        </w:rPr>
        <w:t xml:space="preserve">IA </w:t>
      </w:r>
      <w:r w:rsidRPr="00405FC0">
        <w:rPr>
          <w:sz w:val="24"/>
          <w:szCs w:val="24"/>
        </w:rPr>
        <w:t>10-1(a) states in part:  “In order to practice before the District or Bankruptcy Court an attorney must be admitted to practice under the following provisions.  An attorney who has been admitted to practice before the Supreme Court of Nevada, and who is of good moral and professional character</w:t>
      </w:r>
      <w:r>
        <w:rPr>
          <w:sz w:val="24"/>
          <w:szCs w:val="24"/>
        </w:rPr>
        <w:t>,</w:t>
      </w:r>
      <w:r w:rsidRPr="00405FC0">
        <w:rPr>
          <w:sz w:val="24"/>
          <w:szCs w:val="24"/>
        </w:rPr>
        <w:t xml:space="preserve"> is eligible for admissi</w:t>
      </w:r>
      <w:r w:rsidR="00262C31">
        <w:rPr>
          <w:sz w:val="24"/>
          <w:szCs w:val="24"/>
        </w:rPr>
        <w:t xml:space="preserve">on to the bar of this court.”  (U.S. Dist. Ct., Local Rules, Dist. Nev., rule IA 10-1(a).)  </w:t>
      </w:r>
    </w:p>
  </w:footnote>
  <w:footnote w:id="7">
    <w:p w:rsidR="00F44491" w:rsidRDefault="00F44491" w:rsidP="00464F24">
      <w:pPr>
        <w:pStyle w:val="FootnoteText"/>
        <w:ind w:firstLine="720"/>
      </w:pPr>
      <w:r w:rsidRPr="00405FC0">
        <w:rPr>
          <w:rStyle w:val="FootnoteReference"/>
          <w:sz w:val="24"/>
          <w:szCs w:val="24"/>
        </w:rPr>
        <w:footnoteRef/>
      </w:r>
      <w:r w:rsidRPr="00405FC0">
        <w:rPr>
          <w:sz w:val="24"/>
          <w:szCs w:val="24"/>
        </w:rPr>
        <w:t>Rule IA 10-2(a) states in part:  “An attorney</w:t>
      </w:r>
      <w:r>
        <w:rPr>
          <w:sz w:val="24"/>
          <w:szCs w:val="24"/>
        </w:rPr>
        <w:t>,</w:t>
      </w:r>
      <w:r w:rsidRPr="00405FC0">
        <w:rPr>
          <w:sz w:val="24"/>
          <w:szCs w:val="24"/>
        </w:rPr>
        <w:t xml:space="preserve"> who is not a member of the bar of this court, who has been retained or appointed to appear in a particular case may do so only with permissi</w:t>
      </w:r>
      <w:r>
        <w:rPr>
          <w:sz w:val="24"/>
          <w:szCs w:val="24"/>
        </w:rPr>
        <w:t>on of the court. . . .</w:t>
      </w:r>
      <w:r w:rsidRPr="00405FC0">
        <w:rPr>
          <w:sz w:val="24"/>
          <w:szCs w:val="24"/>
        </w:rPr>
        <w:t xml:space="preserve">  The attorney may submit the verified petition if the foll</w:t>
      </w:r>
      <w:r>
        <w:rPr>
          <w:sz w:val="24"/>
          <w:szCs w:val="24"/>
        </w:rPr>
        <w:t>owing conditions are met:  (1) T</w:t>
      </w:r>
      <w:r w:rsidRPr="00405FC0">
        <w:rPr>
          <w:sz w:val="24"/>
          <w:szCs w:val="24"/>
        </w:rPr>
        <w:t>he attorney is not a member of the State Bar of Nevada</w:t>
      </w:r>
      <w:r>
        <w:rPr>
          <w:sz w:val="24"/>
          <w:szCs w:val="24"/>
        </w:rPr>
        <w:t>;</w:t>
      </w:r>
      <w:r w:rsidRPr="00405FC0">
        <w:rPr>
          <w:sz w:val="24"/>
          <w:szCs w:val="24"/>
        </w:rPr>
        <w:t xml:space="preserve"> (2) </w:t>
      </w:r>
      <w:r>
        <w:rPr>
          <w:sz w:val="24"/>
          <w:szCs w:val="24"/>
        </w:rPr>
        <w:t>T</w:t>
      </w:r>
      <w:r w:rsidRPr="00405FC0">
        <w:rPr>
          <w:sz w:val="24"/>
          <w:szCs w:val="24"/>
        </w:rPr>
        <w:t xml:space="preserve">he attorney is not a </w:t>
      </w:r>
      <w:r>
        <w:rPr>
          <w:sz w:val="24"/>
          <w:szCs w:val="24"/>
        </w:rPr>
        <w:t>resident of the State of Nevada;</w:t>
      </w:r>
      <w:r w:rsidRPr="00405FC0">
        <w:rPr>
          <w:sz w:val="24"/>
          <w:szCs w:val="24"/>
        </w:rPr>
        <w:t xml:space="preserve"> (3) </w:t>
      </w:r>
      <w:r>
        <w:rPr>
          <w:sz w:val="24"/>
          <w:szCs w:val="24"/>
        </w:rPr>
        <w:t>T</w:t>
      </w:r>
      <w:r w:rsidRPr="00405FC0">
        <w:rPr>
          <w:sz w:val="24"/>
          <w:szCs w:val="24"/>
        </w:rPr>
        <w:t>he attorney is not regularly employ</w:t>
      </w:r>
      <w:r>
        <w:rPr>
          <w:sz w:val="24"/>
          <w:szCs w:val="24"/>
        </w:rPr>
        <w:t>ed in the State of Nevada; (4) T</w:t>
      </w:r>
      <w:r w:rsidRPr="00405FC0">
        <w:rPr>
          <w:sz w:val="24"/>
          <w:szCs w:val="24"/>
        </w:rPr>
        <w:t>he attorney is not engaged in substantial business, professional</w:t>
      </w:r>
      <w:r>
        <w:rPr>
          <w:sz w:val="24"/>
          <w:szCs w:val="24"/>
        </w:rPr>
        <w:t>,</w:t>
      </w:r>
      <w:r w:rsidRPr="00405FC0">
        <w:rPr>
          <w:sz w:val="24"/>
          <w:szCs w:val="24"/>
        </w:rPr>
        <w:t xml:space="preserve"> or other activiti</w:t>
      </w:r>
      <w:r>
        <w:rPr>
          <w:sz w:val="24"/>
          <w:szCs w:val="24"/>
        </w:rPr>
        <w:t>es in the State of Nevada; (5) T</w:t>
      </w:r>
      <w:r w:rsidRPr="00405FC0">
        <w:rPr>
          <w:sz w:val="24"/>
          <w:szCs w:val="24"/>
        </w:rPr>
        <w:t>he attorney is a member in good standing and eligible to practice before the bar of any jurisdiction</w:t>
      </w:r>
      <w:r>
        <w:rPr>
          <w:sz w:val="24"/>
          <w:szCs w:val="24"/>
        </w:rPr>
        <w:t xml:space="preserve"> of the United States; and (6) T</w:t>
      </w:r>
      <w:r w:rsidRPr="00405FC0">
        <w:rPr>
          <w:sz w:val="24"/>
          <w:szCs w:val="24"/>
        </w:rPr>
        <w:t xml:space="preserve">he attorney associates an active member in good standing of the State Bar </w:t>
      </w:r>
      <w:r>
        <w:rPr>
          <w:sz w:val="24"/>
          <w:szCs w:val="24"/>
        </w:rPr>
        <w:t>o</w:t>
      </w:r>
      <w:r w:rsidRPr="00405FC0">
        <w:rPr>
          <w:sz w:val="24"/>
          <w:szCs w:val="24"/>
        </w:rPr>
        <w:t xml:space="preserve">f Nevada </w:t>
      </w:r>
      <w:r>
        <w:rPr>
          <w:sz w:val="24"/>
          <w:szCs w:val="24"/>
        </w:rPr>
        <w:t>a</w:t>
      </w:r>
      <w:r w:rsidRPr="00405FC0">
        <w:rPr>
          <w:sz w:val="24"/>
          <w:szCs w:val="24"/>
        </w:rPr>
        <w:t>s counsel of record in the action or proceeding.”</w:t>
      </w:r>
      <w:r w:rsidR="00262C31">
        <w:rPr>
          <w:sz w:val="24"/>
          <w:szCs w:val="24"/>
        </w:rPr>
        <w:t xml:space="preserve">  (U.S. Dist. Ct., Local Rules, Dist. Nev., rule IA 10-2(a).)</w:t>
      </w:r>
    </w:p>
  </w:footnote>
  <w:footnote w:id="8">
    <w:p w:rsidR="00F44491" w:rsidRDefault="00F44491" w:rsidP="00997119">
      <w:pPr>
        <w:pStyle w:val="FootnoteText"/>
        <w:ind w:firstLine="720"/>
      </w:pPr>
      <w:r w:rsidRPr="00052785">
        <w:rPr>
          <w:rStyle w:val="FootnoteReference"/>
          <w:sz w:val="24"/>
          <w:szCs w:val="24"/>
        </w:rPr>
        <w:footnoteRef/>
      </w:r>
      <w:r>
        <w:rPr>
          <w:sz w:val="24"/>
          <w:szCs w:val="24"/>
        </w:rPr>
        <w:t xml:space="preserve">The Nevada Disciplinary Board (Board) filed charges against Pelcyger related to his UPL in the Nevada courts based only on the fact that his California license was inactive from 1993 to 2005.  Pelcyger entered a plea to the charges.  The Board imposed a public reprimand and a 22-month suspension from appearance in </w:t>
      </w:r>
      <w:smartTag w:uri="urn:schemas-microsoft-com:office:smarttags" w:element="place">
        <w:smartTag w:uri="urn:schemas-microsoft-com:office:smarttags" w:element="State">
          <w:r>
            <w:rPr>
              <w:sz w:val="24"/>
              <w:szCs w:val="24"/>
            </w:rPr>
            <w:t>Nevada</w:t>
          </w:r>
        </w:smartTag>
      </w:smartTag>
      <w:r>
        <w:rPr>
          <w:sz w:val="24"/>
          <w:szCs w:val="24"/>
        </w:rPr>
        <w:t xml:space="preserve"> courts, and required payment of costs and proof of rehabilitation</w:t>
      </w:r>
      <w:r w:rsidRPr="00052785">
        <w:rPr>
          <w:sz w:val="24"/>
          <w:szCs w:val="24"/>
        </w:rPr>
        <w:t>.</w:t>
      </w:r>
      <w:r>
        <w:rPr>
          <w:sz w:val="24"/>
          <w:szCs w:val="24"/>
        </w:rPr>
        <w:t xml:space="preserve">  </w:t>
      </w:r>
    </w:p>
  </w:footnote>
  <w:footnote w:id="9">
    <w:p w:rsidR="00F44491" w:rsidRDefault="00F44491" w:rsidP="0046099E">
      <w:pPr>
        <w:pStyle w:val="FootnoteText"/>
        <w:spacing w:after="120"/>
        <w:ind w:firstLine="720"/>
      </w:pPr>
      <w:r w:rsidRPr="00CD6E53">
        <w:rPr>
          <w:rStyle w:val="FootnoteReference"/>
          <w:sz w:val="24"/>
          <w:szCs w:val="24"/>
        </w:rPr>
        <w:footnoteRef/>
      </w:r>
      <w:r w:rsidRPr="00CD6E53">
        <w:rPr>
          <w:sz w:val="24"/>
          <w:szCs w:val="24"/>
        </w:rPr>
        <w:t xml:space="preserve">We accord great deference to the hearing judge’s credibility determinations that all witnesses, including </w:t>
      </w:r>
      <w:proofErr w:type="spellStart"/>
      <w:r w:rsidR="00117E99">
        <w:rPr>
          <w:sz w:val="24"/>
          <w:szCs w:val="24"/>
        </w:rPr>
        <w:t>Pelcyger</w:t>
      </w:r>
      <w:proofErr w:type="spellEnd"/>
      <w:r w:rsidRPr="00CD6E53">
        <w:rPr>
          <w:sz w:val="24"/>
          <w:szCs w:val="24"/>
        </w:rPr>
        <w:t xml:space="preserve">, were credible.  </w:t>
      </w:r>
      <w:proofErr w:type="gramStart"/>
      <w:r w:rsidRPr="00CD6E53">
        <w:rPr>
          <w:sz w:val="24"/>
          <w:szCs w:val="24"/>
        </w:rPr>
        <w:t xml:space="preserve">(See Rules Proc. of State Bar, rule 305(a); </w:t>
      </w:r>
      <w:r w:rsidRPr="00CD6E53">
        <w:rPr>
          <w:i/>
          <w:iCs/>
          <w:sz w:val="24"/>
          <w:szCs w:val="24"/>
        </w:rPr>
        <w:t xml:space="preserve">Franklin v. State Bar </w:t>
      </w:r>
      <w:r w:rsidRPr="00CD6E53">
        <w:rPr>
          <w:sz w:val="24"/>
          <w:szCs w:val="24"/>
        </w:rPr>
        <w:t>(1986) 41 Cal.3d 700, 708</w:t>
      </w:r>
      <w:r>
        <w:rPr>
          <w:sz w:val="24"/>
          <w:szCs w:val="24"/>
        </w:rPr>
        <w:t>.</w:t>
      </w:r>
      <w:r w:rsidRPr="00CD6E53">
        <w:rPr>
          <w:sz w:val="24"/>
          <w:szCs w:val="24"/>
        </w:rPr>
        <w:t>)</w:t>
      </w:r>
      <w:proofErr w:type="gramEnd"/>
      <w:r w:rsidRPr="00CD6E53">
        <w:rPr>
          <w:sz w:val="24"/>
          <w:szCs w:val="24"/>
        </w:rPr>
        <w:t xml:space="preserve">  </w:t>
      </w:r>
    </w:p>
  </w:footnote>
  <w:footnote w:id="10">
    <w:p w:rsidR="00F44491" w:rsidRDefault="00F44491" w:rsidP="00977613">
      <w:pPr>
        <w:pStyle w:val="FootnoteText"/>
        <w:ind w:firstLine="720"/>
      </w:pPr>
      <w:r>
        <w:rPr>
          <w:rStyle w:val="FootnoteReference"/>
        </w:rPr>
        <w:footnoteRef/>
      </w:r>
      <w:r w:rsidRPr="00464F24">
        <w:rPr>
          <w:sz w:val="24"/>
          <w:szCs w:val="24"/>
          <w:lang w:val="en-CA"/>
        </w:rPr>
        <w:t xml:space="preserve">Unless </w:t>
      </w:r>
      <w:r>
        <w:rPr>
          <w:sz w:val="24"/>
          <w:szCs w:val="24"/>
          <w:lang w:val="en-CA"/>
        </w:rPr>
        <w:t xml:space="preserve">noted </w:t>
      </w:r>
      <w:r w:rsidRPr="00464F24">
        <w:rPr>
          <w:sz w:val="24"/>
          <w:szCs w:val="24"/>
          <w:lang w:val="en-CA"/>
        </w:rPr>
        <w:t>otherwise</w:t>
      </w:r>
      <w:r>
        <w:rPr>
          <w:sz w:val="24"/>
          <w:szCs w:val="24"/>
          <w:lang w:val="en-CA"/>
        </w:rPr>
        <w:t>,</w:t>
      </w:r>
      <w:r w:rsidRPr="00464F24">
        <w:rPr>
          <w:sz w:val="24"/>
          <w:szCs w:val="24"/>
          <w:lang w:val="en-CA"/>
        </w:rPr>
        <w:t xml:space="preserve"> all fu</w:t>
      </w:r>
      <w:r>
        <w:rPr>
          <w:sz w:val="24"/>
          <w:szCs w:val="24"/>
          <w:lang w:val="en-CA"/>
        </w:rPr>
        <w:t>tur</w:t>
      </w:r>
      <w:r w:rsidRPr="00464F24">
        <w:rPr>
          <w:sz w:val="24"/>
          <w:szCs w:val="24"/>
          <w:lang w:val="en-CA"/>
        </w:rPr>
        <w:t xml:space="preserve">e </w:t>
      </w:r>
      <w:r w:rsidRPr="00464F24">
        <w:rPr>
          <w:sz w:val="24"/>
          <w:szCs w:val="24"/>
        </w:rPr>
        <w:t xml:space="preserve">references to standards are to the Rules of Procedure of the State Bar, title IV, Standards for Attorney Sanctions for Professional Misconduct.  </w:t>
      </w:r>
    </w:p>
  </w:footnote>
  <w:footnote w:id="11">
    <w:p w:rsidR="00F44491" w:rsidRPr="00924552" w:rsidRDefault="00F44491" w:rsidP="00A54212">
      <w:pPr>
        <w:pStyle w:val="FootnoteText"/>
        <w:ind w:firstLine="720"/>
        <w:rPr>
          <w:sz w:val="24"/>
          <w:szCs w:val="24"/>
        </w:rPr>
      </w:pPr>
      <w:r w:rsidRPr="00924552">
        <w:rPr>
          <w:rStyle w:val="FootnoteReference"/>
          <w:sz w:val="24"/>
          <w:szCs w:val="24"/>
        </w:rPr>
        <w:footnoteRef/>
      </w:r>
      <w:r w:rsidRPr="00924552">
        <w:rPr>
          <w:sz w:val="24"/>
          <w:szCs w:val="24"/>
        </w:rPr>
        <w:t xml:space="preserve">Standard 1.2(e)(iv) provides </w:t>
      </w:r>
      <w:r>
        <w:rPr>
          <w:sz w:val="24"/>
          <w:szCs w:val="24"/>
        </w:rPr>
        <w:t>a mitigating circumstance to be</w:t>
      </w:r>
      <w:r w:rsidRPr="00924552">
        <w:rPr>
          <w:sz w:val="24"/>
          <w:szCs w:val="24"/>
        </w:rPr>
        <w:t xml:space="preserve"> “extreme emotional difficulties or physical disabilities suffered by the member at the time of the act of professional misconduct which expert testimony establishes was directly responsible for the misconduct; provided that such difficulties or disabilities were not </w:t>
      </w:r>
      <w:r>
        <w:rPr>
          <w:sz w:val="24"/>
          <w:szCs w:val="24"/>
        </w:rPr>
        <w:t>the</w:t>
      </w:r>
      <w:r w:rsidRPr="00924552">
        <w:rPr>
          <w:sz w:val="24"/>
          <w:szCs w:val="24"/>
        </w:rPr>
        <w:t xml:space="preserve"> product of any illegal conduct by the member, such as illegal drug or substance abuse; and further provided that the member has established through clear and convincing evidence that he or she no longer suffers from such difficulties or disabilities.”</w:t>
      </w:r>
    </w:p>
  </w:footnote>
  <w:footnote w:id="12">
    <w:p w:rsidR="00F44491" w:rsidRPr="00924552" w:rsidRDefault="00F44491" w:rsidP="00924552">
      <w:pPr>
        <w:pStyle w:val="FootnoteText"/>
        <w:ind w:firstLine="720"/>
        <w:rPr>
          <w:sz w:val="24"/>
          <w:szCs w:val="24"/>
        </w:rPr>
      </w:pPr>
      <w:r w:rsidRPr="00464F24">
        <w:rPr>
          <w:sz w:val="24"/>
          <w:szCs w:val="24"/>
          <w:vertAlign w:val="superscript"/>
        </w:rPr>
        <w:footnoteRef/>
      </w:r>
      <w:r w:rsidRPr="00924552">
        <w:rPr>
          <w:sz w:val="24"/>
          <w:szCs w:val="24"/>
        </w:rPr>
        <w:t>Standard 1.2(e</w:t>
      </w:r>
      <w:proofErr w:type="gramStart"/>
      <w:r w:rsidRPr="00924552">
        <w:rPr>
          <w:sz w:val="24"/>
          <w:szCs w:val="24"/>
        </w:rPr>
        <w:t>)(</w:t>
      </w:r>
      <w:proofErr w:type="gramEnd"/>
      <w:r w:rsidRPr="00924552">
        <w:rPr>
          <w:sz w:val="24"/>
          <w:szCs w:val="24"/>
        </w:rPr>
        <w:t>vi) provides a mitigating circumstance to be “an extraordinary demonstration of good character of the member attested to by a wide range of references in the legal and g</w:t>
      </w:r>
      <w:r>
        <w:rPr>
          <w:sz w:val="24"/>
          <w:szCs w:val="24"/>
        </w:rPr>
        <w:t>eneral communities an</w:t>
      </w:r>
      <w:r w:rsidRPr="00924552">
        <w:rPr>
          <w:sz w:val="24"/>
          <w:szCs w:val="24"/>
        </w:rPr>
        <w:t>d</w:t>
      </w:r>
      <w:r>
        <w:rPr>
          <w:sz w:val="24"/>
          <w:szCs w:val="24"/>
        </w:rPr>
        <w:t xml:space="preserve"> </w:t>
      </w:r>
      <w:r w:rsidRPr="00924552">
        <w:rPr>
          <w:sz w:val="24"/>
          <w:szCs w:val="24"/>
        </w:rPr>
        <w:t>who are aware of the full extent of the member’s misconduct.</w:t>
      </w:r>
      <w:r w:rsidR="00117E99">
        <w:rPr>
          <w:sz w:val="24"/>
          <w:szCs w:val="24"/>
        </w:rPr>
        <w:t>”</w:t>
      </w:r>
    </w:p>
  </w:footnote>
  <w:footnote w:id="13">
    <w:p w:rsidR="00F44491" w:rsidRDefault="00F44491" w:rsidP="00C535CD">
      <w:pPr>
        <w:spacing w:after="120"/>
        <w:ind w:firstLine="720"/>
      </w:pPr>
      <w:r w:rsidRPr="004727AA">
        <w:rPr>
          <w:rStyle w:val="FootnoteReference"/>
        </w:rPr>
        <w:footnoteRef/>
      </w:r>
      <w:r w:rsidRPr="004727AA">
        <w:t xml:space="preserve">In assessing discipline, we </w:t>
      </w:r>
      <w:r>
        <w:t>grant</w:t>
      </w:r>
      <w:r w:rsidRPr="004727AA">
        <w:t xml:space="preserve"> no additional weight to the </w:t>
      </w:r>
      <w:r>
        <w:t xml:space="preserve">findings supporting the UPL violation.  These facts also support the moral turpitude </w:t>
      </w:r>
      <w:r w:rsidRPr="004727AA">
        <w:t>and dishonesty</w:t>
      </w:r>
      <w:r>
        <w:t xml:space="preserve"> findings and </w:t>
      </w:r>
      <w:r w:rsidRPr="004727AA">
        <w:t xml:space="preserve">discipline is adequately addressed </w:t>
      </w:r>
      <w:r>
        <w:t>there.</w:t>
      </w:r>
      <w:r w:rsidRPr="004727AA">
        <w:t xml:space="preserve">  </w:t>
      </w:r>
      <w:proofErr w:type="gramStart"/>
      <w:r w:rsidRPr="004727AA">
        <w:t>(</w:t>
      </w:r>
      <w:r w:rsidRPr="00B96562">
        <w:t>See</w:t>
      </w:r>
      <w:r w:rsidRPr="004727AA">
        <w:rPr>
          <w:i/>
          <w:iCs/>
        </w:rPr>
        <w:t xml:space="preserve"> Bates v. State Bar</w:t>
      </w:r>
      <w:r w:rsidRPr="004727AA">
        <w:t xml:space="preserve"> (1990) 51 Cal.3d 1056,</w:t>
      </w:r>
      <w:r>
        <w:t xml:space="preserve"> </w:t>
      </w:r>
      <w:r w:rsidRPr="004727AA">
        <w:t xml:space="preserve">1060 [duplicative allegations of misconduct unnecessary </w:t>
      </w:r>
      <w:r>
        <w:t xml:space="preserve">if </w:t>
      </w:r>
      <w:r w:rsidRPr="004727AA">
        <w:t>one a</w:t>
      </w:r>
      <w:r>
        <w:t>ssesse</w:t>
      </w:r>
      <w:r w:rsidRPr="004727AA">
        <w:t>s iden</w:t>
      </w:r>
      <w:r>
        <w:t>tical or greater discipline].)</w:t>
      </w:r>
      <w:proofErr w:type="gramEnd"/>
      <w:r>
        <w:t xml:space="preserve"> </w:t>
      </w:r>
    </w:p>
  </w:footnote>
  <w:footnote w:id="14">
    <w:p w:rsidR="00F44491" w:rsidRDefault="00F44491" w:rsidP="00C535CD">
      <w:pPr>
        <w:pStyle w:val="FootnoteText"/>
        <w:ind w:firstLine="720"/>
      </w:pPr>
      <w:r w:rsidRPr="00464F24">
        <w:rPr>
          <w:sz w:val="24"/>
          <w:szCs w:val="24"/>
          <w:vertAlign w:val="superscript"/>
        </w:rPr>
        <w:footnoteRef/>
      </w:r>
      <w:r w:rsidRPr="00E718A9">
        <w:rPr>
          <w:sz w:val="24"/>
          <w:szCs w:val="24"/>
        </w:rPr>
        <w:t xml:space="preserve">The federal court has sharply criticized </w:t>
      </w:r>
      <w:r>
        <w:rPr>
          <w:sz w:val="24"/>
          <w:szCs w:val="24"/>
        </w:rPr>
        <w:t xml:space="preserve">UPL misconduct by attorneys. </w:t>
      </w:r>
      <w:r w:rsidRPr="00E718A9">
        <w:rPr>
          <w:sz w:val="24"/>
          <w:szCs w:val="24"/>
        </w:rPr>
        <w:t xml:space="preserve"> </w:t>
      </w:r>
      <w:proofErr w:type="gramStart"/>
      <w:r w:rsidRPr="00E718A9">
        <w:rPr>
          <w:sz w:val="24"/>
          <w:szCs w:val="24"/>
        </w:rPr>
        <w:t xml:space="preserve">(See generally </w:t>
      </w:r>
      <w:r w:rsidRPr="00173DB9">
        <w:rPr>
          <w:i/>
          <w:sz w:val="24"/>
          <w:szCs w:val="24"/>
        </w:rPr>
        <w:t>Alexander v. Robertson</w:t>
      </w:r>
      <w:r w:rsidRPr="00E718A9">
        <w:rPr>
          <w:sz w:val="24"/>
          <w:szCs w:val="24"/>
        </w:rPr>
        <w:t xml:space="preserve"> (9th Cir. 1989) 882 F.2d 421, 425 [state disciplinary </w:t>
      </w:r>
      <w:r>
        <w:rPr>
          <w:sz w:val="24"/>
          <w:szCs w:val="24"/>
        </w:rPr>
        <w:t xml:space="preserve">proceedings for UPL </w:t>
      </w:r>
      <w:r w:rsidRPr="00E718A9">
        <w:rPr>
          <w:sz w:val="24"/>
          <w:szCs w:val="24"/>
        </w:rPr>
        <w:t xml:space="preserve">“convey </w:t>
      </w:r>
      <w:r>
        <w:rPr>
          <w:sz w:val="24"/>
          <w:szCs w:val="24"/>
        </w:rPr>
        <w:t xml:space="preserve">the </w:t>
      </w:r>
      <w:r w:rsidRPr="00E718A9">
        <w:rPr>
          <w:sz w:val="24"/>
          <w:szCs w:val="24"/>
        </w:rPr>
        <w:t xml:space="preserve">message to </w:t>
      </w:r>
      <w:r>
        <w:rPr>
          <w:sz w:val="24"/>
          <w:szCs w:val="24"/>
        </w:rPr>
        <w:t xml:space="preserve">the </w:t>
      </w:r>
      <w:r w:rsidRPr="00E718A9">
        <w:rPr>
          <w:sz w:val="24"/>
          <w:szCs w:val="24"/>
        </w:rPr>
        <w:t xml:space="preserve">public that </w:t>
      </w:r>
      <w:r>
        <w:rPr>
          <w:sz w:val="24"/>
          <w:szCs w:val="24"/>
        </w:rPr>
        <w:t xml:space="preserve">the </w:t>
      </w:r>
      <w:r w:rsidRPr="00E718A9">
        <w:rPr>
          <w:sz w:val="24"/>
          <w:szCs w:val="24"/>
        </w:rPr>
        <w:t>courts will not tolerate this</w:t>
      </w:r>
      <w:r>
        <w:rPr>
          <w:sz w:val="24"/>
          <w:szCs w:val="24"/>
        </w:rPr>
        <w:t xml:space="preserve"> type of</w:t>
      </w:r>
      <w:r w:rsidRPr="00E718A9">
        <w:rPr>
          <w:sz w:val="24"/>
          <w:szCs w:val="24"/>
        </w:rPr>
        <w:t xml:space="preserve"> misconduct.”</w:t>
      </w:r>
      <w:r w:rsidR="00117E99">
        <w:rPr>
          <w:sz w:val="24"/>
          <w:szCs w:val="24"/>
        </w:rPr>
        <w:t>].</w:t>
      </w:r>
      <w:r w:rsidRPr="00E718A9">
        <w:rPr>
          <w:sz w:val="24"/>
          <w:szCs w:val="24"/>
        </w:rPr>
        <w:t>)</w:t>
      </w:r>
      <w:proofErr w:type="gramEnd"/>
      <w:r w:rsidRPr="00F67970">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F27F00"/>
    <w:lvl w:ilvl="0">
      <w:start w:val="1"/>
      <w:numFmt w:val="bullet"/>
      <w:lvlText w:val=""/>
      <w:lvlJc w:val="left"/>
      <w:pPr>
        <w:tabs>
          <w:tab w:val="num" w:pos="360"/>
        </w:tabs>
        <w:ind w:left="360" w:hanging="360"/>
      </w:pPr>
      <w:rPr>
        <w:rFonts w:ascii="Symbol" w:hAnsi="Symbol" w:cs="Symbol" w:hint="default"/>
      </w:rPr>
    </w:lvl>
  </w:abstractNum>
  <w:abstractNum w:abstractNumId="1">
    <w:nsid w:val="12B60831"/>
    <w:multiLevelType w:val="hybridMultilevel"/>
    <w:tmpl w:val="6DEA05B6"/>
    <w:lvl w:ilvl="0" w:tplc="C07612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61073"/>
    <w:multiLevelType w:val="hybridMultilevel"/>
    <w:tmpl w:val="C6A66A00"/>
    <w:lvl w:ilvl="0" w:tplc="55925E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4730C"/>
    <w:multiLevelType w:val="hybridMultilevel"/>
    <w:tmpl w:val="A768C6B0"/>
    <w:lvl w:ilvl="0" w:tplc="A7061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407577"/>
    <w:multiLevelType w:val="hybridMultilevel"/>
    <w:tmpl w:val="FE0E12A0"/>
    <w:lvl w:ilvl="0" w:tplc="FC803C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6CA232F"/>
    <w:multiLevelType w:val="hybridMultilevel"/>
    <w:tmpl w:val="CB84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0"/>
  </w:num>
  <w:num w:numId="15">
    <w:abstractNumId w:val="1"/>
  </w:num>
  <w:num w:numId="16">
    <w:abstractNumId w:val="3"/>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0"/>
    <w:footnote w:id="1"/>
  </w:footnotePr>
  <w:endnotePr>
    <w:endnote w:id="0"/>
    <w:endnote w:id="1"/>
  </w:endnotePr>
  <w:compat/>
  <w:rsids>
    <w:rsidRoot w:val="00BC6F33"/>
    <w:rsid w:val="000005ED"/>
    <w:rsid w:val="00003D92"/>
    <w:rsid w:val="00007359"/>
    <w:rsid w:val="00016505"/>
    <w:rsid w:val="00020C5A"/>
    <w:rsid w:val="00021558"/>
    <w:rsid w:val="000218CA"/>
    <w:rsid w:val="00023495"/>
    <w:rsid w:val="000321B9"/>
    <w:rsid w:val="00034A5D"/>
    <w:rsid w:val="000366DF"/>
    <w:rsid w:val="000401A6"/>
    <w:rsid w:val="00050CF1"/>
    <w:rsid w:val="00052785"/>
    <w:rsid w:val="0005457E"/>
    <w:rsid w:val="00055C95"/>
    <w:rsid w:val="00057ECB"/>
    <w:rsid w:val="00070F5D"/>
    <w:rsid w:val="000735AA"/>
    <w:rsid w:val="00084A88"/>
    <w:rsid w:val="000868CA"/>
    <w:rsid w:val="00087B93"/>
    <w:rsid w:val="00090221"/>
    <w:rsid w:val="00095911"/>
    <w:rsid w:val="000A0446"/>
    <w:rsid w:val="000A152E"/>
    <w:rsid w:val="000A283E"/>
    <w:rsid w:val="000A5CB5"/>
    <w:rsid w:val="000A697C"/>
    <w:rsid w:val="000A7EEE"/>
    <w:rsid w:val="000B2810"/>
    <w:rsid w:val="000C1B40"/>
    <w:rsid w:val="000C29F2"/>
    <w:rsid w:val="000D1A03"/>
    <w:rsid w:val="000D7F51"/>
    <w:rsid w:val="000E185D"/>
    <w:rsid w:val="000E2C1F"/>
    <w:rsid w:val="000E3B3F"/>
    <w:rsid w:val="000F1E76"/>
    <w:rsid w:val="000F581C"/>
    <w:rsid w:val="00101AAF"/>
    <w:rsid w:val="00104ADC"/>
    <w:rsid w:val="001059D3"/>
    <w:rsid w:val="001134B2"/>
    <w:rsid w:val="00117E99"/>
    <w:rsid w:val="00142977"/>
    <w:rsid w:val="00142FF8"/>
    <w:rsid w:val="00152EC2"/>
    <w:rsid w:val="00155C10"/>
    <w:rsid w:val="00155E5A"/>
    <w:rsid w:val="00162D5A"/>
    <w:rsid w:val="00163512"/>
    <w:rsid w:val="001637BB"/>
    <w:rsid w:val="0017016A"/>
    <w:rsid w:val="001730B2"/>
    <w:rsid w:val="0017344B"/>
    <w:rsid w:val="00173DB9"/>
    <w:rsid w:val="00187BD5"/>
    <w:rsid w:val="00197034"/>
    <w:rsid w:val="0019744A"/>
    <w:rsid w:val="001A588A"/>
    <w:rsid w:val="001A7035"/>
    <w:rsid w:val="001A7C8B"/>
    <w:rsid w:val="001B7B0B"/>
    <w:rsid w:val="001C4AB3"/>
    <w:rsid w:val="001C613A"/>
    <w:rsid w:val="001C61E8"/>
    <w:rsid w:val="001D2427"/>
    <w:rsid w:val="001D671F"/>
    <w:rsid w:val="001E34B9"/>
    <w:rsid w:val="001E671C"/>
    <w:rsid w:val="001F0642"/>
    <w:rsid w:val="001F2311"/>
    <w:rsid w:val="001F5930"/>
    <w:rsid w:val="00200DFD"/>
    <w:rsid w:val="00203686"/>
    <w:rsid w:val="00204126"/>
    <w:rsid w:val="00211A8A"/>
    <w:rsid w:val="00215F05"/>
    <w:rsid w:val="00222508"/>
    <w:rsid w:val="00224CD6"/>
    <w:rsid w:val="002260BF"/>
    <w:rsid w:val="00227958"/>
    <w:rsid w:val="00230357"/>
    <w:rsid w:val="002320F4"/>
    <w:rsid w:val="00236082"/>
    <w:rsid w:val="002374C7"/>
    <w:rsid w:val="00242E24"/>
    <w:rsid w:val="00244C21"/>
    <w:rsid w:val="00245F69"/>
    <w:rsid w:val="00261B95"/>
    <w:rsid w:val="0026297D"/>
    <w:rsid w:val="00262C31"/>
    <w:rsid w:val="00262EE2"/>
    <w:rsid w:val="002639D2"/>
    <w:rsid w:val="00265C71"/>
    <w:rsid w:val="00272C8B"/>
    <w:rsid w:val="00273E87"/>
    <w:rsid w:val="00275D30"/>
    <w:rsid w:val="00276168"/>
    <w:rsid w:val="002774CA"/>
    <w:rsid w:val="0028013C"/>
    <w:rsid w:val="002808A2"/>
    <w:rsid w:val="00291832"/>
    <w:rsid w:val="002A009D"/>
    <w:rsid w:val="002A0977"/>
    <w:rsid w:val="002A5345"/>
    <w:rsid w:val="002A6B08"/>
    <w:rsid w:val="002B03A8"/>
    <w:rsid w:val="002B2127"/>
    <w:rsid w:val="002C0514"/>
    <w:rsid w:val="002C07B4"/>
    <w:rsid w:val="002C4852"/>
    <w:rsid w:val="002C7077"/>
    <w:rsid w:val="002D0AC0"/>
    <w:rsid w:val="002D5FA8"/>
    <w:rsid w:val="002D6037"/>
    <w:rsid w:val="002E1190"/>
    <w:rsid w:val="002E3201"/>
    <w:rsid w:val="002E4C53"/>
    <w:rsid w:val="002F0E10"/>
    <w:rsid w:val="002F2A2E"/>
    <w:rsid w:val="00300E57"/>
    <w:rsid w:val="00302104"/>
    <w:rsid w:val="00302AAE"/>
    <w:rsid w:val="003074FD"/>
    <w:rsid w:val="00312F62"/>
    <w:rsid w:val="003227C7"/>
    <w:rsid w:val="00322D3B"/>
    <w:rsid w:val="00322F96"/>
    <w:rsid w:val="0032470D"/>
    <w:rsid w:val="0032548D"/>
    <w:rsid w:val="003272E2"/>
    <w:rsid w:val="00330005"/>
    <w:rsid w:val="003313E4"/>
    <w:rsid w:val="00332693"/>
    <w:rsid w:val="00332CB3"/>
    <w:rsid w:val="003536EC"/>
    <w:rsid w:val="00360694"/>
    <w:rsid w:val="00360DBB"/>
    <w:rsid w:val="003664AF"/>
    <w:rsid w:val="00371A34"/>
    <w:rsid w:val="00371C53"/>
    <w:rsid w:val="00374553"/>
    <w:rsid w:val="003774D3"/>
    <w:rsid w:val="0039554F"/>
    <w:rsid w:val="00396FC6"/>
    <w:rsid w:val="003A157A"/>
    <w:rsid w:val="003A5B46"/>
    <w:rsid w:val="003B4C04"/>
    <w:rsid w:val="003C058B"/>
    <w:rsid w:val="003C6176"/>
    <w:rsid w:val="003F1DA3"/>
    <w:rsid w:val="004009A0"/>
    <w:rsid w:val="00402B4D"/>
    <w:rsid w:val="00405FC0"/>
    <w:rsid w:val="00406F78"/>
    <w:rsid w:val="00407400"/>
    <w:rsid w:val="00411538"/>
    <w:rsid w:val="00413E50"/>
    <w:rsid w:val="00413F4A"/>
    <w:rsid w:val="004161D0"/>
    <w:rsid w:val="00426EAA"/>
    <w:rsid w:val="004304CC"/>
    <w:rsid w:val="0043405C"/>
    <w:rsid w:val="004412FF"/>
    <w:rsid w:val="00442885"/>
    <w:rsid w:val="00446927"/>
    <w:rsid w:val="00451199"/>
    <w:rsid w:val="004545A1"/>
    <w:rsid w:val="0046099E"/>
    <w:rsid w:val="00460E52"/>
    <w:rsid w:val="004613D4"/>
    <w:rsid w:val="00463704"/>
    <w:rsid w:val="00464F24"/>
    <w:rsid w:val="004727AA"/>
    <w:rsid w:val="00476828"/>
    <w:rsid w:val="004827FF"/>
    <w:rsid w:val="004829EA"/>
    <w:rsid w:val="00485AC3"/>
    <w:rsid w:val="0048625C"/>
    <w:rsid w:val="00491A49"/>
    <w:rsid w:val="004A0F0F"/>
    <w:rsid w:val="004A11AD"/>
    <w:rsid w:val="004A48D2"/>
    <w:rsid w:val="004A7FA1"/>
    <w:rsid w:val="004C0ADD"/>
    <w:rsid w:val="004C3031"/>
    <w:rsid w:val="004C5994"/>
    <w:rsid w:val="004C71F5"/>
    <w:rsid w:val="004C7457"/>
    <w:rsid w:val="004D31D5"/>
    <w:rsid w:val="004D68AD"/>
    <w:rsid w:val="004E04AF"/>
    <w:rsid w:val="004E34EB"/>
    <w:rsid w:val="004E463E"/>
    <w:rsid w:val="00500111"/>
    <w:rsid w:val="0050268A"/>
    <w:rsid w:val="00505816"/>
    <w:rsid w:val="00506C59"/>
    <w:rsid w:val="005240E2"/>
    <w:rsid w:val="00526005"/>
    <w:rsid w:val="00530603"/>
    <w:rsid w:val="00530846"/>
    <w:rsid w:val="005367C3"/>
    <w:rsid w:val="00540842"/>
    <w:rsid w:val="00551955"/>
    <w:rsid w:val="00552289"/>
    <w:rsid w:val="00552BC6"/>
    <w:rsid w:val="0056615C"/>
    <w:rsid w:val="00572321"/>
    <w:rsid w:val="00573B4D"/>
    <w:rsid w:val="00587A38"/>
    <w:rsid w:val="00591E07"/>
    <w:rsid w:val="00592B4F"/>
    <w:rsid w:val="00597083"/>
    <w:rsid w:val="005A0CB1"/>
    <w:rsid w:val="005A34D1"/>
    <w:rsid w:val="005A63B4"/>
    <w:rsid w:val="005B3294"/>
    <w:rsid w:val="005C1FA5"/>
    <w:rsid w:val="005C3A2B"/>
    <w:rsid w:val="005C44A4"/>
    <w:rsid w:val="005C6D53"/>
    <w:rsid w:val="005C750D"/>
    <w:rsid w:val="005C75F7"/>
    <w:rsid w:val="005D108C"/>
    <w:rsid w:val="005D4F74"/>
    <w:rsid w:val="005D56A2"/>
    <w:rsid w:val="005D6719"/>
    <w:rsid w:val="005E5EDF"/>
    <w:rsid w:val="005F12C2"/>
    <w:rsid w:val="005F2381"/>
    <w:rsid w:val="0060153E"/>
    <w:rsid w:val="0060543D"/>
    <w:rsid w:val="00605484"/>
    <w:rsid w:val="00605F5A"/>
    <w:rsid w:val="00616FC0"/>
    <w:rsid w:val="0062012B"/>
    <w:rsid w:val="00631963"/>
    <w:rsid w:val="00635F4A"/>
    <w:rsid w:val="00640013"/>
    <w:rsid w:val="00653242"/>
    <w:rsid w:val="00657A1E"/>
    <w:rsid w:val="00657A7F"/>
    <w:rsid w:val="0066351A"/>
    <w:rsid w:val="0066366B"/>
    <w:rsid w:val="00664615"/>
    <w:rsid w:val="00666AE2"/>
    <w:rsid w:val="00672B7C"/>
    <w:rsid w:val="00675A75"/>
    <w:rsid w:val="00675F93"/>
    <w:rsid w:val="00683017"/>
    <w:rsid w:val="0068524A"/>
    <w:rsid w:val="006869BF"/>
    <w:rsid w:val="006950D7"/>
    <w:rsid w:val="00695659"/>
    <w:rsid w:val="00697648"/>
    <w:rsid w:val="006A0F77"/>
    <w:rsid w:val="006A61B9"/>
    <w:rsid w:val="006B11C8"/>
    <w:rsid w:val="006B1B9F"/>
    <w:rsid w:val="006B67CC"/>
    <w:rsid w:val="006C1A55"/>
    <w:rsid w:val="006C7493"/>
    <w:rsid w:val="006D1D0B"/>
    <w:rsid w:val="006E06F4"/>
    <w:rsid w:val="006E3B49"/>
    <w:rsid w:val="006F2E20"/>
    <w:rsid w:val="006F5EC0"/>
    <w:rsid w:val="006F7208"/>
    <w:rsid w:val="00702E26"/>
    <w:rsid w:val="007115D3"/>
    <w:rsid w:val="007179DB"/>
    <w:rsid w:val="00722C3B"/>
    <w:rsid w:val="00722F4B"/>
    <w:rsid w:val="00723622"/>
    <w:rsid w:val="007236A8"/>
    <w:rsid w:val="00736CD0"/>
    <w:rsid w:val="00755EFB"/>
    <w:rsid w:val="00756080"/>
    <w:rsid w:val="007764DD"/>
    <w:rsid w:val="00797A33"/>
    <w:rsid w:val="007A6F9E"/>
    <w:rsid w:val="007B1426"/>
    <w:rsid w:val="007B486B"/>
    <w:rsid w:val="007E0619"/>
    <w:rsid w:val="007E7669"/>
    <w:rsid w:val="007F3741"/>
    <w:rsid w:val="007F3C31"/>
    <w:rsid w:val="008033CC"/>
    <w:rsid w:val="00803AC7"/>
    <w:rsid w:val="00804D0D"/>
    <w:rsid w:val="00805B09"/>
    <w:rsid w:val="008060C9"/>
    <w:rsid w:val="00811444"/>
    <w:rsid w:val="00814CAF"/>
    <w:rsid w:val="008162A0"/>
    <w:rsid w:val="00817DA9"/>
    <w:rsid w:val="008202DC"/>
    <w:rsid w:val="008203EF"/>
    <w:rsid w:val="0082334F"/>
    <w:rsid w:val="00825B74"/>
    <w:rsid w:val="00826146"/>
    <w:rsid w:val="00827FD9"/>
    <w:rsid w:val="00833A2C"/>
    <w:rsid w:val="008371F0"/>
    <w:rsid w:val="008373F5"/>
    <w:rsid w:val="008519AE"/>
    <w:rsid w:val="00860F01"/>
    <w:rsid w:val="0086204A"/>
    <w:rsid w:val="00866AAE"/>
    <w:rsid w:val="0087471B"/>
    <w:rsid w:val="00876823"/>
    <w:rsid w:val="00876B0C"/>
    <w:rsid w:val="00883A91"/>
    <w:rsid w:val="0088670B"/>
    <w:rsid w:val="008878C0"/>
    <w:rsid w:val="008954E9"/>
    <w:rsid w:val="0089750A"/>
    <w:rsid w:val="008A2499"/>
    <w:rsid w:val="008A2746"/>
    <w:rsid w:val="008B37AB"/>
    <w:rsid w:val="008B6A43"/>
    <w:rsid w:val="008B7BBE"/>
    <w:rsid w:val="008C6E22"/>
    <w:rsid w:val="008D1335"/>
    <w:rsid w:val="008D622A"/>
    <w:rsid w:val="008D70CA"/>
    <w:rsid w:val="008D72AF"/>
    <w:rsid w:val="008E12BA"/>
    <w:rsid w:val="008E425F"/>
    <w:rsid w:val="008F15D3"/>
    <w:rsid w:val="00902553"/>
    <w:rsid w:val="009039A2"/>
    <w:rsid w:val="00904872"/>
    <w:rsid w:val="009057CA"/>
    <w:rsid w:val="00910FCA"/>
    <w:rsid w:val="00914821"/>
    <w:rsid w:val="00914CCD"/>
    <w:rsid w:val="009163C1"/>
    <w:rsid w:val="00924552"/>
    <w:rsid w:val="009275DF"/>
    <w:rsid w:val="009333CB"/>
    <w:rsid w:val="00936973"/>
    <w:rsid w:val="00942804"/>
    <w:rsid w:val="009508D4"/>
    <w:rsid w:val="00977613"/>
    <w:rsid w:val="00984278"/>
    <w:rsid w:val="0098799A"/>
    <w:rsid w:val="00993567"/>
    <w:rsid w:val="00997119"/>
    <w:rsid w:val="009A0E4F"/>
    <w:rsid w:val="009A19C3"/>
    <w:rsid w:val="009A6C09"/>
    <w:rsid w:val="009A6C2B"/>
    <w:rsid w:val="009A7F19"/>
    <w:rsid w:val="009B1A3B"/>
    <w:rsid w:val="009B3422"/>
    <w:rsid w:val="009D3A64"/>
    <w:rsid w:val="009D779C"/>
    <w:rsid w:val="009E434F"/>
    <w:rsid w:val="009F321A"/>
    <w:rsid w:val="009F3E7F"/>
    <w:rsid w:val="009F7669"/>
    <w:rsid w:val="00A02C3F"/>
    <w:rsid w:val="00A10E2D"/>
    <w:rsid w:val="00A15897"/>
    <w:rsid w:val="00A15D6F"/>
    <w:rsid w:val="00A1718B"/>
    <w:rsid w:val="00A37CAB"/>
    <w:rsid w:val="00A439DE"/>
    <w:rsid w:val="00A4489B"/>
    <w:rsid w:val="00A54212"/>
    <w:rsid w:val="00A64A7D"/>
    <w:rsid w:val="00A6530E"/>
    <w:rsid w:val="00A9172C"/>
    <w:rsid w:val="00A94DBB"/>
    <w:rsid w:val="00AA14BF"/>
    <w:rsid w:val="00AA155A"/>
    <w:rsid w:val="00AA38B7"/>
    <w:rsid w:val="00AA74F1"/>
    <w:rsid w:val="00AC765A"/>
    <w:rsid w:val="00AD0268"/>
    <w:rsid w:val="00AD3270"/>
    <w:rsid w:val="00AD4B4B"/>
    <w:rsid w:val="00AE276A"/>
    <w:rsid w:val="00AE4A0B"/>
    <w:rsid w:val="00AE579F"/>
    <w:rsid w:val="00AE6307"/>
    <w:rsid w:val="00AE675D"/>
    <w:rsid w:val="00AE6C59"/>
    <w:rsid w:val="00AE7DC6"/>
    <w:rsid w:val="00AF2C1F"/>
    <w:rsid w:val="00B02201"/>
    <w:rsid w:val="00B03996"/>
    <w:rsid w:val="00B04466"/>
    <w:rsid w:val="00B1563D"/>
    <w:rsid w:val="00B16661"/>
    <w:rsid w:val="00B2195E"/>
    <w:rsid w:val="00B361D8"/>
    <w:rsid w:val="00B36263"/>
    <w:rsid w:val="00B477AF"/>
    <w:rsid w:val="00B51488"/>
    <w:rsid w:val="00B5336F"/>
    <w:rsid w:val="00B6021A"/>
    <w:rsid w:val="00B62361"/>
    <w:rsid w:val="00B71D33"/>
    <w:rsid w:val="00B7215B"/>
    <w:rsid w:val="00B827D4"/>
    <w:rsid w:val="00B8336E"/>
    <w:rsid w:val="00B83FF4"/>
    <w:rsid w:val="00B84278"/>
    <w:rsid w:val="00B9182C"/>
    <w:rsid w:val="00B96562"/>
    <w:rsid w:val="00BA70B5"/>
    <w:rsid w:val="00BB0102"/>
    <w:rsid w:val="00BC4010"/>
    <w:rsid w:val="00BC4323"/>
    <w:rsid w:val="00BC6F33"/>
    <w:rsid w:val="00BC7477"/>
    <w:rsid w:val="00BD2504"/>
    <w:rsid w:val="00BE6272"/>
    <w:rsid w:val="00BF0867"/>
    <w:rsid w:val="00BF318E"/>
    <w:rsid w:val="00C04890"/>
    <w:rsid w:val="00C07C10"/>
    <w:rsid w:val="00C12C6E"/>
    <w:rsid w:val="00C164AF"/>
    <w:rsid w:val="00C32941"/>
    <w:rsid w:val="00C32981"/>
    <w:rsid w:val="00C37AF0"/>
    <w:rsid w:val="00C41DC3"/>
    <w:rsid w:val="00C46203"/>
    <w:rsid w:val="00C535CD"/>
    <w:rsid w:val="00C539AC"/>
    <w:rsid w:val="00C53ADF"/>
    <w:rsid w:val="00C57077"/>
    <w:rsid w:val="00C63F7B"/>
    <w:rsid w:val="00C669ED"/>
    <w:rsid w:val="00C7586D"/>
    <w:rsid w:val="00C84D2C"/>
    <w:rsid w:val="00C8606E"/>
    <w:rsid w:val="00C9161B"/>
    <w:rsid w:val="00C93286"/>
    <w:rsid w:val="00C93C31"/>
    <w:rsid w:val="00CA0B10"/>
    <w:rsid w:val="00CA0DC6"/>
    <w:rsid w:val="00CA25A2"/>
    <w:rsid w:val="00CA2654"/>
    <w:rsid w:val="00CA2F19"/>
    <w:rsid w:val="00CA7289"/>
    <w:rsid w:val="00CB5409"/>
    <w:rsid w:val="00CB5CF7"/>
    <w:rsid w:val="00CB7D2E"/>
    <w:rsid w:val="00CC05BF"/>
    <w:rsid w:val="00CC1BEB"/>
    <w:rsid w:val="00CC2175"/>
    <w:rsid w:val="00CC2704"/>
    <w:rsid w:val="00CC5C94"/>
    <w:rsid w:val="00CC7A74"/>
    <w:rsid w:val="00CD460C"/>
    <w:rsid w:val="00CD6E53"/>
    <w:rsid w:val="00CE2D7E"/>
    <w:rsid w:val="00CF1CD7"/>
    <w:rsid w:val="00CF7E83"/>
    <w:rsid w:val="00D01222"/>
    <w:rsid w:val="00D10EF1"/>
    <w:rsid w:val="00D1314B"/>
    <w:rsid w:val="00D1494D"/>
    <w:rsid w:val="00D24DC6"/>
    <w:rsid w:val="00D25206"/>
    <w:rsid w:val="00D26233"/>
    <w:rsid w:val="00D2631F"/>
    <w:rsid w:val="00D35CF7"/>
    <w:rsid w:val="00D3612A"/>
    <w:rsid w:val="00D3691B"/>
    <w:rsid w:val="00D51855"/>
    <w:rsid w:val="00D56495"/>
    <w:rsid w:val="00D61CB5"/>
    <w:rsid w:val="00D7289E"/>
    <w:rsid w:val="00D73A62"/>
    <w:rsid w:val="00D84DDD"/>
    <w:rsid w:val="00D907A0"/>
    <w:rsid w:val="00D9795A"/>
    <w:rsid w:val="00DA2428"/>
    <w:rsid w:val="00DA6367"/>
    <w:rsid w:val="00DA7A84"/>
    <w:rsid w:val="00DB0686"/>
    <w:rsid w:val="00DB6CF9"/>
    <w:rsid w:val="00DB7C00"/>
    <w:rsid w:val="00DC6E62"/>
    <w:rsid w:val="00DD5081"/>
    <w:rsid w:val="00DE7A1D"/>
    <w:rsid w:val="00DF07F1"/>
    <w:rsid w:val="00DF30CF"/>
    <w:rsid w:val="00DF3131"/>
    <w:rsid w:val="00DF36AF"/>
    <w:rsid w:val="00DF3C86"/>
    <w:rsid w:val="00DF5653"/>
    <w:rsid w:val="00DF5FDE"/>
    <w:rsid w:val="00DF675D"/>
    <w:rsid w:val="00DF7CEB"/>
    <w:rsid w:val="00E02080"/>
    <w:rsid w:val="00E03FC0"/>
    <w:rsid w:val="00E104EC"/>
    <w:rsid w:val="00E155C0"/>
    <w:rsid w:val="00E16EC0"/>
    <w:rsid w:val="00E21ABA"/>
    <w:rsid w:val="00E2640C"/>
    <w:rsid w:val="00E2692C"/>
    <w:rsid w:val="00E273CA"/>
    <w:rsid w:val="00E37EAA"/>
    <w:rsid w:val="00E619B3"/>
    <w:rsid w:val="00E62177"/>
    <w:rsid w:val="00E621D3"/>
    <w:rsid w:val="00E62A67"/>
    <w:rsid w:val="00E702B9"/>
    <w:rsid w:val="00E718A9"/>
    <w:rsid w:val="00E71931"/>
    <w:rsid w:val="00E73C46"/>
    <w:rsid w:val="00E769BE"/>
    <w:rsid w:val="00E771FF"/>
    <w:rsid w:val="00E8070A"/>
    <w:rsid w:val="00E83F8F"/>
    <w:rsid w:val="00E92EBC"/>
    <w:rsid w:val="00EA2927"/>
    <w:rsid w:val="00EB0605"/>
    <w:rsid w:val="00EB71D4"/>
    <w:rsid w:val="00EB72A0"/>
    <w:rsid w:val="00EB7E59"/>
    <w:rsid w:val="00EC3247"/>
    <w:rsid w:val="00EC63A2"/>
    <w:rsid w:val="00EC6977"/>
    <w:rsid w:val="00ED1BF7"/>
    <w:rsid w:val="00ED1E36"/>
    <w:rsid w:val="00ED3BC1"/>
    <w:rsid w:val="00EE1373"/>
    <w:rsid w:val="00EE2106"/>
    <w:rsid w:val="00EE4B0F"/>
    <w:rsid w:val="00EF7326"/>
    <w:rsid w:val="00F003F9"/>
    <w:rsid w:val="00F01657"/>
    <w:rsid w:val="00F01682"/>
    <w:rsid w:val="00F02949"/>
    <w:rsid w:val="00F02E28"/>
    <w:rsid w:val="00F125CD"/>
    <w:rsid w:val="00F218A9"/>
    <w:rsid w:val="00F22246"/>
    <w:rsid w:val="00F26827"/>
    <w:rsid w:val="00F30FDB"/>
    <w:rsid w:val="00F327BA"/>
    <w:rsid w:val="00F334C2"/>
    <w:rsid w:val="00F36755"/>
    <w:rsid w:val="00F44491"/>
    <w:rsid w:val="00F446E2"/>
    <w:rsid w:val="00F45726"/>
    <w:rsid w:val="00F45D50"/>
    <w:rsid w:val="00F52D00"/>
    <w:rsid w:val="00F5440B"/>
    <w:rsid w:val="00F628ED"/>
    <w:rsid w:val="00F63ED3"/>
    <w:rsid w:val="00F65FA2"/>
    <w:rsid w:val="00F664BB"/>
    <w:rsid w:val="00F67970"/>
    <w:rsid w:val="00F73BCC"/>
    <w:rsid w:val="00F85D89"/>
    <w:rsid w:val="00F87B9D"/>
    <w:rsid w:val="00F90D48"/>
    <w:rsid w:val="00F92DA4"/>
    <w:rsid w:val="00F968A7"/>
    <w:rsid w:val="00F97590"/>
    <w:rsid w:val="00FA08F2"/>
    <w:rsid w:val="00FA5840"/>
    <w:rsid w:val="00FA5CD3"/>
    <w:rsid w:val="00FA77FE"/>
    <w:rsid w:val="00FB65B7"/>
    <w:rsid w:val="00FB6F5E"/>
    <w:rsid w:val="00FD6193"/>
    <w:rsid w:val="00FE0EAC"/>
    <w:rsid w:val="00FE4254"/>
    <w:rsid w:val="00FE7EEE"/>
    <w:rsid w:val="00FF06AA"/>
    <w:rsid w:val="00FF3B85"/>
    <w:rsid w:val="00FF5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3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C6F33"/>
    <w:pPr>
      <w:keepNext/>
      <w:spacing w:before="30" w:line="235" w:lineRule="exact"/>
      <w:outlineLvl w:val="0"/>
    </w:pPr>
    <w:rPr>
      <w:b/>
      <w:bCs/>
    </w:rPr>
  </w:style>
  <w:style w:type="paragraph" w:styleId="Heading2">
    <w:name w:val="heading 2"/>
    <w:basedOn w:val="Normal"/>
    <w:next w:val="Normal"/>
    <w:link w:val="Heading2Char"/>
    <w:uiPriority w:val="99"/>
    <w:qFormat/>
    <w:rsid w:val="00BC6F33"/>
    <w:pPr>
      <w:keepNext/>
      <w:spacing w:line="235" w:lineRule="exact"/>
      <w:outlineLvl w:val="1"/>
    </w:pPr>
    <w:rPr>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6F33"/>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BC6F33"/>
    <w:rPr>
      <w:rFonts w:ascii="Times New Roman" w:hAnsi="Times New Roman" w:cs="Times New Roman"/>
      <w:b/>
      <w:bCs/>
      <w:sz w:val="24"/>
      <w:szCs w:val="24"/>
      <w:lang w:val="en-CA"/>
    </w:rPr>
  </w:style>
  <w:style w:type="paragraph" w:styleId="Header">
    <w:name w:val="header"/>
    <w:basedOn w:val="Normal"/>
    <w:link w:val="HeaderChar"/>
    <w:uiPriority w:val="99"/>
    <w:semiHidden/>
    <w:rsid w:val="00E03FC0"/>
    <w:pPr>
      <w:tabs>
        <w:tab w:val="center" w:pos="4680"/>
        <w:tab w:val="right" w:pos="9360"/>
      </w:tabs>
    </w:pPr>
  </w:style>
  <w:style w:type="character" w:customStyle="1" w:styleId="HeaderChar">
    <w:name w:val="Header Char"/>
    <w:basedOn w:val="DefaultParagraphFont"/>
    <w:link w:val="Header"/>
    <w:uiPriority w:val="99"/>
    <w:semiHidden/>
    <w:rsid w:val="00E03FC0"/>
    <w:rPr>
      <w:rFonts w:ascii="Times New Roman" w:hAnsi="Times New Roman" w:cs="Times New Roman"/>
      <w:sz w:val="24"/>
      <w:szCs w:val="24"/>
    </w:rPr>
  </w:style>
  <w:style w:type="paragraph" w:styleId="Footer">
    <w:name w:val="footer"/>
    <w:basedOn w:val="Normal"/>
    <w:link w:val="FooterChar"/>
    <w:uiPriority w:val="99"/>
    <w:rsid w:val="00E03FC0"/>
    <w:pPr>
      <w:tabs>
        <w:tab w:val="center" w:pos="4680"/>
        <w:tab w:val="right" w:pos="9360"/>
      </w:tabs>
    </w:pPr>
  </w:style>
  <w:style w:type="character" w:customStyle="1" w:styleId="FooterChar">
    <w:name w:val="Footer Char"/>
    <w:basedOn w:val="DefaultParagraphFont"/>
    <w:link w:val="Footer"/>
    <w:uiPriority w:val="99"/>
    <w:rsid w:val="00E03FC0"/>
    <w:rPr>
      <w:rFonts w:ascii="Times New Roman" w:hAnsi="Times New Roman" w:cs="Times New Roman"/>
      <w:sz w:val="24"/>
      <w:szCs w:val="24"/>
    </w:rPr>
  </w:style>
  <w:style w:type="paragraph" w:styleId="ListParagraph">
    <w:name w:val="List Paragraph"/>
    <w:basedOn w:val="Normal"/>
    <w:uiPriority w:val="99"/>
    <w:qFormat/>
    <w:rsid w:val="00A9172C"/>
    <w:pPr>
      <w:ind w:left="720"/>
      <w:contextualSpacing/>
    </w:pPr>
  </w:style>
  <w:style w:type="paragraph" w:styleId="FootnoteText">
    <w:name w:val="footnote text"/>
    <w:basedOn w:val="Normal"/>
    <w:link w:val="FootnoteTextChar"/>
    <w:uiPriority w:val="99"/>
    <w:rsid w:val="00B02201"/>
    <w:rPr>
      <w:sz w:val="20"/>
      <w:szCs w:val="20"/>
    </w:rPr>
  </w:style>
  <w:style w:type="character" w:customStyle="1" w:styleId="FootnoteTextChar">
    <w:name w:val="Footnote Text Char"/>
    <w:basedOn w:val="DefaultParagraphFont"/>
    <w:link w:val="FootnoteText"/>
    <w:uiPriority w:val="99"/>
    <w:rsid w:val="00B02201"/>
    <w:rPr>
      <w:rFonts w:ascii="Times New Roman" w:hAnsi="Times New Roman" w:cs="Times New Roman"/>
      <w:sz w:val="20"/>
      <w:szCs w:val="20"/>
    </w:rPr>
  </w:style>
  <w:style w:type="character" w:styleId="FootnoteReference">
    <w:name w:val="footnote reference"/>
    <w:basedOn w:val="DefaultParagraphFont"/>
    <w:uiPriority w:val="99"/>
    <w:rsid w:val="00B02201"/>
    <w:rPr>
      <w:vertAlign w:val="superscript"/>
    </w:rPr>
  </w:style>
  <w:style w:type="paragraph" w:styleId="ListBullet">
    <w:name w:val="List Bullet"/>
    <w:basedOn w:val="Normal"/>
    <w:uiPriority w:val="99"/>
    <w:rsid w:val="00F30FDB"/>
    <w:pPr>
      <w:tabs>
        <w:tab w:val="num" w:pos="360"/>
      </w:tabs>
      <w:ind w:left="360" w:hanging="360"/>
      <w:contextualSpacing/>
    </w:pPr>
  </w:style>
  <w:style w:type="paragraph" w:styleId="BalloonText">
    <w:name w:val="Balloon Text"/>
    <w:basedOn w:val="Normal"/>
    <w:link w:val="BalloonTextChar"/>
    <w:uiPriority w:val="99"/>
    <w:semiHidden/>
    <w:rsid w:val="00C07C10"/>
    <w:rPr>
      <w:rFonts w:ascii="Tahoma" w:hAnsi="Tahoma" w:cs="Tahoma"/>
      <w:sz w:val="16"/>
      <w:szCs w:val="16"/>
    </w:rPr>
  </w:style>
  <w:style w:type="character" w:customStyle="1" w:styleId="BalloonTextChar">
    <w:name w:val="Balloon Text Char"/>
    <w:basedOn w:val="DefaultParagraphFont"/>
    <w:link w:val="BalloonText"/>
    <w:uiPriority w:val="99"/>
    <w:semiHidden/>
    <w:rsid w:val="00C07C10"/>
    <w:rPr>
      <w:rFonts w:ascii="Tahoma" w:hAnsi="Tahoma" w:cs="Tahoma"/>
      <w:sz w:val="16"/>
      <w:szCs w:val="16"/>
    </w:rPr>
  </w:style>
  <w:style w:type="paragraph" w:styleId="Revision">
    <w:name w:val="Revision"/>
    <w:hidden/>
    <w:uiPriority w:val="99"/>
    <w:semiHidden/>
    <w:rsid w:val="00A15897"/>
    <w:rPr>
      <w:rFonts w:ascii="Times New Roman" w:eastAsia="Times New Roman" w:hAnsi="Times New Roman"/>
      <w:sz w:val="24"/>
      <w:szCs w:val="24"/>
    </w:rPr>
  </w:style>
  <w:style w:type="character" w:styleId="Hyperlink">
    <w:name w:val="Hyperlink"/>
    <w:basedOn w:val="DefaultParagraphFont"/>
    <w:uiPriority w:val="99"/>
    <w:semiHidden/>
    <w:unhideWhenUsed/>
    <w:rsid w:val="00AA14BF"/>
    <w:rPr>
      <w:color w:val="0000FF"/>
      <w:u w:val="single"/>
    </w:rPr>
  </w:style>
  <w:style w:type="paragraph" w:styleId="NormalWeb">
    <w:name w:val="Normal (Web)"/>
    <w:basedOn w:val="Normal"/>
    <w:uiPriority w:val="99"/>
    <w:semiHidden/>
    <w:unhideWhenUsed/>
    <w:rsid w:val="00AA14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0873725">
      <w:bodyDiv w:val="1"/>
      <w:marLeft w:val="0"/>
      <w:marRight w:val="0"/>
      <w:marTop w:val="0"/>
      <w:marBottom w:val="0"/>
      <w:divBdr>
        <w:top w:val="none" w:sz="0" w:space="0" w:color="auto"/>
        <w:left w:val="none" w:sz="0" w:space="0" w:color="auto"/>
        <w:bottom w:val="none" w:sz="0" w:space="0" w:color="auto"/>
        <w:right w:val="none" w:sz="0" w:space="0" w:color="auto"/>
      </w:divBdr>
      <w:divsChild>
        <w:div w:id="1005205252">
          <w:marLeft w:val="0"/>
          <w:marRight w:val="0"/>
          <w:marTop w:val="0"/>
          <w:marBottom w:val="0"/>
          <w:divBdr>
            <w:top w:val="none" w:sz="0" w:space="0" w:color="auto"/>
            <w:left w:val="none" w:sz="0" w:space="0" w:color="auto"/>
            <w:bottom w:val="none" w:sz="0" w:space="0" w:color="auto"/>
            <w:right w:val="none" w:sz="0" w:space="0" w:color="auto"/>
          </w:divBdr>
          <w:divsChild>
            <w:div w:id="1521816369">
              <w:marLeft w:val="0"/>
              <w:marRight w:val="0"/>
              <w:marTop w:val="0"/>
              <w:marBottom w:val="0"/>
              <w:divBdr>
                <w:top w:val="none" w:sz="0" w:space="0" w:color="auto"/>
                <w:left w:val="none" w:sz="0" w:space="0" w:color="auto"/>
                <w:bottom w:val="none" w:sz="0" w:space="0" w:color="auto"/>
                <w:right w:val="none" w:sz="0" w:space="0" w:color="auto"/>
              </w:divBdr>
              <w:divsChild>
                <w:div w:id="2137215718">
                  <w:marLeft w:val="0"/>
                  <w:marRight w:val="0"/>
                  <w:marTop w:val="0"/>
                  <w:marBottom w:val="0"/>
                  <w:divBdr>
                    <w:top w:val="none" w:sz="0" w:space="0" w:color="auto"/>
                    <w:left w:val="none" w:sz="0" w:space="0" w:color="auto"/>
                    <w:bottom w:val="none" w:sz="0" w:space="0" w:color="auto"/>
                    <w:right w:val="none" w:sz="0" w:space="0" w:color="auto"/>
                  </w:divBdr>
                  <w:divsChild>
                    <w:div w:id="1264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5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53D0-0F51-483C-9572-7A574C33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4073</Words>
  <Characters>21680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stovitzr</dc:creator>
  <cp:keywords/>
  <dc:description/>
  <cp:lastModifiedBy>Mina Ruiz</cp:lastModifiedBy>
  <cp:revision>2</cp:revision>
  <cp:lastPrinted>2009-05-15T18:37:00Z</cp:lastPrinted>
  <dcterms:created xsi:type="dcterms:W3CDTF">2009-05-18T18:15:00Z</dcterms:created>
  <dcterms:modified xsi:type="dcterms:W3CDTF">2009-05-18T18:15:00Z</dcterms:modified>
</cp:coreProperties>
</file>