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90160" w:rsidRPr="00090160" w:rsidRDefault="00090160" w:rsidP="00090160">
      <w:pPr>
        <w:pStyle w:val="Heading1"/>
        <w:jc w:val="right"/>
        <w:rPr>
          <w:sz w:val="36"/>
        </w:rPr>
      </w:pPr>
      <w:r w:rsidRPr="00090160">
        <w:t>FILED OCTOBER 23, 2009</w:t>
      </w:r>
    </w:p>
    <w:p w:rsidR="008341E6" w:rsidRDefault="008341E6" w:rsidP="008341E6">
      <w:pPr>
        <w:pStyle w:val="Heading1"/>
      </w:pPr>
      <w:r>
        <w:t>STATE BAR COURT OF CALIFORNIA</w:t>
      </w:r>
    </w:p>
    <w:p w:rsidR="008341E6" w:rsidRDefault="008341E6" w:rsidP="008341E6">
      <w:pPr>
        <w:spacing w:line="480" w:lineRule="auto"/>
        <w:jc w:val="center"/>
        <w:rPr>
          <w:b/>
          <w:bCs/>
        </w:rPr>
      </w:pPr>
      <w:r>
        <w:rPr>
          <w:b/>
          <w:bCs/>
        </w:rPr>
        <w:t xml:space="preserve">HEARING DEPARTMENT – </w:t>
      </w:r>
      <w:bookmarkStart w:id="0" w:name="venue"/>
      <w:bookmarkEnd w:id="0"/>
      <w:r>
        <w:rPr>
          <w:b/>
          <w:bCs/>
        </w:rPr>
        <w:t>LOS ANGELES</w:t>
      </w:r>
    </w:p>
    <w:p w:rsidR="008341E6" w:rsidRDefault="008341E6" w:rsidP="008341E6">
      <w:pPr>
        <w:spacing w:line="480" w:lineRule="auto"/>
        <w:rPr>
          <w:b/>
          <w:bCs/>
        </w:rPr>
      </w:pPr>
    </w:p>
    <w:tbl>
      <w:tblPr>
        <w:tblW w:w="0" w:type="auto"/>
        <w:tblInd w:w="5" w:type="dxa"/>
        <w:tblBorders>
          <w:bottom w:val="single" w:sz="4" w:space="0" w:color="auto"/>
        </w:tblBorders>
        <w:tblCellMar>
          <w:left w:w="0" w:type="dxa"/>
          <w:right w:w="0" w:type="dxa"/>
        </w:tblCellMar>
        <w:tblLook w:val="0000"/>
      </w:tblPr>
      <w:tblGrid>
        <w:gridCol w:w="4373"/>
        <w:gridCol w:w="182"/>
        <w:gridCol w:w="240"/>
        <w:gridCol w:w="1096"/>
        <w:gridCol w:w="3464"/>
      </w:tblGrid>
      <w:tr w:rsidR="008341E6" w:rsidTr="00897924">
        <w:tblPrEx>
          <w:tblCellMar>
            <w:top w:w="0" w:type="dxa"/>
            <w:bottom w:w="0" w:type="dxa"/>
          </w:tblCellMar>
        </w:tblPrEx>
        <w:trPr>
          <w:cantSplit/>
          <w:trHeight w:val="462"/>
        </w:trPr>
        <w:tc>
          <w:tcPr>
            <w:tcW w:w="4378" w:type="dxa"/>
            <w:vMerge w:val="restart"/>
          </w:tcPr>
          <w:p w:rsidR="008341E6" w:rsidRDefault="008341E6" w:rsidP="00897924">
            <w:r>
              <w:t>In the Matter of</w:t>
            </w:r>
          </w:p>
          <w:p w:rsidR="008341E6" w:rsidRDefault="008341E6" w:rsidP="00897924">
            <w:pPr>
              <w:rPr>
                <w:b/>
                <w:bCs/>
              </w:rPr>
            </w:pPr>
          </w:p>
          <w:p w:rsidR="008341E6" w:rsidRDefault="008341E6" w:rsidP="00897924">
            <w:pPr>
              <w:rPr>
                <w:b/>
              </w:rPr>
            </w:pPr>
            <w:bookmarkStart w:id="1" w:name="resp"/>
            <w:bookmarkEnd w:id="1"/>
            <w:r>
              <w:rPr>
                <w:b/>
              </w:rPr>
              <w:t>KEVIN A. SPEIR</w:t>
            </w:r>
            <w:r w:rsidRPr="00945546">
              <w:rPr>
                <w:b/>
              </w:rPr>
              <w:t>,</w:t>
            </w:r>
          </w:p>
          <w:p w:rsidR="008341E6" w:rsidRDefault="008341E6" w:rsidP="00897924">
            <w:pPr>
              <w:rPr>
                <w:b/>
                <w:bCs/>
              </w:rPr>
            </w:pPr>
          </w:p>
          <w:p w:rsidR="008341E6" w:rsidRDefault="008341E6" w:rsidP="00897924">
            <w:pPr>
              <w:rPr>
                <w:b/>
                <w:bCs/>
              </w:rPr>
            </w:pPr>
            <w:r>
              <w:rPr>
                <w:b/>
                <w:bCs/>
              </w:rPr>
              <w:t xml:space="preserve">Member No.  </w:t>
            </w:r>
            <w:bookmarkStart w:id="2" w:name="member"/>
            <w:bookmarkEnd w:id="2"/>
            <w:r>
              <w:rPr>
                <w:b/>
              </w:rPr>
              <w:t>119044</w:t>
            </w:r>
            <w:r>
              <w:rPr>
                <w:b/>
                <w:bCs/>
              </w:rPr>
              <w:t>,</w:t>
            </w:r>
          </w:p>
          <w:p w:rsidR="008341E6" w:rsidRDefault="008341E6" w:rsidP="00897924">
            <w:pPr>
              <w:rPr>
                <w:b/>
                <w:bCs/>
              </w:rPr>
            </w:pPr>
          </w:p>
          <w:p w:rsidR="008341E6" w:rsidRDefault="008341E6" w:rsidP="00897924">
            <w:bookmarkStart w:id="3" w:name="type"/>
            <w:bookmarkEnd w:id="3"/>
            <w:r>
              <w:t>A Member of the State Bar.</w:t>
            </w:r>
          </w:p>
        </w:tc>
        <w:tc>
          <w:tcPr>
            <w:tcW w:w="182" w:type="dxa"/>
            <w:vMerge w:val="restart"/>
            <w:tcBorders>
              <w:bottom w:val="nil"/>
            </w:tcBorders>
          </w:tcPr>
          <w:p w:rsidR="008341E6" w:rsidRDefault="008341E6" w:rsidP="00897924">
            <w:pPr>
              <w:rPr>
                <w:b/>
                <w:bCs/>
              </w:rPr>
            </w:pPr>
            <w:r>
              <w:rPr>
                <w:b/>
                <w:bCs/>
              </w:rPr>
              <w:t>)</w:t>
            </w:r>
          </w:p>
          <w:p w:rsidR="008341E6" w:rsidRDefault="008341E6" w:rsidP="00897924">
            <w:pPr>
              <w:rPr>
                <w:b/>
                <w:bCs/>
              </w:rPr>
            </w:pPr>
            <w:r>
              <w:rPr>
                <w:b/>
                <w:bCs/>
              </w:rPr>
              <w:t>)</w:t>
            </w:r>
          </w:p>
          <w:p w:rsidR="008341E6" w:rsidRDefault="008341E6" w:rsidP="00897924">
            <w:pPr>
              <w:rPr>
                <w:b/>
                <w:bCs/>
              </w:rPr>
            </w:pPr>
            <w:r>
              <w:rPr>
                <w:b/>
                <w:bCs/>
              </w:rPr>
              <w:t>)</w:t>
            </w:r>
          </w:p>
          <w:p w:rsidR="008341E6" w:rsidRDefault="008341E6" w:rsidP="00897924">
            <w:pPr>
              <w:rPr>
                <w:b/>
                <w:bCs/>
              </w:rPr>
            </w:pPr>
            <w:r>
              <w:rPr>
                <w:b/>
                <w:bCs/>
              </w:rPr>
              <w:t>)</w:t>
            </w:r>
          </w:p>
          <w:p w:rsidR="008341E6" w:rsidRDefault="008341E6" w:rsidP="00897924">
            <w:pPr>
              <w:rPr>
                <w:b/>
                <w:bCs/>
              </w:rPr>
            </w:pPr>
            <w:r>
              <w:rPr>
                <w:b/>
                <w:bCs/>
              </w:rPr>
              <w:t>)</w:t>
            </w:r>
          </w:p>
          <w:p w:rsidR="008341E6" w:rsidRDefault="008341E6" w:rsidP="00897924">
            <w:pPr>
              <w:rPr>
                <w:b/>
                <w:bCs/>
              </w:rPr>
            </w:pPr>
            <w:r>
              <w:rPr>
                <w:b/>
                <w:bCs/>
              </w:rPr>
              <w:t>)</w:t>
            </w:r>
          </w:p>
          <w:p w:rsidR="008341E6" w:rsidRDefault="008341E6" w:rsidP="00897924">
            <w:pPr>
              <w:rPr>
                <w:b/>
                <w:bCs/>
              </w:rPr>
            </w:pPr>
            <w:r>
              <w:rPr>
                <w:b/>
                <w:bCs/>
              </w:rPr>
              <w:t>)</w:t>
            </w:r>
          </w:p>
        </w:tc>
        <w:tc>
          <w:tcPr>
            <w:tcW w:w="240" w:type="dxa"/>
            <w:vMerge w:val="restart"/>
            <w:tcBorders>
              <w:bottom w:val="nil"/>
            </w:tcBorders>
          </w:tcPr>
          <w:p w:rsidR="008341E6" w:rsidRDefault="008341E6" w:rsidP="00897924">
            <w:pPr>
              <w:rPr>
                <w:b/>
                <w:bCs/>
              </w:rPr>
            </w:pPr>
          </w:p>
        </w:tc>
        <w:tc>
          <w:tcPr>
            <w:tcW w:w="1097" w:type="dxa"/>
            <w:tcBorders>
              <w:bottom w:val="nil"/>
            </w:tcBorders>
          </w:tcPr>
          <w:p w:rsidR="008341E6" w:rsidRDefault="008341E6" w:rsidP="00897924">
            <w:r>
              <w:t>Case No.:</w:t>
            </w:r>
          </w:p>
        </w:tc>
        <w:tc>
          <w:tcPr>
            <w:tcW w:w="3468" w:type="dxa"/>
          </w:tcPr>
          <w:p w:rsidR="008341E6" w:rsidRDefault="008341E6" w:rsidP="00897924">
            <w:pPr>
              <w:rPr>
                <w:b/>
                <w:bCs/>
              </w:rPr>
            </w:pPr>
            <w:bookmarkStart w:id="4" w:name="caseno"/>
            <w:bookmarkEnd w:id="4"/>
            <w:r>
              <w:rPr>
                <w:b/>
                <w:bCs/>
              </w:rPr>
              <w:t>05-O-04057, 05-O-04919,</w:t>
            </w:r>
          </w:p>
          <w:p w:rsidR="008341E6" w:rsidRDefault="008341E6" w:rsidP="00897924">
            <w:pPr>
              <w:rPr>
                <w:b/>
                <w:bCs/>
              </w:rPr>
            </w:pPr>
            <w:r>
              <w:rPr>
                <w:b/>
                <w:bCs/>
              </w:rPr>
              <w:t>06-O-14075-</w:t>
            </w:r>
            <w:proofErr w:type="spellStart"/>
            <w:r>
              <w:rPr>
                <w:b/>
                <w:bCs/>
              </w:rPr>
              <w:t>DFM</w:t>
            </w:r>
            <w:proofErr w:type="spellEnd"/>
          </w:p>
        </w:tc>
      </w:tr>
      <w:tr w:rsidR="008341E6" w:rsidTr="00897924">
        <w:tblPrEx>
          <w:tblCellMar>
            <w:top w:w="0" w:type="dxa"/>
            <w:bottom w:w="0" w:type="dxa"/>
          </w:tblCellMar>
        </w:tblPrEx>
        <w:trPr>
          <w:cantSplit/>
          <w:trHeight w:val="1480"/>
        </w:trPr>
        <w:tc>
          <w:tcPr>
            <w:tcW w:w="4378" w:type="dxa"/>
            <w:vMerge/>
          </w:tcPr>
          <w:p w:rsidR="008341E6" w:rsidRDefault="008341E6" w:rsidP="00897924"/>
        </w:tc>
        <w:tc>
          <w:tcPr>
            <w:tcW w:w="182" w:type="dxa"/>
            <w:vMerge/>
            <w:tcBorders>
              <w:bottom w:val="nil"/>
            </w:tcBorders>
          </w:tcPr>
          <w:p w:rsidR="008341E6" w:rsidRDefault="008341E6" w:rsidP="00897924">
            <w:pPr>
              <w:rPr>
                <w:b/>
                <w:bCs/>
              </w:rPr>
            </w:pPr>
          </w:p>
        </w:tc>
        <w:tc>
          <w:tcPr>
            <w:tcW w:w="240" w:type="dxa"/>
            <w:vMerge/>
            <w:tcBorders>
              <w:bottom w:val="nil"/>
            </w:tcBorders>
          </w:tcPr>
          <w:p w:rsidR="008341E6" w:rsidRDefault="008341E6" w:rsidP="00897924">
            <w:pPr>
              <w:rPr>
                <w:b/>
                <w:bCs/>
              </w:rPr>
            </w:pPr>
          </w:p>
        </w:tc>
        <w:tc>
          <w:tcPr>
            <w:tcW w:w="4565" w:type="dxa"/>
            <w:gridSpan w:val="2"/>
            <w:tcBorders>
              <w:bottom w:val="nil"/>
            </w:tcBorders>
          </w:tcPr>
          <w:p w:rsidR="008341E6" w:rsidRDefault="008341E6" w:rsidP="00897924">
            <w:pPr>
              <w:rPr>
                <w:b/>
                <w:bCs/>
              </w:rPr>
            </w:pPr>
            <w:bookmarkStart w:id="5" w:name="title"/>
            <w:bookmarkEnd w:id="5"/>
          </w:p>
          <w:p w:rsidR="008341E6" w:rsidRDefault="008341E6" w:rsidP="00897924">
            <w:pPr>
              <w:rPr>
                <w:b/>
                <w:bCs/>
              </w:rPr>
            </w:pPr>
            <w:r>
              <w:rPr>
                <w:b/>
                <w:bCs/>
              </w:rPr>
              <w:t xml:space="preserve">DECISION </w:t>
            </w:r>
          </w:p>
          <w:p w:rsidR="008341E6" w:rsidRDefault="008341E6" w:rsidP="00897924">
            <w:pPr>
              <w:rPr>
                <w:b/>
                <w:bCs/>
              </w:rPr>
            </w:pPr>
          </w:p>
        </w:tc>
      </w:tr>
    </w:tbl>
    <w:p w:rsidR="008341E6" w:rsidRDefault="008341E6" w:rsidP="008341E6">
      <w:pPr>
        <w:pStyle w:val="Heading1"/>
        <w:spacing w:line="240" w:lineRule="auto"/>
      </w:pPr>
    </w:p>
    <w:p w:rsidR="008341E6" w:rsidRPr="009D27CD" w:rsidRDefault="008341E6" w:rsidP="008341E6"/>
    <w:p w:rsidR="008341E6" w:rsidRDefault="008341E6" w:rsidP="008341E6">
      <w:pPr>
        <w:pStyle w:val="Heading1"/>
        <w:spacing w:line="240" w:lineRule="auto"/>
      </w:pPr>
      <w:r w:rsidRPr="001513F3">
        <w:t>INTRODUCTION</w:t>
      </w:r>
    </w:p>
    <w:p w:rsidR="008341E6" w:rsidRPr="00FC710D" w:rsidRDefault="008341E6" w:rsidP="008341E6"/>
    <w:p w:rsidR="008341E6" w:rsidRDefault="008341E6" w:rsidP="008341E6">
      <w:pPr>
        <w:spacing w:line="480" w:lineRule="auto"/>
        <w:ind w:firstLine="720"/>
      </w:pPr>
      <w:r>
        <w:t xml:space="preserve">In this original disciplinary proceeding, respondent </w:t>
      </w:r>
      <w:r>
        <w:rPr>
          <w:b/>
        </w:rPr>
        <w:t xml:space="preserve">KEVIN A. SPEIR </w:t>
      </w:r>
      <w:r w:rsidR="00681D75" w:rsidRPr="00681D75">
        <w:t>(</w:t>
      </w:r>
      <w:r w:rsidR="00681D75">
        <w:t>“</w:t>
      </w:r>
      <w:r w:rsidR="00681D75" w:rsidRPr="00681D75">
        <w:t>respondent</w:t>
      </w:r>
      <w:r w:rsidR="00681D75">
        <w:t>”</w:t>
      </w:r>
      <w:r w:rsidR="00681D75" w:rsidRPr="00681D75">
        <w:t xml:space="preserve">) </w:t>
      </w:r>
      <w:r w:rsidRPr="00681D75">
        <w:t>is</w:t>
      </w:r>
      <w:r w:rsidRPr="00DF7374">
        <w:t xml:space="preserve"> charged with</w:t>
      </w:r>
      <w:r>
        <w:t xml:space="preserve"> misappropriating funds held by him in trust for eight clients.  In each of the cases, respondent acknowledges </w:t>
      </w:r>
      <w:r w:rsidR="00D67DB6">
        <w:t>withdrawing</w:t>
      </w:r>
      <w:r>
        <w:t xml:space="preserve"> </w:t>
      </w:r>
      <w:r w:rsidR="005E1B11">
        <w:t xml:space="preserve">funds </w:t>
      </w:r>
      <w:r>
        <w:t>from his client trust account deposited there for his client</w:t>
      </w:r>
      <w:r w:rsidR="00D67DB6">
        <w:t>s</w:t>
      </w:r>
      <w:r>
        <w:t>, but he contends that he was authorized in each instance to do so by the client.</w:t>
      </w:r>
    </w:p>
    <w:p w:rsidR="008341E6" w:rsidRPr="00DF7374" w:rsidRDefault="008341E6" w:rsidP="008341E6">
      <w:pPr>
        <w:spacing w:line="480" w:lineRule="auto"/>
        <w:ind w:firstLine="720"/>
      </w:pPr>
      <w:r>
        <w:t xml:space="preserve">The State Bar had the burden of proving misconduct by clear and convincing evidence.  While it did not do so for </w:t>
      </w:r>
      <w:r w:rsidR="00E63980">
        <w:t>all</w:t>
      </w:r>
      <w:r>
        <w:t xml:space="preserve"> of the counts alleged against respondent, the court concludes that it did so for </w:t>
      </w:r>
      <w:r w:rsidR="00E63980">
        <w:t>the counts related to five</w:t>
      </w:r>
      <w:r>
        <w:t xml:space="preserve"> </w:t>
      </w:r>
      <w:r w:rsidR="00E63980">
        <w:t>of the clients.  Because of the nature of respondent’s misconduct and the</w:t>
      </w:r>
      <w:r>
        <w:t xml:space="preserve"> magnit</w:t>
      </w:r>
      <w:r w:rsidR="00E63980">
        <w:t>ude of the misappropriations</w:t>
      </w:r>
      <w:r w:rsidR="00394D52">
        <w:t xml:space="preserve">, the court </w:t>
      </w:r>
      <w:r>
        <w:t>recommends that he be disbarred.</w:t>
      </w:r>
    </w:p>
    <w:p w:rsidR="008341E6" w:rsidRDefault="008341E6" w:rsidP="008341E6">
      <w:pPr>
        <w:spacing w:line="480" w:lineRule="auto"/>
        <w:ind w:firstLine="720"/>
      </w:pPr>
      <w:r>
        <w:t xml:space="preserve">Deputy Trial Counsel Eli Morgenstern appeared for the Office of the Chief Trial Counsel of the State Bar of California (State Bar).  Respondent was represented at trial by Chet Potter. </w:t>
      </w:r>
    </w:p>
    <w:p w:rsidR="008341E6" w:rsidRDefault="008341E6" w:rsidP="008341E6">
      <w:pPr>
        <w:pStyle w:val="Heading1"/>
      </w:pPr>
      <w:r>
        <w:lastRenderedPageBreak/>
        <w:t>PERTINENT</w:t>
      </w:r>
      <w:r w:rsidRPr="001C2158">
        <w:t xml:space="preserve"> PROCEDURAL HISTORY</w:t>
      </w:r>
    </w:p>
    <w:p w:rsidR="00681D75" w:rsidRDefault="008341E6" w:rsidP="008341E6">
      <w:pPr>
        <w:spacing w:line="480" w:lineRule="auto"/>
        <w:ind w:firstLine="720"/>
      </w:pPr>
      <w:r>
        <w:t xml:space="preserve">On </w:t>
      </w:r>
      <w:r w:rsidR="00FD79EC">
        <w:t>December 26, 2007</w:t>
      </w:r>
      <w:r>
        <w:t xml:space="preserve">, the State Bar filed </w:t>
      </w:r>
      <w:r w:rsidR="00FD79EC">
        <w:t xml:space="preserve">both </w:t>
      </w:r>
      <w:r>
        <w:t xml:space="preserve">the </w:t>
      </w:r>
      <w:r w:rsidR="00FD79EC">
        <w:t xml:space="preserve">initial </w:t>
      </w:r>
      <w:r>
        <w:t xml:space="preserve">NDC </w:t>
      </w:r>
      <w:r w:rsidR="00FD79EC">
        <w:t>and a</w:t>
      </w:r>
      <w:r w:rsidR="0021358D">
        <w:t>n</w:t>
      </w:r>
      <w:r w:rsidR="00FD79EC">
        <w:t xml:space="preserve"> Amended Notice of Disciplinary Charges (the latter of which will be referred to herein as the NDC)</w:t>
      </w:r>
      <w:r w:rsidR="0021358D">
        <w:t>.</w:t>
      </w:r>
      <w:r>
        <w:t xml:space="preserve">  </w:t>
      </w:r>
      <w:r w:rsidR="00FD79EC">
        <w:t xml:space="preserve">On February 1, 2008, respondent, then representing himself, filed his response to the NDC.  </w:t>
      </w:r>
    </w:p>
    <w:p w:rsidR="00681D75" w:rsidRDefault="00B5605C" w:rsidP="008341E6">
      <w:pPr>
        <w:spacing w:line="480" w:lineRule="auto"/>
        <w:ind w:firstLine="720"/>
      </w:pPr>
      <w:r>
        <w:t>On November 7, 2008, the parties filed a Joint Motion to Sever and Abate Case No. 05-O-01420, which encompassed the first seven counts of the NDC, based on the pendency of criminal charges against respondent based on the same matter.  That motion was granted by the court on November 13, 2008.</w:t>
      </w:r>
    </w:p>
    <w:p w:rsidR="00B5605C" w:rsidRDefault="00B5605C" w:rsidP="008341E6">
      <w:pPr>
        <w:spacing w:line="480" w:lineRule="auto"/>
        <w:ind w:firstLine="720"/>
      </w:pPr>
      <w:r>
        <w:t xml:space="preserve">The </w:t>
      </w:r>
      <w:r w:rsidR="0021358D">
        <w:t xml:space="preserve">remaining cases alleged in the NDC </w:t>
      </w:r>
      <w:r>
        <w:t xml:space="preserve">commenced trial on December 1, 2008.  At that time a dispute arose </w:t>
      </w:r>
      <w:r w:rsidR="00D67DB6">
        <w:t xml:space="preserve">between the parties </w:t>
      </w:r>
      <w:r>
        <w:t>as to whether there was a valid stipulation allowing the State Bar to elicit testimony o</w:t>
      </w:r>
      <w:r w:rsidR="0021358D">
        <w:t>ver the telephone from a complaining</w:t>
      </w:r>
      <w:r>
        <w:t xml:space="preserve"> witness.  </w:t>
      </w:r>
      <w:r w:rsidR="00A20AA4">
        <w:t>At the completion of the first day of trial, both sides rested, pending the court’s ruling on the State Bar’s motion to enforce the stipulation.  R</w:t>
      </w:r>
      <w:r>
        <w:t xml:space="preserve">espondent </w:t>
      </w:r>
      <w:r w:rsidR="00A20AA4">
        <w:t xml:space="preserve">was then given </w:t>
      </w:r>
      <w:r>
        <w:t>an opportunity t</w:t>
      </w:r>
      <w:r w:rsidR="00FD79EC">
        <w:t xml:space="preserve">o present his </w:t>
      </w:r>
      <w:r w:rsidR="0021358D">
        <w:t xml:space="preserve">written </w:t>
      </w:r>
      <w:r w:rsidR="00FD79EC">
        <w:t>opposition to having this cour</w:t>
      </w:r>
      <w:r w:rsidR="00A20AA4">
        <w:t xml:space="preserve">t enforce the prior stipulation. </w:t>
      </w:r>
      <w:r w:rsidR="00A84E9A">
        <w:t xml:space="preserve"> Thereafter, when the court determined that an enforceable stipulation existed and that the telephonic testimony of the State Bar’s complaining witness should be allowed,</w:t>
      </w:r>
      <w:r w:rsidR="00FD79EC">
        <w:t xml:space="preserve"> the </w:t>
      </w:r>
      <w:r w:rsidR="00A84E9A">
        <w:t xml:space="preserve">record </w:t>
      </w:r>
      <w:r w:rsidR="00FD79EC">
        <w:t>was</w:t>
      </w:r>
      <w:r w:rsidR="00A84E9A">
        <w:t xml:space="preserve"> re</w:t>
      </w:r>
      <w:r w:rsidR="00A20AA4">
        <w:t>-opened on the motion</w:t>
      </w:r>
      <w:r w:rsidR="00A84E9A">
        <w:t xml:space="preserve"> of the State Bar</w:t>
      </w:r>
      <w:r w:rsidR="00FD79EC">
        <w:t xml:space="preserve"> </w:t>
      </w:r>
      <w:r w:rsidR="00A20AA4">
        <w:t>for both the testimon</w:t>
      </w:r>
      <w:r w:rsidR="0021358D">
        <w:t>y of that witness and t</w:t>
      </w:r>
      <w:r w:rsidR="00A20AA4">
        <w:t>estimony</w:t>
      </w:r>
      <w:r w:rsidR="0021358D">
        <w:t xml:space="preserve"> of another client</w:t>
      </w:r>
      <w:r w:rsidR="00A20AA4">
        <w:t xml:space="preserve">.  The trial was then </w:t>
      </w:r>
      <w:r w:rsidR="00FD79EC">
        <w:t>reconvened on February 20, 2009</w:t>
      </w:r>
      <w:r w:rsidR="00A84E9A">
        <w:t>,</w:t>
      </w:r>
      <w:r w:rsidR="00A20AA4">
        <w:t xml:space="preserve"> </w:t>
      </w:r>
      <w:r w:rsidR="00FD79EC">
        <w:t xml:space="preserve">and </w:t>
      </w:r>
      <w:r w:rsidR="0021358D">
        <w:t xml:space="preserve">then </w:t>
      </w:r>
      <w:r w:rsidR="00FD79EC">
        <w:t>completed on April 3, 2009</w:t>
      </w:r>
      <w:r w:rsidR="00A20AA4">
        <w:t>,</w:t>
      </w:r>
      <w:r w:rsidR="00A20AA4" w:rsidRPr="00A20AA4">
        <w:t xml:space="preserve"> </w:t>
      </w:r>
      <w:r w:rsidR="00A20AA4">
        <w:t>when rebuttal witnesses offered by respondent were available</w:t>
      </w:r>
      <w:r w:rsidR="00FD79EC">
        <w:t>.  T</w:t>
      </w:r>
      <w:r w:rsidR="00A84E9A">
        <w:t>hereafter</w:t>
      </w:r>
      <w:r w:rsidR="00FD79EC">
        <w:t xml:space="preserve"> respondent filed </w:t>
      </w:r>
      <w:r w:rsidR="00A84E9A">
        <w:t>a motion</w:t>
      </w:r>
      <w:r w:rsidR="00FD79EC">
        <w:t xml:space="preserve"> to re-open the case to submit additional </w:t>
      </w:r>
      <w:r w:rsidR="00A20AA4">
        <w:t xml:space="preserve">character </w:t>
      </w:r>
      <w:r w:rsidR="00FD79EC">
        <w:t xml:space="preserve">evidence.  A final day of trial was held on May 8, 2009, followed by post-trial briefing and the receipt of additional documentary </w:t>
      </w:r>
      <w:r w:rsidR="00252B7E">
        <w:t xml:space="preserve">and character </w:t>
      </w:r>
      <w:r w:rsidR="00FD79EC">
        <w:t>evidence.  The matter was submitted on July 27, 2009.</w:t>
      </w:r>
    </w:p>
    <w:p w:rsidR="008341E6" w:rsidRPr="00920DC3" w:rsidRDefault="008341E6" w:rsidP="008341E6">
      <w:pPr>
        <w:pStyle w:val="Heading1"/>
        <w:rPr>
          <w:u w:val="single"/>
        </w:rPr>
      </w:pPr>
      <w:r w:rsidRPr="003B6DDD">
        <w:lastRenderedPageBreak/>
        <w:t xml:space="preserve">FINDINGS </w:t>
      </w:r>
      <w:r>
        <w:t>O</w:t>
      </w:r>
      <w:r w:rsidRPr="003B6DDD">
        <w:t xml:space="preserve">F FACT </w:t>
      </w:r>
      <w:r>
        <w:t>A</w:t>
      </w:r>
      <w:r w:rsidRPr="003B6DDD">
        <w:t xml:space="preserve">ND CONCLUSIONS </w:t>
      </w:r>
      <w:r>
        <w:t>O</w:t>
      </w:r>
      <w:r w:rsidRPr="003B6DDD">
        <w:t>F LAW</w:t>
      </w:r>
    </w:p>
    <w:p w:rsidR="008341E6" w:rsidRDefault="008341E6" w:rsidP="008341E6">
      <w:pPr>
        <w:spacing w:line="480" w:lineRule="auto"/>
        <w:ind w:firstLine="720"/>
      </w:pPr>
      <w:r>
        <w:t>The court's findings are based on (1) a Stipulation as to Facts executed by the parties and (2) the evidence submitted at the trial of this matter.</w:t>
      </w:r>
    </w:p>
    <w:p w:rsidR="0021358D" w:rsidRDefault="0021358D" w:rsidP="008341E6">
      <w:pPr>
        <w:spacing w:line="480" w:lineRule="auto"/>
        <w:ind w:firstLine="720"/>
      </w:pPr>
    </w:p>
    <w:p w:rsidR="0021358D" w:rsidRDefault="0021358D" w:rsidP="008341E6">
      <w:pPr>
        <w:spacing w:line="480" w:lineRule="auto"/>
        <w:ind w:firstLine="720"/>
      </w:pPr>
    </w:p>
    <w:p w:rsidR="008341E6" w:rsidRDefault="008341E6" w:rsidP="008341E6">
      <w:pPr>
        <w:spacing w:line="480" w:lineRule="auto"/>
      </w:pPr>
      <w:r w:rsidRPr="009B444A">
        <w:rPr>
          <w:b/>
        </w:rPr>
        <w:t>Jurisdiction</w:t>
      </w:r>
    </w:p>
    <w:p w:rsidR="008341E6" w:rsidRDefault="008341E6" w:rsidP="008341E6">
      <w:pPr>
        <w:spacing w:line="480" w:lineRule="auto"/>
        <w:ind w:firstLine="720"/>
      </w:pPr>
      <w:r>
        <w:t xml:space="preserve">Respondent was admitted to the practice of law in this state on August 12, 1985, </w:t>
      </w:r>
      <w:r w:rsidRPr="00B355F0">
        <w:t>and has been a member of the State Bar</w:t>
      </w:r>
      <w:r>
        <w:t xml:space="preserve"> of California since that time.</w:t>
      </w:r>
    </w:p>
    <w:p w:rsidR="008341E6" w:rsidRPr="002372FC" w:rsidRDefault="008341E6" w:rsidP="008341E6">
      <w:pPr>
        <w:spacing w:line="480" w:lineRule="auto"/>
      </w:pPr>
      <w:r>
        <w:rPr>
          <w:b/>
          <w:color w:val="000000"/>
        </w:rPr>
        <w:t>Hill</w:t>
      </w:r>
      <w:r w:rsidRPr="001265C5">
        <w:rPr>
          <w:color w:val="000000"/>
        </w:rPr>
        <w:t xml:space="preserve"> </w:t>
      </w:r>
      <w:r w:rsidRPr="00995849">
        <w:rPr>
          <w:b/>
          <w:bCs/>
        </w:rPr>
        <w:t>Matter [</w:t>
      </w:r>
      <w:r w:rsidRPr="00F13E0B">
        <w:rPr>
          <w:b/>
        </w:rPr>
        <w:t xml:space="preserve">Case No. </w:t>
      </w:r>
      <w:r>
        <w:rPr>
          <w:b/>
          <w:bCs/>
        </w:rPr>
        <w:t>05-O-04057</w:t>
      </w:r>
      <w:r w:rsidRPr="00995849">
        <w:rPr>
          <w:b/>
          <w:bCs/>
        </w:rPr>
        <w:t>]</w:t>
      </w:r>
    </w:p>
    <w:p w:rsidR="008341E6" w:rsidRPr="00891F26" w:rsidRDefault="008341E6" w:rsidP="008341E6">
      <w:pPr>
        <w:spacing w:line="480" w:lineRule="auto"/>
        <w:ind w:firstLine="720"/>
        <w:rPr>
          <w:b/>
          <w:bCs/>
          <w:u w:val="single"/>
        </w:rPr>
      </w:pPr>
      <w:r w:rsidRPr="00891F26">
        <w:t>From at least in or about 2004 thro</w:t>
      </w:r>
      <w:r>
        <w:t>ugh at least in or about 2006, r</w:t>
      </w:r>
      <w:r w:rsidRPr="00891F26">
        <w:t>espondent maintained a client trust account at Citibank designated as account number 3844060990 (“CTA”).</w:t>
      </w:r>
    </w:p>
    <w:p w:rsidR="008341E6" w:rsidRPr="00891F26" w:rsidRDefault="008341E6" w:rsidP="008341E6">
      <w:pPr>
        <w:spacing w:line="480" w:lineRule="auto"/>
        <w:ind w:firstLine="720"/>
      </w:pPr>
      <w:r w:rsidRPr="00891F26">
        <w:t xml:space="preserve">On or about March 7, </w:t>
      </w:r>
      <w:r>
        <w:t xml:space="preserve">2004, </w:t>
      </w:r>
      <w:proofErr w:type="spellStart"/>
      <w:r>
        <w:t>Lita</w:t>
      </w:r>
      <w:proofErr w:type="spellEnd"/>
      <w:r>
        <w:t xml:space="preserve"> Hill (“Hill”) hired r</w:t>
      </w:r>
      <w:r w:rsidRPr="00891F26">
        <w:t>espondent to substitute into her personal injury action</w:t>
      </w:r>
      <w:r w:rsidR="0021358D">
        <w:t>, replacing a</w:t>
      </w:r>
      <w:r w:rsidRPr="00891F26">
        <w:t xml:space="preserve">ttorney Mindy </w:t>
      </w:r>
      <w:proofErr w:type="spellStart"/>
      <w:r w:rsidRPr="00891F26">
        <w:t>Bish</w:t>
      </w:r>
      <w:proofErr w:type="spellEnd"/>
      <w:r w:rsidRPr="00891F26">
        <w:t xml:space="preserve"> (“</w:t>
      </w:r>
      <w:proofErr w:type="spellStart"/>
      <w:r w:rsidRPr="00891F26">
        <w:t>Bish</w:t>
      </w:r>
      <w:proofErr w:type="spellEnd"/>
      <w:r w:rsidRPr="00891F26">
        <w:t>”) as her counse</w:t>
      </w:r>
      <w:r>
        <w:t>l.  On or about March 7, 2004, r</w:t>
      </w:r>
      <w:r w:rsidRPr="00891F26">
        <w:t>espondent informed Hill that he would pay her medical providers out of any settlement proceeds he would obtain on her behalf.</w:t>
      </w:r>
    </w:p>
    <w:p w:rsidR="008341E6" w:rsidRPr="00891F26" w:rsidRDefault="00681D75" w:rsidP="008341E6">
      <w:pPr>
        <w:spacing w:line="480" w:lineRule="auto"/>
        <w:ind w:firstLine="720"/>
      </w:pPr>
      <w:r>
        <w:t>On or about June 15, 2005, r</w:t>
      </w:r>
      <w:r w:rsidR="008341E6" w:rsidRPr="00891F26">
        <w:t>espondent settled Hill’s case for $12,500.  In o</w:t>
      </w:r>
      <w:r>
        <w:t>r about mid to late June 2005, r</w:t>
      </w:r>
      <w:r w:rsidR="008341E6" w:rsidRPr="00891F26">
        <w:t>espondent called Hill to tell her that her case had settled.</w:t>
      </w:r>
    </w:p>
    <w:p w:rsidR="008341E6" w:rsidRPr="00891F26" w:rsidRDefault="008341E6" w:rsidP="008341E6">
      <w:pPr>
        <w:spacing w:line="480" w:lineRule="auto"/>
        <w:ind w:firstLine="720"/>
      </w:pPr>
      <w:r w:rsidRPr="00891F26">
        <w:t>In or about late June 2005, S</w:t>
      </w:r>
      <w:r>
        <w:t>afeco Insurance Company mailed r</w:t>
      </w:r>
      <w:r w:rsidRPr="00891F26">
        <w:t>espondent a settlement check in the amount of $12,</w:t>
      </w:r>
      <w:r>
        <w:t>500</w:t>
      </w:r>
      <w:r w:rsidR="0021358D">
        <w:t>,</w:t>
      </w:r>
      <w:r>
        <w:t xml:space="preserve"> payable to r</w:t>
      </w:r>
      <w:r w:rsidRPr="00891F26">
        <w:t xml:space="preserve">espondent, Hill, </w:t>
      </w:r>
      <w:r w:rsidR="0021358D">
        <w:t xml:space="preserve">the </w:t>
      </w:r>
      <w:r w:rsidRPr="00891F26">
        <w:t xml:space="preserve">Law Offices of Larry Parker, and </w:t>
      </w:r>
      <w:proofErr w:type="spellStart"/>
      <w:r w:rsidRPr="00891F26">
        <w:t>Sedin</w:t>
      </w:r>
      <w:proofErr w:type="spellEnd"/>
      <w:r w:rsidRPr="00891F26">
        <w:t xml:space="preserve">, </w:t>
      </w:r>
      <w:proofErr w:type="spellStart"/>
      <w:r w:rsidRPr="00891F26">
        <w:t>Begaks</w:t>
      </w:r>
      <w:proofErr w:type="spellEnd"/>
      <w:r w:rsidRPr="00891F26">
        <w:t xml:space="preserve"> and </w:t>
      </w:r>
      <w:proofErr w:type="spellStart"/>
      <w:r w:rsidRPr="00891F26">
        <w:t>Bish</w:t>
      </w:r>
      <w:proofErr w:type="spellEnd"/>
      <w:r w:rsidRPr="00891F26">
        <w:t xml:space="preserve"> (“Hill’s settlement check”).  </w:t>
      </w:r>
    </w:p>
    <w:p w:rsidR="008341E6" w:rsidRPr="00891F26" w:rsidRDefault="008341E6" w:rsidP="0021358D">
      <w:pPr>
        <w:spacing w:line="480" w:lineRule="auto"/>
        <w:ind w:firstLine="720"/>
      </w:pPr>
      <w:r w:rsidRPr="00891F26">
        <w:t>Respondent endorsed Hill’s settlement check with her na</w:t>
      </w:r>
      <w:r>
        <w:t>me.  On or about July 6, 2005, r</w:t>
      </w:r>
      <w:r w:rsidRPr="00891F26">
        <w:t xml:space="preserve">espondent deposited Hill’s </w:t>
      </w:r>
      <w:proofErr w:type="gramStart"/>
      <w:r w:rsidRPr="00891F26">
        <w:t>settlement check</w:t>
      </w:r>
      <w:proofErr w:type="gramEnd"/>
      <w:r w:rsidRPr="00891F26">
        <w:t xml:space="preserve"> into his CTA.  On or about that day, following the deposit of Hill’s settlement check into his CTA, the balance in the CT</w:t>
      </w:r>
      <w:r>
        <w:t xml:space="preserve">A was $27,550.23.  </w:t>
      </w:r>
      <w:r>
        <w:lastRenderedPageBreak/>
        <w:t>Thereafter, r</w:t>
      </w:r>
      <w:r w:rsidRPr="00891F26">
        <w:t>espondent made withdrawals from his CTA, including, but not limited to the following:</w:t>
      </w:r>
    </w:p>
    <w:p w:rsidR="008341E6" w:rsidRDefault="008341E6" w:rsidP="00DD78B2">
      <w:pPr>
        <w:tabs>
          <w:tab w:val="left" w:pos="-1440"/>
          <w:tab w:val="left" w:pos="3600"/>
          <w:tab w:val="left" w:pos="5760"/>
        </w:tabs>
        <w:spacing w:line="360" w:lineRule="auto"/>
        <w:ind w:left="6480" w:hanging="5040"/>
        <w:rPr>
          <w:b/>
          <w:bCs/>
          <w:u w:val="single"/>
        </w:rPr>
      </w:pPr>
      <w:r w:rsidRPr="00891F26">
        <w:rPr>
          <w:b/>
          <w:bCs/>
          <w:u w:val="single"/>
        </w:rPr>
        <w:t>Date:</w:t>
      </w:r>
      <w:r w:rsidRPr="00891F26">
        <w:rPr>
          <w:b/>
          <w:bCs/>
        </w:rPr>
        <w:tab/>
      </w:r>
      <w:r w:rsidRPr="00891F26">
        <w:rPr>
          <w:b/>
          <w:bCs/>
          <w:u w:val="single"/>
        </w:rPr>
        <w:t>Payee:</w:t>
      </w:r>
      <w:r w:rsidRPr="00891F26">
        <w:rPr>
          <w:b/>
          <w:bCs/>
        </w:rPr>
        <w:tab/>
      </w:r>
      <w:r w:rsidRPr="00891F26">
        <w:rPr>
          <w:b/>
          <w:bCs/>
          <w:u w:val="single"/>
        </w:rPr>
        <w:t>Amount:</w:t>
      </w:r>
      <w:r w:rsidRPr="00891F26">
        <w:rPr>
          <w:b/>
          <w:bCs/>
        </w:rPr>
        <w:tab/>
      </w:r>
      <w:r w:rsidRPr="00891F26">
        <w:rPr>
          <w:b/>
          <w:bCs/>
          <w:u w:val="single"/>
        </w:rPr>
        <w:t>Balance:</w:t>
      </w:r>
    </w:p>
    <w:p w:rsidR="00137EEE" w:rsidRDefault="00137EEE" w:rsidP="00DD78B2">
      <w:pPr>
        <w:tabs>
          <w:tab w:val="left" w:pos="-1440"/>
          <w:tab w:val="left" w:pos="3600"/>
          <w:tab w:val="left" w:pos="5760"/>
          <w:tab w:val="left" w:pos="7200"/>
        </w:tabs>
        <w:spacing w:line="360" w:lineRule="auto"/>
        <w:ind w:left="6480" w:hanging="5040"/>
      </w:pPr>
      <w:r>
        <w:t>07/06/05</w:t>
      </w:r>
      <w:r>
        <w:tab/>
      </w:r>
      <w:r w:rsidR="008341E6" w:rsidRPr="00891F26">
        <w:t>Cash Withdrawal</w:t>
      </w:r>
      <w:r w:rsidR="008341E6" w:rsidRPr="00891F26">
        <w:tab/>
        <w:t>$4,000</w:t>
      </w:r>
      <w:r w:rsidR="008341E6" w:rsidRPr="00891F26">
        <w:tab/>
      </w:r>
      <w:r w:rsidR="008341E6" w:rsidRPr="00891F26">
        <w:tab/>
        <w:t>$23,550.23</w:t>
      </w:r>
    </w:p>
    <w:p w:rsidR="008341E6" w:rsidRDefault="00137EEE" w:rsidP="00DD78B2">
      <w:pPr>
        <w:tabs>
          <w:tab w:val="left" w:pos="-1440"/>
          <w:tab w:val="left" w:pos="3600"/>
          <w:tab w:val="left" w:pos="5760"/>
          <w:tab w:val="left" w:pos="7200"/>
        </w:tabs>
        <w:spacing w:line="360" w:lineRule="auto"/>
        <w:ind w:left="6480" w:hanging="5040"/>
      </w:pPr>
      <w:r>
        <w:t>07/08/05</w:t>
      </w:r>
      <w:r>
        <w:tab/>
      </w:r>
      <w:r w:rsidR="008341E6" w:rsidRPr="00891F26">
        <w:t>Cash Withdrawal</w:t>
      </w:r>
      <w:r w:rsidR="008341E6" w:rsidRPr="00891F26">
        <w:tab/>
        <w:t>$3,000</w:t>
      </w:r>
      <w:r w:rsidR="008341E6" w:rsidRPr="00891F26">
        <w:tab/>
      </w:r>
      <w:r w:rsidR="008341E6" w:rsidRPr="00891F26">
        <w:tab/>
        <w:t>$20,550.23</w:t>
      </w:r>
    </w:p>
    <w:p w:rsidR="008341E6" w:rsidRDefault="00137EEE" w:rsidP="00DD78B2">
      <w:pPr>
        <w:tabs>
          <w:tab w:val="left" w:pos="-1440"/>
          <w:tab w:val="left" w:pos="3600"/>
          <w:tab w:val="left" w:pos="5760"/>
          <w:tab w:val="left" w:pos="7200"/>
        </w:tabs>
        <w:spacing w:line="360" w:lineRule="auto"/>
        <w:ind w:left="6480" w:hanging="5040"/>
      </w:pPr>
      <w:r>
        <w:t>07/14/05</w:t>
      </w:r>
      <w:r>
        <w:tab/>
      </w:r>
      <w:r w:rsidR="008341E6" w:rsidRPr="00891F26">
        <w:t>Cash Withdrawal</w:t>
      </w:r>
      <w:r w:rsidR="008341E6" w:rsidRPr="00891F26">
        <w:tab/>
        <w:t>$1,000</w:t>
      </w:r>
      <w:r w:rsidR="008341E6" w:rsidRPr="00891F26">
        <w:tab/>
      </w:r>
      <w:r w:rsidR="008341E6" w:rsidRPr="00891F26">
        <w:tab/>
        <w:t>$18,550.23</w:t>
      </w:r>
    </w:p>
    <w:p w:rsidR="008341E6" w:rsidRDefault="00137EEE" w:rsidP="00DD78B2">
      <w:pPr>
        <w:tabs>
          <w:tab w:val="left" w:pos="-1440"/>
          <w:tab w:val="left" w:pos="3600"/>
          <w:tab w:val="left" w:pos="5760"/>
          <w:tab w:val="left" w:pos="7200"/>
        </w:tabs>
        <w:spacing w:line="360" w:lineRule="auto"/>
        <w:ind w:left="6480" w:hanging="5040"/>
      </w:pPr>
      <w:r>
        <w:t>08/11/05</w:t>
      </w:r>
      <w:r>
        <w:tab/>
        <w:t>Cash Withdrawal</w:t>
      </w:r>
      <w:r>
        <w:tab/>
        <w:t>$800</w:t>
      </w:r>
      <w:r>
        <w:tab/>
      </w:r>
      <w:r>
        <w:tab/>
        <w:t>$</w:t>
      </w:r>
      <w:r w:rsidR="008341E6" w:rsidRPr="00891F26">
        <w:t>935.46</w:t>
      </w:r>
    </w:p>
    <w:p w:rsidR="008341E6" w:rsidRDefault="00137EEE" w:rsidP="00DD78B2">
      <w:pPr>
        <w:tabs>
          <w:tab w:val="left" w:pos="-1440"/>
          <w:tab w:val="left" w:pos="3600"/>
          <w:tab w:val="left" w:pos="5760"/>
          <w:tab w:val="left" w:pos="7200"/>
        </w:tabs>
        <w:spacing w:line="360" w:lineRule="auto"/>
        <w:ind w:left="6480" w:hanging="5040"/>
      </w:pPr>
      <w:r>
        <w:t>08/12/05</w:t>
      </w:r>
      <w:r w:rsidR="00DD78B2">
        <w:tab/>
        <w:t>Cash Withdrawal</w:t>
      </w:r>
      <w:r w:rsidR="00DD78B2">
        <w:tab/>
        <w:t>$400</w:t>
      </w:r>
      <w:r w:rsidR="00DD78B2">
        <w:tab/>
      </w:r>
      <w:r w:rsidR="00DD78B2">
        <w:tab/>
        <w:t>$</w:t>
      </w:r>
      <w:r w:rsidR="008341E6" w:rsidRPr="00891F26">
        <w:t>435.46</w:t>
      </w:r>
    </w:p>
    <w:p w:rsidR="008341E6" w:rsidRPr="00891F26" w:rsidRDefault="008341E6" w:rsidP="008341E6">
      <w:pPr>
        <w:spacing w:line="480" w:lineRule="exact"/>
        <w:ind w:firstLine="720"/>
      </w:pPr>
      <w:r w:rsidRPr="00891F26">
        <w:t>None of the withdrawal</w:t>
      </w:r>
      <w:r>
        <w:t>s made by r</w:t>
      </w:r>
      <w:r w:rsidRPr="00891F26">
        <w:t>espondent from the CTA between on o</w:t>
      </w:r>
      <w:r w:rsidR="00D53F41">
        <w:t xml:space="preserve">r about July </w:t>
      </w:r>
      <w:r w:rsidRPr="00891F26">
        <w:t xml:space="preserve">6, 2005 and on or about August 12, 2005, were to Hill, Hill’s medical providers, or otherwise for the benefit of Hill. </w:t>
      </w:r>
    </w:p>
    <w:p w:rsidR="008341E6" w:rsidRPr="00891F26" w:rsidRDefault="008341E6" w:rsidP="008341E6">
      <w:pPr>
        <w:spacing w:line="480" w:lineRule="exact"/>
        <w:ind w:firstLine="720"/>
      </w:pPr>
      <w:r>
        <w:t>As of August 30, 2005, r</w:t>
      </w:r>
      <w:r w:rsidRPr="00891F26">
        <w:t>espondent had not disbursed any of Hill’s settlement funds to her or on her behalf.</w:t>
      </w:r>
    </w:p>
    <w:p w:rsidR="008341E6" w:rsidRPr="00891F26" w:rsidRDefault="008341E6" w:rsidP="008341E6">
      <w:pPr>
        <w:spacing w:line="480" w:lineRule="exact"/>
        <w:ind w:firstLine="720"/>
      </w:pPr>
      <w:r w:rsidRPr="00891F26">
        <w:t>From on or about July 6, 200</w:t>
      </w:r>
      <w:r>
        <w:t>5 to at least August 30, 2005, r</w:t>
      </w:r>
      <w:r w:rsidRPr="00891F26">
        <w:t xml:space="preserve">espondent was to have held at least the following amounts in his CTA on behalf of Hill: </w:t>
      </w:r>
    </w:p>
    <w:p w:rsidR="008341E6" w:rsidRPr="00891F26" w:rsidRDefault="008341E6" w:rsidP="00DD78B2">
      <w:pPr>
        <w:tabs>
          <w:tab w:val="left" w:pos="-1440"/>
          <w:tab w:val="left" w:pos="6480"/>
        </w:tabs>
        <w:spacing w:line="480" w:lineRule="exact"/>
        <w:ind w:left="7920" w:right="-270" w:hanging="6480"/>
        <w:rPr>
          <w:b/>
          <w:bCs/>
          <w:u w:val="single"/>
        </w:rPr>
      </w:pPr>
      <w:r w:rsidRPr="00891F26">
        <w:rPr>
          <w:b/>
          <w:bCs/>
          <w:u w:val="single"/>
        </w:rPr>
        <w:t>For:</w:t>
      </w:r>
      <w:r w:rsidR="00DD78B2">
        <w:rPr>
          <w:bCs/>
        </w:rPr>
        <w:tab/>
      </w:r>
      <w:r w:rsidRPr="00891F26">
        <w:rPr>
          <w:b/>
          <w:bCs/>
          <w:u w:val="single"/>
        </w:rPr>
        <w:t>Amount:</w:t>
      </w:r>
    </w:p>
    <w:p w:rsidR="008341E6" w:rsidRPr="00891F26" w:rsidRDefault="008341E6" w:rsidP="00DD78B2">
      <w:pPr>
        <w:spacing w:line="240" w:lineRule="exact"/>
        <w:ind w:hanging="6480"/>
        <w:rPr>
          <w:b/>
          <w:bCs/>
          <w:u w:val="single"/>
        </w:rPr>
      </w:pPr>
      <w:r w:rsidRPr="00891F26">
        <w:t>Hill</w:t>
      </w:r>
      <w:r w:rsidRPr="00891F26">
        <w:rPr>
          <w:b/>
          <w:bCs/>
        </w:rPr>
        <w:tab/>
      </w:r>
    </w:p>
    <w:p w:rsidR="008F4624" w:rsidRDefault="008F4624" w:rsidP="006D267A">
      <w:pPr>
        <w:tabs>
          <w:tab w:val="left" w:pos="-1440"/>
        </w:tabs>
        <w:ind w:left="6480" w:hanging="5040"/>
      </w:pPr>
      <w:r>
        <w:t>Hill</w:t>
      </w:r>
      <w:r w:rsidR="008341E6" w:rsidRPr="00891F26">
        <w:tab/>
      </w:r>
      <w:r w:rsidRPr="00891F26">
        <w:t>$4,000</w:t>
      </w:r>
    </w:p>
    <w:p w:rsidR="008341E6" w:rsidRPr="00891F26" w:rsidRDefault="008F4624" w:rsidP="006D267A">
      <w:pPr>
        <w:tabs>
          <w:tab w:val="left" w:pos="-1440"/>
        </w:tabs>
        <w:ind w:left="1440"/>
        <w:rPr>
          <w:b/>
          <w:bCs/>
          <w:u w:val="single"/>
        </w:rPr>
      </w:pPr>
      <w:r w:rsidRPr="00891F26">
        <w:t>Health Plus</w:t>
      </w:r>
      <w:r w:rsidR="008341E6" w:rsidRPr="00891F26">
        <w:tab/>
      </w:r>
      <w:r w:rsidR="008341E6" w:rsidRPr="00891F26">
        <w:tab/>
      </w:r>
      <w:r w:rsidR="008341E6" w:rsidRPr="00891F26">
        <w:tab/>
      </w:r>
      <w:r w:rsidR="008341E6">
        <w:tab/>
      </w:r>
      <w:r w:rsidR="008341E6">
        <w:tab/>
      </w:r>
      <w:r w:rsidR="008341E6">
        <w:tab/>
      </w:r>
      <w:r w:rsidR="008341E6" w:rsidRPr="00891F26">
        <w:t>$1,610</w:t>
      </w:r>
    </w:p>
    <w:p w:rsidR="008341E6" w:rsidRPr="00891F26" w:rsidRDefault="008341E6" w:rsidP="006D267A">
      <w:pPr>
        <w:tabs>
          <w:tab w:val="left" w:pos="-1440"/>
        </w:tabs>
        <w:ind w:left="6480" w:hanging="5040"/>
      </w:pPr>
      <w:r w:rsidRPr="00891F26">
        <w:t>Hemet Valley Emergency Medical Group</w:t>
      </w:r>
      <w:r w:rsidRPr="00891F26">
        <w:tab/>
        <w:t>$252</w:t>
      </w:r>
    </w:p>
    <w:p w:rsidR="008341E6" w:rsidRPr="00891F26" w:rsidRDefault="008341E6" w:rsidP="006D267A">
      <w:pPr>
        <w:tabs>
          <w:tab w:val="left" w:pos="-1440"/>
        </w:tabs>
        <w:ind w:left="6480" w:hanging="5040"/>
      </w:pPr>
      <w:r w:rsidRPr="00891F26">
        <w:t>Ora</w:t>
      </w:r>
      <w:r w:rsidR="008F4624">
        <w:t>nge County Bureau</w:t>
      </w:r>
      <w:r>
        <w:tab/>
      </w:r>
      <w:r w:rsidRPr="00891F26">
        <w:t>$2,001</w:t>
      </w:r>
    </w:p>
    <w:p w:rsidR="008341E6" w:rsidRPr="00891F26" w:rsidRDefault="006D267A" w:rsidP="006D267A">
      <w:pPr>
        <w:tabs>
          <w:tab w:val="left" w:pos="-1440"/>
          <w:tab w:val="left" w:pos="6480"/>
        </w:tabs>
        <w:ind w:left="7200" w:hanging="5760"/>
      </w:pPr>
      <w:r>
        <w:t>Allen Group Ambulance</w:t>
      </w:r>
      <w:r>
        <w:tab/>
      </w:r>
      <w:r w:rsidR="008341E6" w:rsidRPr="00891F26">
        <w:t>$1,118</w:t>
      </w:r>
      <w:r w:rsidR="008341E6" w:rsidRPr="00891F26">
        <w:tab/>
      </w:r>
    </w:p>
    <w:p w:rsidR="008341E6" w:rsidRPr="00891F26" w:rsidRDefault="008341E6" w:rsidP="006D267A">
      <w:pPr>
        <w:tabs>
          <w:tab w:val="left" w:pos="-1440"/>
          <w:tab w:val="left" w:pos="6480"/>
        </w:tabs>
        <w:ind w:left="7200" w:hanging="5760"/>
      </w:pPr>
      <w:r w:rsidRPr="00891F26">
        <w:t>Hemet Radiology</w:t>
      </w:r>
      <w:r w:rsidR="006D267A">
        <w:tab/>
        <w:t>$117</w:t>
      </w:r>
    </w:p>
    <w:p w:rsidR="008341E6" w:rsidRPr="00891F26" w:rsidRDefault="008341E6" w:rsidP="008341E6">
      <w:pPr>
        <w:spacing w:line="240" w:lineRule="exact"/>
        <w:ind w:left="5040"/>
      </w:pPr>
    </w:p>
    <w:p w:rsidR="008341E6" w:rsidRPr="00891F26" w:rsidRDefault="006D267A" w:rsidP="008341E6">
      <w:pPr>
        <w:tabs>
          <w:tab w:val="left" w:pos="-1440"/>
        </w:tabs>
        <w:spacing w:line="240" w:lineRule="exact"/>
        <w:ind w:left="6480" w:hanging="1440"/>
      </w:pPr>
      <w:r>
        <w:t>TOTAL:</w:t>
      </w:r>
      <w:r w:rsidR="008341E6">
        <w:tab/>
      </w:r>
      <w:r w:rsidR="008341E6" w:rsidRPr="00B73B45">
        <w:rPr>
          <w:u w:val="single"/>
        </w:rPr>
        <w:t>$9,098</w:t>
      </w:r>
    </w:p>
    <w:p w:rsidR="008341E6" w:rsidRPr="00891F26" w:rsidRDefault="008341E6" w:rsidP="008341E6">
      <w:pPr>
        <w:spacing w:line="480" w:lineRule="exact"/>
      </w:pPr>
    </w:p>
    <w:p w:rsidR="00D53F41" w:rsidRDefault="00D53F41" w:rsidP="00D53F41">
      <w:pPr>
        <w:spacing w:line="480" w:lineRule="auto"/>
        <w:ind w:firstLine="720"/>
      </w:pPr>
      <w:r>
        <w:t xml:space="preserve">Respondent acknowledged at trial withdrawing Hill’s funds from his client trust account and using those funds for his own purposes.  He contends, however, that he did this only after asking Ms. Hill to be allowed to borrow the funds for a couple of weeks and </w:t>
      </w:r>
      <w:r w:rsidR="0021358D">
        <w:t xml:space="preserve">after </w:t>
      </w:r>
      <w:r>
        <w:t>Ms. H</w:t>
      </w:r>
      <w:r w:rsidR="0021358D">
        <w:t>ill agreed</w:t>
      </w:r>
      <w:r>
        <w:t xml:space="preserve"> to the loan.  </w:t>
      </w:r>
      <w:r w:rsidR="00681D75">
        <w:t>The C</w:t>
      </w:r>
      <w:r w:rsidR="0078087A">
        <w:t>ourt does not find this testimony to be credible or convincing.  There is no written record of any such loan transaction between respondent and his client</w:t>
      </w:r>
      <w:r w:rsidR="000D32B0">
        <w:t>,</w:t>
      </w:r>
      <w:r w:rsidR="0078087A">
        <w:t xml:space="preserve"> and </w:t>
      </w:r>
      <w:r w:rsidR="0021358D">
        <w:t xml:space="preserve">there is </w:t>
      </w:r>
      <w:r w:rsidR="0078087A">
        <w:t xml:space="preserve">no </w:t>
      </w:r>
      <w:r w:rsidR="0078087A">
        <w:lastRenderedPageBreak/>
        <w:t xml:space="preserve">evidence that he took the steps that would have been required </w:t>
      </w:r>
      <w:r w:rsidR="000D32B0">
        <w:t>of</w:t>
      </w:r>
      <w:r w:rsidR="0078087A">
        <w:t xml:space="preserve"> him by rule 3-300 </w:t>
      </w:r>
      <w:r w:rsidR="000D32B0">
        <w:t>if there had been</w:t>
      </w:r>
      <w:r w:rsidR="0078087A">
        <w:t xml:space="preserve"> such a business transaction with an existing client.  Moreover, Ms. Hill testified both emotionally and credibly that she never agreed to any such arrangement, and she presented documentary evidence corroborating that she was complaining at the time of this purported loan about not having received her funds and about respondent failing to return her calls.</w:t>
      </w:r>
    </w:p>
    <w:p w:rsidR="008341E6" w:rsidRDefault="0078087A" w:rsidP="00D53F41">
      <w:pPr>
        <w:spacing w:line="480" w:lineRule="auto"/>
        <w:ind w:firstLine="720"/>
      </w:pPr>
      <w:r>
        <w:t xml:space="preserve">After respondent had used Hill’s funds for a period because of his financial problems, he eventually repaid the funds to her or paid it out on her behalf.  </w:t>
      </w:r>
      <w:r w:rsidR="008341E6" w:rsidRPr="00891F26">
        <w:t xml:space="preserve">Between September </w:t>
      </w:r>
      <w:r w:rsidR="008341E6">
        <w:t>7, 2005 and February 22, 2006, r</w:t>
      </w:r>
      <w:r w:rsidR="008341E6" w:rsidRPr="00891F26">
        <w:t xml:space="preserve">espondent issued checks from his personal account at Citibank made payable to Hill and the medical providers in the respective amounts listed in </w:t>
      </w:r>
      <w:r w:rsidR="00D53F41">
        <w:t>the above chart</w:t>
      </w:r>
      <w:r w:rsidR="008341E6" w:rsidRPr="00891F26">
        <w:t xml:space="preserve">. </w:t>
      </w:r>
    </w:p>
    <w:p w:rsidR="008341E6" w:rsidRPr="00CB31BE" w:rsidRDefault="001F0AC0" w:rsidP="008341E6">
      <w:pPr>
        <w:spacing w:line="480" w:lineRule="auto"/>
        <w:ind w:firstLine="720"/>
        <w:rPr>
          <w:b/>
          <w:i/>
        </w:rPr>
      </w:pPr>
      <w:r>
        <w:rPr>
          <w:b/>
          <w:i/>
        </w:rPr>
        <w:t>Count 7</w:t>
      </w:r>
      <w:r w:rsidR="008341E6" w:rsidRPr="00CB31BE">
        <w:rPr>
          <w:b/>
          <w:i/>
        </w:rPr>
        <w:t xml:space="preserve"> – Failure to </w:t>
      </w:r>
      <w:r w:rsidR="008341E6">
        <w:rPr>
          <w:b/>
          <w:i/>
        </w:rPr>
        <w:t>Maintain Client Funds in Trust Account</w:t>
      </w:r>
      <w:r w:rsidR="008341E6" w:rsidRPr="00CB31BE">
        <w:rPr>
          <w:b/>
          <w:i/>
        </w:rPr>
        <w:t xml:space="preserve"> </w:t>
      </w:r>
      <w:r w:rsidR="008341E6">
        <w:rPr>
          <w:b/>
          <w:i/>
        </w:rPr>
        <w:t>[Rule 4-100(A)]</w:t>
      </w:r>
    </w:p>
    <w:p w:rsidR="00A270E3" w:rsidRPr="0007435E" w:rsidRDefault="00A270E3" w:rsidP="00A270E3">
      <w:pPr>
        <w:spacing w:line="480" w:lineRule="auto"/>
        <w:ind w:firstLine="720"/>
      </w:pPr>
      <w:r>
        <w:t xml:space="preserve">Rule 4-100(A) of the Rules of Professional Conduct requires that all funds received or held for the benefit of clients by an attorney or law firm, including advances for costs and expenses, shall be deposited and maintained in a designated client trust account.  This obligation includes funds held by the attorney for the purpose of paying medical liens. </w:t>
      </w:r>
      <w:r w:rsidR="000D2088">
        <w:t xml:space="preserve"> </w:t>
      </w:r>
      <w:proofErr w:type="gramStart"/>
      <w:r>
        <w:t>(</w:t>
      </w:r>
      <w:r w:rsidR="00406027" w:rsidRPr="000D2088">
        <w:rPr>
          <w:i/>
        </w:rPr>
        <w:t>In</w:t>
      </w:r>
      <w:r w:rsidR="00406027">
        <w:t xml:space="preserve"> </w:t>
      </w:r>
      <w:r w:rsidR="00406027" w:rsidRPr="000D2088">
        <w:rPr>
          <w:i/>
        </w:rPr>
        <w:t>the Matter of Dyson</w:t>
      </w:r>
      <w:r w:rsidR="00406027">
        <w:rPr>
          <w:i/>
        </w:rPr>
        <w:t xml:space="preserve"> </w:t>
      </w:r>
      <w:r w:rsidR="00406027" w:rsidRPr="000D2088">
        <w:t>(Review Dept. 1990) 1 Cal. State Bar Ct. Rptr. 280,</w:t>
      </w:r>
      <w:r w:rsidRPr="000D2088">
        <w:t xml:space="preserve"> 286.)</w:t>
      </w:r>
      <w:proofErr w:type="gramEnd"/>
    </w:p>
    <w:p w:rsidR="00A270E3" w:rsidRDefault="00CD6034" w:rsidP="00A270E3">
      <w:pPr>
        <w:pStyle w:val="Level1"/>
        <w:spacing w:line="480" w:lineRule="auto"/>
        <w:ind w:left="0" w:firstLine="720"/>
        <w:outlineLvl w:val="0"/>
      </w:pPr>
      <w:r>
        <w:t xml:space="preserve">By intentionally withdrawing Ms. Hill’s funds for his </w:t>
      </w:r>
      <w:r w:rsidR="00F879C1">
        <w:t>own use without authorization from</w:t>
      </w:r>
      <w:r>
        <w:t xml:space="preserve"> his client, and b</w:t>
      </w:r>
      <w:r w:rsidR="00A270E3">
        <w:t>y failing to maintain in his client trust account the balance of the funds received by him for Ms. Hill</w:t>
      </w:r>
      <w:r w:rsidR="00F879C1">
        <w:t xml:space="preserve"> and her medical providers</w:t>
      </w:r>
      <w:r w:rsidR="00A270E3">
        <w:t xml:space="preserve">, respondent </w:t>
      </w:r>
      <w:r w:rsidR="00DA671B">
        <w:t>willful</w:t>
      </w:r>
      <w:r w:rsidR="00A270E3">
        <w:t>ly failed to comply with rule 4-100(A).</w:t>
      </w:r>
      <w:r w:rsidR="00A270E3">
        <w:rPr>
          <w:rStyle w:val="FootnoteReference"/>
        </w:rPr>
        <w:footnoteReference w:id="1"/>
      </w:r>
    </w:p>
    <w:p w:rsidR="008341E6" w:rsidRDefault="008341E6" w:rsidP="008341E6">
      <w:pPr>
        <w:spacing w:line="480" w:lineRule="auto"/>
        <w:ind w:firstLine="720"/>
        <w:rPr>
          <w:b/>
          <w:i/>
        </w:rPr>
      </w:pPr>
      <w:r w:rsidRPr="00BD2A6E">
        <w:rPr>
          <w:b/>
          <w:i/>
        </w:rPr>
        <w:lastRenderedPageBreak/>
        <w:t xml:space="preserve">Count </w:t>
      </w:r>
      <w:r w:rsidR="001F0AC0">
        <w:rPr>
          <w:b/>
          <w:i/>
        </w:rPr>
        <w:t>8</w:t>
      </w:r>
      <w:r w:rsidRPr="00BD2A6E">
        <w:rPr>
          <w:b/>
          <w:i/>
        </w:rPr>
        <w:t xml:space="preserve"> – </w:t>
      </w:r>
      <w:r>
        <w:rPr>
          <w:b/>
          <w:i/>
        </w:rPr>
        <w:t>Moral Turpitude</w:t>
      </w:r>
      <w:r w:rsidR="00A5701D">
        <w:rPr>
          <w:b/>
          <w:i/>
        </w:rPr>
        <w:t xml:space="preserve"> </w:t>
      </w:r>
      <w:r>
        <w:rPr>
          <w:b/>
          <w:i/>
        </w:rPr>
        <w:t>- Misappropriation [Section 6106]</w:t>
      </w:r>
    </w:p>
    <w:p w:rsidR="00A270E3" w:rsidRDefault="00A270E3" w:rsidP="008341E6">
      <w:pPr>
        <w:spacing w:line="480" w:lineRule="auto"/>
        <w:ind w:firstLine="720"/>
      </w:pPr>
      <w:r>
        <w:t xml:space="preserve">Section 6106 of the Business and Professions Code prohibits an attorney from engaging in conduct involving moral turpitude, dishonesty or corruption.  While moral turpitude generally requires a certain level of intent, guilty knowledge, or </w:t>
      </w:r>
      <w:r w:rsidR="00DA671B">
        <w:t>willful</w:t>
      </w:r>
      <w:r>
        <w:t>ness, a finding of gross negligence will support such a charge where an attorney’s fiduciary obligations, particularly trust account duties, are involved.  (</w:t>
      </w:r>
      <w:r>
        <w:rPr>
          <w:i/>
          <w:iCs/>
        </w:rPr>
        <w:t>In the Matter of Blum</w:t>
      </w:r>
      <w:r>
        <w:t xml:space="preserve"> (Review Dept. 2002) 4 Cal. </w:t>
      </w:r>
      <w:proofErr w:type="gramStart"/>
      <w:r>
        <w:t>State</w:t>
      </w:r>
      <w:proofErr w:type="gramEnd"/>
      <w:r>
        <w:t xml:space="preserve"> Bar Ct. Rptr. 403, 410.)</w:t>
      </w:r>
    </w:p>
    <w:p w:rsidR="00A270E3" w:rsidRPr="00E22478" w:rsidRDefault="00644DE2" w:rsidP="008341E6">
      <w:pPr>
        <w:spacing w:line="480" w:lineRule="auto"/>
        <w:ind w:firstLine="720"/>
      </w:pPr>
      <w:r>
        <w:t xml:space="preserve">By intentionally withdrawing Ms. Hill’s funds for his </w:t>
      </w:r>
      <w:r w:rsidR="00F879C1">
        <w:t>own use without authorization from</w:t>
      </w:r>
      <w:r>
        <w:t xml:space="preserve"> his client, r</w:t>
      </w:r>
      <w:r w:rsidR="00A270E3">
        <w:t xml:space="preserve">espondent </w:t>
      </w:r>
      <w:r w:rsidR="00681D75">
        <w:t xml:space="preserve">intentionally </w:t>
      </w:r>
      <w:r w:rsidR="00A270E3">
        <w:t>misappropriated for his own purpose</w:t>
      </w:r>
      <w:r w:rsidR="00F879C1">
        <w:t>s</w:t>
      </w:r>
      <w:r w:rsidR="00A270E3">
        <w:t xml:space="preserve"> more than $9,000 of his client’s funds.  Such conduct by him constitutes an act of moral turpitude, in willful violation of section 6106.</w:t>
      </w:r>
    </w:p>
    <w:p w:rsidR="0082649F" w:rsidRDefault="0082649F" w:rsidP="0082649F">
      <w:pPr>
        <w:spacing w:line="480" w:lineRule="auto"/>
        <w:rPr>
          <w:b/>
          <w:bCs/>
        </w:rPr>
      </w:pPr>
      <w:r>
        <w:rPr>
          <w:b/>
          <w:color w:val="000000"/>
        </w:rPr>
        <w:t>Daines-Madak</w:t>
      </w:r>
      <w:r w:rsidRPr="001265C5">
        <w:rPr>
          <w:color w:val="000000"/>
        </w:rPr>
        <w:t xml:space="preserve"> </w:t>
      </w:r>
      <w:r w:rsidRPr="00995849">
        <w:rPr>
          <w:b/>
          <w:bCs/>
        </w:rPr>
        <w:t>Matter [</w:t>
      </w:r>
      <w:r w:rsidRPr="00F13E0B">
        <w:rPr>
          <w:b/>
        </w:rPr>
        <w:t xml:space="preserve">Case No. </w:t>
      </w:r>
      <w:r>
        <w:rPr>
          <w:b/>
          <w:bCs/>
        </w:rPr>
        <w:t>05-O-04919</w:t>
      </w:r>
      <w:r w:rsidRPr="00995849">
        <w:rPr>
          <w:b/>
          <w:bCs/>
        </w:rPr>
        <w:t>]</w:t>
      </w:r>
    </w:p>
    <w:p w:rsidR="006305F3" w:rsidRDefault="00681D75" w:rsidP="00681D75">
      <w:pPr>
        <w:spacing w:line="480" w:lineRule="auto"/>
        <w:ind w:firstLine="720"/>
      </w:pPr>
      <w:r>
        <w:t>In or about 2004, r</w:t>
      </w:r>
      <w:r w:rsidR="0082649F" w:rsidRPr="00891F26">
        <w:t xml:space="preserve">espondent was hired by Nancy Daines-Madak (“Daines-Madak”) to represent her in her marital dissolution.  </w:t>
      </w:r>
      <w:r w:rsidR="006305F3">
        <w:t xml:space="preserve">She paid him $2,500 to handle the dissolution.  </w:t>
      </w:r>
    </w:p>
    <w:p w:rsidR="0082649F" w:rsidRDefault="00681D75" w:rsidP="00681D75">
      <w:pPr>
        <w:spacing w:line="480" w:lineRule="auto"/>
        <w:ind w:firstLine="720"/>
      </w:pPr>
      <w:r>
        <w:t>In or about mid-December 2004, r</w:t>
      </w:r>
      <w:r w:rsidR="0082649F" w:rsidRPr="00891F26">
        <w:t xml:space="preserve">espondent received a check from opposing counsel in the amount of $29,869.93, </w:t>
      </w:r>
      <w:r w:rsidR="00DB6BE5">
        <w:t>representing</w:t>
      </w:r>
      <w:r w:rsidR="0082649F" w:rsidRPr="00891F26">
        <w:t xml:space="preserve"> </w:t>
      </w:r>
      <w:r w:rsidR="006305F3">
        <w:t xml:space="preserve">Ms. </w:t>
      </w:r>
      <w:r w:rsidR="0082649F" w:rsidRPr="00891F26">
        <w:t>Daines-Madak’s share of the proceeds from the sale of the home formerly owned by Dain</w:t>
      </w:r>
      <w:r>
        <w:t>es-Madak and her ex-husband.</w:t>
      </w:r>
    </w:p>
    <w:p w:rsidR="0082649F" w:rsidRPr="00891F26" w:rsidRDefault="00681D75" w:rsidP="00681D75">
      <w:pPr>
        <w:spacing w:line="480" w:lineRule="auto"/>
        <w:ind w:firstLine="720"/>
      </w:pPr>
      <w:r>
        <w:t>On or about December 28, 2004, r</w:t>
      </w:r>
      <w:r w:rsidR="0082649F" w:rsidRPr="00891F26">
        <w:t xml:space="preserve">espondent deposited Daines-Madak’s funds into his CTA.  On or about that </w:t>
      </w:r>
      <w:r>
        <w:t xml:space="preserve">same </w:t>
      </w:r>
      <w:r w:rsidR="0082649F" w:rsidRPr="00891F26">
        <w:t>day, following the deposit of Daines-Madak’s funds into his CTA, the balance in the CTA was $29,919.00.  Between on or about December 28, 2004</w:t>
      </w:r>
      <w:r>
        <w:t>,</w:t>
      </w:r>
      <w:r w:rsidR="0082649F" w:rsidRPr="00891F26">
        <w:t xml:space="preserve"> and </w:t>
      </w:r>
      <w:r>
        <w:t xml:space="preserve">on or </w:t>
      </w:r>
      <w:r>
        <w:lastRenderedPageBreak/>
        <w:t>about December 31, 2004, r</w:t>
      </w:r>
      <w:r w:rsidR="0082649F" w:rsidRPr="00891F26">
        <w:t xml:space="preserve">espondent did not disburse any of </w:t>
      </w:r>
      <w:r w:rsidR="0086063C">
        <w:t xml:space="preserve">the </w:t>
      </w:r>
      <w:r w:rsidR="0082649F" w:rsidRPr="00891F26">
        <w:t xml:space="preserve">Daines-Madak’s funds to Daines-Madak or to anyone on her behalf.  </w:t>
      </w:r>
    </w:p>
    <w:p w:rsidR="0082649F" w:rsidRPr="00891F26" w:rsidRDefault="0082649F" w:rsidP="00681D75">
      <w:pPr>
        <w:spacing w:line="480" w:lineRule="auto"/>
        <w:ind w:firstLine="720"/>
      </w:pPr>
      <w:r w:rsidRPr="00891F26">
        <w:t xml:space="preserve">Between on or about December 28, 2004 and </w:t>
      </w:r>
      <w:r w:rsidR="00681D75">
        <w:t>on or about December 31, 2004, r</w:t>
      </w:r>
      <w:r w:rsidRPr="00891F26">
        <w:t xml:space="preserve">espondent made four cash withdrawals for himself from </w:t>
      </w:r>
      <w:r w:rsidR="0086063C">
        <w:t xml:space="preserve">the </w:t>
      </w:r>
      <w:r w:rsidRPr="00891F26">
        <w:t>Daines-Madak’s funds.  In addition, between on or about December 28, 2004 and on or about Dece</w:t>
      </w:r>
      <w:r w:rsidR="00681D75">
        <w:t>mber 31, 2004,  the balance in r</w:t>
      </w:r>
      <w:r w:rsidRPr="00891F26">
        <w:t>espondent’s CTA fell below $29,869.93 on repeated dates including, but not limited to the following:</w:t>
      </w:r>
    </w:p>
    <w:p w:rsidR="0082649F" w:rsidRPr="00891F26" w:rsidRDefault="0082649F" w:rsidP="00AE7CBB">
      <w:pPr>
        <w:tabs>
          <w:tab w:val="left" w:pos="-1440"/>
          <w:tab w:val="left" w:pos="3600"/>
          <w:tab w:val="left" w:pos="5760"/>
          <w:tab w:val="left" w:pos="7200"/>
        </w:tabs>
        <w:spacing w:line="240" w:lineRule="exact"/>
        <w:ind w:left="6480" w:hanging="5040"/>
      </w:pPr>
      <w:r w:rsidRPr="00891F26">
        <w:rPr>
          <w:b/>
          <w:bCs/>
          <w:u w:val="single"/>
        </w:rPr>
        <w:t>Date:</w:t>
      </w:r>
      <w:r w:rsidR="00AE7CBB">
        <w:rPr>
          <w:bCs/>
        </w:rPr>
        <w:tab/>
      </w:r>
      <w:r w:rsidRPr="00891F26">
        <w:rPr>
          <w:b/>
          <w:bCs/>
          <w:u w:val="single"/>
        </w:rPr>
        <w:t>Payee:</w:t>
      </w:r>
      <w:r w:rsidRPr="00891F26">
        <w:rPr>
          <w:b/>
          <w:bCs/>
        </w:rPr>
        <w:tab/>
      </w:r>
      <w:r w:rsidRPr="00891F26">
        <w:rPr>
          <w:b/>
          <w:bCs/>
          <w:u w:val="single"/>
        </w:rPr>
        <w:t>Amount:</w:t>
      </w:r>
      <w:r w:rsidRPr="00891F26">
        <w:rPr>
          <w:b/>
          <w:bCs/>
        </w:rPr>
        <w:tab/>
      </w:r>
      <w:r w:rsidRPr="00891F26">
        <w:rPr>
          <w:b/>
          <w:bCs/>
          <w:u w:val="single"/>
        </w:rPr>
        <w:t>Balance:</w:t>
      </w:r>
    </w:p>
    <w:p w:rsidR="0082649F" w:rsidRPr="00891F26" w:rsidRDefault="0082649F" w:rsidP="0082649F">
      <w:pPr>
        <w:spacing w:line="240" w:lineRule="exact"/>
      </w:pPr>
    </w:p>
    <w:p w:rsidR="0082649F" w:rsidRDefault="00AE7CBB" w:rsidP="00AE7CBB">
      <w:pPr>
        <w:tabs>
          <w:tab w:val="left" w:pos="-1440"/>
          <w:tab w:val="left" w:pos="3600"/>
          <w:tab w:val="left" w:pos="5760"/>
        </w:tabs>
        <w:ind w:left="6480" w:hanging="5040"/>
      </w:pPr>
      <w:r>
        <w:t>12/28/04</w:t>
      </w:r>
      <w:r>
        <w:tab/>
        <w:t xml:space="preserve">Respondent </w:t>
      </w:r>
      <w:r>
        <w:tab/>
      </w:r>
      <w:r w:rsidR="0082649F" w:rsidRPr="00891F26">
        <w:t>$1,000</w:t>
      </w:r>
      <w:r w:rsidR="0082649F" w:rsidRPr="00891F26">
        <w:tab/>
      </w:r>
      <w:r w:rsidR="0082649F" w:rsidRPr="00891F26">
        <w:tab/>
        <w:t>$28,919.00</w:t>
      </w:r>
    </w:p>
    <w:p w:rsidR="00AE7CBB" w:rsidRPr="00891F26" w:rsidRDefault="00AE7CBB" w:rsidP="00AE7CBB">
      <w:pPr>
        <w:tabs>
          <w:tab w:val="left" w:pos="-1440"/>
          <w:tab w:val="left" w:pos="3600"/>
          <w:tab w:val="left" w:pos="5760"/>
        </w:tabs>
        <w:ind w:left="6480" w:hanging="5040"/>
      </w:pPr>
    </w:p>
    <w:p w:rsidR="0082649F" w:rsidRDefault="00AE7CBB" w:rsidP="00AE7CBB">
      <w:pPr>
        <w:tabs>
          <w:tab w:val="left" w:pos="-1440"/>
          <w:tab w:val="left" w:pos="3600"/>
          <w:tab w:val="left" w:pos="5760"/>
          <w:tab w:val="left" w:pos="7200"/>
        </w:tabs>
        <w:ind w:left="6480" w:hanging="5040"/>
      </w:pPr>
      <w:r>
        <w:t>12/30/04</w:t>
      </w:r>
      <w:r>
        <w:tab/>
        <w:t xml:space="preserve">Respondent </w:t>
      </w:r>
      <w:r>
        <w:tab/>
      </w:r>
      <w:r w:rsidR="0082649F" w:rsidRPr="00891F26">
        <w:t>$25,000</w:t>
      </w:r>
      <w:r w:rsidR="0082649F" w:rsidRPr="00891F26">
        <w:tab/>
      </w:r>
      <w:r>
        <w:t>$</w:t>
      </w:r>
      <w:r w:rsidR="0082649F" w:rsidRPr="00891F26">
        <w:t>3,669.00</w:t>
      </w:r>
    </w:p>
    <w:p w:rsidR="00AE7CBB" w:rsidRPr="00891F26" w:rsidRDefault="00AE7CBB" w:rsidP="00AE7CBB">
      <w:pPr>
        <w:tabs>
          <w:tab w:val="left" w:pos="-1440"/>
          <w:tab w:val="left" w:pos="3600"/>
          <w:tab w:val="left" w:pos="5760"/>
          <w:tab w:val="left" w:pos="7200"/>
        </w:tabs>
        <w:ind w:left="6480" w:hanging="5040"/>
      </w:pPr>
    </w:p>
    <w:p w:rsidR="0082649F" w:rsidRDefault="00AE7CBB" w:rsidP="00AE7CBB">
      <w:pPr>
        <w:tabs>
          <w:tab w:val="left" w:pos="-1440"/>
          <w:tab w:val="left" w:pos="3600"/>
          <w:tab w:val="left" w:pos="5760"/>
          <w:tab w:val="left" w:pos="7200"/>
        </w:tabs>
        <w:ind w:left="6480" w:hanging="5040"/>
      </w:pPr>
      <w:r>
        <w:t>12/31/04</w:t>
      </w:r>
      <w:r>
        <w:tab/>
        <w:t xml:space="preserve">Respondent </w:t>
      </w:r>
      <w:r>
        <w:tab/>
        <w:t>$1,000</w:t>
      </w:r>
      <w:r>
        <w:tab/>
      </w:r>
      <w:r>
        <w:tab/>
        <w:t>$</w:t>
      </w:r>
      <w:r w:rsidR="0082649F" w:rsidRPr="00891F26">
        <w:t>4,636.06</w:t>
      </w:r>
    </w:p>
    <w:p w:rsidR="00AE7CBB" w:rsidRPr="00891F26" w:rsidRDefault="00AE7CBB" w:rsidP="00AE7CBB">
      <w:pPr>
        <w:tabs>
          <w:tab w:val="left" w:pos="-1440"/>
          <w:tab w:val="left" w:pos="3600"/>
          <w:tab w:val="left" w:pos="5760"/>
          <w:tab w:val="left" w:pos="7200"/>
        </w:tabs>
        <w:ind w:left="6480" w:hanging="5040"/>
      </w:pPr>
    </w:p>
    <w:p w:rsidR="0082649F" w:rsidRDefault="00AE7CBB" w:rsidP="00AE7CBB">
      <w:pPr>
        <w:tabs>
          <w:tab w:val="left" w:pos="-1440"/>
          <w:tab w:val="left" w:pos="3600"/>
          <w:tab w:val="left" w:pos="5760"/>
          <w:tab w:val="left" w:pos="7200"/>
        </w:tabs>
        <w:spacing w:line="240" w:lineRule="exact"/>
        <w:ind w:left="6480" w:hanging="5040"/>
      </w:pPr>
      <w:r>
        <w:t>12/31/04</w:t>
      </w:r>
      <w:r>
        <w:tab/>
        <w:t xml:space="preserve">Respondent </w:t>
      </w:r>
      <w:r>
        <w:tab/>
        <w:t>$1,000</w:t>
      </w:r>
      <w:r>
        <w:tab/>
      </w:r>
      <w:r>
        <w:tab/>
        <w:t>$</w:t>
      </w:r>
      <w:r w:rsidR="0082649F" w:rsidRPr="00891F26">
        <w:t>3,623.82</w:t>
      </w:r>
    </w:p>
    <w:p w:rsidR="00681D75" w:rsidRDefault="00681D75" w:rsidP="00AE7CBB">
      <w:pPr>
        <w:tabs>
          <w:tab w:val="left" w:pos="-1440"/>
          <w:tab w:val="left" w:pos="3600"/>
          <w:tab w:val="left" w:pos="5760"/>
          <w:tab w:val="left" w:pos="7200"/>
        </w:tabs>
        <w:spacing w:line="240" w:lineRule="exact"/>
        <w:ind w:left="6480" w:hanging="5040"/>
      </w:pPr>
    </w:p>
    <w:p w:rsidR="0082649F" w:rsidRPr="00891F26" w:rsidRDefault="006305F3" w:rsidP="006305F3">
      <w:pPr>
        <w:tabs>
          <w:tab w:val="left" w:pos="-1440"/>
        </w:tabs>
        <w:spacing w:line="480" w:lineRule="auto"/>
        <w:ind w:firstLine="720"/>
      </w:pPr>
      <w:r>
        <w:t xml:space="preserve">Respondent testified that Ms. Daines-Madak had agreed to loan him the money in exchange for his agreement not to charge her any additional fees for handling the dissolution action.  The Court does not find this testimony to be credible or convincing.  </w:t>
      </w:r>
      <w:r w:rsidR="000D32B0">
        <w:t xml:space="preserve">There is no written record of any such loan transaction between respondent and his client, and there is no evidence that he took the steps that would have been required of him by rule 3-300 if there had been such a business transaction with an existing client. </w:t>
      </w:r>
      <w:r>
        <w:t xml:space="preserve"> Moreover, Ms. Daines-Madak, who is employed at the San Bernardino Sheriff’s Department, testified credibly that she never agreed to any such arrangement.  Instead she complained that she had felt that the dissolution was taking too long to be finalized; that she had only gotten $10,000 of the funds in April 2005</w:t>
      </w:r>
      <w:r w:rsidR="0086063C">
        <w:t>,</w:t>
      </w:r>
      <w:r>
        <w:t xml:space="preserve"> when she indicated to respondent that she needed funds; and that she did not get the remaining funds until the dissolution was finalized in May 2005.</w:t>
      </w:r>
    </w:p>
    <w:p w:rsidR="0082649F" w:rsidRDefault="001F0AC0" w:rsidP="0082649F">
      <w:pPr>
        <w:spacing w:line="480" w:lineRule="auto"/>
        <w:ind w:firstLine="720"/>
        <w:rPr>
          <w:b/>
          <w:i/>
        </w:rPr>
      </w:pPr>
      <w:r>
        <w:rPr>
          <w:b/>
          <w:i/>
        </w:rPr>
        <w:t>Count 9</w:t>
      </w:r>
      <w:r w:rsidR="0082649F" w:rsidRPr="00CB31BE">
        <w:rPr>
          <w:b/>
          <w:i/>
        </w:rPr>
        <w:t xml:space="preserve"> – Failure to </w:t>
      </w:r>
      <w:r w:rsidR="0082649F">
        <w:rPr>
          <w:b/>
          <w:i/>
        </w:rPr>
        <w:t>Maintain Client Funds in Trust Account</w:t>
      </w:r>
      <w:r w:rsidR="0082649F" w:rsidRPr="00CB31BE">
        <w:rPr>
          <w:b/>
          <w:i/>
        </w:rPr>
        <w:t xml:space="preserve"> </w:t>
      </w:r>
      <w:r w:rsidR="0082649F">
        <w:rPr>
          <w:b/>
          <w:i/>
        </w:rPr>
        <w:t>[Rule 4-100(A)]</w:t>
      </w:r>
    </w:p>
    <w:p w:rsidR="006305F3" w:rsidRDefault="00CD6034" w:rsidP="006305F3">
      <w:pPr>
        <w:pStyle w:val="Level1"/>
        <w:spacing w:line="480" w:lineRule="auto"/>
        <w:ind w:left="0" w:firstLine="720"/>
        <w:outlineLvl w:val="0"/>
      </w:pPr>
      <w:r>
        <w:lastRenderedPageBreak/>
        <w:t>By intentionally withdrawing Ms. Daines-Madak’s funds for his own use without authorization by his client, and b</w:t>
      </w:r>
      <w:r w:rsidR="006305F3">
        <w:t xml:space="preserve">y failing to maintain in his client trust account the balance of the funds received by him for Ms. Daines-Madak, respondent </w:t>
      </w:r>
      <w:r w:rsidR="00DA671B">
        <w:t>willful</w:t>
      </w:r>
      <w:r w:rsidR="006305F3">
        <w:t>ly failed to comply with rule 4-100(A).</w:t>
      </w:r>
    </w:p>
    <w:p w:rsidR="006305F3" w:rsidRPr="006305F3" w:rsidRDefault="0082649F" w:rsidP="00411672">
      <w:pPr>
        <w:spacing w:line="480" w:lineRule="auto"/>
        <w:ind w:left="720"/>
      </w:pPr>
      <w:r w:rsidRPr="00BD2A6E">
        <w:rPr>
          <w:b/>
          <w:i/>
        </w:rPr>
        <w:t xml:space="preserve">Count </w:t>
      </w:r>
      <w:r w:rsidR="001F0AC0">
        <w:rPr>
          <w:b/>
          <w:i/>
        </w:rPr>
        <w:t>10</w:t>
      </w:r>
      <w:r w:rsidRPr="00BD2A6E">
        <w:rPr>
          <w:b/>
          <w:i/>
        </w:rPr>
        <w:t xml:space="preserve"> – </w:t>
      </w:r>
      <w:r>
        <w:rPr>
          <w:b/>
          <w:i/>
        </w:rPr>
        <w:t>Moral Turpitude</w:t>
      </w:r>
      <w:r w:rsidR="00A5701D">
        <w:rPr>
          <w:b/>
          <w:i/>
        </w:rPr>
        <w:t xml:space="preserve"> </w:t>
      </w:r>
      <w:r>
        <w:rPr>
          <w:b/>
          <w:i/>
        </w:rPr>
        <w:t>- Misappropriation [Section 6106]</w:t>
      </w:r>
    </w:p>
    <w:p w:rsidR="00411672" w:rsidRDefault="00644DE2" w:rsidP="00411672">
      <w:pPr>
        <w:spacing w:line="480" w:lineRule="auto"/>
        <w:ind w:firstLine="720"/>
        <w:rPr>
          <w:b/>
          <w:color w:val="000000"/>
        </w:rPr>
      </w:pPr>
      <w:r>
        <w:t xml:space="preserve">By intentionally withdrawing Ms. Daines-Madak’s funds for his </w:t>
      </w:r>
      <w:r w:rsidR="0086063C">
        <w:t>own use without authorization from</w:t>
      </w:r>
      <w:r>
        <w:t xml:space="preserve"> his client, r</w:t>
      </w:r>
      <w:r w:rsidR="00411672">
        <w:t>espondent intentionally misappropriated for his own purpose</w:t>
      </w:r>
      <w:r w:rsidR="0086063C">
        <w:t>s</w:t>
      </w:r>
      <w:r w:rsidR="00411672">
        <w:t xml:space="preserve"> more than $25,000 of Ms. Daines-Madak’s funds.  Such conduct by him constitutes an act of moral turpitude, in willful violation of section 6106.</w:t>
      </w:r>
    </w:p>
    <w:p w:rsidR="001F0AC0" w:rsidRDefault="0082649F" w:rsidP="001F0AC0">
      <w:pPr>
        <w:spacing w:line="480" w:lineRule="auto"/>
        <w:rPr>
          <w:b/>
          <w:bCs/>
        </w:rPr>
      </w:pPr>
      <w:r>
        <w:rPr>
          <w:b/>
          <w:color w:val="000000"/>
        </w:rPr>
        <w:t>Faraci</w:t>
      </w:r>
      <w:r w:rsidRPr="001265C5">
        <w:rPr>
          <w:color w:val="000000"/>
        </w:rPr>
        <w:t xml:space="preserve"> </w:t>
      </w:r>
      <w:r w:rsidRPr="00995849">
        <w:rPr>
          <w:b/>
          <w:bCs/>
        </w:rPr>
        <w:t>Matter [</w:t>
      </w:r>
      <w:r w:rsidRPr="00F13E0B">
        <w:rPr>
          <w:b/>
        </w:rPr>
        <w:t xml:space="preserve">Case No. </w:t>
      </w:r>
      <w:r>
        <w:rPr>
          <w:b/>
          <w:bCs/>
        </w:rPr>
        <w:t>05-O-04919</w:t>
      </w:r>
      <w:r w:rsidRPr="00995849">
        <w:rPr>
          <w:b/>
          <w:bCs/>
        </w:rPr>
        <w:t>]</w:t>
      </w:r>
    </w:p>
    <w:p w:rsidR="0082649F" w:rsidRPr="00891F26" w:rsidRDefault="0023352B" w:rsidP="001F0AC0">
      <w:pPr>
        <w:spacing w:line="480" w:lineRule="auto"/>
        <w:ind w:firstLine="720"/>
      </w:pPr>
      <w:r>
        <w:t>In or about 2004, r</w:t>
      </w:r>
      <w:r w:rsidR="0082649F" w:rsidRPr="00891F26">
        <w:t xml:space="preserve">espondent was hired by Nadia Faraci (“Faraci”) to represent her in a personal injury matter.  In or about </w:t>
      </w:r>
      <w:r>
        <w:t xml:space="preserve">the </w:t>
      </w:r>
      <w:proofErr w:type="gramStart"/>
      <w:r w:rsidR="0082649F" w:rsidRPr="00891F26">
        <w:t>Spring</w:t>
      </w:r>
      <w:proofErr w:type="gramEnd"/>
      <w:r w:rsidR="0082649F" w:rsidRPr="00891F26">
        <w:t xml:space="preserve"> 2004, Faraci’s case settled for $5,500.  In or about early May 2004, Robert Mo</w:t>
      </w:r>
      <w:r>
        <w:t>reno Insurance Services mailed r</w:t>
      </w:r>
      <w:r w:rsidR="0082649F" w:rsidRPr="00891F26">
        <w:t>espondent</w:t>
      </w:r>
      <w:r>
        <w:t xml:space="preserve"> a check payable to Faraci and r</w:t>
      </w:r>
      <w:r w:rsidR="0082649F" w:rsidRPr="00891F26">
        <w:t xml:space="preserve">espondent in the amount of $5,500 (“Faraci’s funds”).  </w:t>
      </w:r>
    </w:p>
    <w:p w:rsidR="0082649F" w:rsidRDefault="0023352B" w:rsidP="0023352B">
      <w:pPr>
        <w:spacing w:line="480" w:lineRule="auto"/>
        <w:ind w:firstLine="720"/>
      </w:pPr>
      <w:r>
        <w:t>On or about June 28, 2004, r</w:t>
      </w:r>
      <w:r w:rsidR="0082649F" w:rsidRPr="00891F26">
        <w:t>espondent deposited Faraci’s funds into his CTA.  On or about that day, following the deposit of Faraci’s funds into his CTA, the bal</w:t>
      </w:r>
      <w:r>
        <w:t>ance in the CTA was $6,618.73.  Faraci was entitled to, and r</w:t>
      </w:r>
      <w:r w:rsidR="0082649F" w:rsidRPr="00891F26">
        <w:t>espondent was to have held, no less than $3,488.50 for her from her settlement.</w:t>
      </w:r>
    </w:p>
    <w:p w:rsidR="007E42C2" w:rsidRPr="00891F26" w:rsidRDefault="007E42C2" w:rsidP="0023352B">
      <w:pPr>
        <w:spacing w:line="480" w:lineRule="auto"/>
        <w:ind w:firstLine="720"/>
      </w:pPr>
      <w:r w:rsidRPr="00891F26">
        <w:t xml:space="preserve">Between on or about June 28, 2004 and </w:t>
      </w:r>
      <w:r w:rsidR="0023352B">
        <w:t>on or about November 25, 2004, r</w:t>
      </w:r>
      <w:r w:rsidRPr="00891F26">
        <w:t>espondent did not disburse any of Faraci’s funds to Faraci or to anyone on her behalf.  Between in or about those dates, the balance in the CTA fell below $3,488.50 on repeated dates including, but not limited to the following:</w:t>
      </w:r>
    </w:p>
    <w:p w:rsidR="007E42C2" w:rsidRDefault="007E42C2" w:rsidP="004F2AEB">
      <w:pPr>
        <w:tabs>
          <w:tab w:val="left" w:pos="-1440"/>
        </w:tabs>
        <w:ind w:left="5040" w:hanging="3600"/>
        <w:rPr>
          <w:b/>
          <w:bCs/>
          <w:u w:val="single"/>
        </w:rPr>
      </w:pPr>
      <w:r w:rsidRPr="00891F26">
        <w:rPr>
          <w:b/>
          <w:bCs/>
          <w:u w:val="single"/>
        </w:rPr>
        <w:t>Date:</w:t>
      </w:r>
      <w:r w:rsidRPr="00891F26">
        <w:rPr>
          <w:b/>
          <w:bCs/>
        </w:rPr>
        <w:tab/>
      </w:r>
      <w:r w:rsidRPr="00891F26">
        <w:rPr>
          <w:b/>
          <w:bCs/>
        </w:rPr>
        <w:tab/>
      </w:r>
      <w:r w:rsidRPr="00891F26">
        <w:rPr>
          <w:b/>
          <w:bCs/>
          <w:u w:val="single"/>
        </w:rPr>
        <w:t>Balance:</w:t>
      </w:r>
    </w:p>
    <w:p w:rsidR="004F2AEB" w:rsidRPr="00891F26" w:rsidRDefault="004F2AEB" w:rsidP="004F2AEB">
      <w:pPr>
        <w:tabs>
          <w:tab w:val="left" w:pos="-1440"/>
        </w:tabs>
        <w:ind w:left="5040" w:hanging="3600"/>
      </w:pPr>
    </w:p>
    <w:p w:rsidR="007E42C2" w:rsidRDefault="007E42C2" w:rsidP="004F2AEB">
      <w:pPr>
        <w:tabs>
          <w:tab w:val="left" w:pos="-1440"/>
        </w:tabs>
        <w:spacing w:line="240" w:lineRule="exact"/>
        <w:ind w:left="5040" w:hanging="3600"/>
      </w:pPr>
      <w:r w:rsidRPr="00891F26">
        <w:t>06/30/04</w:t>
      </w:r>
      <w:r w:rsidRPr="00891F26">
        <w:tab/>
      </w:r>
      <w:r w:rsidRPr="00891F26">
        <w:tab/>
        <w:t>$4,618.73</w:t>
      </w:r>
    </w:p>
    <w:p w:rsidR="004F2AEB" w:rsidRPr="00891F26" w:rsidRDefault="004F2AEB" w:rsidP="007E42C2">
      <w:pPr>
        <w:tabs>
          <w:tab w:val="left" w:pos="-1440"/>
        </w:tabs>
        <w:spacing w:line="240" w:lineRule="exact"/>
        <w:ind w:left="5040" w:hanging="2160"/>
      </w:pPr>
    </w:p>
    <w:p w:rsidR="007E42C2" w:rsidRDefault="007E42C2" w:rsidP="004F2AEB">
      <w:pPr>
        <w:tabs>
          <w:tab w:val="left" w:pos="-1440"/>
        </w:tabs>
        <w:spacing w:line="240" w:lineRule="exact"/>
        <w:ind w:left="5040" w:hanging="3600"/>
      </w:pPr>
      <w:r w:rsidRPr="00891F26">
        <w:t>07/02/04</w:t>
      </w:r>
      <w:r w:rsidRPr="00891F26">
        <w:tab/>
      </w:r>
      <w:r w:rsidRPr="00891F26">
        <w:tab/>
        <w:t>$2,018.73</w:t>
      </w:r>
    </w:p>
    <w:p w:rsidR="004F2AEB" w:rsidRPr="00891F26" w:rsidRDefault="004F2AEB" w:rsidP="007E42C2">
      <w:pPr>
        <w:tabs>
          <w:tab w:val="left" w:pos="-1440"/>
        </w:tabs>
        <w:spacing w:line="240" w:lineRule="exact"/>
        <w:ind w:left="5040" w:hanging="2160"/>
      </w:pPr>
    </w:p>
    <w:p w:rsidR="007E42C2" w:rsidRDefault="007E42C2" w:rsidP="004F2AEB">
      <w:pPr>
        <w:tabs>
          <w:tab w:val="left" w:pos="-1440"/>
        </w:tabs>
        <w:spacing w:line="240" w:lineRule="exact"/>
        <w:ind w:left="5040" w:hanging="3600"/>
      </w:pPr>
      <w:r w:rsidRPr="00891F26">
        <w:t>07/09/04</w:t>
      </w:r>
      <w:r w:rsidRPr="00891F26">
        <w:tab/>
      </w:r>
      <w:r w:rsidRPr="00891F26">
        <w:tab/>
        <w:t>$ 818.73</w:t>
      </w:r>
    </w:p>
    <w:p w:rsidR="004F2AEB" w:rsidRPr="00891F26" w:rsidRDefault="004F2AEB" w:rsidP="007E42C2">
      <w:pPr>
        <w:tabs>
          <w:tab w:val="left" w:pos="-1440"/>
        </w:tabs>
        <w:spacing w:line="240" w:lineRule="exact"/>
        <w:ind w:left="5040" w:hanging="2160"/>
      </w:pPr>
    </w:p>
    <w:p w:rsidR="007E42C2" w:rsidRPr="00891F26" w:rsidRDefault="007E42C2" w:rsidP="004F2AEB">
      <w:pPr>
        <w:tabs>
          <w:tab w:val="left" w:pos="-1440"/>
        </w:tabs>
        <w:spacing w:line="240" w:lineRule="exact"/>
        <w:ind w:left="5040" w:hanging="3600"/>
      </w:pPr>
      <w:r w:rsidRPr="00891F26">
        <w:t>08/18/04</w:t>
      </w:r>
      <w:r w:rsidRPr="00891F26">
        <w:tab/>
      </w:r>
      <w:r w:rsidRPr="00891F26">
        <w:tab/>
        <w:t>$ 227.57</w:t>
      </w:r>
    </w:p>
    <w:p w:rsidR="007E42C2" w:rsidRDefault="004F2AEB" w:rsidP="004F2AEB">
      <w:pPr>
        <w:tabs>
          <w:tab w:val="left" w:pos="-1440"/>
        </w:tabs>
        <w:spacing w:line="480" w:lineRule="exact"/>
        <w:ind w:left="5040" w:hanging="3600"/>
      </w:pPr>
      <w:r>
        <w:t>09/02/04</w:t>
      </w:r>
      <w:r>
        <w:tab/>
      </w:r>
      <w:r>
        <w:tab/>
        <w:t>$ 127.57</w:t>
      </w:r>
    </w:p>
    <w:p w:rsidR="00370B53" w:rsidRDefault="00370B53" w:rsidP="00370B53">
      <w:pPr>
        <w:tabs>
          <w:tab w:val="left" w:pos="-1440"/>
        </w:tabs>
        <w:ind w:left="5040" w:hanging="3600"/>
      </w:pPr>
    </w:p>
    <w:p w:rsidR="007E42C2" w:rsidRPr="00891F26" w:rsidRDefault="0086063C" w:rsidP="00370B53">
      <w:pPr>
        <w:spacing w:line="480" w:lineRule="auto"/>
        <w:ind w:firstLine="720"/>
        <w:rPr>
          <w:b/>
          <w:bCs/>
        </w:rPr>
      </w:pPr>
      <w:r>
        <w:t>On November 22, 2004, r</w:t>
      </w:r>
      <w:r w:rsidR="007E42C2" w:rsidRPr="00891F26">
        <w:t xml:space="preserve">espondent issued a check from his CTA payable to Faraci in the amount of $3,488.50. </w:t>
      </w:r>
    </w:p>
    <w:p w:rsidR="00370B53" w:rsidRDefault="00370B53" w:rsidP="0023352B">
      <w:pPr>
        <w:spacing w:line="480" w:lineRule="auto"/>
        <w:ind w:firstLine="720"/>
      </w:pPr>
      <w:r>
        <w:t>Respondent testified that Ms. Faraci was a longtime friend and client and was aware that he was going through financial problems.  He further indicated that he asked Ms. Faraci whether he could use her funds for awhile and that she agreed that he could.  He then testified that he subsequently repaid all of the funds to Ms. Faraci.</w:t>
      </w:r>
    </w:p>
    <w:p w:rsidR="007E42C2" w:rsidRPr="0023352B" w:rsidRDefault="000D0BD3" w:rsidP="0023352B">
      <w:pPr>
        <w:spacing w:line="480" w:lineRule="auto"/>
        <w:ind w:firstLine="720"/>
      </w:pPr>
      <w:r>
        <w:t xml:space="preserve">During a latter session of the trial, </w:t>
      </w:r>
      <w:r w:rsidR="00370B53">
        <w:t xml:space="preserve">Ms. Faraci was called by respondent as a witness at trial.  She agreed with respondent’s recollection of the events.  She testified that she was aware of the settlement, that she had endorsed the settlement check, and that she had authorized respondent to </w:t>
      </w:r>
      <w:r w:rsidR="00CE2185">
        <w:t>borrow and use</w:t>
      </w:r>
      <w:r w:rsidR="00370B53">
        <w:t xml:space="preserve"> the funds for his own purposes as a loan.  Finally, she confirmed that he subsequently repaid to her all of the money.</w:t>
      </w:r>
    </w:p>
    <w:p w:rsidR="007E42C2" w:rsidRDefault="007E42C2" w:rsidP="0023352B">
      <w:pPr>
        <w:spacing w:line="480" w:lineRule="auto"/>
        <w:ind w:firstLine="720"/>
        <w:rPr>
          <w:b/>
          <w:i/>
        </w:rPr>
      </w:pPr>
      <w:r w:rsidRPr="00CB31BE">
        <w:rPr>
          <w:b/>
          <w:i/>
        </w:rPr>
        <w:t>Count 1</w:t>
      </w:r>
      <w:r w:rsidR="001F0AC0">
        <w:rPr>
          <w:b/>
          <w:i/>
        </w:rPr>
        <w:t>1</w:t>
      </w:r>
      <w:r w:rsidRPr="00CB31BE">
        <w:rPr>
          <w:b/>
          <w:i/>
        </w:rPr>
        <w:t xml:space="preserve"> – Failure to </w:t>
      </w:r>
      <w:r>
        <w:rPr>
          <w:b/>
          <w:i/>
        </w:rPr>
        <w:t>Maintain Client Funds in Trust Account</w:t>
      </w:r>
      <w:r w:rsidRPr="00CB31BE">
        <w:rPr>
          <w:b/>
          <w:i/>
        </w:rPr>
        <w:t xml:space="preserve"> </w:t>
      </w:r>
      <w:r>
        <w:rPr>
          <w:b/>
          <w:i/>
        </w:rPr>
        <w:t>[Rule 4-100(A)]</w:t>
      </w:r>
    </w:p>
    <w:p w:rsidR="00CE2185" w:rsidRDefault="00CE2185" w:rsidP="007E42C2">
      <w:pPr>
        <w:spacing w:line="480" w:lineRule="auto"/>
        <w:ind w:firstLine="720"/>
      </w:pPr>
      <w:r>
        <w:t xml:space="preserve">The State Bar has failed to present clear and convincing evidence of a </w:t>
      </w:r>
      <w:r w:rsidR="00DA671B">
        <w:t>willful</w:t>
      </w:r>
      <w:r>
        <w:t xml:space="preserve"> violation of rule 4-100(B)(3) by respondent as alleged in the NDC with regard to the Faraci funds.  </w:t>
      </w:r>
      <w:r w:rsidR="000D0BD3">
        <w:t xml:space="preserve">Respondent was authorized by the client to withdraw the funds from his trust account as a loan by her to him.  </w:t>
      </w:r>
      <w:r w:rsidR="00055F6D">
        <w:t xml:space="preserve">He then repaid the funds directly to her.  </w:t>
      </w:r>
      <w:r>
        <w:t>Accordingly, this count is dismissed with prejudice.</w:t>
      </w:r>
    </w:p>
    <w:p w:rsidR="007E42C2" w:rsidRDefault="007E42C2" w:rsidP="007E42C2">
      <w:pPr>
        <w:spacing w:line="480" w:lineRule="auto"/>
        <w:ind w:firstLine="720"/>
      </w:pPr>
      <w:r w:rsidRPr="00BD2A6E">
        <w:rPr>
          <w:b/>
          <w:i/>
        </w:rPr>
        <w:t xml:space="preserve">Count </w:t>
      </w:r>
      <w:r w:rsidR="001F0AC0">
        <w:rPr>
          <w:b/>
          <w:i/>
        </w:rPr>
        <w:t>1</w:t>
      </w:r>
      <w:r>
        <w:rPr>
          <w:b/>
          <w:i/>
        </w:rPr>
        <w:t>2</w:t>
      </w:r>
      <w:r w:rsidRPr="00BD2A6E">
        <w:rPr>
          <w:b/>
          <w:i/>
        </w:rPr>
        <w:t xml:space="preserve"> – </w:t>
      </w:r>
      <w:r>
        <w:rPr>
          <w:b/>
          <w:i/>
        </w:rPr>
        <w:t>Moral Turpitude</w:t>
      </w:r>
      <w:r w:rsidR="00A5701D">
        <w:rPr>
          <w:b/>
          <w:i/>
        </w:rPr>
        <w:t xml:space="preserve"> </w:t>
      </w:r>
      <w:r>
        <w:rPr>
          <w:b/>
          <w:i/>
        </w:rPr>
        <w:t>- Misappropriation [Section 6106]</w:t>
      </w:r>
    </w:p>
    <w:p w:rsidR="00CE2185" w:rsidRPr="00CE2185" w:rsidRDefault="00CE2185" w:rsidP="007E42C2">
      <w:pPr>
        <w:spacing w:line="480" w:lineRule="auto"/>
        <w:ind w:firstLine="720"/>
      </w:pPr>
      <w:r>
        <w:t xml:space="preserve">The State Bar has failed to present clear and convincing evidence of a </w:t>
      </w:r>
      <w:r w:rsidR="00DA671B">
        <w:t>willful</w:t>
      </w:r>
      <w:r>
        <w:t xml:space="preserve"> violation of section 6106 by respondent as alleged in the NDC with regard to the Faraci funds.  </w:t>
      </w:r>
      <w:r w:rsidR="00055F6D">
        <w:t xml:space="preserve">Respondent </w:t>
      </w:r>
      <w:r w:rsidR="00055F6D">
        <w:lastRenderedPageBreak/>
        <w:t xml:space="preserve">was authorized by the client to withdraw the funds from his trust account as a loan by her to him.  He then repaid the funds directly to her.  </w:t>
      </w:r>
      <w:r>
        <w:t>Accordingly, this count is dismissed with prejudice.</w:t>
      </w:r>
    </w:p>
    <w:p w:rsidR="001F0AC0" w:rsidRDefault="007E42C2" w:rsidP="001F0AC0">
      <w:pPr>
        <w:spacing w:line="480" w:lineRule="auto"/>
        <w:rPr>
          <w:b/>
          <w:bCs/>
        </w:rPr>
      </w:pPr>
      <w:r w:rsidRPr="002372FC">
        <w:rPr>
          <w:b/>
          <w:color w:val="000000"/>
        </w:rPr>
        <w:t>Johnson</w:t>
      </w:r>
      <w:r w:rsidRPr="002372FC">
        <w:rPr>
          <w:color w:val="000000"/>
        </w:rPr>
        <w:t xml:space="preserve"> </w:t>
      </w:r>
      <w:r w:rsidRPr="002372FC">
        <w:rPr>
          <w:b/>
          <w:bCs/>
        </w:rPr>
        <w:t>Matter [</w:t>
      </w:r>
      <w:r w:rsidRPr="002372FC">
        <w:rPr>
          <w:b/>
        </w:rPr>
        <w:t xml:space="preserve">Case No. </w:t>
      </w:r>
      <w:r w:rsidRPr="002372FC">
        <w:rPr>
          <w:b/>
          <w:bCs/>
        </w:rPr>
        <w:t>05-O-04919]</w:t>
      </w:r>
    </w:p>
    <w:p w:rsidR="007E42C2" w:rsidRPr="00891F26" w:rsidRDefault="007E42C2" w:rsidP="001F0AC0">
      <w:pPr>
        <w:spacing w:line="480" w:lineRule="auto"/>
        <w:ind w:firstLine="720"/>
      </w:pPr>
      <w:r w:rsidRPr="00891F26">
        <w:t xml:space="preserve">In </w:t>
      </w:r>
      <w:r w:rsidR="00E66254">
        <w:t>or about 2004, r</w:t>
      </w:r>
      <w:r w:rsidRPr="00891F26">
        <w:t>espondent was hired by Darlene Johnson (“Johnson”) to represent he</w:t>
      </w:r>
      <w:r w:rsidR="00BA7B0A">
        <w:t xml:space="preserve">r in a personal injury matter. </w:t>
      </w:r>
      <w:r w:rsidRPr="00891F26">
        <w:t xml:space="preserve"> In or about September 2004, Johnson’s case settled for $10,000.  On or about September 21, 2004, Royal Surplus Lines Insurance Company mailed</w:t>
      </w:r>
      <w:r w:rsidR="00E66254">
        <w:t xml:space="preserve"> r</w:t>
      </w:r>
      <w:r w:rsidRPr="00891F26">
        <w:t xml:space="preserve">espondent </w:t>
      </w:r>
      <w:r w:rsidR="00E66254">
        <w:t>a check payable to Johnson and r</w:t>
      </w:r>
      <w:r w:rsidRPr="00891F26">
        <w:t xml:space="preserve">espondent in the amount of $10,000 (“Johnson’s funds”).  </w:t>
      </w:r>
    </w:p>
    <w:p w:rsidR="007E42C2" w:rsidRPr="00891F26" w:rsidRDefault="007E42C2" w:rsidP="001F0AC0">
      <w:pPr>
        <w:spacing w:line="480" w:lineRule="auto"/>
        <w:ind w:firstLine="720"/>
      </w:pPr>
      <w:r w:rsidRPr="00891F26">
        <w:t>O</w:t>
      </w:r>
      <w:r w:rsidR="00E66254">
        <w:t>n or about September 28, 2004, r</w:t>
      </w:r>
      <w:r w:rsidRPr="00891F26">
        <w:t>espondent deposited Johnson’s funds into his CTA.  On or about that day, following the deposit of Johnson’s funds into his CTA, the balan</w:t>
      </w:r>
      <w:r w:rsidR="002212A5">
        <w:t xml:space="preserve">ce in the CTA was $10,127.57.  </w:t>
      </w:r>
    </w:p>
    <w:p w:rsidR="007E42C2" w:rsidRDefault="00E66254" w:rsidP="001F0AC0">
      <w:pPr>
        <w:spacing w:line="480" w:lineRule="auto"/>
        <w:ind w:firstLine="720"/>
      </w:pPr>
      <w:r>
        <w:t>Johnson was entitled to, and r</w:t>
      </w:r>
      <w:r w:rsidR="007E42C2" w:rsidRPr="00891F26">
        <w:t xml:space="preserve">espondent was to have held, no less than $6,666 from </w:t>
      </w:r>
      <w:r w:rsidR="00BA7B0A">
        <w:t xml:space="preserve">the </w:t>
      </w:r>
      <w:r w:rsidR="007E42C2" w:rsidRPr="00891F26">
        <w:t>settlement.</w:t>
      </w:r>
    </w:p>
    <w:p w:rsidR="00364A0C" w:rsidRPr="00891F26" w:rsidRDefault="00364A0C" w:rsidP="001F0AC0">
      <w:pPr>
        <w:spacing w:line="480" w:lineRule="auto"/>
        <w:ind w:firstLine="720"/>
      </w:pPr>
      <w:r w:rsidRPr="00891F26">
        <w:t xml:space="preserve">Between </w:t>
      </w:r>
      <w:proofErr w:type="spellStart"/>
      <w:r w:rsidRPr="00891F26">
        <w:t>on</w:t>
      </w:r>
      <w:proofErr w:type="spellEnd"/>
      <w:r w:rsidRPr="00891F26">
        <w:t xml:space="preserve"> and about September 28, 2004 and on or about December 2, 2004, Respondent did not disburse any of Johnson’s funds to Johnson or to anyone else on her behalf.   Between in or about those dates, the balance in the CTA fell below $6,666 on repeated dates</w:t>
      </w:r>
      <w:r w:rsidR="00BA7B0A">
        <w:t>,</w:t>
      </w:r>
      <w:r w:rsidRPr="00891F26">
        <w:t xml:space="preserve"> </w:t>
      </w:r>
    </w:p>
    <w:p w:rsidR="00364A0C" w:rsidRPr="00891F26" w:rsidRDefault="00BA7B0A" w:rsidP="001F0AC0">
      <w:pPr>
        <w:tabs>
          <w:tab w:val="left" w:pos="1440"/>
        </w:tabs>
        <w:spacing w:line="480" w:lineRule="auto"/>
      </w:pPr>
      <w:proofErr w:type="gramStart"/>
      <w:r>
        <w:t>including</w:t>
      </w:r>
      <w:proofErr w:type="gramEnd"/>
      <w:r w:rsidR="00364A0C" w:rsidRPr="00891F26">
        <w:t xml:space="preserve"> but not limited to the following:</w:t>
      </w:r>
    </w:p>
    <w:p w:rsidR="00364A0C" w:rsidRDefault="00364A0C" w:rsidP="00AF36FC">
      <w:pPr>
        <w:tabs>
          <w:tab w:val="left" w:pos="-1440"/>
          <w:tab w:val="left" w:pos="1440"/>
        </w:tabs>
        <w:ind w:left="5040" w:hanging="3600"/>
        <w:rPr>
          <w:b/>
          <w:bCs/>
          <w:u w:val="single"/>
        </w:rPr>
      </w:pPr>
      <w:r w:rsidRPr="00891F26">
        <w:rPr>
          <w:b/>
          <w:bCs/>
          <w:u w:val="single"/>
        </w:rPr>
        <w:t>Date:</w:t>
      </w:r>
      <w:r w:rsidRPr="00891F26">
        <w:rPr>
          <w:b/>
          <w:bCs/>
        </w:rPr>
        <w:tab/>
      </w:r>
      <w:r w:rsidRPr="00891F26">
        <w:rPr>
          <w:b/>
          <w:bCs/>
        </w:rPr>
        <w:tab/>
      </w:r>
      <w:r w:rsidRPr="00891F26">
        <w:rPr>
          <w:b/>
          <w:bCs/>
          <w:u w:val="single"/>
        </w:rPr>
        <w:t>Balance:</w:t>
      </w:r>
    </w:p>
    <w:p w:rsidR="00576729" w:rsidRPr="00891F26" w:rsidRDefault="00576729" w:rsidP="00AF36FC">
      <w:pPr>
        <w:tabs>
          <w:tab w:val="left" w:pos="-1440"/>
          <w:tab w:val="left" w:pos="1440"/>
        </w:tabs>
        <w:ind w:left="5040" w:hanging="2160"/>
      </w:pPr>
    </w:p>
    <w:p w:rsidR="00364A0C" w:rsidRDefault="00364A0C" w:rsidP="00AF36FC">
      <w:pPr>
        <w:tabs>
          <w:tab w:val="left" w:pos="-1440"/>
          <w:tab w:val="left" w:pos="1440"/>
        </w:tabs>
        <w:spacing w:line="240" w:lineRule="exact"/>
        <w:ind w:left="5040" w:hanging="3600"/>
      </w:pPr>
      <w:r w:rsidRPr="00891F26">
        <w:t>10/05/04</w:t>
      </w:r>
      <w:r w:rsidRPr="00891F26">
        <w:tab/>
      </w:r>
      <w:r>
        <w:tab/>
      </w:r>
      <w:r w:rsidRPr="00891F26">
        <w:t>$5,427.57</w:t>
      </w:r>
    </w:p>
    <w:p w:rsidR="00576729" w:rsidRPr="00891F26" w:rsidRDefault="00576729" w:rsidP="00AF36FC">
      <w:pPr>
        <w:tabs>
          <w:tab w:val="left" w:pos="-1440"/>
          <w:tab w:val="left" w:pos="1440"/>
        </w:tabs>
        <w:spacing w:line="240" w:lineRule="exact"/>
        <w:ind w:left="5040" w:hanging="2160"/>
      </w:pPr>
    </w:p>
    <w:p w:rsidR="00364A0C" w:rsidRDefault="00364A0C" w:rsidP="00AF36FC">
      <w:pPr>
        <w:tabs>
          <w:tab w:val="left" w:pos="-1440"/>
          <w:tab w:val="left" w:pos="1440"/>
        </w:tabs>
        <w:spacing w:line="240" w:lineRule="exact"/>
        <w:ind w:firstLine="1440"/>
      </w:pPr>
      <w:r w:rsidRPr="00891F26">
        <w:t>10/13/04</w:t>
      </w:r>
      <w:r w:rsidRPr="00891F26">
        <w:tab/>
      </w:r>
      <w:r>
        <w:tab/>
      </w:r>
      <w:r>
        <w:tab/>
      </w:r>
      <w:r w:rsidR="00AF36FC">
        <w:tab/>
      </w:r>
      <w:r w:rsidR="00AF36FC">
        <w:tab/>
      </w:r>
      <w:r>
        <w:t>$</w:t>
      </w:r>
      <w:r w:rsidRPr="00891F26">
        <w:t>1,427.57</w:t>
      </w:r>
    </w:p>
    <w:p w:rsidR="00576729" w:rsidRPr="00891F26" w:rsidRDefault="00576729" w:rsidP="00AF36FC">
      <w:pPr>
        <w:tabs>
          <w:tab w:val="left" w:pos="-1440"/>
          <w:tab w:val="left" w:pos="1440"/>
        </w:tabs>
        <w:spacing w:line="240" w:lineRule="exact"/>
        <w:ind w:left="5040" w:hanging="2160"/>
      </w:pPr>
    </w:p>
    <w:p w:rsidR="00364A0C" w:rsidRDefault="00364A0C" w:rsidP="00AF36FC">
      <w:pPr>
        <w:tabs>
          <w:tab w:val="left" w:pos="-1440"/>
          <w:tab w:val="left" w:pos="1440"/>
        </w:tabs>
        <w:spacing w:line="240" w:lineRule="exact"/>
        <w:ind w:left="5040" w:hanging="3600"/>
      </w:pPr>
      <w:r w:rsidRPr="00891F26">
        <w:t>11/26/04</w:t>
      </w:r>
      <w:r w:rsidRPr="00891F26">
        <w:tab/>
      </w:r>
      <w:r w:rsidR="00AF36FC">
        <w:tab/>
      </w:r>
      <w:r>
        <w:t>$</w:t>
      </w:r>
      <w:r w:rsidRPr="00891F26">
        <w:t>619.07</w:t>
      </w:r>
    </w:p>
    <w:p w:rsidR="00576729" w:rsidRPr="00891F26" w:rsidRDefault="00576729" w:rsidP="00AF36FC">
      <w:pPr>
        <w:tabs>
          <w:tab w:val="left" w:pos="-1440"/>
          <w:tab w:val="left" w:pos="1440"/>
        </w:tabs>
        <w:spacing w:line="240" w:lineRule="exact"/>
        <w:ind w:left="5040" w:hanging="2160"/>
      </w:pPr>
    </w:p>
    <w:p w:rsidR="00364A0C" w:rsidRPr="00891F26" w:rsidRDefault="00AF36FC" w:rsidP="00AF36FC">
      <w:pPr>
        <w:tabs>
          <w:tab w:val="left" w:pos="-1440"/>
          <w:tab w:val="left" w:pos="1440"/>
        </w:tabs>
        <w:spacing w:line="240" w:lineRule="exact"/>
        <w:ind w:left="4320" w:hanging="2880"/>
      </w:pPr>
      <w:r>
        <w:t>12/02/04</w:t>
      </w:r>
      <w:r>
        <w:tab/>
      </w:r>
      <w:r>
        <w:tab/>
      </w:r>
      <w:r>
        <w:tab/>
      </w:r>
      <w:r w:rsidR="00364A0C">
        <w:t>[-$</w:t>
      </w:r>
      <w:r w:rsidR="00364A0C" w:rsidRPr="00891F26">
        <w:t>4,380.93</w:t>
      </w:r>
      <w:r w:rsidR="00364A0C">
        <w:t>]</w:t>
      </w:r>
    </w:p>
    <w:p w:rsidR="00364A0C" w:rsidRPr="00891F26" w:rsidRDefault="00364A0C" w:rsidP="00AF36FC">
      <w:pPr>
        <w:tabs>
          <w:tab w:val="left" w:pos="1440"/>
        </w:tabs>
        <w:spacing w:line="240" w:lineRule="exact"/>
      </w:pPr>
    </w:p>
    <w:p w:rsidR="00364A0C" w:rsidRPr="00891F26" w:rsidRDefault="00BA7B0A" w:rsidP="00F372DC">
      <w:pPr>
        <w:spacing w:line="480" w:lineRule="auto"/>
        <w:ind w:firstLine="720"/>
      </w:pPr>
      <w:r>
        <w:t>On December 12, 2004, r</w:t>
      </w:r>
      <w:r w:rsidR="00364A0C" w:rsidRPr="00891F26">
        <w:t xml:space="preserve">espondent issued a check from his CTA made payable to Johnson in the amount of $5,000. </w:t>
      </w:r>
    </w:p>
    <w:p w:rsidR="00364A0C" w:rsidRDefault="00385560" w:rsidP="00F372DC">
      <w:pPr>
        <w:spacing w:line="480" w:lineRule="auto"/>
        <w:ind w:firstLine="720"/>
      </w:pPr>
      <w:r>
        <w:lastRenderedPageBreak/>
        <w:t>On January 3, 2005, r</w:t>
      </w:r>
      <w:r w:rsidR="00364A0C" w:rsidRPr="00891F26">
        <w:t xml:space="preserve">espondent issued two checks from his </w:t>
      </w:r>
      <w:r>
        <w:t>CTA</w:t>
      </w:r>
      <w:r w:rsidR="00364A0C" w:rsidRPr="00891F26">
        <w:t xml:space="preserve"> made payable to Johnson in the amount of $1,000 and $666, respectively. </w:t>
      </w:r>
    </w:p>
    <w:p w:rsidR="00E66254" w:rsidRDefault="00CD6034" w:rsidP="00F372DC">
      <w:pPr>
        <w:spacing w:line="480" w:lineRule="auto"/>
        <w:ind w:firstLine="720"/>
        <w:rPr>
          <w:b/>
          <w:i/>
        </w:rPr>
      </w:pPr>
      <w:r>
        <w:t xml:space="preserve">Respondent acknowledges that there was a negative balance in his client trust account in December, explaining that he was “derelict” in his bookkeeping.  However, he also testified that Ms. Johnson had agreed to allow him to use </w:t>
      </w:r>
      <w:r w:rsidR="00385560">
        <w:t>her</w:t>
      </w:r>
      <w:r>
        <w:t xml:space="preserve"> money prior to him disbursing the funds to her in mid-December.  The Court does not find this testimony to be credible or convincing.  </w:t>
      </w:r>
      <w:r w:rsidR="00BE1035">
        <w:t xml:space="preserve">There is no written record of any such loan transaction between respondent and his client, and there is no evidence that he took the steps that would have been required of him by rule 3-300 if there had been such a business transaction with an existing client. </w:t>
      </w:r>
      <w:r>
        <w:t xml:space="preserve"> Moreover, Ms. Johnson testified credibly that she never agreed to any such arrangement.  Instead she complained that respondent had initially attempted to settle his account with her by paying her less than the sum to which she believed she was entitled.  It was only after she complained that he paid her the additional funds in January 2005.</w:t>
      </w:r>
    </w:p>
    <w:p w:rsidR="00364A0C" w:rsidRPr="00CB31BE" w:rsidRDefault="00364A0C" w:rsidP="00364A0C">
      <w:pPr>
        <w:spacing w:line="480" w:lineRule="auto"/>
        <w:ind w:firstLine="720"/>
        <w:rPr>
          <w:b/>
          <w:i/>
        </w:rPr>
      </w:pPr>
      <w:r w:rsidRPr="00CB31BE">
        <w:rPr>
          <w:b/>
          <w:i/>
        </w:rPr>
        <w:t>Count 1</w:t>
      </w:r>
      <w:r w:rsidR="001F0AC0">
        <w:rPr>
          <w:b/>
          <w:i/>
        </w:rPr>
        <w:t>3</w:t>
      </w:r>
      <w:r w:rsidRPr="00CB31BE">
        <w:rPr>
          <w:b/>
          <w:i/>
        </w:rPr>
        <w:t xml:space="preserve"> – Failure to </w:t>
      </w:r>
      <w:r>
        <w:rPr>
          <w:b/>
          <w:i/>
        </w:rPr>
        <w:t>Maintain Client Funds in Trust Account</w:t>
      </w:r>
      <w:r w:rsidRPr="00CB31BE">
        <w:rPr>
          <w:b/>
          <w:i/>
        </w:rPr>
        <w:t xml:space="preserve"> </w:t>
      </w:r>
      <w:r>
        <w:rPr>
          <w:b/>
          <w:i/>
        </w:rPr>
        <w:t>[Rule 4-100(A)]</w:t>
      </w:r>
    </w:p>
    <w:p w:rsidR="00CD6034" w:rsidRPr="00CD6034" w:rsidRDefault="00CD6034" w:rsidP="00364A0C">
      <w:pPr>
        <w:spacing w:line="480" w:lineRule="auto"/>
        <w:ind w:firstLine="720"/>
      </w:pPr>
      <w:r>
        <w:t xml:space="preserve">By intentionally withdrawing Ms. Johnson’s funds for his own use without authorization </w:t>
      </w:r>
      <w:r w:rsidR="00385560">
        <w:t>from</w:t>
      </w:r>
      <w:r>
        <w:t xml:space="preserve"> his client, and by failing to maintain in his client trust account the balance of the funds received by him for Ms. Johnson, respondent </w:t>
      </w:r>
      <w:r w:rsidR="00DA671B">
        <w:t>willful</w:t>
      </w:r>
      <w:r>
        <w:t>ly failed to comply with rule 4-100(A).</w:t>
      </w:r>
    </w:p>
    <w:p w:rsidR="00364A0C" w:rsidRDefault="00364A0C" w:rsidP="00364A0C">
      <w:pPr>
        <w:spacing w:line="480" w:lineRule="auto"/>
        <w:ind w:firstLine="720"/>
      </w:pPr>
      <w:r w:rsidRPr="00BD2A6E">
        <w:rPr>
          <w:b/>
          <w:i/>
        </w:rPr>
        <w:t xml:space="preserve">Count </w:t>
      </w:r>
      <w:r w:rsidR="001F0AC0">
        <w:rPr>
          <w:b/>
          <w:i/>
        </w:rPr>
        <w:t>14</w:t>
      </w:r>
      <w:r w:rsidRPr="00BD2A6E">
        <w:rPr>
          <w:b/>
          <w:i/>
        </w:rPr>
        <w:t xml:space="preserve"> – </w:t>
      </w:r>
      <w:r>
        <w:rPr>
          <w:b/>
          <w:i/>
        </w:rPr>
        <w:t>Moral Turpitude</w:t>
      </w:r>
      <w:r w:rsidR="00A5701D">
        <w:rPr>
          <w:b/>
          <w:i/>
        </w:rPr>
        <w:t xml:space="preserve"> </w:t>
      </w:r>
      <w:r>
        <w:rPr>
          <w:b/>
          <w:i/>
        </w:rPr>
        <w:t>- Misappropriation [Section 6106]</w:t>
      </w:r>
    </w:p>
    <w:p w:rsidR="00644DE2" w:rsidRPr="00644DE2" w:rsidRDefault="00644DE2" w:rsidP="00364A0C">
      <w:pPr>
        <w:spacing w:line="480" w:lineRule="auto"/>
        <w:ind w:firstLine="720"/>
      </w:pPr>
      <w:r>
        <w:t xml:space="preserve">By intentionally withdrawing Ms. Johnson’s funds for his </w:t>
      </w:r>
      <w:r w:rsidR="00385560">
        <w:t>own use without authorization from</w:t>
      </w:r>
      <w:r>
        <w:t xml:space="preserve"> his client, respondent intentionally misappropriated for his own purpose</w:t>
      </w:r>
      <w:r w:rsidR="00385560">
        <w:t>s</w:t>
      </w:r>
      <w:r>
        <w:t xml:space="preserve"> more than $6,000 of Ms. Johnson’s funds.  Such conduct by him constitutes an act of moral turpitude, in willful violation of section 6106.</w:t>
      </w:r>
    </w:p>
    <w:p w:rsidR="001F0AC0" w:rsidRDefault="006B676E" w:rsidP="001F0AC0">
      <w:pPr>
        <w:spacing w:line="480" w:lineRule="auto"/>
        <w:rPr>
          <w:b/>
          <w:bCs/>
        </w:rPr>
      </w:pPr>
      <w:r>
        <w:rPr>
          <w:b/>
          <w:color w:val="000000"/>
        </w:rPr>
        <w:t>Page</w:t>
      </w:r>
      <w:r w:rsidRPr="001265C5">
        <w:rPr>
          <w:color w:val="000000"/>
        </w:rPr>
        <w:t xml:space="preserve"> </w:t>
      </w:r>
      <w:r w:rsidRPr="00995849">
        <w:rPr>
          <w:b/>
          <w:bCs/>
        </w:rPr>
        <w:t>Matter [</w:t>
      </w:r>
      <w:r w:rsidRPr="00F13E0B">
        <w:rPr>
          <w:b/>
        </w:rPr>
        <w:t xml:space="preserve">Case No. </w:t>
      </w:r>
      <w:r>
        <w:rPr>
          <w:b/>
          <w:bCs/>
        </w:rPr>
        <w:t>05-O-04919</w:t>
      </w:r>
      <w:r w:rsidRPr="00995849">
        <w:rPr>
          <w:b/>
          <w:bCs/>
        </w:rPr>
        <w:t>]</w:t>
      </w:r>
    </w:p>
    <w:p w:rsidR="006B676E" w:rsidRPr="00891F26" w:rsidRDefault="006579CD" w:rsidP="001F0AC0">
      <w:pPr>
        <w:spacing w:line="480" w:lineRule="auto"/>
        <w:ind w:firstLine="720"/>
      </w:pPr>
      <w:r>
        <w:lastRenderedPageBreak/>
        <w:t>In or about 2004, r</w:t>
      </w:r>
      <w:r w:rsidR="006B676E" w:rsidRPr="00891F26">
        <w:t>espondent represented Mike Page (“Page”) in a matter against Page’s ex-wife, Donna (“Donna”).  On or about</w:t>
      </w:r>
      <w:r>
        <w:t xml:space="preserve"> November 12, 2004, Page wrote r</w:t>
      </w:r>
      <w:r w:rsidR="006B676E" w:rsidRPr="00891F26">
        <w:t xml:space="preserve">espondent a </w:t>
      </w:r>
      <w:r>
        <w:t xml:space="preserve">$5,000 </w:t>
      </w:r>
      <w:r w:rsidR="006B676E" w:rsidRPr="00891F26">
        <w:t xml:space="preserve">check </w:t>
      </w:r>
      <w:r>
        <w:t>payable to r</w:t>
      </w:r>
      <w:r w:rsidR="006B676E" w:rsidRPr="00891F26">
        <w:t>espondent (“Page’s check”).  Pur</w:t>
      </w:r>
      <w:r>
        <w:t>suant to the agreement between respondent and Page, r</w:t>
      </w:r>
      <w:r w:rsidR="006B676E" w:rsidRPr="00891F26">
        <w:t>espondent was to deposit Page’s check into his CTA and thereafter issue a check to Donna in the amount of $5,000 for settlement of the dispute between Page and Donna.</w:t>
      </w:r>
    </w:p>
    <w:p w:rsidR="006B676E" w:rsidRDefault="006579CD" w:rsidP="001F0AC0">
      <w:pPr>
        <w:spacing w:line="480" w:lineRule="auto"/>
        <w:ind w:firstLine="720"/>
      </w:pPr>
      <w:r>
        <w:t>On or about November 12, 2004, r</w:t>
      </w:r>
      <w:r w:rsidR="006B676E" w:rsidRPr="00891F26">
        <w:t>espondent deposited Page’s check in</w:t>
      </w:r>
      <w:r w:rsidR="00385560">
        <w:t>to</w:t>
      </w:r>
      <w:r w:rsidR="006B676E" w:rsidRPr="00891F26">
        <w:t xml:space="preserve"> his CTA.  On or about that day, following the deposit of Page’s check in the CTA, the bala</w:t>
      </w:r>
      <w:r w:rsidR="00576729">
        <w:t>nce in the CTA was $14,927.57.</w:t>
      </w:r>
    </w:p>
    <w:p w:rsidR="00715F2A" w:rsidRPr="00891F26" w:rsidRDefault="00715F2A" w:rsidP="001F0AC0">
      <w:pPr>
        <w:spacing w:line="480" w:lineRule="auto"/>
        <w:ind w:firstLine="720"/>
      </w:pPr>
      <w:r w:rsidRPr="00891F26">
        <w:t>Between on or about November 12, 2004 and on or about Decem</w:t>
      </w:r>
      <w:r w:rsidR="006579CD">
        <w:t>ber 2, 2004, r</w:t>
      </w:r>
      <w:r w:rsidRPr="00891F26">
        <w:t xml:space="preserve">espondent did not disburse Page’s check to Donna or to anyone on Page’s or </w:t>
      </w:r>
      <w:proofErr w:type="spellStart"/>
      <w:r w:rsidRPr="00891F26">
        <w:t>Donna’s</w:t>
      </w:r>
      <w:proofErr w:type="spellEnd"/>
      <w:r w:rsidRPr="00891F26">
        <w:t xml:space="preserve"> behalf.  Between those dates, the balance in the CTA fell below $5,</w:t>
      </w:r>
      <w:r w:rsidR="00385560">
        <w:t>000 on repeated dates, including</w:t>
      </w:r>
      <w:r w:rsidRPr="00891F26">
        <w:t xml:space="preserve"> but not limited to the following:</w:t>
      </w:r>
    </w:p>
    <w:p w:rsidR="00715F2A" w:rsidRDefault="00715F2A" w:rsidP="00576729">
      <w:pPr>
        <w:tabs>
          <w:tab w:val="left" w:pos="-1440"/>
        </w:tabs>
        <w:ind w:left="5040" w:hanging="2160"/>
        <w:rPr>
          <w:b/>
          <w:bCs/>
          <w:u w:val="single"/>
        </w:rPr>
      </w:pPr>
      <w:r w:rsidRPr="00891F26">
        <w:rPr>
          <w:b/>
          <w:bCs/>
          <w:u w:val="single"/>
        </w:rPr>
        <w:t>Date:</w:t>
      </w:r>
      <w:r w:rsidRPr="00891F26">
        <w:rPr>
          <w:b/>
          <w:bCs/>
        </w:rPr>
        <w:tab/>
      </w:r>
      <w:r w:rsidRPr="00891F26">
        <w:rPr>
          <w:b/>
          <w:bCs/>
        </w:rPr>
        <w:tab/>
      </w:r>
      <w:r w:rsidRPr="00891F26">
        <w:rPr>
          <w:b/>
          <w:bCs/>
        </w:rPr>
        <w:tab/>
      </w:r>
      <w:r w:rsidRPr="00891F26">
        <w:rPr>
          <w:b/>
          <w:bCs/>
          <w:u w:val="single"/>
        </w:rPr>
        <w:t>Balance:</w:t>
      </w:r>
    </w:p>
    <w:p w:rsidR="00576729" w:rsidRDefault="00576729" w:rsidP="00576729">
      <w:pPr>
        <w:tabs>
          <w:tab w:val="left" w:pos="-1440"/>
        </w:tabs>
        <w:ind w:left="5040" w:hanging="2160"/>
        <w:rPr>
          <w:b/>
          <w:bCs/>
          <w:u w:val="single"/>
        </w:rPr>
      </w:pPr>
    </w:p>
    <w:p w:rsidR="00715F2A" w:rsidRDefault="00576729" w:rsidP="00576729">
      <w:pPr>
        <w:tabs>
          <w:tab w:val="left" w:pos="-1440"/>
          <w:tab w:val="left" w:pos="6480"/>
        </w:tabs>
        <w:spacing w:line="240" w:lineRule="exact"/>
        <w:ind w:left="5040" w:hanging="2160"/>
      </w:pPr>
      <w:r>
        <w:t>11/24/04</w:t>
      </w:r>
      <w:r>
        <w:tab/>
      </w:r>
      <w:r>
        <w:tab/>
        <w:t>$</w:t>
      </w:r>
      <w:r w:rsidR="00715F2A" w:rsidRPr="00891F26">
        <w:t>4,107.57</w:t>
      </w:r>
    </w:p>
    <w:p w:rsidR="00576729" w:rsidRPr="00891F26" w:rsidRDefault="00576729" w:rsidP="00715F2A">
      <w:pPr>
        <w:tabs>
          <w:tab w:val="left" w:pos="-1440"/>
        </w:tabs>
        <w:spacing w:line="240" w:lineRule="exact"/>
        <w:ind w:left="5040" w:hanging="2160"/>
      </w:pPr>
    </w:p>
    <w:p w:rsidR="00715F2A" w:rsidRPr="00891F26" w:rsidRDefault="00576729" w:rsidP="00576729">
      <w:pPr>
        <w:tabs>
          <w:tab w:val="left" w:pos="-1440"/>
          <w:tab w:val="left" w:pos="6480"/>
        </w:tabs>
        <w:spacing w:line="240" w:lineRule="exact"/>
        <w:ind w:left="5040" w:hanging="2160"/>
      </w:pPr>
      <w:r>
        <w:t>12/01/04</w:t>
      </w:r>
      <w:r>
        <w:tab/>
      </w:r>
      <w:r>
        <w:tab/>
        <w:t>$</w:t>
      </w:r>
      <w:r w:rsidR="00715F2A" w:rsidRPr="00891F26">
        <w:t>619.07</w:t>
      </w:r>
    </w:p>
    <w:p w:rsidR="00715F2A" w:rsidRPr="00891F26" w:rsidRDefault="0079685A" w:rsidP="00385560">
      <w:pPr>
        <w:spacing w:line="480" w:lineRule="auto"/>
        <w:ind w:firstLine="720"/>
      </w:pPr>
      <w:r>
        <w:t>On or about November 17, 2004, r</w:t>
      </w:r>
      <w:r w:rsidR="00715F2A" w:rsidRPr="00891F26">
        <w:t xml:space="preserve">espondent wrote Donna check number 1640 from his CTA in the amount of $5,000.  On or about December 2, 2004, when Donna presented </w:t>
      </w:r>
      <w:r w:rsidR="006579CD">
        <w:t xml:space="preserve">the </w:t>
      </w:r>
      <w:r w:rsidR="00715F2A" w:rsidRPr="00891F26">
        <w:t>check to the ba</w:t>
      </w:r>
      <w:r w:rsidR="006579CD">
        <w:t>nk for payment, the balance in r</w:t>
      </w:r>
      <w:r w:rsidR="00715F2A" w:rsidRPr="00891F26">
        <w:t xml:space="preserve">espondent’s CTA was </w:t>
      </w:r>
      <w:r w:rsidR="006579CD">
        <w:t>[</w:t>
      </w:r>
      <w:r w:rsidR="00715F2A" w:rsidRPr="00891F26">
        <w:t>-$4,380.93</w:t>
      </w:r>
      <w:r w:rsidR="006579CD">
        <w:t xml:space="preserve">], and so the </w:t>
      </w:r>
      <w:r w:rsidR="00715F2A" w:rsidRPr="00891F26">
        <w:t xml:space="preserve">check was not paid.  On or about December 17, 2004, Donna again presented </w:t>
      </w:r>
      <w:r w:rsidR="006579CD">
        <w:t>the check</w:t>
      </w:r>
      <w:r w:rsidR="00715F2A" w:rsidRPr="00891F26">
        <w:t xml:space="preserve"> to the bank f</w:t>
      </w:r>
      <w:r>
        <w:t>or payment, but the balance in r</w:t>
      </w:r>
      <w:r w:rsidR="00715F2A" w:rsidRPr="00891F26">
        <w:t xml:space="preserve">espondent’s CTA was </w:t>
      </w:r>
      <w:r w:rsidR="006579CD">
        <w:t xml:space="preserve">then </w:t>
      </w:r>
      <w:r w:rsidR="00715F2A">
        <w:t>[</w:t>
      </w:r>
      <w:r w:rsidR="00715F2A" w:rsidRPr="00891F26">
        <w:t>-$4,410.93</w:t>
      </w:r>
      <w:r w:rsidR="00715F2A">
        <w:t>]</w:t>
      </w:r>
      <w:r w:rsidR="00715F2A" w:rsidRPr="00891F26">
        <w:t xml:space="preserve"> and </w:t>
      </w:r>
      <w:r w:rsidR="006579CD">
        <w:t>so the check</w:t>
      </w:r>
      <w:r w:rsidR="00715F2A" w:rsidRPr="00891F26">
        <w:t xml:space="preserve"> was </w:t>
      </w:r>
      <w:r w:rsidR="006579CD" w:rsidRPr="00891F26">
        <w:t xml:space="preserve">again </w:t>
      </w:r>
      <w:r w:rsidR="00715F2A" w:rsidRPr="00891F26">
        <w:t xml:space="preserve">not paid. </w:t>
      </w:r>
    </w:p>
    <w:p w:rsidR="00715F2A" w:rsidRPr="00891F26" w:rsidRDefault="00715F2A" w:rsidP="00385560">
      <w:pPr>
        <w:spacing w:line="480" w:lineRule="auto"/>
        <w:ind w:firstLine="720"/>
      </w:pPr>
      <w:r w:rsidRPr="00891F26">
        <w:t>On or about Decembe</w:t>
      </w:r>
      <w:r w:rsidR="006579CD">
        <w:t>r 20, 2004, r</w:t>
      </w:r>
      <w:r w:rsidRPr="00891F26">
        <w:t xml:space="preserve">espondent provided Donna with a cashier’s check in the sum of $5,010. </w:t>
      </w:r>
    </w:p>
    <w:p w:rsidR="00715F2A" w:rsidRPr="006579CD" w:rsidRDefault="006579CD" w:rsidP="001F0AC0">
      <w:pPr>
        <w:spacing w:line="480" w:lineRule="auto"/>
        <w:ind w:firstLine="720"/>
      </w:pPr>
      <w:r>
        <w:lastRenderedPageBreak/>
        <w:t xml:space="preserve">Respondent testified that Page had agreed to allow him to use the money prior to his disbursing the funds to Donna.  </w:t>
      </w:r>
      <w:r w:rsidR="0079685A">
        <w:t>Mr. Page was called as a witness by the State Bar.  During the cross-examination of him</w:t>
      </w:r>
      <w:r w:rsidR="00385560">
        <w:t xml:space="preserve"> by respondent’s counsel</w:t>
      </w:r>
      <w:r w:rsidR="0079685A">
        <w:t xml:space="preserve">, </w:t>
      </w:r>
      <w:r w:rsidR="00385560">
        <w:t>Page</w:t>
      </w:r>
      <w:r w:rsidR="0079685A">
        <w:t xml:space="preserve"> corroborated respondent’s testimony.</w:t>
      </w:r>
    </w:p>
    <w:p w:rsidR="00715F2A" w:rsidRDefault="00715F2A" w:rsidP="00715F2A">
      <w:pPr>
        <w:spacing w:line="480" w:lineRule="auto"/>
        <w:ind w:firstLine="720"/>
        <w:rPr>
          <w:b/>
          <w:i/>
        </w:rPr>
      </w:pPr>
      <w:r w:rsidRPr="00CB31BE">
        <w:rPr>
          <w:b/>
          <w:i/>
        </w:rPr>
        <w:t>Count 1</w:t>
      </w:r>
      <w:r w:rsidR="001F0AC0">
        <w:rPr>
          <w:b/>
          <w:i/>
        </w:rPr>
        <w:t>5</w:t>
      </w:r>
      <w:r w:rsidRPr="00CB31BE">
        <w:rPr>
          <w:b/>
          <w:i/>
        </w:rPr>
        <w:t xml:space="preserve"> – Failure to </w:t>
      </w:r>
      <w:r>
        <w:rPr>
          <w:b/>
          <w:i/>
        </w:rPr>
        <w:t>Maintain Client Funds in Trust Account</w:t>
      </w:r>
      <w:r w:rsidRPr="00CB31BE">
        <w:rPr>
          <w:b/>
          <w:i/>
        </w:rPr>
        <w:t xml:space="preserve"> </w:t>
      </w:r>
      <w:r>
        <w:rPr>
          <w:b/>
          <w:i/>
        </w:rPr>
        <w:t>[Rule 4-100(A)]</w:t>
      </w:r>
    </w:p>
    <w:p w:rsidR="0079685A" w:rsidRDefault="0079685A" w:rsidP="0079685A">
      <w:pPr>
        <w:spacing w:line="480" w:lineRule="auto"/>
        <w:ind w:firstLine="720"/>
      </w:pPr>
      <w:r>
        <w:t xml:space="preserve">The State Bar has failed to present clear and convincing evidence of a </w:t>
      </w:r>
      <w:r w:rsidR="00DA671B">
        <w:t>willful</w:t>
      </w:r>
      <w:r>
        <w:t xml:space="preserve"> violation of rule 4-100(B)(3) by respondent as alleged in the NDC with regard to the Page funds.  Respondent was authorized by the client to withdraw the funds from his trust account as a loan by the client to respondent.  Accordingly, this count is dismissed with prejudice.</w:t>
      </w:r>
    </w:p>
    <w:p w:rsidR="00715F2A" w:rsidRDefault="00715F2A" w:rsidP="00715F2A">
      <w:pPr>
        <w:spacing w:line="480" w:lineRule="auto"/>
        <w:ind w:firstLine="720"/>
        <w:rPr>
          <w:b/>
          <w:i/>
        </w:rPr>
      </w:pPr>
      <w:r w:rsidRPr="00BD2A6E">
        <w:rPr>
          <w:b/>
          <w:i/>
        </w:rPr>
        <w:t xml:space="preserve">Count </w:t>
      </w:r>
      <w:r w:rsidR="001F0AC0">
        <w:rPr>
          <w:b/>
          <w:i/>
        </w:rPr>
        <w:t>16</w:t>
      </w:r>
      <w:r w:rsidRPr="00BD2A6E">
        <w:rPr>
          <w:b/>
          <w:i/>
        </w:rPr>
        <w:t xml:space="preserve"> – </w:t>
      </w:r>
      <w:r>
        <w:rPr>
          <w:b/>
          <w:i/>
        </w:rPr>
        <w:t>Moral Turpitude</w:t>
      </w:r>
      <w:r w:rsidR="00107446">
        <w:rPr>
          <w:b/>
          <w:i/>
        </w:rPr>
        <w:t xml:space="preserve"> </w:t>
      </w:r>
      <w:r>
        <w:rPr>
          <w:b/>
          <w:i/>
        </w:rPr>
        <w:t>- Misappropriation [Section 6106]</w:t>
      </w:r>
    </w:p>
    <w:p w:rsidR="0079685A" w:rsidRPr="00CE2185" w:rsidRDefault="0079685A" w:rsidP="0079685A">
      <w:pPr>
        <w:spacing w:line="480" w:lineRule="auto"/>
        <w:ind w:firstLine="720"/>
      </w:pPr>
      <w:r>
        <w:t xml:space="preserve">The State Bar has failed to present clear and convincing evidence of a </w:t>
      </w:r>
      <w:r w:rsidR="00DA671B">
        <w:t>willful</w:t>
      </w:r>
      <w:r>
        <w:t xml:space="preserve"> violation of section 6106 by respondent as alleged in the NDC with regard to the Page funds.  Respondent was authorized by the client to withdraw the funds from his trust account as a loan by the client to respondent.</w:t>
      </w:r>
      <w:r w:rsidR="00B5605C">
        <w:rPr>
          <w:rStyle w:val="FootnoteReference"/>
        </w:rPr>
        <w:footnoteReference w:id="2"/>
      </w:r>
      <w:r>
        <w:t xml:space="preserve">  Accordingly, this count is dismissed with prejudice.</w:t>
      </w:r>
    </w:p>
    <w:p w:rsidR="00CE727D" w:rsidRDefault="00CE727D" w:rsidP="001F0AC0">
      <w:pPr>
        <w:spacing w:line="480" w:lineRule="auto"/>
        <w:rPr>
          <w:b/>
          <w:bCs/>
        </w:rPr>
      </w:pPr>
      <w:r>
        <w:rPr>
          <w:b/>
          <w:color w:val="000000"/>
        </w:rPr>
        <w:t>Barton</w:t>
      </w:r>
      <w:r w:rsidRPr="001265C5">
        <w:rPr>
          <w:color w:val="000000"/>
        </w:rPr>
        <w:t xml:space="preserve"> </w:t>
      </w:r>
      <w:r w:rsidRPr="00995849">
        <w:rPr>
          <w:b/>
          <w:bCs/>
        </w:rPr>
        <w:t>Matter [</w:t>
      </w:r>
      <w:r w:rsidRPr="00F13E0B">
        <w:rPr>
          <w:b/>
        </w:rPr>
        <w:t xml:space="preserve">Case No. </w:t>
      </w:r>
      <w:r>
        <w:rPr>
          <w:b/>
          <w:bCs/>
        </w:rPr>
        <w:t>05-O-04919</w:t>
      </w:r>
      <w:r w:rsidRPr="00995849">
        <w:rPr>
          <w:b/>
          <w:bCs/>
        </w:rPr>
        <w:t>]</w:t>
      </w:r>
    </w:p>
    <w:p w:rsidR="00CE727D" w:rsidRPr="00891F26" w:rsidRDefault="00450664" w:rsidP="001F0AC0">
      <w:pPr>
        <w:spacing w:line="480" w:lineRule="auto"/>
        <w:ind w:firstLine="720"/>
      </w:pPr>
      <w:r>
        <w:t>On or about July 23, 2004, r</w:t>
      </w:r>
      <w:r w:rsidR="00CE727D" w:rsidRPr="00891F26">
        <w:t>espondent issued check number 1629 from his CTA in the amount of $25,000 to his client, Diana Barton (“Barton”).  The “memo” portion of check number</w:t>
      </w:r>
      <w:r w:rsidR="00B5605C">
        <w:t xml:space="preserve"> 1629 said “</w:t>
      </w:r>
      <w:proofErr w:type="spellStart"/>
      <w:r w:rsidR="00B5605C">
        <w:t>p.i</w:t>
      </w:r>
      <w:proofErr w:type="spellEnd"/>
      <w:r w:rsidR="00B5605C">
        <w:t xml:space="preserve">. settlement.” </w:t>
      </w:r>
      <w:r w:rsidR="00667E30">
        <w:t xml:space="preserve"> </w:t>
      </w:r>
      <w:r w:rsidR="009E0DA9">
        <w:t>The funds paid to Barton reflected monies previously received by respondent at least several months before as a consequence of a settlement of a case being handled by respondent for Barton.</w:t>
      </w:r>
    </w:p>
    <w:p w:rsidR="009E0DA9" w:rsidRPr="00891F26" w:rsidRDefault="009E0DA9" w:rsidP="009E0DA9">
      <w:pPr>
        <w:spacing w:line="480" w:lineRule="auto"/>
        <w:ind w:firstLine="720"/>
      </w:pPr>
      <w:r w:rsidRPr="00891F26">
        <w:t>Between November 1, 2003 and July 23, 2004, no settle</w:t>
      </w:r>
      <w:r>
        <w:t>ment funds were deposited into r</w:t>
      </w:r>
      <w:r w:rsidRPr="00891F26">
        <w:t xml:space="preserve">espondent’s CTA on behalf of Barton. </w:t>
      </w:r>
      <w:r>
        <w:t xml:space="preserve"> </w:t>
      </w:r>
      <w:r w:rsidRPr="00891F26">
        <w:t xml:space="preserve">Between on or about November 1, 2003 and on or about </w:t>
      </w:r>
      <w:r w:rsidRPr="00891F26">
        <w:lastRenderedPageBreak/>
        <w:t>July 23, 2004, the balance in the CTA fell below $25,000 on repeated dates including, but not limited to the following:</w:t>
      </w:r>
    </w:p>
    <w:p w:rsidR="009E0DA9" w:rsidRPr="00891F26" w:rsidRDefault="009E0DA9" w:rsidP="009E0DA9">
      <w:pPr>
        <w:tabs>
          <w:tab w:val="left" w:pos="-1440"/>
        </w:tabs>
        <w:spacing w:line="240" w:lineRule="exact"/>
        <w:ind w:left="4320" w:hanging="2160"/>
      </w:pPr>
      <w:r w:rsidRPr="00891F26">
        <w:rPr>
          <w:b/>
          <w:bCs/>
          <w:u w:val="single"/>
        </w:rPr>
        <w:t>Date:</w:t>
      </w:r>
      <w:r w:rsidRPr="00891F26">
        <w:rPr>
          <w:b/>
          <w:bCs/>
        </w:rPr>
        <w:tab/>
      </w:r>
      <w:r w:rsidRPr="00891F26">
        <w:rPr>
          <w:b/>
          <w:bCs/>
        </w:rPr>
        <w:tab/>
      </w:r>
      <w:r w:rsidRPr="00891F26">
        <w:rPr>
          <w:b/>
          <w:bCs/>
        </w:rPr>
        <w:tab/>
      </w:r>
      <w:r w:rsidRPr="00891F26">
        <w:rPr>
          <w:b/>
          <w:bCs/>
          <w:u w:val="single"/>
        </w:rPr>
        <w:t>Balance:</w:t>
      </w:r>
    </w:p>
    <w:p w:rsidR="009E0DA9" w:rsidRPr="00891F26" w:rsidRDefault="009E0DA9" w:rsidP="009E0DA9">
      <w:pPr>
        <w:spacing w:line="240" w:lineRule="exact"/>
      </w:pPr>
    </w:p>
    <w:p w:rsidR="009E0DA9" w:rsidRDefault="009E0DA9" w:rsidP="009E0DA9">
      <w:pPr>
        <w:tabs>
          <w:tab w:val="left" w:pos="-1440"/>
          <w:tab w:val="left" w:pos="5760"/>
        </w:tabs>
        <w:spacing w:line="480" w:lineRule="auto"/>
        <w:ind w:left="4320" w:hanging="2160"/>
      </w:pPr>
      <w:r>
        <w:t>03/01/04</w:t>
      </w:r>
      <w:r>
        <w:tab/>
      </w:r>
      <w:r>
        <w:tab/>
        <w:t>$</w:t>
      </w:r>
      <w:r w:rsidRPr="00891F26">
        <w:t>238.73</w:t>
      </w:r>
    </w:p>
    <w:p w:rsidR="009E0DA9" w:rsidRPr="00891F26" w:rsidRDefault="009E0DA9" w:rsidP="009E0DA9">
      <w:pPr>
        <w:tabs>
          <w:tab w:val="left" w:pos="-1440"/>
          <w:tab w:val="left" w:pos="5760"/>
        </w:tabs>
        <w:spacing w:line="480" w:lineRule="auto"/>
        <w:ind w:left="4320" w:hanging="2160"/>
      </w:pPr>
      <w:r w:rsidRPr="00891F26">
        <w:t>05/24/04</w:t>
      </w:r>
      <w:r w:rsidRPr="00891F26">
        <w:tab/>
      </w:r>
      <w:r w:rsidRPr="00891F26">
        <w:tab/>
        <w:t>$2,887.73</w:t>
      </w:r>
    </w:p>
    <w:p w:rsidR="009E0DA9" w:rsidRPr="00891F26" w:rsidRDefault="009E0DA9" w:rsidP="009E0DA9">
      <w:pPr>
        <w:tabs>
          <w:tab w:val="left" w:pos="-1440"/>
          <w:tab w:val="left" w:pos="5760"/>
        </w:tabs>
        <w:spacing w:line="480" w:lineRule="auto"/>
        <w:ind w:left="4320" w:hanging="2160"/>
      </w:pPr>
      <w:r>
        <w:t>07/09/04</w:t>
      </w:r>
      <w:r>
        <w:tab/>
      </w:r>
      <w:r>
        <w:tab/>
        <w:t>$</w:t>
      </w:r>
      <w:r w:rsidRPr="00891F26">
        <w:t>818.73</w:t>
      </w:r>
    </w:p>
    <w:p w:rsidR="009E0DA9" w:rsidRDefault="009E0DA9" w:rsidP="009E0DA9">
      <w:pPr>
        <w:spacing w:line="480" w:lineRule="auto"/>
        <w:ind w:firstLine="720"/>
      </w:pPr>
    </w:p>
    <w:p w:rsidR="009E0DA9" w:rsidRDefault="009E0DA9" w:rsidP="009E0DA9">
      <w:pPr>
        <w:spacing w:line="480" w:lineRule="auto"/>
        <w:ind w:firstLine="720"/>
      </w:pPr>
      <w:r>
        <w:t xml:space="preserve">Respondent acknowledges during the trial that he did not deposit these settlement funds into his CTA.  He was unable to explain why he had not, other than to say that he was undergoing financial and emotional problems at the time.  At the same time, he cannot explain where the money was retained or how it was used.  </w:t>
      </w:r>
    </w:p>
    <w:p w:rsidR="009E0DA9" w:rsidRPr="00891F26" w:rsidRDefault="009E0DA9" w:rsidP="009E0DA9">
      <w:pPr>
        <w:spacing w:line="480" w:lineRule="auto"/>
        <w:ind w:firstLine="720"/>
      </w:pPr>
      <w:r>
        <w:t xml:space="preserve">Respondent did acknowledge using the funds for his own purposes for at least a couple of months.  He contends, however, that he did this only after asking </w:t>
      </w:r>
      <w:r w:rsidR="00107446">
        <w:t>Barton</w:t>
      </w:r>
      <w:r>
        <w:t xml:space="preserve"> to be allowed to borrow </w:t>
      </w:r>
      <w:r w:rsidR="00107446">
        <w:t>her</w:t>
      </w:r>
      <w:r>
        <w:t xml:space="preserve"> funds </w:t>
      </w:r>
      <w:r w:rsidR="00107446">
        <w:t>if he needed to and being told by her that he could</w:t>
      </w:r>
      <w:r>
        <w:t xml:space="preserve">.  The Court does not find this testimony to be credible or convincing.  </w:t>
      </w:r>
      <w:r w:rsidR="00BE1035">
        <w:t xml:space="preserve">There is no written record of any such loan transaction between respondent and his client, and there is no evidence that he took the steps that would have been required of him by rule 3-300 if there had been such a business transaction with an existing client. </w:t>
      </w:r>
    </w:p>
    <w:p w:rsidR="00CE727D" w:rsidRDefault="00CE727D" w:rsidP="00CE727D">
      <w:pPr>
        <w:spacing w:line="480" w:lineRule="auto"/>
        <w:ind w:firstLine="720"/>
      </w:pPr>
      <w:r w:rsidRPr="00CB31BE">
        <w:rPr>
          <w:b/>
          <w:i/>
        </w:rPr>
        <w:t>Count 1</w:t>
      </w:r>
      <w:r w:rsidR="001F0AC0">
        <w:rPr>
          <w:b/>
          <w:i/>
        </w:rPr>
        <w:t>7</w:t>
      </w:r>
      <w:r w:rsidRPr="00CB31BE">
        <w:rPr>
          <w:b/>
          <w:i/>
        </w:rPr>
        <w:t xml:space="preserve"> – Failure to </w:t>
      </w:r>
      <w:r>
        <w:rPr>
          <w:b/>
          <w:i/>
        </w:rPr>
        <w:t>Maintain Client Funds in Trust Account</w:t>
      </w:r>
      <w:r w:rsidRPr="00CB31BE">
        <w:rPr>
          <w:b/>
          <w:i/>
        </w:rPr>
        <w:t xml:space="preserve"> </w:t>
      </w:r>
      <w:r>
        <w:rPr>
          <w:b/>
          <w:i/>
        </w:rPr>
        <w:t>[Rule 4-100(A)]</w:t>
      </w:r>
    </w:p>
    <w:p w:rsidR="00107446" w:rsidRPr="00107446" w:rsidRDefault="00107446" w:rsidP="00CE727D">
      <w:pPr>
        <w:spacing w:line="480" w:lineRule="auto"/>
        <w:ind w:firstLine="720"/>
      </w:pPr>
      <w:r>
        <w:t xml:space="preserve">By failing to deposit and maintain Ms. Barton’s funds in his client trust account, respondent </w:t>
      </w:r>
      <w:r w:rsidR="00DA671B">
        <w:t>willful</w:t>
      </w:r>
      <w:r>
        <w:t>ly failed to comply with rule 4-100(A).</w:t>
      </w:r>
    </w:p>
    <w:p w:rsidR="00CE727D" w:rsidRDefault="00CE727D" w:rsidP="00CE727D">
      <w:pPr>
        <w:spacing w:line="480" w:lineRule="auto"/>
        <w:ind w:firstLine="720"/>
        <w:rPr>
          <w:b/>
          <w:i/>
        </w:rPr>
      </w:pPr>
      <w:r w:rsidRPr="00BD2A6E">
        <w:rPr>
          <w:b/>
          <w:i/>
        </w:rPr>
        <w:t xml:space="preserve">Count </w:t>
      </w:r>
      <w:r w:rsidR="001F0AC0">
        <w:rPr>
          <w:b/>
          <w:i/>
        </w:rPr>
        <w:t>18</w:t>
      </w:r>
      <w:r w:rsidRPr="00BD2A6E">
        <w:rPr>
          <w:b/>
          <w:i/>
        </w:rPr>
        <w:t xml:space="preserve"> – </w:t>
      </w:r>
      <w:r>
        <w:rPr>
          <w:b/>
          <w:i/>
        </w:rPr>
        <w:t>Moral Turpitude</w:t>
      </w:r>
      <w:r w:rsidR="00A5701D">
        <w:rPr>
          <w:b/>
          <w:i/>
        </w:rPr>
        <w:t xml:space="preserve"> </w:t>
      </w:r>
      <w:r>
        <w:rPr>
          <w:b/>
          <w:i/>
        </w:rPr>
        <w:t>- Misappropriation [Section 6106]</w:t>
      </w:r>
    </w:p>
    <w:p w:rsidR="00107446" w:rsidRPr="00107446" w:rsidRDefault="00107446" w:rsidP="00CE727D">
      <w:pPr>
        <w:spacing w:line="480" w:lineRule="auto"/>
        <w:ind w:firstLine="720"/>
      </w:pPr>
      <w:r>
        <w:lastRenderedPageBreak/>
        <w:t>By intentionally using Ms. Barton’s funds for his own purposes without authorization from his client, respondent misappropriated those funds.  Such conduct by him constitutes an act of moral turpitude, in willful violation of section 6106.</w:t>
      </w:r>
    </w:p>
    <w:p w:rsidR="00CF170E" w:rsidRPr="00891F26" w:rsidRDefault="00CF170E" w:rsidP="001F0AC0">
      <w:pPr>
        <w:spacing w:line="480" w:lineRule="auto"/>
      </w:pPr>
      <w:r>
        <w:rPr>
          <w:b/>
          <w:color w:val="000000"/>
        </w:rPr>
        <w:t>Bryant</w:t>
      </w:r>
      <w:r w:rsidRPr="001265C5">
        <w:rPr>
          <w:color w:val="000000"/>
        </w:rPr>
        <w:t xml:space="preserve"> </w:t>
      </w:r>
      <w:r w:rsidRPr="00995849">
        <w:rPr>
          <w:b/>
          <w:bCs/>
        </w:rPr>
        <w:t>Matter [</w:t>
      </w:r>
      <w:r w:rsidRPr="00F13E0B">
        <w:rPr>
          <w:b/>
        </w:rPr>
        <w:t xml:space="preserve">Case No. </w:t>
      </w:r>
      <w:r>
        <w:rPr>
          <w:b/>
          <w:bCs/>
        </w:rPr>
        <w:t>05-O-04919</w:t>
      </w:r>
      <w:r w:rsidRPr="00995849">
        <w:rPr>
          <w:b/>
          <w:bCs/>
        </w:rPr>
        <w:t>]</w:t>
      </w:r>
      <w:r w:rsidRPr="00891F26">
        <w:t xml:space="preserve"> </w:t>
      </w:r>
    </w:p>
    <w:p w:rsidR="00CF170E" w:rsidRPr="00891F26" w:rsidRDefault="00385560" w:rsidP="001F0AC0">
      <w:pPr>
        <w:spacing w:line="480" w:lineRule="auto"/>
        <w:ind w:firstLine="720"/>
      </w:pPr>
      <w:r>
        <w:t>In or about 2005, r</w:t>
      </w:r>
      <w:r w:rsidR="00CF170E" w:rsidRPr="00891F26">
        <w:t>espondent represented Cynthia Bryant (“Bryant”) in her marital dissolution.  On or ab</w:t>
      </w:r>
      <w:r w:rsidR="00450664">
        <w:t>out September 1, 2005, r</w:t>
      </w:r>
      <w:r w:rsidR="00CF170E" w:rsidRPr="00891F26">
        <w:t>espondent received</w:t>
      </w:r>
      <w:r w:rsidR="00450664">
        <w:t xml:space="preserve"> a check payable to Bryant and r</w:t>
      </w:r>
      <w:r w:rsidR="00CF170E" w:rsidRPr="00891F26">
        <w:t xml:space="preserve">espondent in the amount of $28,000 from Bryant’s ex-husband for </w:t>
      </w:r>
      <w:r w:rsidR="00BF72F5">
        <w:t>the husband’s</w:t>
      </w:r>
      <w:r w:rsidR="00CF170E" w:rsidRPr="00891F26">
        <w:t xml:space="preserve"> “final divorce payment” to Bryant (“Bryant’s funds”).  </w:t>
      </w:r>
      <w:r w:rsidR="00450664">
        <w:t>On or about September 2, 2005, r</w:t>
      </w:r>
      <w:r w:rsidR="00CF170E" w:rsidRPr="00891F26">
        <w:t>espondent deposited</w:t>
      </w:r>
      <w:r w:rsidR="00BF72F5">
        <w:t xml:space="preserve"> Bryant’s funds into his CTA. </w:t>
      </w:r>
    </w:p>
    <w:p w:rsidR="00CF170E" w:rsidRDefault="00CF170E" w:rsidP="001F0AC0">
      <w:pPr>
        <w:spacing w:line="480" w:lineRule="auto"/>
        <w:ind w:firstLine="720"/>
      </w:pPr>
      <w:r w:rsidRPr="00891F26">
        <w:t>On or about that day, following the deposit of Bryant’s funds in his CTA, the balanc</w:t>
      </w:r>
      <w:r w:rsidR="00BF72F5">
        <w:t>e in the CTA was $35,430.11.</w:t>
      </w:r>
    </w:p>
    <w:p w:rsidR="00CF170E" w:rsidRPr="00891F26" w:rsidRDefault="00CF170E" w:rsidP="001F0AC0">
      <w:pPr>
        <w:spacing w:line="480" w:lineRule="auto"/>
        <w:ind w:firstLine="720"/>
      </w:pPr>
      <w:r w:rsidRPr="00891F26">
        <w:t>Between on or about September 2, 2005</w:t>
      </w:r>
      <w:r w:rsidR="00BF72F5">
        <w:t>,</w:t>
      </w:r>
      <w:r w:rsidRPr="00891F26">
        <w:t xml:space="preserve"> and o</w:t>
      </w:r>
      <w:r w:rsidR="00450664">
        <w:t>n or about September 23, 2005, r</w:t>
      </w:r>
      <w:r w:rsidRPr="00891F26">
        <w:t>espondent did not disburse any of Bryant’s funds to her or to anyone on her behalf.  Be</w:t>
      </w:r>
      <w:r w:rsidR="00450664">
        <w:t>tween in or about those dates, r</w:t>
      </w:r>
      <w:r w:rsidRPr="00891F26">
        <w:t>espondent made the following ten cash withdrawals from his CTA</w:t>
      </w:r>
      <w:r w:rsidR="00BF72F5">
        <w:t>,</w:t>
      </w:r>
      <w:r w:rsidRPr="00891F26">
        <w:t xml:space="preserve"> and the balance in his CTA fell below $28,</w:t>
      </w:r>
      <w:r w:rsidR="001C3533">
        <w:t>000 on repeated dates, including</w:t>
      </w:r>
      <w:r w:rsidRPr="00891F26">
        <w:t xml:space="preserve"> but not limited to the following:</w:t>
      </w:r>
    </w:p>
    <w:p w:rsidR="00CF170E" w:rsidRPr="00891F26" w:rsidRDefault="00CF170E" w:rsidP="000D72FE">
      <w:pPr>
        <w:tabs>
          <w:tab w:val="left" w:pos="-1440"/>
          <w:tab w:val="left" w:pos="3600"/>
          <w:tab w:val="left" w:pos="5580"/>
        </w:tabs>
        <w:spacing w:line="480" w:lineRule="exact"/>
        <w:ind w:left="6480" w:hanging="5040"/>
      </w:pPr>
      <w:r w:rsidRPr="00891F26">
        <w:rPr>
          <w:b/>
          <w:bCs/>
          <w:u w:val="single"/>
        </w:rPr>
        <w:t>Date:</w:t>
      </w:r>
      <w:r w:rsidR="000D72FE">
        <w:rPr>
          <w:b/>
          <w:bCs/>
        </w:rPr>
        <w:tab/>
      </w:r>
      <w:r w:rsidRPr="00891F26">
        <w:rPr>
          <w:b/>
          <w:bCs/>
          <w:u w:val="single"/>
        </w:rPr>
        <w:t>Payee:</w:t>
      </w:r>
      <w:r w:rsidR="000D72FE">
        <w:rPr>
          <w:b/>
          <w:bCs/>
        </w:rPr>
        <w:tab/>
      </w:r>
      <w:r w:rsidRPr="00891F26">
        <w:rPr>
          <w:b/>
          <w:bCs/>
          <w:u w:val="single"/>
        </w:rPr>
        <w:t>Amount:</w:t>
      </w:r>
      <w:r w:rsidRPr="00891F26">
        <w:rPr>
          <w:b/>
          <w:bCs/>
        </w:rPr>
        <w:tab/>
      </w:r>
      <w:r w:rsidRPr="00891F26">
        <w:rPr>
          <w:b/>
          <w:bCs/>
          <w:u w:val="single"/>
        </w:rPr>
        <w:t>Balance:</w:t>
      </w:r>
    </w:p>
    <w:p w:rsidR="00CF170E" w:rsidRDefault="000D72FE" w:rsidP="000D72FE">
      <w:pPr>
        <w:tabs>
          <w:tab w:val="left" w:pos="-1440"/>
          <w:tab w:val="left" w:pos="3600"/>
          <w:tab w:val="left" w:pos="5580"/>
          <w:tab w:val="left" w:pos="7200"/>
        </w:tabs>
        <w:spacing w:line="240" w:lineRule="exact"/>
        <w:ind w:left="6480" w:hanging="5040"/>
      </w:pPr>
      <w:r>
        <w:t>09/06/05</w:t>
      </w:r>
      <w:r>
        <w:tab/>
        <w:t xml:space="preserve">Respondent </w:t>
      </w:r>
      <w:r>
        <w:tab/>
      </w:r>
      <w:r w:rsidR="00F372DC">
        <w:t>$10</w:t>
      </w:r>
      <w:r w:rsidR="00CF170E" w:rsidRPr="00891F26">
        <w:t>,000</w:t>
      </w:r>
      <w:r w:rsidR="00CF170E" w:rsidRPr="00891F26">
        <w:tab/>
      </w:r>
      <w:r>
        <w:tab/>
      </w:r>
      <w:r w:rsidR="00CF170E" w:rsidRPr="00891F26">
        <w:t>$24,930.11</w:t>
      </w:r>
    </w:p>
    <w:p w:rsidR="000D72FE" w:rsidRPr="00891F26" w:rsidRDefault="000D72FE" w:rsidP="000D72FE">
      <w:pPr>
        <w:tabs>
          <w:tab w:val="left" w:pos="-1440"/>
          <w:tab w:val="left" w:pos="3600"/>
          <w:tab w:val="left" w:pos="5580"/>
          <w:tab w:val="left" w:pos="7200"/>
        </w:tabs>
        <w:spacing w:line="240" w:lineRule="exact"/>
        <w:ind w:left="6480" w:hanging="5040"/>
      </w:pPr>
    </w:p>
    <w:p w:rsidR="00CF170E" w:rsidRDefault="000D72FE" w:rsidP="000D72FE">
      <w:pPr>
        <w:tabs>
          <w:tab w:val="left" w:pos="-1440"/>
          <w:tab w:val="left" w:pos="3600"/>
          <w:tab w:val="left" w:pos="5580"/>
          <w:tab w:val="left" w:pos="7200"/>
        </w:tabs>
        <w:spacing w:line="240" w:lineRule="exact"/>
        <w:ind w:left="6480" w:hanging="5040"/>
      </w:pPr>
      <w:r>
        <w:t>09/08/05</w:t>
      </w:r>
      <w:r>
        <w:tab/>
        <w:t xml:space="preserve">Respondent </w:t>
      </w:r>
      <w:r>
        <w:tab/>
      </w:r>
      <w:r w:rsidR="00CF170E" w:rsidRPr="00891F26">
        <w:t>$4,000</w:t>
      </w:r>
      <w:r w:rsidR="00CF170E" w:rsidRPr="00891F26">
        <w:tab/>
      </w:r>
      <w:r w:rsidR="00CF170E" w:rsidRPr="00891F26">
        <w:tab/>
        <w:t>$20,930.11</w:t>
      </w:r>
    </w:p>
    <w:p w:rsidR="000D72FE" w:rsidRPr="00891F26" w:rsidRDefault="000D72FE" w:rsidP="000D72FE">
      <w:pPr>
        <w:tabs>
          <w:tab w:val="left" w:pos="-1440"/>
          <w:tab w:val="left" w:pos="3600"/>
          <w:tab w:val="left" w:pos="5580"/>
          <w:tab w:val="left" w:pos="7200"/>
        </w:tabs>
        <w:spacing w:line="240" w:lineRule="exact"/>
        <w:ind w:left="6480" w:hanging="5040"/>
      </w:pPr>
    </w:p>
    <w:p w:rsidR="00CF170E" w:rsidRDefault="00CF170E" w:rsidP="000D72FE">
      <w:pPr>
        <w:tabs>
          <w:tab w:val="left" w:pos="-1440"/>
          <w:tab w:val="left" w:pos="3600"/>
          <w:tab w:val="left" w:pos="5580"/>
          <w:tab w:val="left" w:pos="7200"/>
        </w:tabs>
        <w:spacing w:line="240" w:lineRule="exact"/>
        <w:ind w:left="6480" w:hanging="5040"/>
      </w:pPr>
      <w:r w:rsidRPr="00891F26">
        <w:t>09/12/05</w:t>
      </w:r>
      <w:r w:rsidRPr="00891F26">
        <w:tab/>
        <w:t xml:space="preserve">Respondent </w:t>
      </w:r>
      <w:r w:rsidRPr="00891F26">
        <w:tab/>
        <w:t>$1,000</w:t>
      </w:r>
      <w:r w:rsidRPr="00891F26">
        <w:tab/>
      </w:r>
      <w:r w:rsidRPr="00891F26">
        <w:tab/>
        <w:t>$19, 930.11</w:t>
      </w:r>
    </w:p>
    <w:p w:rsidR="000D72FE" w:rsidRPr="00891F26" w:rsidRDefault="000D72FE" w:rsidP="000D72FE">
      <w:pPr>
        <w:tabs>
          <w:tab w:val="left" w:pos="-1440"/>
          <w:tab w:val="left" w:pos="3600"/>
          <w:tab w:val="left" w:pos="5580"/>
          <w:tab w:val="left" w:pos="7200"/>
        </w:tabs>
        <w:spacing w:line="240" w:lineRule="exact"/>
        <w:ind w:left="6480" w:hanging="5040"/>
      </w:pPr>
    </w:p>
    <w:p w:rsidR="00CF170E" w:rsidRDefault="000D72FE" w:rsidP="000D72FE">
      <w:pPr>
        <w:tabs>
          <w:tab w:val="left" w:pos="-1440"/>
          <w:tab w:val="left" w:pos="3600"/>
          <w:tab w:val="left" w:pos="5580"/>
          <w:tab w:val="left" w:pos="7200"/>
        </w:tabs>
        <w:spacing w:line="240" w:lineRule="exact"/>
        <w:ind w:left="6480" w:hanging="5040"/>
      </w:pPr>
      <w:r>
        <w:t>09/12/05</w:t>
      </w:r>
      <w:r>
        <w:tab/>
        <w:t xml:space="preserve">Respondent </w:t>
      </w:r>
      <w:r>
        <w:tab/>
      </w:r>
      <w:r w:rsidR="00CF170E" w:rsidRPr="00891F26">
        <w:t>$1,000</w:t>
      </w:r>
      <w:r w:rsidR="00CF170E" w:rsidRPr="00891F26">
        <w:tab/>
      </w:r>
      <w:r w:rsidR="00CF170E" w:rsidRPr="00891F26">
        <w:tab/>
        <w:t>$18,930.11</w:t>
      </w:r>
    </w:p>
    <w:p w:rsidR="000D72FE" w:rsidRPr="00891F26" w:rsidRDefault="000D72FE" w:rsidP="000D72FE">
      <w:pPr>
        <w:tabs>
          <w:tab w:val="left" w:pos="-1440"/>
          <w:tab w:val="left" w:pos="3600"/>
          <w:tab w:val="left" w:pos="5580"/>
          <w:tab w:val="left" w:pos="7200"/>
        </w:tabs>
        <w:spacing w:line="240" w:lineRule="exact"/>
        <w:ind w:left="6480" w:hanging="5040"/>
      </w:pPr>
    </w:p>
    <w:p w:rsidR="00CF170E" w:rsidRDefault="00CF170E" w:rsidP="000D72FE">
      <w:pPr>
        <w:tabs>
          <w:tab w:val="left" w:pos="-1440"/>
          <w:tab w:val="left" w:pos="3600"/>
          <w:tab w:val="left" w:pos="5580"/>
          <w:tab w:val="left" w:pos="7200"/>
        </w:tabs>
        <w:spacing w:line="240" w:lineRule="exact"/>
        <w:ind w:left="6480" w:hanging="5040"/>
      </w:pPr>
      <w:r w:rsidRPr="00891F26">
        <w:t>09</w:t>
      </w:r>
      <w:r w:rsidR="000D72FE">
        <w:t>/13/05</w:t>
      </w:r>
      <w:r w:rsidR="000D72FE">
        <w:tab/>
        <w:t xml:space="preserve">Respondent </w:t>
      </w:r>
      <w:r w:rsidR="000D72FE">
        <w:tab/>
        <w:t>$2,000</w:t>
      </w:r>
      <w:r w:rsidR="000D72FE">
        <w:tab/>
      </w:r>
      <w:r w:rsidRPr="00891F26">
        <w:tab/>
        <w:t>$16,977.11</w:t>
      </w:r>
    </w:p>
    <w:p w:rsidR="000D72FE" w:rsidRPr="00891F26" w:rsidRDefault="000D72FE" w:rsidP="000D72FE">
      <w:pPr>
        <w:tabs>
          <w:tab w:val="left" w:pos="-1440"/>
          <w:tab w:val="left" w:pos="3600"/>
          <w:tab w:val="left" w:pos="5580"/>
          <w:tab w:val="left" w:pos="7200"/>
        </w:tabs>
        <w:spacing w:line="240" w:lineRule="exact"/>
        <w:ind w:left="6480" w:hanging="5040"/>
      </w:pPr>
    </w:p>
    <w:p w:rsidR="00CF170E" w:rsidRDefault="000D72FE" w:rsidP="000D72FE">
      <w:pPr>
        <w:tabs>
          <w:tab w:val="left" w:pos="-1440"/>
          <w:tab w:val="left" w:pos="3600"/>
          <w:tab w:val="left" w:pos="5580"/>
          <w:tab w:val="left" w:pos="7200"/>
        </w:tabs>
        <w:spacing w:line="240" w:lineRule="exact"/>
        <w:ind w:left="6480" w:hanging="5040"/>
      </w:pPr>
      <w:r>
        <w:t>09/13/05</w:t>
      </w:r>
      <w:r>
        <w:tab/>
        <w:t xml:space="preserve">Respondent </w:t>
      </w:r>
      <w:r>
        <w:tab/>
      </w:r>
      <w:r w:rsidR="00CF170E" w:rsidRPr="00891F26">
        <w:t>$3,000</w:t>
      </w:r>
      <w:r w:rsidR="00CF170E" w:rsidRPr="00891F26">
        <w:tab/>
      </w:r>
      <w:r w:rsidR="00CF170E" w:rsidRPr="00891F26">
        <w:tab/>
        <w:t>$13,977.11</w:t>
      </w:r>
    </w:p>
    <w:p w:rsidR="000D72FE" w:rsidRPr="00891F26" w:rsidRDefault="000D72FE" w:rsidP="000D72FE">
      <w:pPr>
        <w:tabs>
          <w:tab w:val="left" w:pos="-1440"/>
          <w:tab w:val="left" w:pos="3600"/>
          <w:tab w:val="left" w:pos="5580"/>
          <w:tab w:val="left" w:pos="7200"/>
        </w:tabs>
        <w:spacing w:line="240" w:lineRule="exact"/>
        <w:ind w:left="6480" w:hanging="5040"/>
      </w:pPr>
    </w:p>
    <w:p w:rsidR="00CF170E" w:rsidRDefault="000D72FE" w:rsidP="000D72FE">
      <w:pPr>
        <w:tabs>
          <w:tab w:val="left" w:pos="-1440"/>
          <w:tab w:val="left" w:pos="3600"/>
          <w:tab w:val="left" w:pos="5580"/>
          <w:tab w:val="left" w:pos="7200"/>
        </w:tabs>
        <w:spacing w:line="240" w:lineRule="exact"/>
        <w:ind w:left="6480" w:hanging="5040"/>
      </w:pPr>
      <w:r>
        <w:t>09/13/05</w:t>
      </w:r>
      <w:r>
        <w:tab/>
        <w:t xml:space="preserve">Respondent </w:t>
      </w:r>
      <w:r>
        <w:tab/>
      </w:r>
      <w:r w:rsidR="00CF170E" w:rsidRPr="00891F26">
        <w:t>$2,000</w:t>
      </w:r>
      <w:r w:rsidR="00CF170E" w:rsidRPr="00891F26">
        <w:tab/>
      </w:r>
      <w:r w:rsidR="00CF170E" w:rsidRPr="00891F26">
        <w:tab/>
        <w:t>$11,977.11</w:t>
      </w:r>
    </w:p>
    <w:p w:rsidR="000D72FE" w:rsidRPr="00891F26" w:rsidRDefault="000D72FE" w:rsidP="000D72FE">
      <w:pPr>
        <w:tabs>
          <w:tab w:val="left" w:pos="-1440"/>
          <w:tab w:val="left" w:pos="3600"/>
          <w:tab w:val="left" w:pos="5580"/>
          <w:tab w:val="left" w:pos="7200"/>
        </w:tabs>
        <w:spacing w:line="240" w:lineRule="exact"/>
        <w:ind w:left="6480" w:hanging="5040"/>
      </w:pPr>
    </w:p>
    <w:p w:rsidR="00CF170E" w:rsidRDefault="000D72FE" w:rsidP="000D72FE">
      <w:pPr>
        <w:tabs>
          <w:tab w:val="left" w:pos="-1440"/>
          <w:tab w:val="left" w:pos="3600"/>
          <w:tab w:val="left" w:pos="5580"/>
          <w:tab w:val="left" w:pos="7200"/>
        </w:tabs>
        <w:spacing w:line="240" w:lineRule="exact"/>
        <w:ind w:left="6480" w:hanging="5040"/>
      </w:pPr>
      <w:r>
        <w:t>09/16/05</w:t>
      </w:r>
      <w:r>
        <w:tab/>
        <w:t xml:space="preserve">Respondent </w:t>
      </w:r>
      <w:r>
        <w:tab/>
      </w:r>
      <w:r w:rsidR="00CF170E" w:rsidRPr="00891F26">
        <w:t>$1,000</w:t>
      </w:r>
      <w:r w:rsidR="00CF170E" w:rsidRPr="00891F26">
        <w:tab/>
      </w:r>
      <w:r w:rsidR="00CF170E" w:rsidRPr="00891F26">
        <w:tab/>
        <w:t>$10,977.11</w:t>
      </w:r>
    </w:p>
    <w:p w:rsidR="000D72FE" w:rsidRPr="00891F26" w:rsidRDefault="000D72FE" w:rsidP="000D72FE">
      <w:pPr>
        <w:tabs>
          <w:tab w:val="left" w:pos="-1440"/>
          <w:tab w:val="left" w:pos="3600"/>
          <w:tab w:val="left" w:pos="5580"/>
          <w:tab w:val="left" w:pos="7200"/>
        </w:tabs>
        <w:spacing w:line="240" w:lineRule="exact"/>
        <w:ind w:left="6480" w:hanging="5040"/>
      </w:pPr>
    </w:p>
    <w:p w:rsidR="00CF170E" w:rsidRDefault="000D72FE" w:rsidP="000D72FE">
      <w:pPr>
        <w:tabs>
          <w:tab w:val="left" w:pos="-1440"/>
          <w:tab w:val="left" w:pos="3600"/>
          <w:tab w:val="left" w:pos="5580"/>
          <w:tab w:val="left" w:pos="7200"/>
        </w:tabs>
        <w:spacing w:line="240" w:lineRule="exact"/>
        <w:ind w:left="6480" w:hanging="5040"/>
      </w:pPr>
      <w:r>
        <w:t>09/22/05</w:t>
      </w:r>
      <w:r>
        <w:tab/>
        <w:t xml:space="preserve">Respondent </w:t>
      </w:r>
      <w:r>
        <w:tab/>
        <w:t>$1,500</w:t>
      </w:r>
      <w:r>
        <w:tab/>
      </w:r>
      <w:r>
        <w:tab/>
        <w:t>$</w:t>
      </w:r>
      <w:r w:rsidR="00CF170E" w:rsidRPr="00891F26">
        <w:t>9,477.11</w:t>
      </w:r>
    </w:p>
    <w:p w:rsidR="000D72FE" w:rsidRPr="00891F26" w:rsidRDefault="000D72FE" w:rsidP="000D72FE">
      <w:pPr>
        <w:tabs>
          <w:tab w:val="left" w:pos="-1440"/>
          <w:tab w:val="left" w:pos="3600"/>
          <w:tab w:val="left" w:pos="5580"/>
          <w:tab w:val="left" w:pos="7200"/>
        </w:tabs>
        <w:spacing w:line="240" w:lineRule="exact"/>
        <w:ind w:left="6480" w:hanging="5040"/>
      </w:pPr>
    </w:p>
    <w:p w:rsidR="00CF170E" w:rsidRPr="00891F26" w:rsidRDefault="000D72FE" w:rsidP="000D72FE">
      <w:pPr>
        <w:tabs>
          <w:tab w:val="left" w:pos="-1440"/>
          <w:tab w:val="left" w:pos="3600"/>
          <w:tab w:val="left" w:pos="5580"/>
          <w:tab w:val="left" w:pos="7200"/>
        </w:tabs>
        <w:spacing w:line="240" w:lineRule="exact"/>
        <w:ind w:left="6480" w:hanging="5040"/>
      </w:pPr>
      <w:r>
        <w:t>09/23/05</w:t>
      </w:r>
      <w:r>
        <w:tab/>
        <w:t xml:space="preserve">Respondent </w:t>
      </w:r>
      <w:r>
        <w:tab/>
        <w:t>$600</w:t>
      </w:r>
      <w:r>
        <w:tab/>
      </w:r>
      <w:r>
        <w:tab/>
        <w:t>$</w:t>
      </w:r>
      <w:r w:rsidR="00CF170E" w:rsidRPr="00891F26">
        <w:t>8,877.11</w:t>
      </w:r>
    </w:p>
    <w:p w:rsidR="00CF170E" w:rsidRDefault="00CF170E" w:rsidP="00C80711">
      <w:pPr>
        <w:ind w:firstLine="720"/>
        <w:rPr>
          <w:b/>
          <w:i/>
        </w:rPr>
      </w:pPr>
    </w:p>
    <w:p w:rsidR="00C80711" w:rsidRDefault="00C80711" w:rsidP="00C80711">
      <w:pPr>
        <w:spacing w:line="480" w:lineRule="auto"/>
        <w:ind w:firstLine="720"/>
      </w:pPr>
      <w:r>
        <w:t xml:space="preserve">Respondent testified that he represented Bryant in several matters and that she agreed that he could use the funds he had collected on her behalf while she was incarcerated </w:t>
      </w:r>
      <w:r w:rsidR="001C3533">
        <w:t xml:space="preserve">as a result </w:t>
      </w:r>
      <w:r>
        <w:t>of a criminal conviction.  In exc</w:t>
      </w:r>
      <w:r w:rsidR="001C3533">
        <w:t>hange for this loan of funds, respondent represented Bryant</w:t>
      </w:r>
      <w:r>
        <w:t xml:space="preserve"> on several other matters for no charge.  He eventually repaid all of the money to her after she was released.  </w:t>
      </w:r>
    </w:p>
    <w:p w:rsidR="00C80711" w:rsidRPr="0023352B" w:rsidRDefault="00C80711" w:rsidP="00C80711">
      <w:pPr>
        <w:spacing w:line="480" w:lineRule="auto"/>
        <w:ind w:firstLine="720"/>
      </w:pPr>
      <w:r>
        <w:t xml:space="preserve">During the April 3 session of the trial, Ms. Bryant (now Ms. </w:t>
      </w:r>
      <w:proofErr w:type="spellStart"/>
      <w:r>
        <w:t>Gasnar</w:t>
      </w:r>
      <w:proofErr w:type="spellEnd"/>
      <w:r>
        <w:t xml:space="preserve">) was called by respondent as a witness at trial.  She agreed with respondent’s recollection of the events.  She testified that she had authorized respondent to borrow and use her funds </w:t>
      </w:r>
      <w:r w:rsidR="00534AAF">
        <w:t>for his own purposes as a loan while she was in jail.</w:t>
      </w:r>
      <w:r>
        <w:t xml:space="preserve">  In exchange for this loan, he represented her for free.  Finally, she confirmed that he subsequently repaid to her all of the money.</w:t>
      </w:r>
    </w:p>
    <w:p w:rsidR="00CF170E" w:rsidRDefault="00CF170E" w:rsidP="00CF170E">
      <w:pPr>
        <w:spacing w:line="480" w:lineRule="auto"/>
        <w:ind w:firstLine="720"/>
      </w:pPr>
      <w:r w:rsidRPr="00CB31BE">
        <w:rPr>
          <w:b/>
          <w:i/>
        </w:rPr>
        <w:t>Count 1</w:t>
      </w:r>
      <w:r w:rsidR="001F0AC0">
        <w:rPr>
          <w:b/>
          <w:i/>
        </w:rPr>
        <w:t>9</w:t>
      </w:r>
      <w:r w:rsidRPr="00CB31BE">
        <w:rPr>
          <w:b/>
          <w:i/>
        </w:rPr>
        <w:t xml:space="preserve"> – Failure to </w:t>
      </w:r>
      <w:r>
        <w:rPr>
          <w:b/>
          <w:i/>
        </w:rPr>
        <w:t>Maintain Client Funds in Trust Account</w:t>
      </w:r>
      <w:r w:rsidRPr="00CB31BE">
        <w:rPr>
          <w:b/>
          <w:i/>
        </w:rPr>
        <w:t xml:space="preserve"> </w:t>
      </w:r>
      <w:r>
        <w:rPr>
          <w:b/>
          <w:i/>
        </w:rPr>
        <w:t>[Rule 4-100(A)]</w:t>
      </w:r>
    </w:p>
    <w:p w:rsidR="00534AAF" w:rsidRDefault="00534AAF" w:rsidP="00534AAF">
      <w:pPr>
        <w:spacing w:line="480" w:lineRule="auto"/>
        <w:ind w:firstLine="720"/>
      </w:pPr>
      <w:r>
        <w:t xml:space="preserve">The State Bar has failed to present clear and convincing evidence of a </w:t>
      </w:r>
      <w:r w:rsidR="00DA671B">
        <w:t>willful</w:t>
      </w:r>
      <w:r>
        <w:t xml:space="preserve"> violation of rule 4-100(B)(3) by respondent as alleged in the NDC with regard to the Bryant funds.  Respondent was authorized by the client to withdraw the funds from his trust account as a loan by the client to respondent.  Accordingly, this count is dismissed with prejudice.</w:t>
      </w:r>
    </w:p>
    <w:p w:rsidR="00CF170E" w:rsidRDefault="00CF170E" w:rsidP="00CF170E">
      <w:pPr>
        <w:spacing w:line="480" w:lineRule="auto"/>
        <w:ind w:firstLine="720"/>
      </w:pPr>
      <w:r w:rsidRPr="00BD2A6E">
        <w:rPr>
          <w:b/>
          <w:i/>
        </w:rPr>
        <w:t xml:space="preserve">Count </w:t>
      </w:r>
      <w:r>
        <w:rPr>
          <w:b/>
          <w:i/>
        </w:rPr>
        <w:t>2</w:t>
      </w:r>
      <w:r w:rsidR="001F0AC0">
        <w:rPr>
          <w:b/>
          <w:i/>
        </w:rPr>
        <w:t>0</w:t>
      </w:r>
      <w:r w:rsidRPr="00BD2A6E">
        <w:rPr>
          <w:b/>
          <w:i/>
        </w:rPr>
        <w:t xml:space="preserve"> – </w:t>
      </w:r>
      <w:r>
        <w:rPr>
          <w:b/>
          <w:i/>
        </w:rPr>
        <w:t>Moral Turpitude</w:t>
      </w:r>
      <w:r w:rsidR="00107446">
        <w:rPr>
          <w:b/>
          <w:i/>
        </w:rPr>
        <w:t xml:space="preserve"> </w:t>
      </w:r>
      <w:r>
        <w:rPr>
          <w:b/>
          <w:i/>
        </w:rPr>
        <w:t>- Misappropriation [Section 6106]</w:t>
      </w:r>
    </w:p>
    <w:p w:rsidR="00534AAF" w:rsidRPr="00CE2185" w:rsidRDefault="00534AAF" w:rsidP="00534AAF">
      <w:pPr>
        <w:spacing w:line="480" w:lineRule="auto"/>
        <w:ind w:firstLine="720"/>
      </w:pPr>
      <w:r>
        <w:t xml:space="preserve">The State Bar has failed to present clear and convincing evidence of a </w:t>
      </w:r>
      <w:r w:rsidR="00DA671B">
        <w:t>willful</w:t>
      </w:r>
      <w:r>
        <w:t xml:space="preserve"> violation of section 6106 by respondent as alleged in the NDC with regard to the Bryant funds.  Respondent was authorized by the client to withdraw the funds from his trust account as a loan by the client to respondent.  Accordingly, this count is dismissed with prejudice.</w:t>
      </w:r>
    </w:p>
    <w:p w:rsidR="00DB54DA" w:rsidRPr="00891F26" w:rsidRDefault="00DB54DA" w:rsidP="001F0AC0">
      <w:pPr>
        <w:spacing w:line="480" w:lineRule="auto"/>
      </w:pPr>
      <w:r>
        <w:rPr>
          <w:b/>
          <w:color w:val="000000"/>
        </w:rPr>
        <w:t>Mares</w:t>
      </w:r>
      <w:r w:rsidRPr="001265C5">
        <w:rPr>
          <w:color w:val="000000"/>
        </w:rPr>
        <w:t xml:space="preserve"> </w:t>
      </w:r>
      <w:r w:rsidRPr="00995849">
        <w:rPr>
          <w:b/>
          <w:bCs/>
        </w:rPr>
        <w:t>Matter [</w:t>
      </w:r>
      <w:r w:rsidRPr="00F13E0B">
        <w:rPr>
          <w:b/>
        </w:rPr>
        <w:t xml:space="preserve">Case No. </w:t>
      </w:r>
      <w:r>
        <w:rPr>
          <w:b/>
          <w:bCs/>
        </w:rPr>
        <w:t>06-O-04057</w:t>
      </w:r>
      <w:r w:rsidRPr="00995849">
        <w:rPr>
          <w:b/>
          <w:bCs/>
        </w:rPr>
        <w:t>]</w:t>
      </w:r>
      <w:r w:rsidRPr="00891F26">
        <w:t xml:space="preserve"> </w:t>
      </w:r>
    </w:p>
    <w:p w:rsidR="00DB54DA" w:rsidRPr="00891F26" w:rsidRDefault="00DB54DA" w:rsidP="001F0AC0">
      <w:pPr>
        <w:spacing w:line="480" w:lineRule="auto"/>
        <w:ind w:firstLine="720"/>
      </w:pPr>
      <w:r w:rsidRPr="00891F26">
        <w:lastRenderedPageBreak/>
        <w:t>On or about June 8, 2006, State Farm Insurance Company (“State Farm”) issued a check in t</w:t>
      </w:r>
      <w:r w:rsidR="00450664">
        <w:t>he amount of $4,000 payable to r</w:t>
      </w:r>
      <w:r w:rsidRPr="00891F26">
        <w:t xml:space="preserve">espondent and his client, Arthur </w:t>
      </w:r>
      <w:r w:rsidR="001C3533">
        <w:t>Mares, for settlement of a claim by Mares</w:t>
      </w:r>
      <w:r w:rsidRPr="00891F26">
        <w:t xml:space="preserve">.  On or about June 15, 2006, </w:t>
      </w:r>
      <w:r w:rsidR="00450664">
        <w:t>re</w:t>
      </w:r>
      <w:r w:rsidR="00C554D4">
        <w:t xml:space="preserve">spondent deposited </w:t>
      </w:r>
      <w:r w:rsidR="001C3533">
        <w:t>this</w:t>
      </w:r>
      <w:r w:rsidRPr="00891F26">
        <w:t xml:space="preserve"> settlement check into his CTA.  </w:t>
      </w:r>
    </w:p>
    <w:p w:rsidR="00DB54DA" w:rsidRPr="00891F26" w:rsidRDefault="00DB54DA" w:rsidP="001F0AC0">
      <w:pPr>
        <w:spacing w:line="480" w:lineRule="auto"/>
        <w:ind w:firstLine="720"/>
      </w:pPr>
      <w:r w:rsidRPr="00891F26">
        <w:t>On or about June 15, 2006, following the deposit of</w:t>
      </w:r>
      <w:r w:rsidR="00C554D4">
        <w:t xml:space="preserve"> </w:t>
      </w:r>
      <w:r w:rsidR="001C3533">
        <w:t>the Mares</w:t>
      </w:r>
      <w:r w:rsidRPr="00891F26">
        <w:t xml:space="preserve"> settlement check into his CTA, the balance in the CTA was $12,504.49.  </w:t>
      </w:r>
      <w:proofErr w:type="gramStart"/>
      <w:r w:rsidRPr="00891F26">
        <w:t>Mares was</w:t>
      </w:r>
      <w:proofErr w:type="gramEnd"/>
      <w:r w:rsidRPr="00891F26">
        <w:t xml:space="preserve"> entitled to no le</w:t>
      </w:r>
      <w:r w:rsidR="001C3533">
        <w:t xml:space="preserve">ss than $2,653 of the $4,000 </w:t>
      </w:r>
      <w:r w:rsidRPr="00891F26">
        <w:t xml:space="preserve">settlement funds.  </w:t>
      </w:r>
    </w:p>
    <w:p w:rsidR="00DB54DA" w:rsidRPr="00891F26" w:rsidRDefault="00450664" w:rsidP="001F0AC0">
      <w:pPr>
        <w:spacing w:line="480" w:lineRule="auto"/>
        <w:ind w:firstLine="720"/>
      </w:pPr>
      <w:r>
        <w:t>On or about June 16, 2006, r</w:t>
      </w:r>
      <w:r w:rsidR="00DB54DA" w:rsidRPr="00891F26">
        <w:t>espondent issued check number 1711 from his CTA in the amount of $2,653 to Mares.  On or about June 22, 2006, when Mares presented check number 1711 to the ba</w:t>
      </w:r>
      <w:r>
        <w:t>nk for payment, the balance in r</w:t>
      </w:r>
      <w:r w:rsidR="00DB54DA" w:rsidRPr="00891F26">
        <w:t xml:space="preserve">espondent’s CTA was </w:t>
      </w:r>
      <w:r w:rsidR="00C554D4">
        <w:t>[</w:t>
      </w:r>
      <w:r w:rsidR="00DB54DA" w:rsidRPr="00891F26">
        <w:t>-$1,456.51</w:t>
      </w:r>
      <w:r w:rsidR="00C554D4">
        <w:t>]</w:t>
      </w:r>
      <w:r w:rsidR="00DB54DA" w:rsidRPr="00891F26">
        <w:t xml:space="preserve">. </w:t>
      </w:r>
    </w:p>
    <w:p w:rsidR="00C554D4" w:rsidRDefault="00DB54DA" w:rsidP="00C554D4">
      <w:pPr>
        <w:spacing w:line="480" w:lineRule="auto"/>
        <w:ind w:firstLine="720"/>
      </w:pPr>
      <w:r w:rsidRPr="00891F26">
        <w:t xml:space="preserve">In or about </w:t>
      </w:r>
      <w:r w:rsidR="00450664">
        <w:t>late June 2006, Mares informed r</w:t>
      </w:r>
      <w:r w:rsidRPr="00891F26">
        <w:t>espondent that che</w:t>
      </w:r>
      <w:r w:rsidR="00450664">
        <w:t>ck number 1711 had bounced and r</w:t>
      </w:r>
      <w:r w:rsidRPr="00891F26">
        <w:t>espondent then gave Mares cash in the amount of $2,653.</w:t>
      </w:r>
      <w:r w:rsidR="00C554D4" w:rsidRPr="00C554D4">
        <w:t xml:space="preserve"> </w:t>
      </w:r>
    </w:p>
    <w:p w:rsidR="00C554D4" w:rsidRPr="00C554D4" w:rsidRDefault="00C554D4" w:rsidP="00C554D4">
      <w:pPr>
        <w:spacing w:line="480" w:lineRule="auto"/>
        <w:ind w:firstLine="720"/>
      </w:pPr>
      <w:r>
        <w:t xml:space="preserve">Respondent acknowledged at trial withdrawing </w:t>
      </w:r>
      <w:r w:rsidR="001C3533">
        <w:t>the Mares</w:t>
      </w:r>
      <w:r>
        <w:t xml:space="preserve"> funds from his client trust account and using those funds for his own purposes.  He contends, however, that he did this only after asking Mares to be allowed to borrow the funds and </w:t>
      </w:r>
      <w:r w:rsidR="001C3533">
        <w:t xml:space="preserve">after </w:t>
      </w:r>
      <w:r>
        <w:t xml:space="preserve">Mares </w:t>
      </w:r>
      <w:r w:rsidR="001C3533">
        <w:t>had agreed</w:t>
      </w:r>
      <w:r>
        <w:t xml:space="preserve"> to the loan.  The Court does not find this testimony to be credible or convincing.  </w:t>
      </w:r>
      <w:r w:rsidR="00BE1035">
        <w:t xml:space="preserve">There is no written record of any such loan transaction between respondent and his client, and there is </w:t>
      </w:r>
      <w:r w:rsidR="001C3533">
        <w:t>no evidence that respondent</w:t>
      </w:r>
      <w:r w:rsidR="00BE1035">
        <w:t xml:space="preserve"> took the steps that would have been required of him by rule 3-300 if there had been such a business transaction with an existing client. </w:t>
      </w:r>
      <w:r>
        <w:t xml:space="preserve"> </w:t>
      </w:r>
    </w:p>
    <w:p w:rsidR="00DB54DA" w:rsidRDefault="00DB54DA" w:rsidP="00DB54DA">
      <w:pPr>
        <w:spacing w:line="480" w:lineRule="auto"/>
        <w:ind w:firstLine="720"/>
      </w:pPr>
      <w:r w:rsidRPr="00CB31BE">
        <w:rPr>
          <w:b/>
          <w:i/>
        </w:rPr>
        <w:t xml:space="preserve">Count </w:t>
      </w:r>
      <w:r w:rsidR="001F0AC0">
        <w:rPr>
          <w:b/>
          <w:i/>
        </w:rPr>
        <w:t>2</w:t>
      </w:r>
      <w:r w:rsidRPr="00CB31BE">
        <w:rPr>
          <w:b/>
          <w:i/>
        </w:rPr>
        <w:t xml:space="preserve">1 – Failure to </w:t>
      </w:r>
      <w:r>
        <w:rPr>
          <w:b/>
          <w:i/>
        </w:rPr>
        <w:t>Maintain Client Funds in Trust Account</w:t>
      </w:r>
      <w:r w:rsidRPr="00CB31BE">
        <w:rPr>
          <w:b/>
          <w:i/>
        </w:rPr>
        <w:t xml:space="preserve"> </w:t>
      </w:r>
      <w:r>
        <w:rPr>
          <w:b/>
          <w:i/>
        </w:rPr>
        <w:t>[Rule 4-100(A)]</w:t>
      </w:r>
    </w:p>
    <w:p w:rsidR="00C554D4" w:rsidRPr="00CD6034" w:rsidRDefault="00C554D4" w:rsidP="00C554D4">
      <w:pPr>
        <w:spacing w:line="480" w:lineRule="auto"/>
        <w:ind w:firstLine="720"/>
      </w:pPr>
      <w:r>
        <w:t xml:space="preserve">By intentionally withdrawing </w:t>
      </w:r>
      <w:r w:rsidR="001C3533">
        <w:t>the Mares</w:t>
      </w:r>
      <w:r>
        <w:t xml:space="preserve"> funds for his </w:t>
      </w:r>
      <w:r w:rsidR="001C3533">
        <w:t>own use without authorization from</w:t>
      </w:r>
      <w:r>
        <w:t xml:space="preserve"> his client, and by failing to maintain in his client trust account the balance of the funds received by him for Mares, respondent </w:t>
      </w:r>
      <w:r w:rsidR="00DA671B">
        <w:t>willful</w:t>
      </w:r>
      <w:r>
        <w:t>ly failed to comply with rule 4-100(A).</w:t>
      </w:r>
    </w:p>
    <w:p w:rsidR="00DB54DA" w:rsidRDefault="00DB54DA" w:rsidP="00DB54DA">
      <w:pPr>
        <w:spacing w:line="480" w:lineRule="auto"/>
        <w:ind w:firstLine="720"/>
      </w:pPr>
      <w:r w:rsidRPr="00BD2A6E">
        <w:rPr>
          <w:b/>
          <w:i/>
        </w:rPr>
        <w:lastRenderedPageBreak/>
        <w:t xml:space="preserve">Count </w:t>
      </w:r>
      <w:r w:rsidR="001F0AC0">
        <w:rPr>
          <w:b/>
          <w:i/>
        </w:rPr>
        <w:t>2</w:t>
      </w:r>
      <w:r>
        <w:rPr>
          <w:b/>
          <w:i/>
        </w:rPr>
        <w:t>2</w:t>
      </w:r>
      <w:r w:rsidRPr="00BD2A6E">
        <w:rPr>
          <w:b/>
          <w:i/>
        </w:rPr>
        <w:t xml:space="preserve"> – </w:t>
      </w:r>
      <w:r>
        <w:rPr>
          <w:b/>
          <w:i/>
        </w:rPr>
        <w:t>Moral Turpitude</w:t>
      </w:r>
      <w:r w:rsidR="00107446">
        <w:rPr>
          <w:b/>
          <w:i/>
        </w:rPr>
        <w:t xml:space="preserve"> </w:t>
      </w:r>
      <w:r>
        <w:rPr>
          <w:b/>
          <w:i/>
        </w:rPr>
        <w:t>- Misappropriation [Section 6106]</w:t>
      </w:r>
    </w:p>
    <w:p w:rsidR="00C554D4" w:rsidRPr="00644DE2" w:rsidRDefault="00C554D4" w:rsidP="00C554D4">
      <w:pPr>
        <w:spacing w:line="480" w:lineRule="auto"/>
        <w:ind w:firstLine="720"/>
      </w:pPr>
      <w:r>
        <w:t xml:space="preserve">By intentionally withdrawing Mares’ funds for his </w:t>
      </w:r>
      <w:r w:rsidR="001C3533">
        <w:t>own use without authorization from</w:t>
      </w:r>
      <w:r>
        <w:t xml:space="preserve"> his client, respondent intentionally misappropriated for his own purpose more than $</w:t>
      </w:r>
      <w:r w:rsidR="00A42F6F">
        <w:t>2,600</w:t>
      </w:r>
      <w:r>
        <w:t xml:space="preserve"> of </w:t>
      </w:r>
      <w:r w:rsidR="001C3533">
        <w:t>the Mares</w:t>
      </w:r>
      <w:r>
        <w:t xml:space="preserve"> funds.  Such conduct by him constitutes an act of moral turpitude, in willful violation of section 6106.</w:t>
      </w:r>
      <w:r>
        <w:rPr>
          <w:rStyle w:val="FootnoteReference"/>
        </w:rPr>
        <w:footnoteReference w:id="3"/>
      </w:r>
    </w:p>
    <w:p w:rsidR="009720CA" w:rsidRPr="00840038" w:rsidRDefault="009720CA" w:rsidP="009720CA">
      <w:pPr>
        <w:spacing w:line="480" w:lineRule="auto"/>
        <w:rPr>
          <w:b/>
        </w:rPr>
      </w:pPr>
      <w:r w:rsidRPr="00840038">
        <w:rPr>
          <w:b/>
        </w:rPr>
        <w:t>Aggravation</w:t>
      </w:r>
    </w:p>
    <w:p w:rsidR="009720CA" w:rsidRPr="00F06ADC" w:rsidRDefault="009720CA" w:rsidP="009720CA">
      <w:pPr>
        <w:spacing w:line="480" w:lineRule="auto"/>
        <w:ind w:firstLine="720"/>
      </w:pPr>
      <w:r w:rsidRPr="00F06ADC">
        <w:t xml:space="preserve">The State Bar bears the burden of proving aggravating circumstances by clear and convincing evidence.  (Rules Proc. of State Bar, tit. IV, </w:t>
      </w:r>
      <w:proofErr w:type="spellStart"/>
      <w:r w:rsidRPr="00F06ADC">
        <w:t>Stds</w:t>
      </w:r>
      <w:proofErr w:type="spellEnd"/>
      <w:r w:rsidRPr="00F06ADC">
        <w:t>. for Atty. Sanctions for Prof. Misconduct, std. 1.2(b).)</w:t>
      </w:r>
      <w:r w:rsidRPr="00F06ADC">
        <w:rPr>
          <w:vertAlign w:val="superscript"/>
        </w:rPr>
        <w:footnoteReference w:id="4"/>
      </w:r>
    </w:p>
    <w:p w:rsidR="005F2B75" w:rsidRPr="00F06ADC" w:rsidRDefault="005F2B75" w:rsidP="005F2B75">
      <w:pPr>
        <w:spacing w:line="480" w:lineRule="auto"/>
        <w:ind w:firstLine="720"/>
        <w:rPr>
          <w:b/>
        </w:rPr>
      </w:pPr>
      <w:r w:rsidRPr="00F06ADC">
        <w:rPr>
          <w:b/>
        </w:rPr>
        <w:t>Multiple Acts of Misconduct</w:t>
      </w:r>
    </w:p>
    <w:p w:rsidR="005F2B75" w:rsidRDefault="005F2B75" w:rsidP="005F2B75">
      <w:pPr>
        <w:spacing w:line="480" w:lineRule="auto"/>
        <w:ind w:firstLine="720"/>
      </w:pPr>
      <w:r w:rsidRPr="00F06ADC">
        <w:t>Respondent’s misconduct in the present proceeding involves multiple acts of misconduct.  (Std 1.2(b</w:t>
      </w:r>
      <w:proofErr w:type="gramStart"/>
      <w:r w:rsidRPr="00F06ADC">
        <w:t>)(</w:t>
      </w:r>
      <w:proofErr w:type="gramEnd"/>
      <w:r w:rsidRPr="00F06ADC">
        <w:t>ii).)</w:t>
      </w:r>
    </w:p>
    <w:p w:rsidR="005F2B75" w:rsidRPr="00567DD4" w:rsidRDefault="005F2B75" w:rsidP="004548EE">
      <w:pPr>
        <w:spacing w:line="480" w:lineRule="auto"/>
        <w:ind w:firstLine="720"/>
        <w:rPr>
          <w:b/>
        </w:rPr>
      </w:pPr>
      <w:r w:rsidRPr="00567DD4">
        <w:rPr>
          <w:b/>
        </w:rPr>
        <w:t>Significant Client Harm</w:t>
      </w:r>
    </w:p>
    <w:p w:rsidR="00CE727D" w:rsidRDefault="005F2B75" w:rsidP="005F2B75">
      <w:pPr>
        <w:spacing w:line="480" w:lineRule="auto"/>
        <w:ind w:firstLine="720"/>
      </w:pPr>
      <w:r>
        <w:t>R</w:t>
      </w:r>
      <w:r w:rsidRPr="00567DD4">
        <w:t>espondent’s misconduct caused significant client harm.  (Std. 1.2(b</w:t>
      </w:r>
      <w:proofErr w:type="gramStart"/>
      <w:r w:rsidRPr="00567DD4">
        <w:t>)(</w:t>
      </w:r>
      <w:proofErr w:type="gramEnd"/>
      <w:r w:rsidRPr="00567DD4">
        <w:t xml:space="preserve">iv).)  </w:t>
      </w:r>
    </w:p>
    <w:p w:rsidR="00A42F6F" w:rsidRDefault="00A42F6F" w:rsidP="00A42F6F">
      <w:pPr>
        <w:pStyle w:val="BodyTextIndent"/>
        <w:tabs>
          <w:tab w:val="clear" w:pos="0"/>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s>
        <w:ind w:left="0" w:firstLine="720"/>
      </w:pPr>
      <w:r>
        <w:rPr>
          <w:b/>
          <w:bCs/>
        </w:rPr>
        <w:t xml:space="preserve">Lack of </w:t>
      </w:r>
      <w:r w:rsidR="00B33EB0">
        <w:rPr>
          <w:b/>
          <w:bCs/>
        </w:rPr>
        <w:t xml:space="preserve">Candor, </w:t>
      </w:r>
      <w:r>
        <w:rPr>
          <w:b/>
          <w:bCs/>
        </w:rPr>
        <w:t>Insight and Remorse</w:t>
      </w:r>
    </w:p>
    <w:p w:rsidR="00A42F6F" w:rsidRDefault="00A42F6F" w:rsidP="00A42F6F">
      <w:pPr>
        <w:pStyle w:val="Header"/>
        <w:spacing w:line="480" w:lineRule="auto"/>
        <w:ind w:firstLine="720"/>
      </w:pPr>
      <w:r>
        <w:t>Respondent fails to demonstrate any realistic recognition of or remorse for his wrongdoings and i</w:t>
      </w:r>
      <w:r w:rsidR="00B33EB0">
        <w:t>nstead continued during his testimony in this matter to falsely</w:t>
      </w:r>
      <w:r>
        <w:t xml:space="preserve"> assert that his actions in withdrawing client funds from his CTA were authorized and appropriate.  (Std. 1.2(b</w:t>
      </w:r>
      <w:proofErr w:type="gramStart"/>
      <w:r>
        <w:t>)(</w:t>
      </w:r>
      <w:proofErr w:type="gramEnd"/>
      <w:r>
        <w:t xml:space="preserve">v).)  “The law does not require false penitence.  </w:t>
      </w:r>
      <w:proofErr w:type="gramStart"/>
      <w:r>
        <w:t>[Citation.]</w:t>
      </w:r>
      <w:proofErr w:type="gramEnd"/>
      <w:r>
        <w:t xml:space="preserve">  But it does require that the </w:t>
      </w:r>
      <w:r>
        <w:lastRenderedPageBreak/>
        <w:t xml:space="preserve">respondent accept responsibility for his acts and come to grips with his culpability.  </w:t>
      </w:r>
      <w:proofErr w:type="gramStart"/>
      <w:r>
        <w:t>[Citation.]”</w:t>
      </w:r>
      <w:proofErr w:type="gramEnd"/>
      <w:r>
        <w:t xml:space="preserve">  </w:t>
      </w:r>
      <w:proofErr w:type="gramStart"/>
      <w:r>
        <w:t>(</w:t>
      </w:r>
      <w:r>
        <w:rPr>
          <w:i/>
          <w:iCs/>
        </w:rPr>
        <w:t>In the Matter of Katz</w:t>
      </w:r>
      <w:r>
        <w:t xml:space="preserve"> (Review Dept. 1991) 1 Cal. State Bar Ct. Rptr. 502, 511.)</w:t>
      </w:r>
      <w:proofErr w:type="gramEnd"/>
    </w:p>
    <w:p w:rsidR="00A42F6F" w:rsidRDefault="00A42F6F" w:rsidP="00A42F6F">
      <w:pPr>
        <w:pStyle w:val="Header"/>
        <w:spacing w:line="480" w:lineRule="auto"/>
        <w:ind w:firstLine="720"/>
        <w:rPr>
          <w:b/>
        </w:rPr>
      </w:pPr>
      <w:r w:rsidRPr="00A42F6F">
        <w:rPr>
          <w:b/>
        </w:rPr>
        <w:t>Uncharged Violations</w:t>
      </w:r>
    </w:p>
    <w:p w:rsidR="00890FFD" w:rsidRPr="00A42F6F" w:rsidRDefault="00A42F6F" w:rsidP="00890FFD">
      <w:pPr>
        <w:pStyle w:val="Header"/>
        <w:spacing w:line="480" w:lineRule="auto"/>
        <w:ind w:firstLine="720"/>
      </w:pPr>
      <w:r w:rsidRPr="00A42F6F">
        <w:t xml:space="preserve">Respondent </w:t>
      </w:r>
      <w:r>
        <w:t>consistently sought to justify his actions in withdrawing client funds from his CTA by stating that he had entered into agreement</w:t>
      </w:r>
      <w:r w:rsidR="001C3533">
        <w:t>s</w:t>
      </w:r>
      <w:r>
        <w:t xml:space="preserve"> with existing </w:t>
      </w:r>
      <w:r w:rsidR="001C3533">
        <w:t>c</w:t>
      </w:r>
      <w:r>
        <w:t>lien</w:t>
      </w:r>
      <w:r w:rsidR="001C3533">
        <w:t>ts</w:t>
      </w:r>
      <w:r>
        <w:t xml:space="preserve"> whereby they would loan mon</w:t>
      </w:r>
      <w:r w:rsidR="00890FFD">
        <w:t xml:space="preserve">ey to him.  As noted above, </w:t>
      </w:r>
      <w:r w:rsidR="001C3533">
        <w:t xml:space="preserve">some of </w:t>
      </w:r>
      <w:r w:rsidR="00890FFD">
        <w:t xml:space="preserve">such agreements were corroborated by testimony </w:t>
      </w:r>
      <w:r w:rsidR="001C3533">
        <w:t>elicited by respondent from his</w:t>
      </w:r>
      <w:r w:rsidR="00890FFD">
        <w:t xml:space="preserve"> client</w:t>
      </w:r>
      <w:r w:rsidR="001C3533">
        <w:t>s</w:t>
      </w:r>
      <w:r w:rsidR="00890FFD">
        <w:t xml:space="preserve">.  Those corroborated business transactions required compliance by respondent with rule 3-300.  The testimony was uncontradicted and consistent that there was no such compliance, and </w:t>
      </w:r>
      <w:r w:rsidR="001C3533">
        <w:t xml:space="preserve">the transactions </w:t>
      </w:r>
      <w:r w:rsidR="00890FFD">
        <w:t>represent willful violations by respondent of his duties under rule 3-300.  Such misconduct may be considered by the court in assessing what discipline is appropriate to address culpability for misconduct that has been charged.</w:t>
      </w:r>
    </w:p>
    <w:p w:rsidR="004548EE" w:rsidRDefault="004548EE" w:rsidP="004548EE">
      <w:pPr>
        <w:spacing w:line="480" w:lineRule="auto"/>
        <w:rPr>
          <w:b/>
        </w:rPr>
      </w:pPr>
      <w:r w:rsidRPr="00B94C6F">
        <w:rPr>
          <w:b/>
        </w:rPr>
        <w:t>Mitigation</w:t>
      </w:r>
    </w:p>
    <w:p w:rsidR="0076118C" w:rsidRDefault="0076118C" w:rsidP="0076118C">
      <w:pPr>
        <w:pStyle w:val="Header"/>
        <w:spacing w:line="480" w:lineRule="auto"/>
        <w:ind w:firstLine="720"/>
      </w:pPr>
      <w:r>
        <w:t xml:space="preserve">Respondent bears the burden of proving mitigating circumstances by </w:t>
      </w:r>
      <w:r w:rsidR="00200312">
        <w:t xml:space="preserve">clear and convincing evidence. </w:t>
      </w:r>
      <w:proofErr w:type="gramStart"/>
      <w:r>
        <w:t>(Standard 1.2(e).)</w:t>
      </w:r>
      <w:proofErr w:type="gramEnd"/>
    </w:p>
    <w:p w:rsidR="00503B7A" w:rsidRPr="00FF3012" w:rsidRDefault="00503B7A" w:rsidP="00503B7A">
      <w:pPr>
        <w:pStyle w:val="Header"/>
        <w:spacing w:line="480" w:lineRule="auto"/>
        <w:ind w:firstLine="720"/>
        <w:rPr>
          <w:b/>
        </w:rPr>
      </w:pPr>
      <w:r w:rsidRPr="00FF3012">
        <w:rPr>
          <w:b/>
        </w:rPr>
        <w:t>No Pri</w:t>
      </w:r>
      <w:r w:rsidR="00200312">
        <w:rPr>
          <w:b/>
        </w:rPr>
        <w:t>or Discipline</w:t>
      </w:r>
    </w:p>
    <w:p w:rsidR="00503B7A" w:rsidRDefault="00503B7A" w:rsidP="00503B7A">
      <w:pPr>
        <w:pStyle w:val="Header"/>
        <w:spacing w:line="480" w:lineRule="auto"/>
        <w:ind w:firstLine="720"/>
      </w:pPr>
      <w:r>
        <w:t>Respondent practiced law in California for approximately 10 years prior to the commencement of the instant misconduct.  During that span, respondent had no prior record of discipline, entitling him to “full” mitigation credit.  (Std. 1.2(e</w:t>
      </w:r>
      <w:proofErr w:type="gramStart"/>
      <w:r>
        <w:t>)(</w:t>
      </w:r>
      <w:proofErr w:type="spellStart"/>
      <w:proofErr w:type="gramEnd"/>
      <w:r>
        <w:t>i</w:t>
      </w:r>
      <w:proofErr w:type="spellEnd"/>
      <w:r>
        <w:t xml:space="preserve">); </w:t>
      </w:r>
      <w:r>
        <w:rPr>
          <w:i/>
        </w:rPr>
        <w:t>In the Matter of Loftus</w:t>
      </w:r>
      <w:r>
        <w:t xml:space="preserve"> (Review Dept. 2007) 5 Cal. State Bar Ct. Rptr. 80, 88) </w:t>
      </w:r>
    </w:p>
    <w:p w:rsidR="00503B7A" w:rsidRDefault="00503B7A" w:rsidP="00503B7A">
      <w:pPr>
        <w:pStyle w:val="Header"/>
        <w:spacing w:line="480" w:lineRule="auto"/>
        <w:ind w:firstLine="720"/>
        <w:rPr>
          <w:b/>
        </w:rPr>
      </w:pPr>
      <w:r w:rsidRPr="00781535">
        <w:rPr>
          <w:b/>
        </w:rPr>
        <w:t>Cooperation</w:t>
      </w:r>
    </w:p>
    <w:p w:rsidR="00503B7A" w:rsidRDefault="00503B7A" w:rsidP="00503B7A">
      <w:pPr>
        <w:spacing w:line="480" w:lineRule="auto"/>
        <w:ind w:firstLine="720"/>
      </w:pPr>
      <w:r w:rsidRPr="00781535">
        <w:lastRenderedPageBreak/>
        <w:t>Respondent entered into an extensive stipulation of facts, for which conduct respondent is entitled to some</w:t>
      </w:r>
      <w:r>
        <w:t xml:space="preserve"> mitigation. (Std. 1.2(e</w:t>
      </w:r>
      <w:proofErr w:type="gramStart"/>
      <w:r>
        <w:t>)(</w:t>
      </w:r>
      <w:proofErr w:type="gramEnd"/>
      <w:r>
        <w:t xml:space="preserve">v); see also </w:t>
      </w:r>
      <w:r w:rsidRPr="00781535">
        <w:rPr>
          <w:i/>
        </w:rPr>
        <w:t xml:space="preserve">In the Matter of </w:t>
      </w:r>
      <w:proofErr w:type="spellStart"/>
      <w:r w:rsidRPr="00781535">
        <w:rPr>
          <w:i/>
        </w:rPr>
        <w:t>Gadda</w:t>
      </w:r>
      <w:proofErr w:type="spellEnd"/>
      <w:r w:rsidRPr="00781535">
        <w:t xml:space="preserve"> (Review Dept. 2002)</w:t>
      </w:r>
      <w:r>
        <w:t xml:space="preserve"> 4 Cal. State Bar Ct. Rptr. 416, 443.</w:t>
      </w:r>
      <w:r w:rsidRPr="00781535">
        <w:t>)</w:t>
      </w:r>
    </w:p>
    <w:p w:rsidR="0076118C" w:rsidRDefault="0076118C" w:rsidP="0076118C">
      <w:pPr>
        <w:pStyle w:val="Header"/>
        <w:spacing w:line="480" w:lineRule="auto"/>
        <w:ind w:firstLine="720"/>
        <w:rPr>
          <w:b/>
        </w:rPr>
      </w:pPr>
      <w:r>
        <w:rPr>
          <w:b/>
        </w:rPr>
        <w:t>Character Evidence</w:t>
      </w:r>
    </w:p>
    <w:p w:rsidR="0076118C" w:rsidRDefault="0076118C" w:rsidP="00252B7E">
      <w:pPr>
        <w:pStyle w:val="Header"/>
        <w:spacing w:line="480" w:lineRule="auto"/>
        <w:ind w:firstLine="720"/>
      </w:pPr>
      <w:r>
        <w:t xml:space="preserve">Respondent presented good character testimony from </w:t>
      </w:r>
      <w:r w:rsidR="00252B7E">
        <w:t xml:space="preserve">a number of different individuals, including several attorneys.  While this evidence is given some weight by the court, that weight is </w:t>
      </w:r>
      <w:proofErr w:type="spellStart"/>
      <w:r w:rsidR="00252B7E">
        <w:t>dimished</w:t>
      </w:r>
      <w:proofErr w:type="spellEnd"/>
      <w:r w:rsidR="00252B7E">
        <w:t xml:space="preserve"> by the lack of awareness by the witnesses of the nature of the pending charges against respondent.  </w:t>
      </w:r>
      <w:r>
        <w:t>(</w:t>
      </w:r>
      <w:r>
        <w:rPr>
          <w:i/>
        </w:rPr>
        <w:t xml:space="preserve">In the Matter of </w:t>
      </w:r>
      <w:proofErr w:type="spellStart"/>
      <w:r>
        <w:rPr>
          <w:i/>
        </w:rPr>
        <w:t>Kreitenberg</w:t>
      </w:r>
      <w:proofErr w:type="spellEnd"/>
      <w:r>
        <w:t xml:space="preserve"> (Review Dept. 2002) 4 Cal. State Bar Ct. Rptr. 469, 476-477; </w:t>
      </w:r>
      <w:r>
        <w:rPr>
          <w:i/>
        </w:rPr>
        <w:t xml:space="preserve">In the Matter of </w:t>
      </w:r>
      <w:r w:rsidRPr="00BC6F20">
        <w:rPr>
          <w:i/>
        </w:rPr>
        <w:t xml:space="preserve">Johnson </w:t>
      </w:r>
      <w:r>
        <w:t xml:space="preserve">(Review Dept. 2000) 4 Cal. State Bar Ct. Rptr. 179, 190; </w:t>
      </w:r>
      <w:r w:rsidRPr="00BC6F20">
        <w:t>In</w:t>
      </w:r>
      <w:r>
        <w:rPr>
          <w:i/>
        </w:rPr>
        <w:t xml:space="preserve"> the Matter of Respondent K</w:t>
      </w:r>
      <w:r>
        <w:t xml:space="preserve"> (Review Dept. 1993) 2 Cal. State Bar Ct. Rptr. 335, 359.)</w:t>
      </w:r>
    </w:p>
    <w:p w:rsidR="001A5FA5" w:rsidRDefault="001A5FA5" w:rsidP="001A5FA5">
      <w:pPr>
        <w:pStyle w:val="Header"/>
        <w:spacing w:line="480" w:lineRule="auto"/>
        <w:ind w:firstLine="720"/>
      </w:pPr>
      <w:r w:rsidRPr="00E364F8">
        <w:rPr>
          <w:b/>
        </w:rPr>
        <w:t>Restitution</w:t>
      </w:r>
    </w:p>
    <w:p w:rsidR="001A5FA5" w:rsidRDefault="001A5FA5" w:rsidP="001A5FA5">
      <w:pPr>
        <w:pStyle w:val="Header"/>
        <w:spacing w:line="480" w:lineRule="auto"/>
        <w:ind w:firstLine="720"/>
      </w:pPr>
      <w:r>
        <w:t xml:space="preserve">Although respondent misappropriated the funds of his clients for his </w:t>
      </w:r>
      <w:r w:rsidR="00252B7E">
        <w:t xml:space="preserve">own temporary </w:t>
      </w:r>
      <w:r>
        <w:t>use, he also repaid all of such sums to those clients prior to any complaint being made to the State Bar or the initiation of these disciplinary proceedings.  Such conduct is a mitigating factor.  (</w:t>
      </w:r>
      <w:r>
        <w:rPr>
          <w:i/>
        </w:rPr>
        <w:t xml:space="preserve">In the Matter of </w:t>
      </w:r>
      <w:proofErr w:type="spellStart"/>
      <w:r>
        <w:rPr>
          <w:i/>
        </w:rPr>
        <w:t>Mapps</w:t>
      </w:r>
      <w:proofErr w:type="spellEnd"/>
      <w:r>
        <w:t xml:space="preserve"> (Review Dept. 1990) 1 Cal. State Bar Ct. Rptr. 1, 13, citing </w:t>
      </w:r>
      <w:r w:rsidRPr="00E364F8">
        <w:rPr>
          <w:i/>
        </w:rPr>
        <w:t>Snyder v. State Bar</w:t>
      </w:r>
      <w:r w:rsidR="00B715A8">
        <w:t xml:space="preserve"> (1990) 49 Cal.3d </w:t>
      </w:r>
      <w:proofErr w:type="gramStart"/>
      <w:r w:rsidR="00B715A8">
        <w:t>1302</w:t>
      </w:r>
      <w:r w:rsidR="00196EA6">
        <w:t xml:space="preserve"> </w:t>
      </w:r>
      <w:r>
        <w:t>,</w:t>
      </w:r>
      <w:proofErr w:type="gramEnd"/>
      <w:r>
        <w:t xml:space="preserve"> 1310; </w:t>
      </w:r>
      <w:r w:rsidRPr="00E364F8">
        <w:rPr>
          <w:i/>
        </w:rPr>
        <w:t>Weller v. State Bar</w:t>
      </w:r>
      <w:r>
        <w:rPr>
          <w:i/>
        </w:rPr>
        <w:t xml:space="preserve"> </w:t>
      </w:r>
      <w:r w:rsidR="00B715A8">
        <w:t>(1989</w:t>
      </w:r>
      <w:r>
        <w:t xml:space="preserve">) 49 Cal.3d </w:t>
      </w:r>
      <w:r w:rsidR="00B715A8">
        <w:t>670</w:t>
      </w:r>
      <w:r>
        <w:t>,</w:t>
      </w:r>
      <w:r w:rsidR="00B715A8">
        <w:t xml:space="preserve"> </w:t>
      </w:r>
      <w:r>
        <w:t xml:space="preserve">676; </w:t>
      </w:r>
      <w:r w:rsidRPr="00E364F8">
        <w:rPr>
          <w:i/>
        </w:rPr>
        <w:t>Segal v. State Bar</w:t>
      </w:r>
      <w:r>
        <w:t xml:space="preserve"> (1988) 44 Cal.3d 1077, 1089; </w:t>
      </w:r>
      <w:proofErr w:type="spellStart"/>
      <w:r w:rsidRPr="009C5C3B">
        <w:rPr>
          <w:i/>
        </w:rPr>
        <w:t>Lawhorn</w:t>
      </w:r>
      <w:proofErr w:type="spellEnd"/>
      <w:r w:rsidRPr="009C5C3B">
        <w:rPr>
          <w:i/>
        </w:rPr>
        <w:t xml:space="preserve"> v. State Bar </w:t>
      </w:r>
      <w:r>
        <w:t xml:space="preserve">(1987) 43 Cal.3d 1357, 1366-1367; </w:t>
      </w:r>
      <w:proofErr w:type="spellStart"/>
      <w:r w:rsidRPr="00E364F8">
        <w:rPr>
          <w:i/>
        </w:rPr>
        <w:t>Waysman</w:t>
      </w:r>
      <w:proofErr w:type="spellEnd"/>
      <w:r w:rsidRPr="00E364F8">
        <w:rPr>
          <w:i/>
        </w:rPr>
        <w:t xml:space="preserve"> v. State Bar</w:t>
      </w:r>
      <w:r>
        <w:t xml:space="preserve"> (1986) 41 Cal.3d 452.)</w:t>
      </w:r>
    </w:p>
    <w:p w:rsidR="00B33EB0" w:rsidRDefault="00B33EB0" w:rsidP="001A5FA5">
      <w:pPr>
        <w:pStyle w:val="Header"/>
        <w:spacing w:line="480" w:lineRule="auto"/>
        <w:ind w:firstLine="720"/>
      </w:pPr>
      <w:r w:rsidRPr="00B33EB0">
        <w:rPr>
          <w:b/>
        </w:rPr>
        <w:t>Emotional/Family Circumstances</w:t>
      </w:r>
    </w:p>
    <w:p w:rsidR="00B33EB0" w:rsidRPr="00B33EB0" w:rsidRDefault="00B33EB0" w:rsidP="001A5FA5">
      <w:pPr>
        <w:pStyle w:val="Header"/>
        <w:spacing w:line="480" w:lineRule="auto"/>
        <w:ind w:firstLine="720"/>
      </w:pPr>
      <w:r>
        <w:t xml:space="preserve">Respondent at various times during his testimony alluded to the fact that he was undergoing marital stress and financial problems during the time of his misconduct.  He also indicated that these problems caused him to use his clients’ funds.  The court gives respondent </w:t>
      </w:r>
      <w:r>
        <w:lastRenderedPageBreak/>
        <w:t>very little mitigation credit on this issue, since it was not established to the court’s satisfaction that these stressors have been resolved or wi</w:t>
      </w:r>
      <w:r w:rsidR="0083522C">
        <w:t>ll not result in future misconduct.</w:t>
      </w:r>
    </w:p>
    <w:p w:rsidR="004548EE" w:rsidRPr="00B94C6F" w:rsidRDefault="004548EE" w:rsidP="004548EE">
      <w:pPr>
        <w:spacing w:line="480" w:lineRule="auto"/>
        <w:jc w:val="center"/>
        <w:rPr>
          <w:b/>
        </w:rPr>
      </w:pPr>
      <w:r w:rsidRPr="00B94C6F">
        <w:rPr>
          <w:b/>
        </w:rPr>
        <w:t>DISCUSSION</w:t>
      </w:r>
    </w:p>
    <w:p w:rsidR="004548EE" w:rsidRDefault="004548EE" w:rsidP="004548EE">
      <w:pPr>
        <w:spacing w:line="480" w:lineRule="auto"/>
        <w:ind w:firstLine="720"/>
        <w:rPr>
          <w:b/>
        </w:rPr>
      </w:pPr>
      <w:r>
        <w:t xml:space="preserve">Standard 1.3 provides that the primary purposes of discipline are to protect the public, the courts, and the legal profession; to maintain the highest possible professional standards for attorneys; and to preserve public confidence in the legal profession.  </w:t>
      </w:r>
      <w:proofErr w:type="gramStart"/>
      <w:r>
        <w:t>(</w:t>
      </w:r>
      <w:r>
        <w:rPr>
          <w:i/>
          <w:iCs/>
        </w:rPr>
        <w:t>Chadwick v. State Bar</w:t>
      </w:r>
      <w:r>
        <w:t xml:space="preserve"> (1989) 49 Cal.3d 103, 111.)</w:t>
      </w:r>
      <w:proofErr w:type="gramEnd"/>
    </w:p>
    <w:p w:rsidR="004548EE" w:rsidRDefault="004548EE" w:rsidP="004548EE">
      <w:pPr>
        <w:spacing w:line="480" w:lineRule="auto"/>
        <w:ind w:firstLine="720"/>
      </w:pPr>
      <w:r>
        <w:t>In determining the appropriate level of discipline, this court looks first to the standards for guidance.  (</w:t>
      </w:r>
      <w:proofErr w:type="spellStart"/>
      <w:r>
        <w:rPr>
          <w:i/>
          <w:iCs/>
        </w:rPr>
        <w:t>Drociak</w:t>
      </w:r>
      <w:proofErr w:type="spellEnd"/>
      <w:r>
        <w:rPr>
          <w:i/>
          <w:iCs/>
        </w:rPr>
        <w:t xml:space="preserve"> v. State Bar</w:t>
      </w:r>
      <w:r>
        <w:t xml:space="preserve"> (1991) 52 Cal.3d 1095, 1090; </w:t>
      </w:r>
      <w:r>
        <w:rPr>
          <w:i/>
          <w:iCs/>
        </w:rPr>
        <w:t>In the Matter of Koehler</w:t>
      </w:r>
      <w:r>
        <w:t xml:space="preserve"> (Review Dept. 1991) 1 Cal. State Bar Ct. Rptr. 615, 628.)  Second, the court looks to decisional law.  </w:t>
      </w:r>
      <w:proofErr w:type="gramStart"/>
      <w:r>
        <w:t>(</w:t>
      </w:r>
      <w:r>
        <w:rPr>
          <w:i/>
          <w:iCs/>
        </w:rPr>
        <w:t>Snyder v. State Bar</w:t>
      </w:r>
      <w:r>
        <w:t xml:space="preserve"> (1990) 49 Cal.3d 1302, 1310</w:t>
      </w:r>
      <w:r>
        <w:noBreakHyphen/>
        <w:t xml:space="preserve">1311; </w:t>
      </w:r>
      <w:r w:rsidRPr="00CF574E">
        <w:rPr>
          <w:i/>
        </w:rPr>
        <w:t>In the Matter of Taylor</w:t>
      </w:r>
      <w:r>
        <w:t xml:space="preserve"> (Review Dept. 1991) 1 Cal. State Bar Ct. Rptr. 563, 580.)</w:t>
      </w:r>
      <w:proofErr w:type="gramEnd"/>
      <w:r>
        <w:t xml:space="preserve">  </w:t>
      </w:r>
      <w:r w:rsidRPr="00371039">
        <w:t>As the review department noted more than 1</w:t>
      </w:r>
      <w:r>
        <w:t>8</w:t>
      </w:r>
      <w:r w:rsidRPr="00371039">
        <w:t xml:space="preserve"> years ago in </w:t>
      </w:r>
      <w:proofErr w:type="spellStart"/>
      <w:r w:rsidRPr="00371039">
        <w:rPr>
          <w:i/>
        </w:rPr>
        <w:t>In</w:t>
      </w:r>
      <w:proofErr w:type="spellEnd"/>
      <w:r w:rsidRPr="00371039">
        <w:rPr>
          <w:i/>
        </w:rPr>
        <w:t xml:space="preserve"> the Matter of </w:t>
      </w:r>
      <w:proofErr w:type="spellStart"/>
      <w:r w:rsidRPr="00371039">
        <w:rPr>
          <w:i/>
        </w:rPr>
        <w:t>Bouyer</w:t>
      </w:r>
      <w:proofErr w:type="spellEnd"/>
      <w:r w:rsidRPr="00371039">
        <w:t xml:space="preserve"> (Review Dept. 1991) 1 Cal. State Bar Ct. Rptr. 404, 419, even though the standards are not be applied in a talismanic fashion, they are to be followed unless there is a compelling reason that justifies not do so.  </w:t>
      </w:r>
      <w:proofErr w:type="gramStart"/>
      <w:r w:rsidRPr="00371039">
        <w:t xml:space="preserve">(Accord, </w:t>
      </w:r>
      <w:r w:rsidRPr="00371039">
        <w:rPr>
          <w:i/>
        </w:rPr>
        <w:t>In re Silverton</w:t>
      </w:r>
      <w:r w:rsidRPr="00371039">
        <w:t xml:space="preserve"> (2005) 36 </w:t>
      </w:r>
      <w:proofErr w:type="spellStart"/>
      <w:r w:rsidRPr="00371039">
        <w:t>Cal.4th</w:t>
      </w:r>
      <w:proofErr w:type="spellEnd"/>
      <w:r w:rsidRPr="00371039">
        <w:t xml:space="preserve"> 81, 91; </w:t>
      </w:r>
      <w:proofErr w:type="spellStart"/>
      <w:r w:rsidRPr="00371039">
        <w:rPr>
          <w:i/>
        </w:rPr>
        <w:t>Aronin</w:t>
      </w:r>
      <w:proofErr w:type="spellEnd"/>
      <w:r w:rsidRPr="00371039">
        <w:rPr>
          <w:i/>
        </w:rPr>
        <w:t xml:space="preserve"> v. State Bar</w:t>
      </w:r>
      <w:r w:rsidRPr="00371039">
        <w:t xml:space="preserve"> (1990) 52 Cal.3d 276, 291.)</w:t>
      </w:r>
      <w:proofErr w:type="gramEnd"/>
      <w:r w:rsidRPr="00371039">
        <w:t xml:space="preserve">  </w:t>
      </w:r>
      <w:r>
        <w:t xml:space="preserve">   </w:t>
      </w:r>
    </w:p>
    <w:p w:rsidR="004273AE" w:rsidRDefault="004548EE" w:rsidP="004548EE">
      <w:pPr>
        <w:spacing w:line="480" w:lineRule="auto"/>
        <w:ind w:firstLine="720"/>
      </w:pPr>
      <w:r>
        <w:t xml:space="preserve">Standard 1.6(a) provides that, if two or more acts of professional misconduct are found in a single disciplinary proceeding, the sanction imposed shall be the most severe of the applicable sanctions.  </w:t>
      </w:r>
    </w:p>
    <w:p w:rsidR="004273AE" w:rsidRDefault="004273AE" w:rsidP="004548EE">
      <w:pPr>
        <w:spacing w:line="480" w:lineRule="auto"/>
        <w:ind w:firstLine="720"/>
      </w:pPr>
      <w:r>
        <w:t xml:space="preserve">The most severe sanction is found at standard 2.2(a) which recommends disbarment for </w:t>
      </w:r>
      <w:r w:rsidR="00DA671B">
        <w:t>willful</w:t>
      </w:r>
      <w:r>
        <w:t xml:space="preserve"> misappropriation of entrusted funds unless the amount misappropriated is insignificantly small or the most compelling mitigating circumstances clearly predominate, in which case the minimum discipline recommended is a one-year actual suspension.  </w:t>
      </w:r>
      <w:r w:rsidRPr="006C0808">
        <w:t xml:space="preserve">Misappropriation of client </w:t>
      </w:r>
      <w:r w:rsidRPr="006C0808">
        <w:lastRenderedPageBreak/>
        <w:t>funds has long been viewed as a particul</w:t>
      </w:r>
      <w:r>
        <w:t xml:space="preserve">arly serious ethical violation.  </w:t>
      </w:r>
      <w:r w:rsidRPr="006C0808">
        <w:t>It breaches the high duty of</w:t>
      </w:r>
      <w:r>
        <w:t xml:space="preserve"> </w:t>
      </w:r>
      <w:r w:rsidRPr="006C0808">
        <w:t>loyalty owed to the client, violates basic notions of honesty, and endangers publi</w:t>
      </w:r>
      <w:r>
        <w:t xml:space="preserve">c confidence in the profession.  </w:t>
      </w:r>
      <w:proofErr w:type="gramStart"/>
      <w:r w:rsidRPr="006C0808">
        <w:t>(</w:t>
      </w:r>
      <w:r w:rsidRPr="006C0808">
        <w:rPr>
          <w:i/>
        </w:rPr>
        <w:t>McKnight v. State Bar</w:t>
      </w:r>
      <w:r>
        <w:t xml:space="preserve">, (1991) 53 Cal. </w:t>
      </w:r>
      <w:proofErr w:type="spellStart"/>
      <w:r>
        <w:t>3d</w:t>
      </w:r>
      <w:proofErr w:type="spellEnd"/>
      <w:r>
        <w:t xml:space="preserve"> 1025, 1035; </w:t>
      </w:r>
      <w:r w:rsidRPr="006C0808">
        <w:rPr>
          <w:i/>
        </w:rPr>
        <w:t>Kelly v. State Bar</w:t>
      </w:r>
      <w:r>
        <w:t xml:space="preserve"> (1988) 45 Cal. </w:t>
      </w:r>
      <w:proofErr w:type="spellStart"/>
      <w:r>
        <w:t>3d</w:t>
      </w:r>
      <w:proofErr w:type="spellEnd"/>
      <w:r>
        <w:t xml:space="preserve"> 649, 656.)</w:t>
      </w:r>
      <w:proofErr w:type="gramEnd"/>
      <w:r>
        <w:t xml:space="preserve">  </w:t>
      </w:r>
    </w:p>
    <w:p w:rsidR="004273AE" w:rsidRDefault="004273AE" w:rsidP="004548EE">
      <w:pPr>
        <w:spacing w:line="480" w:lineRule="auto"/>
        <w:ind w:firstLine="720"/>
      </w:pPr>
      <w:r>
        <w:t xml:space="preserve">The amount of money misappropriated by respondent from his various clients cannot be characterized as “insignificantly small.”  In fact it was quite the contrary.  </w:t>
      </w:r>
    </w:p>
    <w:p w:rsidR="004273AE" w:rsidRDefault="004273AE" w:rsidP="004548EE">
      <w:pPr>
        <w:spacing w:line="480" w:lineRule="auto"/>
        <w:ind w:firstLine="720"/>
      </w:pPr>
      <w:r>
        <w:t>While the court recognizes that there are significant mitigating factors present, when those factors are weighed against the significant nature and magnitude of the misconduct and the substa</w:t>
      </w:r>
      <w:r w:rsidR="0083522C">
        <w:t>ntial aggravating factors, the c</w:t>
      </w:r>
      <w:r>
        <w:t xml:space="preserve">ourt find that there are not </w:t>
      </w:r>
      <w:r w:rsidR="0083522C">
        <w:t xml:space="preserve">adequate </w:t>
      </w:r>
      <w:r>
        <w:t>reasons to deviate from the standard</w:t>
      </w:r>
      <w:r w:rsidR="0083522C">
        <w:t>s in this instance.</w:t>
      </w:r>
      <w:r>
        <w:t xml:space="preserve">  </w:t>
      </w:r>
      <w:r w:rsidR="0083522C">
        <w:t xml:space="preserve">Rather the protection of both the public and the profession dictate that </w:t>
      </w:r>
      <w:r w:rsidR="00275314">
        <w:t>an order</w:t>
      </w:r>
      <w:r w:rsidR="0083522C">
        <w:t xml:space="preserve"> of disbarment </w:t>
      </w:r>
      <w:r w:rsidR="00275314">
        <w:t xml:space="preserve">be imposed.  The absence of any prior discipline does not compel or justify here a contrary result. </w:t>
      </w:r>
      <w:proofErr w:type="gramStart"/>
      <w:r w:rsidR="0083522C">
        <w:t>(See</w:t>
      </w:r>
      <w:r w:rsidR="00275314">
        <w:t>, e.g., Kaplan v. State Bar (1991) 52 Cal.3d 1067; In re Abbott (1977) 19 Cal.3d 249.)</w:t>
      </w:r>
      <w:proofErr w:type="gramEnd"/>
    </w:p>
    <w:p w:rsidR="007071AF" w:rsidRPr="00EB236E" w:rsidRDefault="007071AF" w:rsidP="007071AF">
      <w:pPr>
        <w:pStyle w:val="Heading1"/>
        <w:rPr>
          <w:b w:val="0"/>
          <w:u w:val="single"/>
        </w:rPr>
      </w:pPr>
      <w:r w:rsidRPr="009D2A57">
        <w:t>DISCIPLINE RECOMMENDATION</w:t>
      </w:r>
    </w:p>
    <w:p w:rsidR="003E18B8" w:rsidRPr="005D6520" w:rsidRDefault="003E18B8" w:rsidP="003E18B8">
      <w:pPr>
        <w:spacing w:line="480" w:lineRule="auto"/>
        <w:rPr>
          <w:b/>
          <w:color w:val="000000"/>
          <w:spacing w:val="3"/>
          <w:u w:val="single"/>
        </w:rPr>
      </w:pPr>
      <w:r w:rsidRPr="005D6520">
        <w:rPr>
          <w:b/>
          <w:color w:val="000000"/>
          <w:spacing w:val="3"/>
          <w:u w:val="single"/>
        </w:rPr>
        <w:t>Disbarment</w:t>
      </w:r>
    </w:p>
    <w:p w:rsidR="003E18B8" w:rsidRDefault="003E18B8" w:rsidP="003E18B8">
      <w:pPr>
        <w:spacing w:line="480" w:lineRule="auto"/>
        <w:ind w:firstLine="720"/>
        <w:rPr>
          <w:color w:val="000000"/>
          <w:spacing w:val="3"/>
        </w:rPr>
      </w:pPr>
      <w:r>
        <w:rPr>
          <w:color w:val="000000"/>
          <w:spacing w:val="3"/>
        </w:rPr>
        <w:t>T</w:t>
      </w:r>
      <w:r w:rsidRPr="002738F2">
        <w:rPr>
          <w:color w:val="000000"/>
          <w:spacing w:val="3"/>
        </w:rPr>
        <w:t>he court hereby recommends that respondent</w:t>
      </w:r>
      <w:r>
        <w:rPr>
          <w:color w:val="000000"/>
          <w:spacing w:val="3"/>
        </w:rPr>
        <w:t xml:space="preserve"> </w:t>
      </w:r>
      <w:r>
        <w:rPr>
          <w:b/>
        </w:rPr>
        <w:t xml:space="preserve">Kevin A. </w:t>
      </w:r>
      <w:proofErr w:type="spellStart"/>
      <w:r>
        <w:rPr>
          <w:b/>
        </w:rPr>
        <w:t>Speir</w:t>
      </w:r>
      <w:proofErr w:type="spellEnd"/>
      <w:r w:rsidRPr="002738F2">
        <w:rPr>
          <w:color w:val="000000"/>
          <w:spacing w:val="3"/>
        </w:rPr>
        <w:t xml:space="preserve"> be disbarred from the practice of law in the State of California and that h</w:t>
      </w:r>
      <w:r>
        <w:rPr>
          <w:color w:val="000000"/>
          <w:spacing w:val="3"/>
        </w:rPr>
        <w:t>is</w:t>
      </w:r>
      <w:r w:rsidRPr="002738F2">
        <w:rPr>
          <w:color w:val="000000"/>
          <w:spacing w:val="3"/>
        </w:rPr>
        <w:t xml:space="preserve"> name be stricken from the roll of attorneys in this State.</w:t>
      </w:r>
    </w:p>
    <w:p w:rsidR="003E18B8" w:rsidRPr="005D6520" w:rsidRDefault="003E18B8" w:rsidP="003E18B8">
      <w:pPr>
        <w:spacing w:line="480" w:lineRule="auto"/>
        <w:rPr>
          <w:b/>
          <w:color w:val="000000"/>
          <w:spacing w:val="3"/>
          <w:u w:val="single"/>
        </w:rPr>
      </w:pPr>
      <w:r w:rsidRPr="005D6520">
        <w:rPr>
          <w:b/>
          <w:color w:val="000000"/>
          <w:spacing w:val="3"/>
          <w:u w:val="single"/>
        </w:rPr>
        <w:t>Rule 9.20</w:t>
      </w:r>
    </w:p>
    <w:p w:rsidR="003E18B8" w:rsidRDefault="003E18B8" w:rsidP="003E18B8">
      <w:pPr>
        <w:spacing w:line="480" w:lineRule="auto"/>
        <w:ind w:firstLine="720"/>
        <w:rPr>
          <w:color w:val="000000"/>
          <w:spacing w:val="3"/>
        </w:rPr>
      </w:pPr>
      <w:r>
        <w:rPr>
          <w:color w:val="000000"/>
          <w:spacing w:val="3"/>
        </w:rPr>
        <w:lastRenderedPageBreak/>
        <w:t xml:space="preserve">The court </w:t>
      </w:r>
      <w:r w:rsidRPr="002738F2">
        <w:rPr>
          <w:color w:val="000000"/>
          <w:spacing w:val="3"/>
        </w:rPr>
        <w:t>recommend</w:t>
      </w:r>
      <w:r>
        <w:rPr>
          <w:color w:val="000000"/>
          <w:spacing w:val="3"/>
        </w:rPr>
        <w:t>s</w:t>
      </w:r>
      <w:r w:rsidRPr="002738F2">
        <w:rPr>
          <w:color w:val="000000"/>
          <w:spacing w:val="3"/>
        </w:rPr>
        <w:t xml:space="preserve"> that the Supreme Court order respondent to comply with California Rules of Court, rule 9.20, paragraphs (a) and (c), within 30 and 40 days, respectively, of the effective date of its order imposing discipline in this matter.</w:t>
      </w:r>
      <w:r>
        <w:rPr>
          <w:rStyle w:val="FootnoteReference"/>
          <w:color w:val="000000"/>
          <w:spacing w:val="3"/>
        </w:rPr>
        <w:footnoteReference w:id="5"/>
      </w:r>
    </w:p>
    <w:p w:rsidR="003E18B8" w:rsidRPr="005D6520" w:rsidRDefault="003E18B8" w:rsidP="003E18B8">
      <w:pPr>
        <w:spacing w:line="480" w:lineRule="auto"/>
        <w:rPr>
          <w:b/>
          <w:color w:val="000000"/>
          <w:spacing w:val="3"/>
          <w:u w:val="single"/>
        </w:rPr>
      </w:pPr>
      <w:r w:rsidRPr="005D6520">
        <w:rPr>
          <w:b/>
          <w:color w:val="000000"/>
          <w:spacing w:val="3"/>
          <w:u w:val="single"/>
        </w:rPr>
        <w:t>Costs</w:t>
      </w:r>
    </w:p>
    <w:p w:rsidR="003E18B8" w:rsidRDefault="003E18B8" w:rsidP="003E18B8">
      <w:pPr>
        <w:spacing w:line="480" w:lineRule="auto"/>
        <w:ind w:firstLine="720"/>
        <w:rPr>
          <w:color w:val="000000"/>
          <w:spacing w:val="3"/>
        </w:rPr>
      </w:pPr>
      <w:r w:rsidRPr="00D00FAB">
        <w:rPr>
          <w:color w:val="000000"/>
          <w:spacing w:val="3"/>
        </w:rPr>
        <w:t>The court recommends that costs be awarded to the State Bar in accordance with Business and Professi</w:t>
      </w:r>
      <w:r w:rsidR="00275314">
        <w:rPr>
          <w:color w:val="000000"/>
          <w:spacing w:val="3"/>
        </w:rPr>
        <w:t>ons Code section 6086.10 and be</w:t>
      </w:r>
      <w:r w:rsidRPr="00D00FAB">
        <w:rPr>
          <w:color w:val="000000"/>
          <w:spacing w:val="3"/>
        </w:rPr>
        <w:t xml:space="preserve"> enforceable both as provided in Business and Professions Code section 6140.7 and as a money judgment.</w:t>
      </w:r>
    </w:p>
    <w:p w:rsidR="003E18B8" w:rsidRPr="00D00FAB" w:rsidRDefault="003E18B8" w:rsidP="003E18B8">
      <w:pPr>
        <w:spacing w:line="480" w:lineRule="auto"/>
        <w:ind w:firstLine="720"/>
        <w:jc w:val="center"/>
        <w:rPr>
          <w:b/>
          <w:color w:val="000000"/>
          <w:spacing w:val="3"/>
        </w:rPr>
      </w:pPr>
      <w:r>
        <w:rPr>
          <w:b/>
          <w:color w:val="000000"/>
          <w:spacing w:val="3"/>
        </w:rPr>
        <w:t>VII</w:t>
      </w:r>
      <w:proofErr w:type="gramStart"/>
      <w:r w:rsidRPr="00D00FAB">
        <w:rPr>
          <w:b/>
          <w:color w:val="000000"/>
          <w:spacing w:val="3"/>
        </w:rPr>
        <w:t>.  ORDER</w:t>
      </w:r>
      <w:proofErr w:type="gramEnd"/>
      <w:r w:rsidRPr="00D00FAB">
        <w:rPr>
          <w:b/>
          <w:color w:val="000000"/>
          <w:spacing w:val="3"/>
        </w:rPr>
        <w:t xml:space="preserve"> OF INVOLUNTARY INACTIVE ENROLLMENT</w:t>
      </w:r>
    </w:p>
    <w:p w:rsidR="00275314" w:rsidRDefault="003E18B8" w:rsidP="003E18B8">
      <w:pPr>
        <w:spacing w:line="480" w:lineRule="auto"/>
        <w:ind w:firstLine="720"/>
        <w:rPr>
          <w:color w:val="000000"/>
          <w:spacing w:val="3"/>
        </w:rPr>
      </w:pPr>
      <w:r w:rsidRPr="00E8041E">
        <w:rPr>
          <w:color w:val="000000"/>
          <w:spacing w:val="3"/>
        </w:rPr>
        <w:t>It is ordered that respondent be transferred to involuntary inactive enrollment status</w:t>
      </w:r>
      <w:r>
        <w:rPr>
          <w:color w:val="000000"/>
          <w:spacing w:val="3"/>
        </w:rPr>
        <w:t xml:space="preserve"> </w:t>
      </w:r>
    </w:p>
    <w:p w:rsidR="00275314" w:rsidRDefault="00275314" w:rsidP="003E18B8">
      <w:pPr>
        <w:spacing w:line="480" w:lineRule="auto"/>
        <w:ind w:firstLine="720"/>
        <w:rPr>
          <w:color w:val="000000"/>
          <w:spacing w:val="3"/>
        </w:rPr>
      </w:pPr>
    </w:p>
    <w:p w:rsidR="00275314" w:rsidRDefault="00275314" w:rsidP="003E18B8">
      <w:pPr>
        <w:spacing w:line="480" w:lineRule="auto"/>
        <w:ind w:firstLine="720"/>
        <w:rPr>
          <w:color w:val="000000"/>
          <w:spacing w:val="3"/>
        </w:rPr>
      </w:pPr>
    </w:p>
    <w:p w:rsidR="00275314" w:rsidRDefault="00275314" w:rsidP="003E18B8">
      <w:pPr>
        <w:spacing w:line="480" w:lineRule="auto"/>
        <w:ind w:firstLine="720"/>
        <w:rPr>
          <w:color w:val="000000"/>
          <w:spacing w:val="3"/>
        </w:rPr>
      </w:pPr>
    </w:p>
    <w:p w:rsidR="003E18B8" w:rsidRPr="000C31B9" w:rsidRDefault="003E18B8" w:rsidP="00275314">
      <w:pPr>
        <w:spacing w:line="480" w:lineRule="auto"/>
        <w:rPr>
          <w:color w:val="000000"/>
          <w:spacing w:val="-8"/>
        </w:rPr>
      </w:pPr>
      <w:proofErr w:type="gramStart"/>
      <w:r>
        <w:rPr>
          <w:color w:val="000000"/>
          <w:spacing w:val="3"/>
        </w:rPr>
        <w:t>pursuant</w:t>
      </w:r>
      <w:proofErr w:type="gramEnd"/>
      <w:r>
        <w:rPr>
          <w:color w:val="000000"/>
          <w:spacing w:val="3"/>
        </w:rPr>
        <w:t xml:space="preserve"> to </w:t>
      </w:r>
      <w:r>
        <w:t>section 6007, subdivision (c)(4), and rule 220(c) of the Rules of Procedure of the State Bar</w:t>
      </w:r>
      <w:r w:rsidRPr="00E8041E">
        <w:rPr>
          <w:color w:val="000000"/>
          <w:spacing w:val="3"/>
        </w:rPr>
        <w:t>.  The inactive enrollment will become effective three calendar days after service of this order.</w:t>
      </w:r>
    </w:p>
    <w:p w:rsidR="003E18B8" w:rsidRDefault="003E18B8" w:rsidP="003E18B8">
      <w:pPr>
        <w:pStyle w:val="Header"/>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tblPr>
      <w:tblGrid>
        <w:gridCol w:w="4795"/>
        <w:gridCol w:w="4560"/>
      </w:tblGrid>
      <w:tr w:rsidR="003E18B8" w:rsidTr="00B53E24">
        <w:tc>
          <w:tcPr>
            <w:tcW w:w="4800" w:type="dxa"/>
            <w:tcBorders>
              <w:left w:val="nil"/>
              <w:bottom w:val="nil"/>
            </w:tcBorders>
          </w:tcPr>
          <w:p w:rsidR="003E18B8" w:rsidRDefault="003E18B8" w:rsidP="00B53E24">
            <w:pPr>
              <w:pStyle w:val="Header"/>
            </w:pPr>
            <w:r>
              <w:t xml:space="preserve">Dated:  </w:t>
            </w:r>
            <w:fldSimple w:instr=" DATE \@ &quot;MMMM _____, yyyy&quot; \* MERGEFORMAT ">
              <w:r w:rsidR="00090160">
                <w:rPr>
                  <w:noProof/>
                </w:rPr>
                <w:t>October _____, 2009</w:t>
              </w:r>
            </w:fldSimple>
          </w:p>
        </w:tc>
        <w:tc>
          <w:tcPr>
            <w:tcW w:w="4565" w:type="dxa"/>
            <w:tcBorders>
              <w:top w:val="single" w:sz="4" w:space="0" w:color="auto"/>
              <w:bottom w:val="nil"/>
              <w:right w:val="nil"/>
            </w:tcBorders>
          </w:tcPr>
          <w:p w:rsidR="003E18B8" w:rsidRDefault="003E18B8" w:rsidP="00B53E24">
            <w:bookmarkStart w:id="6" w:name="judge"/>
            <w:bookmarkEnd w:id="6"/>
            <w:r w:rsidRPr="00E22D67">
              <w:t>DONALD F. MILES</w:t>
            </w:r>
            <w:r>
              <w:t xml:space="preserve"> </w:t>
            </w:r>
          </w:p>
        </w:tc>
      </w:tr>
      <w:tr w:rsidR="003E18B8" w:rsidTr="00B53E24">
        <w:tc>
          <w:tcPr>
            <w:tcW w:w="4800" w:type="dxa"/>
            <w:tcBorders>
              <w:left w:val="nil"/>
              <w:bottom w:val="nil"/>
            </w:tcBorders>
          </w:tcPr>
          <w:p w:rsidR="003E18B8" w:rsidRDefault="003E18B8" w:rsidP="00B53E24"/>
        </w:tc>
        <w:tc>
          <w:tcPr>
            <w:tcW w:w="4565" w:type="dxa"/>
            <w:tcBorders>
              <w:bottom w:val="nil"/>
              <w:right w:val="nil"/>
            </w:tcBorders>
          </w:tcPr>
          <w:p w:rsidR="003E18B8" w:rsidRDefault="003E18B8" w:rsidP="00B53E24">
            <w:r>
              <w:t>Judge of the State Bar Court</w:t>
            </w:r>
          </w:p>
        </w:tc>
      </w:tr>
    </w:tbl>
    <w:p w:rsidR="007071AF" w:rsidRPr="00CE727D" w:rsidRDefault="007071AF" w:rsidP="004548EE">
      <w:pPr>
        <w:spacing w:line="480" w:lineRule="auto"/>
        <w:ind w:firstLine="720"/>
      </w:pPr>
    </w:p>
    <w:sectPr w:rsidR="007071AF" w:rsidRPr="00CE727D" w:rsidSect="00EB535E">
      <w:foot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93ED4" w:rsidRDefault="00B93ED4" w:rsidP="008341E6">
      <w:r>
        <w:separator/>
      </w:r>
    </w:p>
  </w:endnote>
  <w:endnote w:type="continuationSeparator" w:id="0">
    <w:p w:rsidR="00B93ED4" w:rsidRDefault="00B93ED4" w:rsidP="008341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94207" w:rsidRDefault="00894207">
    <w:pPr>
      <w:pStyle w:val="Footer"/>
      <w:jc w:val="center"/>
    </w:pPr>
    <w:fldSimple w:instr=" PAGE   \* MERGEFORMAT ">
      <w:r w:rsidR="00090160">
        <w:rPr>
          <w:noProof/>
        </w:rPr>
        <w:t>1</w:t>
      </w:r>
    </w:fldSimple>
  </w:p>
  <w:p w:rsidR="00894207" w:rsidRDefault="0089420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93ED4" w:rsidRDefault="00B93ED4" w:rsidP="008341E6">
      <w:r>
        <w:separator/>
      </w:r>
    </w:p>
  </w:footnote>
  <w:footnote w:type="continuationSeparator" w:id="0">
    <w:p w:rsidR="00B93ED4" w:rsidRDefault="00B93ED4" w:rsidP="008341E6">
      <w:r>
        <w:continuationSeparator/>
      </w:r>
    </w:p>
  </w:footnote>
  <w:footnote w:id="1">
    <w:p w:rsidR="00894207" w:rsidRPr="00C738EE" w:rsidRDefault="00894207" w:rsidP="00A270E3">
      <w:pPr>
        <w:pStyle w:val="FootnoteText"/>
      </w:pPr>
      <w:r>
        <w:rPr>
          <w:rStyle w:val="FootnoteReference"/>
        </w:rPr>
        <w:footnoteRef/>
      </w:r>
      <w:r>
        <w:t xml:space="preserve"> As noted, each of the above findings of culpability </w:t>
      </w:r>
      <w:proofErr w:type="gramStart"/>
      <w:r>
        <w:t>reflect</w:t>
      </w:r>
      <w:proofErr w:type="gramEnd"/>
      <w:r>
        <w:t xml:space="preserve"> in large part the stipulation reached between the State Bar and respondent, together with the court’s own findings based on the evidence.  However, the conduct underlying this violation is essentially the same as that underlying the finding, below, that respondent is culpable of the more serious misconduct of committing acts of moral turpitude (misappropriation) in willful violation of section 6106.  Accordingly, the court finds no need to assess any additional discipline as a consequence of it. </w:t>
      </w:r>
      <w:proofErr w:type="gramStart"/>
      <w:r>
        <w:t xml:space="preserve">(See </w:t>
      </w:r>
      <w:r w:rsidRPr="00C738EE">
        <w:rPr>
          <w:i/>
        </w:rPr>
        <w:t xml:space="preserve">In the Matter of </w:t>
      </w:r>
      <w:proofErr w:type="spellStart"/>
      <w:r w:rsidRPr="00C738EE">
        <w:rPr>
          <w:i/>
        </w:rPr>
        <w:t>Brimberry</w:t>
      </w:r>
      <w:proofErr w:type="spellEnd"/>
      <w:r>
        <w:rPr>
          <w:i/>
        </w:rPr>
        <w:t xml:space="preserve"> </w:t>
      </w:r>
      <w:r w:rsidRPr="00C738EE">
        <w:t>(Review Dept. 1995) 3 Cal. State Bar Ct. Rptr. 390</w:t>
      </w:r>
      <w:r>
        <w:t>, 403.</w:t>
      </w:r>
      <w:r w:rsidRPr="00C738EE">
        <w:t>)</w:t>
      </w:r>
      <w:proofErr w:type="gramEnd"/>
      <w:r>
        <w:t xml:space="preserve">  This comment applies with equal vigor to the other clients, discussed below, for whom misappropriated funds initially deposited in his client trust account.</w:t>
      </w:r>
    </w:p>
    <w:p w:rsidR="00894207" w:rsidRDefault="00894207" w:rsidP="00A270E3">
      <w:pPr>
        <w:pStyle w:val="FootnoteText"/>
      </w:pPr>
    </w:p>
  </w:footnote>
  <w:footnote w:id="2">
    <w:p w:rsidR="00894207" w:rsidRDefault="00894207">
      <w:pPr>
        <w:pStyle w:val="FootnoteText"/>
      </w:pPr>
      <w:r>
        <w:rPr>
          <w:rStyle w:val="FootnoteReference"/>
        </w:rPr>
        <w:footnoteRef/>
      </w:r>
      <w:r>
        <w:t xml:space="preserve"> Respondent’s acts of issuing bad checks on his CTA are not the basis for the charge in the NDC of a violation of section 6106.  </w:t>
      </w:r>
      <w:r w:rsidRPr="00196EA6">
        <w:t>Nor</w:t>
      </w:r>
      <w:r>
        <w:t xml:space="preserve"> did the State Bar present clear and convincing evidence that such acts constitutes acts of moral turpitude by respondent.</w:t>
      </w:r>
    </w:p>
  </w:footnote>
  <w:footnote w:id="3">
    <w:p w:rsidR="00894207" w:rsidRPr="005D7297" w:rsidRDefault="00894207">
      <w:pPr>
        <w:pStyle w:val="FootnoteText"/>
      </w:pPr>
      <w:r>
        <w:rPr>
          <w:rStyle w:val="FootnoteReference"/>
        </w:rPr>
        <w:footnoteRef/>
      </w:r>
      <w:r>
        <w:t xml:space="preserve"> A dip in the balance of the attorney’s client trust account below the required level is a prima facie showing of “willful misappropriation.”  </w:t>
      </w:r>
      <w:proofErr w:type="gramStart"/>
      <w:r>
        <w:t>(</w:t>
      </w:r>
      <w:r>
        <w:rPr>
          <w:i/>
        </w:rPr>
        <w:t xml:space="preserve">In the Matter of </w:t>
      </w:r>
      <w:proofErr w:type="spellStart"/>
      <w:r>
        <w:rPr>
          <w:i/>
        </w:rPr>
        <w:t>Bleecker</w:t>
      </w:r>
      <w:proofErr w:type="spellEnd"/>
      <w:r>
        <w:t xml:space="preserve"> (Review Dept. 1990) 1 Cal. State Bar Ct. Rptr. 113, 122-123.)</w:t>
      </w:r>
      <w:proofErr w:type="gramEnd"/>
    </w:p>
  </w:footnote>
  <w:footnote w:id="4">
    <w:p w:rsidR="00894207" w:rsidRDefault="00894207" w:rsidP="009720CA">
      <w:pPr>
        <w:pStyle w:val="FootnoteText"/>
      </w:pPr>
      <w:r>
        <w:rPr>
          <w:rStyle w:val="FootnoteReference"/>
        </w:rPr>
        <w:footnoteRef/>
      </w:r>
      <w:r>
        <w:t xml:space="preserve"> All further references to standards are to this source.</w:t>
      </w:r>
      <w:r>
        <w:tab/>
      </w:r>
    </w:p>
    <w:p w:rsidR="00894207" w:rsidRDefault="00894207" w:rsidP="009720CA">
      <w:pPr>
        <w:pStyle w:val="FootnoteText"/>
      </w:pPr>
    </w:p>
  </w:footnote>
  <w:footnote w:id="5">
    <w:p w:rsidR="00894207" w:rsidRDefault="00894207" w:rsidP="003E18B8">
      <w:pPr>
        <w:pStyle w:val="FootnoteText"/>
      </w:pPr>
      <w:r>
        <w:rPr>
          <w:rStyle w:val="FootnoteReference"/>
        </w:rPr>
        <w:footnoteRef/>
      </w:r>
      <w:r>
        <w:t xml:space="preserve"> </w:t>
      </w:r>
      <w:r w:rsidRPr="009E5F33">
        <w:t xml:space="preserve">Respondent is required to file a rule 9.20(c) affidavit even if he has no clients to notify.  </w:t>
      </w:r>
      <w:proofErr w:type="gramStart"/>
      <w:r>
        <w:t>(</w:t>
      </w:r>
      <w:r w:rsidRPr="009E5F33">
        <w:rPr>
          <w:i/>
        </w:rPr>
        <w:t>Powers v. State Bar</w:t>
      </w:r>
      <w:r w:rsidRPr="009E5F33">
        <w:t xml:space="preserve">, </w:t>
      </w:r>
      <w:r w:rsidRPr="009E5F33">
        <w:rPr>
          <w:i/>
        </w:rPr>
        <w:t>supra</w:t>
      </w:r>
      <w:r w:rsidRPr="009E5F33">
        <w:t>, 44 Cal.3d 337, 341.)</w:t>
      </w:r>
      <w:proofErr w:type="gramEnd"/>
      <w:r>
        <w:t xml:space="preserve">  In addition to being punished as a crime or </w:t>
      </w:r>
      <w:proofErr w:type="gramStart"/>
      <w:r>
        <w:t>a contempt</w:t>
      </w:r>
      <w:proofErr w:type="gramEnd"/>
      <w:r>
        <w:t xml:space="preserve">, an attorney's failure to comply with rule 9.20 is also, </w:t>
      </w:r>
      <w:r w:rsidRPr="003464FD">
        <w:rPr>
          <w:i/>
        </w:rPr>
        <w:t>inter alia</w:t>
      </w:r>
      <w:r>
        <w:t>, cause for disbarment, suspension, revocation of any pending disciplinary probation, and denial of an application for reinstatement after disbarment.  (Cal. Rules of Court, rule 9.20(d).)</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7"/>
  <w:proofState w:spelling="clean" w:grammar="clean"/>
  <w:defaultTabStop w:val="720"/>
  <w:characterSpacingControl w:val="doNotCompress"/>
  <w:footnotePr>
    <w:footnote w:id="-1"/>
    <w:footnote w:id="0"/>
  </w:footnotePr>
  <w:endnotePr>
    <w:endnote w:id="-1"/>
    <w:endnote w:id="0"/>
  </w:endnotePr>
  <w:compat/>
  <w:rsids>
    <w:rsidRoot w:val="008341E6"/>
    <w:rsid w:val="00055F6D"/>
    <w:rsid w:val="00090160"/>
    <w:rsid w:val="000B2D11"/>
    <w:rsid w:val="000D0BD3"/>
    <w:rsid w:val="000D2088"/>
    <w:rsid w:val="000D32B0"/>
    <w:rsid w:val="000D72FE"/>
    <w:rsid w:val="000F7ED1"/>
    <w:rsid w:val="00107446"/>
    <w:rsid w:val="00137EEE"/>
    <w:rsid w:val="001614EB"/>
    <w:rsid w:val="00196EA6"/>
    <w:rsid w:val="001A5FA5"/>
    <w:rsid w:val="001B6713"/>
    <w:rsid w:val="001C3533"/>
    <w:rsid w:val="001F0AC0"/>
    <w:rsid w:val="00200312"/>
    <w:rsid w:val="00204AD8"/>
    <w:rsid w:val="0021358D"/>
    <w:rsid w:val="002212A5"/>
    <w:rsid w:val="0023352B"/>
    <w:rsid w:val="00252B7E"/>
    <w:rsid w:val="00275314"/>
    <w:rsid w:val="003164A3"/>
    <w:rsid w:val="00316A30"/>
    <w:rsid w:val="00364A0C"/>
    <w:rsid w:val="00370B53"/>
    <w:rsid w:val="00385560"/>
    <w:rsid w:val="00394D52"/>
    <w:rsid w:val="003E18B8"/>
    <w:rsid w:val="003E23FD"/>
    <w:rsid w:val="003F3422"/>
    <w:rsid w:val="00406027"/>
    <w:rsid w:val="00411672"/>
    <w:rsid w:val="004273AE"/>
    <w:rsid w:val="00450664"/>
    <w:rsid w:val="004548EE"/>
    <w:rsid w:val="004628EC"/>
    <w:rsid w:val="00476437"/>
    <w:rsid w:val="004F2AEB"/>
    <w:rsid w:val="00503B7A"/>
    <w:rsid w:val="00534AAF"/>
    <w:rsid w:val="00576729"/>
    <w:rsid w:val="005D7297"/>
    <w:rsid w:val="005E1B11"/>
    <w:rsid w:val="005E2A71"/>
    <w:rsid w:val="005F2B75"/>
    <w:rsid w:val="006044C4"/>
    <w:rsid w:val="006305F3"/>
    <w:rsid w:val="00644DE2"/>
    <w:rsid w:val="006579CD"/>
    <w:rsid w:val="00667E30"/>
    <w:rsid w:val="00677025"/>
    <w:rsid w:val="00681D75"/>
    <w:rsid w:val="00693257"/>
    <w:rsid w:val="006A555B"/>
    <w:rsid w:val="006B676E"/>
    <w:rsid w:val="006D267A"/>
    <w:rsid w:val="007071AF"/>
    <w:rsid w:val="00715F2A"/>
    <w:rsid w:val="0076118C"/>
    <w:rsid w:val="0078087A"/>
    <w:rsid w:val="0079685A"/>
    <w:rsid w:val="007E42C2"/>
    <w:rsid w:val="0082649F"/>
    <w:rsid w:val="008341E6"/>
    <w:rsid w:val="0083522C"/>
    <w:rsid w:val="0086063C"/>
    <w:rsid w:val="00890FFD"/>
    <w:rsid w:val="00894207"/>
    <w:rsid w:val="00897924"/>
    <w:rsid w:val="008F4624"/>
    <w:rsid w:val="00942898"/>
    <w:rsid w:val="009720CA"/>
    <w:rsid w:val="009C1C77"/>
    <w:rsid w:val="009C6709"/>
    <w:rsid w:val="009D26CB"/>
    <w:rsid w:val="009E0DA9"/>
    <w:rsid w:val="00A20AA4"/>
    <w:rsid w:val="00A270E3"/>
    <w:rsid w:val="00A42F6F"/>
    <w:rsid w:val="00A5701D"/>
    <w:rsid w:val="00A84E9A"/>
    <w:rsid w:val="00AB547D"/>
    <w:rsid w:val="00AE7CBB"/>
    <w:rsid w:val="00AF36FC"/>
    <w:rsid w:val="00B33EB0"/>
    <w:rsid w:val="00B53E24"/>
    <w:rsid w:val="00B5605C"/>
    <w:rsid w:val="00B715A8"/>
    <w:rsid w:val="00B93ED4"/>
    <w:rsid w:val="00BA7B0A"/>
    <w:rsid w:val="00BE1035"/>
    <w:rsid w:val="00BF72F5"/>
    <w:rsid w:val="00C554D4"/>
    <w:rsid w:val="00C80711"/>
    <w:rsid w:val="00C966FC"/>
    <w:rsid w:val="00CD6034"/>
    <w:rsid w:val="00CE0418"/>
    <w:rsid w:val="00CE2185"/>
    <w:rsid w:val="00CE727D"/>
    <w:rsid w:val="00CF170E"/>
    <w:rsid w:val="00D20E9C"/>
    <w:rsid w:val="00D53F41"/>
    <w:rsid w:val="00D67DB6"/>
    <w:rsid w:val="00D87F02"/>
    <w:rsid w:val="00DA671B"/>
    <w:rsid w:val="00DB54DA"/>
    <w:rsid w:val="00DB6BE5"/>
    <w:rsid w:val="00DD78B2"/>
    <w:rsid w:val="00E162F8"/>
    <w:rsid w:val="00E63980"/>
    <w:rsid w:val="00E66254"/>
    <w:rsid w:val="00EB535E"/>
    <w:rsid w:val="00F372DC"/>
    <w:rsid w:val="00F610AF"/>
    <w:rsid w:val="00F879C1"/>
    <w:rsid w:val="00F96320"/>
    <w:rsid w:val="00FD79E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header" w:uiPriority="0"/>
    <w:lsdException w:name="caption" w:uiPriority="35" w:qFormat="1"/>
    <w:lsdException w:name="footnote reference"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341E6"/>
    <w:rPr>
      <w:rFonts w:eastAsia="Times New Roman"/>
      <w:sz w:val="24"/>
      <w:szCs w:val="24"/>
    </w:rPr>
  </w:style>
  <w:style w:type="paragraph" w:styleId="Heading1">
    <w:name w:val="heading 1"/>
    <w:basedOn w:val="Normal"/>
    <w:next w:val="Normal"/>
    <w:link w:val="Heading1Char"/>
    <w:qFormat/>
    <w:rsid w:val="008341E6"/>
    <w:pPr>
      <w:keepNext/>
      <w:spacing w:line="480" w:lineRule="auto"/>
      <w:jc w:val="center"/>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341E6"/>
    <w:rPr>
      <w:rFonts w:eastAsia="Times New Roman" w:cs="Times New Roman"/>
      <w:b/>
      <w:bCs/>
      <w:szCs w:val="24"/>
    </w:rPr>
  </w:style>
  <w:style w:type="paragraph" w:styleId="FootnoteText">
    <w:name w:val="footnote text"/>
    <w:basedOn w:val="Normal"/>
    <w:link w:val="FootnoteTextChar"/>
    <w:semiHidden/>
    <w:qFormat/>
    <w:rsid w:val="008341E6"/>
    <w:pPr>
      <w:ind w:firstLine="720"/>
    </w:pPr>
    <w:rPr>
      <w:szCs w:val="20"/>
    </w:rPr>
  </w:style>
  <w:style w:type="character" w:customStyle="1" w:styleId="FootnoteTextChar">
    <w:name w:val="Footnote Text Char"/>
    <w:basedOn w:val="DefaultParagraphFont"/>
    <w:link w:val="FootnoteText"/>
    <w:semiHidden/>
    <w:rsid w:val="008341E6"/>
    <w:rPr>
      <w:rFonts w:eastAsia="Times New Roman" w:cs="Times New Roman"/>
      <w:szCs w:val="20"/>
    </w:rPr>
  </w:style>
  <w:style w:type="character" w:styleId="FootnoteReference">
    <w:name w:val="footnote reference"/>
    <w:basedOn w:val="DefaultParagraphFont"/>
    <w:rsid w:val="008341E6"/>
    <w:rPr>
      <w:vertAlign w:val="superscript"/>
    </w:rPr>
  </w:style>
  <w:style w:type="paragraph" w:customStyle="1" w:styleId="Level1">
    <w:name w:val="Level 1"/>
    <w:uiPriority w:val="99"/>
    <w:rsid w:val="00A270E3"/>
    <w:pPr>
      <w:autoSpaceDE w:val="0"/>
      <w:autoSpaceDN w:val="0"/>
      <w:adjustRightInd w:val="0"/>
      <w:ind w:left="720"/>
    </w:pPr>
    <w:rPr>
      <w:rFonts w:eastAsia="Times New Roman"/>
      <w:sz w:val="24"/>
      <w:szCs w:val="24"/>
    </w:rPr>
  </w:style>
  <w:style w:type="paragraph" w:styleId="Header">
    <w:name w:val="header"/>
    <w:basedOn w:val="Normal"/>
    <w:link w:val="HeaderChar"/>
    <w:unhideWhenUsed/>
    <w:rsid w:val="0079685A"/>
    <w:pPr>
      <w:tabs>
        <w:tab w:val="center" w:pos="4680"/>
        <w:tab w:val="right" w:pos="9360"/>
      </w:tabs>
    </w:pPr>
  </w:style>
  <w:style w:type="character" w:customStyle="1" w:styleId="HeaderChar">
    <w:name w:val="Header Char"/>
    <w:basedOn w:val="DefaultParagraphFont"/>
    <w:link w:val="Header"/>
    <w:rsid w:val="0079685A"/>
    <w:rPr>
      <w:rFonts w:eastAsia="Times New Roman"/>
      <w:sz w:val="24"/>
      <w:szCs w:val="24"/>
    </w:rPr>
  </w:style>
  <w:style w:type="paragraph" w:styleId="Footer">
    <w:name w:val="footer"/>
    <w:basedOn w:val="Normal"/>
    <w:link w:val="FooterChar"/>
    <w:uiPriority w:val="99"/>
    <w:unhideWhenUsed/>
    <w:rsid w:val="0079685A"/>
    <w:pPr>
      <w:tabs>
        <w:tab w:val="center" w:pos="4680"/>
        <w:tab w:val="right" w:pos="9360"/>
      </w:tabs>
    </w:pPr>
  </w:style>
  <w:style w:type="character" w:customStyle="1" w:styleId="FooterChar">
    <w:name w:val="Footer Char"/>
    <w:basedOn w:val="DefaultParagraphFont"/>
    <w:link w:val="Footer"/>
    <w:uiPriority w:val="99"/>
    <w:rsid w:val="0079685A"/>
    <w:rPr>
      <w:rFonts w:eastAsia="Times New Roman"/>
      <w:sz w:val="24"/>
      <w:szCs w:val="24"/>
    </w:rPr>
  </w:style>
  <w:style w:type="paragraph" w:styleId="BodyTextIndent">
    <w:name w:val="Body Text Indent"/>
    <w:basedOn w:val="Normal"/>
    <w:link w:val="BodyTextIndentChar"/>
    <w:semiHidden/>
    <w:rsid w:val="00A42F6F"/>
    <w:pPr>
      <w:numPr>
        <w:ilvl w:val="12"/>
      </w:num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spacing w:line="480" w:lineRule="auto"/>
      <w:ind w:left="720" w:hanging="720"/>
    </w:pPr>
  </w:style>
  <w:style w:type="character" w:customStyle="1" w:styleId="BodyTextIndentChar">
    <w:name w:val="Body Text Indent Char"/>
    <w:basedOn w:val="DefaultParagraphFont"/>
    <w:link w:val="BodyTextIndent"/>
    <w:semiHidden/>
    <w:rsid w:val="00A42F6F"/>
    <w:rPr>
      <w:rFonts w:eastAsia="Times New Roman"/>
      <w:sz w:val="24"/>
      <w:szCs w:val="24"/>
    </w:rPr>
  </w:style>
  <w:style w:type="paragraph" w:styleId="BalloonText">
    <w:name w:val="Balloon Text"/>
    <w:basedOn w:val="Normal"/>
    <w:link w:val="BalloonTextChar"/>
    <w:uiPriority w:val="99"/>
    <w:semiHidden/>
    <w:unhideWhenUsed/>
    <w:rsid w:val="003E18B8"/>
    <w:rPr>
      <w:rFonts w:ascii="Tahoma" w:hAnsi="Tahoma" w:cs="Tahoma"/>
      <w:sz w:val="16"/>
      <w:szCs w:val="16"/>
    </w:rPr>
  </w:style>
  <w:style w:type="character" w:customStyle="1" w:styleId="BalloonTextChar">
    <w:name w:val="Balloon Text Char"/>
    <w:basedOn w:val="DefaultParagraphFont"/>
    <w:link w:val="BalloonText"/>
    <w:uiPriority w:val="99"/>
    <w:semiHidden/>
    <w:rsid w:val="003E18B8"/>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23</Pages>
  <Words>5371</Words>
  <Characters>30615</Characters>
  <Application>Microsoft Office Word</Application>
  <DocSecurity>0</DocSecurity>
  <Lines>255</Lines>
  <Paragraphs>71</Paragraphs>
  <ScaleCrop>false</ScaleCrop>
  <HeadingPairs>
    <vt:vector size="2" baseType="variant">
      <vt:variant>
        <vt:lpstr>Title</vt:lpstr>
      </vt:variant>
      <vt:variant>
        <vt:i4>1</vt:i4>
      </vt:variant>
    </vt:vector>
  </HeadingPairs>
  <TitlesOfParts>
    <vt:vector size="1" baseType="lpstr">
      <vt:lpstr/>
    </vt:vector>
  </TitlesOfParts>
  <Company>State Bar of California</Company>
  <LinksUpToDate>false</LinksUpToDate>
  <CharactersWithSpaces>35915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Judge Donald F. Miles</dc:creator>
  <cp:keywords/>
  <dc:description/>
  <cp:lastModifiedBy>Tammy Cleaver</cp:lastModifiedBy>
  <cp:revision>2</cp:revision>
  <cp:lastPrinted>2009-10-23T20:25:00Z</cp:lastPrinted>
  <dcterms:created xsi:type="dcterms:W3CDTF">2009-10-24T00:01:00Z</dcterms:created>
  <dcterms:modified xsi:type="dcterms:W3CDTF">2009-10-24T00:01:00Z</dcterms:modified>
</cp:coreProperties>
</file>