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DA7D7D" w:rsidP="00FF31F8">
      <w:pPr>
        <w:pStyle w:val="Footnote"/>
      </w:pPr>
      <w:r>
        <w:t>PUBLIC MATTER - NOT DESIGNATED FOR PUBLICATION</w:t>
      </w:r>
    </w:p>
    <w:p w:rsidR="00835F54" w:rsidRPr="00C11CC8" w:rsidRDefault="00835F54" w:rsidP="00FF31F8">
      <w:pPr>
        <w:pStyle w:val="Footnote"/>
      </w:pPr>
    </w:p>
    <w:p w:rsidR="00C11CC8" w:rsidRPr="009466CC" w:rsidRDefault="009466CC" w:rsidP="00717354">
      <w:pPr>
        <w:jc w:val="right"/>
        <w:rPr>
          <w:b/>
          <w:sz w:val="28"/>
          <w:szCs w:val="28"/>
        </w:rPr>
      </w:pPr>
      <w:r w:rsidRPr="009466CC">
        <w:rPr>
          <w:b/>
          <w:sz w:val="28"/>
          <w:szCs w:val="28"/>
        </w:rPr>
        <w:t>FILED AUGUST 11, 2010.</w:t>
      </w:r>
    </w:p>
    <w:p w:rsidR="00552DF1" w:rsidRPr="00C11CC8" w:rsidRDefault="00552DF1"/>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Style w:val="TableGrid"/>
        <w:tblW w:w="0" w:type="auto"/>
        <w:tblLook w:val="04A0"/>
      </w:tblPr>
      <w:tblGrid>
        <w:gridCol w:w="4367"/>
        <w:gridCol w:w="899"/>
        <w:gridCol w:w="4202"/>
      </w:tblGrid>
      <w:tr w:rsidR="00C11CC8" w:rsidRPr="00C11CC8" w:rsidTr="007F537A">
        <w:tc>
          <w:tcPr>
            <w:tcW w:w="4416"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497A94" w:rsidRDefault="00B41D84" w:rsidP="009216E0">
            <w:pPr>
              <w:spacing w:line="240" w:lineRule="auto"/>
              <w:rPr>
                <w:b/>
              </w:rPr>
            </w:pPr>
            <w:bookmarkStart w:id="0" w:name="Respondent"/>
            <w:bookmarkEnd w:id="0"/>
            <w:r>
              <w:rPr>
                <w:b/>
              </w:rPr>
              <w:t xml:space="preserve">FRANK PATRICK </w:t>
            </w:r>
            <w:proofErr w:type="spellStart"/>
            <w:r>
              <w:rPr>
                <w:b/>
              </w:rPr>
              <w:t>SPROULS</w:t>
            </w:r>
            <w:proofErr w:type="spellEnd"/>
            <w:r w:rsidR="00C11CC8" w:rsidRPr="00497A94">
              <w:rPr>
                <w:b/>
              </w:rPr>
              <w:t>,</w:t>
            </w:r>
          </w:p>
          <w:p w:rsidR="009216E0" w:rsidRDefault="009216E0" w:rsidP="009216E0">
            <w:pPr>
              <w:spacing w:line="240" w:lineRule="auto"/>
            </w:pPr>
          </w:p>
          <w:p w:rsidR="009216E0" w:rsidRPr="009216E0" w:rsidRDefault="00DA7D7D" w:rsidP="009216E0">
            <w:pPr>
              <w:spacing w:line="240" w:lineRule="auto"/>
            </w:pPr>
            <w:bookmarkStart w:id="1" w:name="type"/>
            <w:bookmarkEnd w:id="1"/>
            <w:r>
              <w:t>A Member of the State Bar.</w:t>
            </w:r>
          </w:p>
          <w:p w:rsidR="009216E0" w:rsidRPr="00C11CC8" w:rsidRDefault="009216E0" w:rsidP="009216E0">
            <w:pPr>
              <w:spacing w:line="240" w:lineRule="auto"/>
            </w:pPr>
          </w:p>
        </w:tc>
        <w:tc>
          <w:tcPr>
            <w:tcW w:w="912"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4248" w:type="dxa"/>
            <w:tcBorders>
              <w:top w:val="nil"/>
              <w:left w:val="nil"/>
              <w:bottom w:val="nil"/>
              <w:right w:val="nil"/>
            </w:tcBorders>
          </w:tcPr>
          <w:p w:rsidR="00C11CC8" w:rsidRPr="006B3AB6" w:rsidRDefault="00C11CC8" w:rsidP="009216E0">
            <w:pPr>
              <w:spacing w:line="240" w:lineRule="auto"/>
            </w:pPr>
            <w:r>
              <w:t>No</w:t>
            </w:r>
            <w:r w:rsidR="00552DF1">
              <w:t>s</w:t>
            </w:r>
            <w:r w:rsidRPr="00497A94">
              <w:rPr>
                <w:b/>
              </w:rPr>
              <w:t>.</w:t>
            </w:r>
            <w:r w:rsidR="009216E0" w:rsidRPr="00497A94">
              <w:rPr>
                <w:b/>
              </w:rPr>
              <w:t xml:space="preserve"> </w:t>
            </w:r>
            <w:bookmarkStart w:id="2" w:name="caseno"/>
            <w:bookmarkEnd w:id="2"/>
            <w:r w:rsidR="00F32F9A">
              <w:rPr>
                <w:b/>
              </w:rPr>
              <w:t>06-J-15200</w:t>
            </w:r>
            <w:r w:rsidR="00DA7D7D">
              <w:rPr>
                <w:b/>
              </w:rPr>
              <w:t xml:space="preserve"> </w:t>
            </w:r>
            <w:r w:rsidR="006B3AB6">
              <w:t>(07-O-12614)</w:t>
            </w:r>
          </w:p>
          <w:p w:rsidR="00552DF1" w:rsidRDefault="00552DF1" w:rsidP="009216E0">
            <w:pPr>
              <w:spacing w:line="240" w:lineRule="auto"/>
            </w:pPr>
          </w:p>
          <w:p w:rsidR="007F537A" w:rsidRPr="009216E0" w:rsidRDefault="00DA7D7D" w:rsidP="009216E0">
            <w:pPr>
              <w:spacing w:line="240" w:lineRule="auto"/>
              <w:rPr>
                <w:b/>
              </w:rPr>
            </w:pPr>
            <w:bookmarkStart w:id="3" w:name="title"/>
            <w:bookmarkEnd w:id="3"/>
            <w:r>
              <w:rPr>
                <w:b/>
              </w:rPr>
              <w:t>OPINION ON REVIEW</w:t>
            </w:r>
          </w:p>
        </w:tc>
      </w:tr>
    </w:tbl>
    <w:p w:rsidR="00C11CC8" w:rsidRDefault="00C11CC8" w:rsidP="00552DF1">
      <w:pPr>
        <w:spacing w:line="240" w:lineRule="auto"/>
      </w:pPr>
    </w:p>
    <w:p w:rsidR="00552DF1" w:rsidRDefault="00552DF1" w:rsidP="00552DF1">
      <w:pPr>
        <w:spacing w:line="240" w:lineRule="auto"/>
      </w:pPr>
    </w:p>
    <w:p w:rsidR="00B30569" w:rsidRDefault="00DA7D7D" w:rsidP="00C11CC8">
      <w:r>
        <w:tab/>
      </w:r>
      <w:r w:rsidR="00F462D8">
        <w:t>This proceeding</w:t>
      </w:r>
      <w:r w:rsidR="00A9563E">
        <w:t xml:space="preserve"> consists of two separate discipline cases </w:t>
      </w:r>
      <w:r w:rsidR="00F650E7">
        <w:t>filed</w:t>
      </w:r>
      <w:r w:rsidR="00A9563E">
        <w:t xml:space="preserve"> against </w:t>
      </w:r>
      <w:r w:rsidR="00B30569">
        <w:t xml:space="preserve">respondent </w:t>
      </w:r>
      <w:r w:rsidR="00D77DFC">
        <w:t xml:space="preserve">Frank </w:t>
      </w:r>
      <w:r w:rsidR="00215606">
        <w:t xml:space="preserve">Patrick </w:t>
      </w:r>
      <w:proofErr w:type="spellStart"/>
      <w:r w:rsidR="00D77DFC">
        <w:t>Sprouls</w:t>
      </w:r>
      <w:proofErr w:type="spellEnd"/>
      <w:r w:rsidR="00A9563E">
        <w:t xml:space="preserve">.  The first case arises out of a </w:t>
      </w:r>
      <w:r w:rsidR="00F462D8">
        <w:t xml:space="preserve">2005 </w:t>
      </w:r>
      <w:r w:rsidR="00A9563E">
        <w:t xml:space="preserve">discipline order issued against </w:t>
      </w:r>
      <w:proofErr w:type="spellStart"/>
      <w:r w:rsidR="00A9563E">
        <w:t>Sprouls</w:t>
      </w:r>
      <w:proofErr w:type="spellEnd"/>
      <w:r w:rsidR="00A9563E">
        <w:t xml:space="preserve"> by the </w:t>
      </w:r>
      <w:r w:rsidR="00EF0CD2">
        <w:t>U</w:t>
      </w:r>
      <w:r w:rsidR="006B3AB6">
        <w:t xml:space="preserve">nited </w:t>
      </w:r>
      <w:r w:rsidR="00EF0CD2">
        <w:t>S</w:t>
      </w:r>
      <w:r w:rsidR="006B3AB6">
        <w:t>tates</w:t>
      </w:r>
      <w:r w:rsidR="00EF0CD2">
        <w:t xml:space="preserve"> Court of Appeal for the </w:t>
      </w:r>
      <w:r w:rsidR="00B30569">
        <w:t>Ninth Circuit</w:t>
      </w:r>
      <w:r w:rsidR="00EF0CD2">
        <w:t xml:space="preserve"> (Ninth Circuit)</w:t>
      </w:r>
      <w:r w:rsidR="00B30569">
        <w:t xml:space="preserve"> for </w:t>
      </w:r>
      <w:r w:rsidR="00A0096B">
        <w:t>misconduct</w:t>
      </w:r>
      <w:r w:rsidR="00F462D8">
        <w:t xml:space="preserve"> in</w:t>
      </w:r>
      <w:r w:rsidR="00B30569">
        <w:t xml:space="preserve"> </w:t>
      </w:r>
      <w:r w:rsidR="002F6574">
        <w:t>over 50</w:t>
      </w:r>
      <w:r w:rsidR="00A0096B">
        <w:t xml:space="preserve"> </w:t>
      </w:r>
      <w:r w:rsidR="00F650E7">
        <w:t>i</w:t>
      </w:r>
      <w:r w:rsidR="00FF31F8">
        <w:t xml:space="preserve">mmigration </w:t>
      </w:r>
      <w:r w:rsidR="00F650E7">
        <w:t>proceedings</w:t>
      </w:r>
      <w:r w:rsidR="00B30569">
        <w:t xml:space="preserve">. </w:t>
      </w:r>
      <w:r w:rsidR="004A2241">
        <w:t xml:space="preserve"> </w:t>
      </w:r>
      <w:r w:rsidR="00A9563E">
        <w:t>The second case involves another immigration case that was not part of the Ninth Circuit’s discipline order.</w:t>
      </w:r>
      <w:r w:rsidR="008E30F9">
        <w:t xml:space="preserve">  </w:t>
      </w:r>
      <w:r w:rsidR="00624BBC">
        <w:t>After a three</w:t>
      </w:r>
      <w:r w:rsidR="00D77DFC">
        <w:t>-</w:t>
      </w:r>
      <w:r w:rsidR="00624BBC">
        <w:t>day trial,</w:t>
      </w:r>
      <w:r w:rsidR="00B30569">
        <w:t xml:space="preserve"> the State Bar Court hearing judge </w:t>
      </w:r>
      <w:r w:rsidR="004D15F7">
        <w:t>adopted</w:t>
      </w:r>
      <w:r w:rsidR="00724F7C">
        <w:t xml:space="preserve"> </w:t>
      </w:r>
      <w:r w:rsidR="000B79ED">
        <w:t xml:space="preserve">most of </w:t>
      </w:r>
      <w:r w:rsidR="00724F7C">
        <w:t>the</w:t>
      </w:r>
      <w:r w:rsidR="00B30569">
        <w:t xml:space="preserve"> Ninth Circuit’s </w:t>
      </w:r>
      <w:r w:rsidR="00D77DFC">
        <w:t xml:space="preserve">culpability </w:t>
      </w:r>
      <w:r w:rsidR="00B30569">
        <w:t xml:space="preserve">findings and </w:t>
      </w:r>
      <w:r w:rsidR="00F462D8">
        <w:t xml:space="preserve">also </w:t>
      </w:r>
      <w:r w:rsidR="00B30569">
        <w:t xml:space="preserve">found </w:t>
      </w:r>
      <w:proofErr w:type="spellStart"/>
      <w:r w:rsidR="00A944CB">
        <w:t>Sprouls</w:t>
      </w:r>
      <w:proofErr w:type="spellEnd"/>
      <w:r w:rsidR="00B30569">
        <w:t xml:space="preserve"> culpable in the </w:t>
      </w:r>
      <w:r w:rsidR="00B057F0">
        <w:t>second case</w:t>
      </w:r>
      <w:r w:rsidR="00B30569">
        <w:t xml:space="preserve">.  </w:t>
      </w:r>
      <w:r w:rsidR="00D77DFC">
        <w:t>T</w:t>
      </w:r>
      <w:r w:rsidR="00B30569">
        <w:t xml:space="preserve">he hearing judge recommended </w:t>
      </w:r>
      <w:r w:rsidR="00F36ED2">
        <w:t>an entirely</w:t>
      </w:r>
      <w:r w:rsidR="00D77DFC">
        <w:t xml:space="preserve"> </w:t>
      </w:r>
      <w:r w:rsidR="00F36ED2">
        <w:t>stayed</w:t>
      </w:r>
      <w:r w:rsidR="00B30569">
        <w:t xml:space="preserve"> suspension from practice</w:t>
      </w:r>
      <w:r w:rsidR="00FA25EF">
        <w:t>, which was</w:t>
      </w:r>
      <w:r w:rsidR="00B30569">
        <w:t xml:space="preserve"> essentially the same degree </w:t>
      </w:r>
      <w:r w:rsidR="00FA25EF">
        <w:t xml:space="preserve">of discipline </w:t>
      </w:r>
      <w:r w:rsidR="00B30569">
        <w:t>imposed by the Ninth Circuit.</w:t>
      </w:r>
    </w:p>
    <w:p w:rsidR="00B30569" w:rsidRDefault="00724F7C" w:rsidP="00C11CC8">
      <w:r>
        <w:tab/>
      </w:r>
      <w:r w:rsidR="00B30569">
        <w:t>The State Bar seeks review</w:t>
      </w:r>
      <w:r w:rsidR="00FA25EF">
        <w:t xml:space="preserve">, asserting that </w:t>
      </w:r>
      <w:r w:rsidR="00CE5DEF">
        <w:t>the</w:t>
      </w:r>
      <w:r w:rsidR="00FA25EF">
        <w:t xml:space="preserve"> hearing judge’s discipline </w:t>
      </w:r>
      <w:r w:rsidR="00F462D8">
        <w:t xml:space="preserve">recommendation </w:t>
      </w:r>
      <w:r w:rsidR="00FA25EF">
        <w:t xml:space="preserve">is inadequate due to the magnitude of </w:t>
      </w:r>
      <w:proofErr w:type="spellStart"/>
      <w:r w:rsidR="00AC7B3F">
        <w:t>Sprouls’s</w:t>
      </w:r>
      <w:proofErr w:type="spellEnd"/>
      <w:r w:rsidR="00FA25EF">
        <w:t xml:space="preserve"> misconduct</w:t>
      </w:r>
      <w:r w:rsidR="00D5294E">
        <w:t>, which constitutes a pattern of misconduct</w:t>
      </w:r>
      <w:r w:rsidR="001A08AD">
        <w:t xml:space="preserve"> amounting to moral turpitude</w:t>
      </w:r>
      <w:r w:rsidR="00D5294E">
        <w:t xml:space="preserve">.  </w:t>
      </w:r>
      <w:r w:rsidR="00FA25EF">
        <w:t xml:space="preserve">It also contends that the hearing judge afforded </w:t>
      </w:r>
      <w:proofErr w:type="spellStart"/>
      <w:r w:rsidR="00FA25EF">
        <w:t>Sprouls</w:t>
      </w:r>
      <w:proofErr w:type="spellEnd"/>
      <w:r w:rsidR="00FA25EF">
        <w:t xml:space="preserve"> </w:t>
      </w:r>
      <w:r w:rsidR="000E6336">
        <w:t xml:space="preserve">more mitigation </w:t>
      </w:r>
      <w:r w:rsidR="00F462D8">
        <w:t xml:space="preserve">and less aggravation </w:t>
      </w:r>
      <w:r w:rsidR="000E6336">
        <w:t>than was warranted.  The State Bar u</w:t>
      </w:r>
      <w:r w:rsidR="001D2176">
        <w:t>r</w:t>
      </w:r>
      <w:r w:rsidR="000E6336">
        <w:t xml:space="preserve">ges </w:t>
      </w:r>
      <w:r w:rsidR="00682AFF">
        <w:t xml:space="preserve">that </w:t>
      </w:r>
      <w:proofErr w:type="spellStart"/>
      <w:r w:rsidR="00682AFF">
        <w:t>Sprouls</w:t>
      </w:r>
      <w:proofErr w:type="spellEnd"/>
      <w:r w:rsidR="00682AFF">
        <w:t xml:space="preserve"> be suspended for two years </w:t>
      </w:r>
      <w:r w:rsidR="00CE5DEF">
        <w:t xml:space="preserve">and until </w:t>
      </w:r>
      <w:r w:rsidR="00682AFF">
        <w:t>he</w:t>
      </w:r>
      <w:r w:rsidR="00CE5DEF">
        <w:t xml:space="preserve"> demonstrates</w:t>
      </w:r>
      <w:r w:rsidR="00682AFF">
        <w:t xml:space="preserve"> his </w:t>
      </w:r>
      <w:r w:rsidR="00CE5DEF">
        <w:t xml:space="preserve">rehabilitation.  </w:t>
      </w:r>
      <w:proofErr w:type="spellStart"/>
      <w:r w:rsidR="000E6336">
        <w:t>Sprouls</w:t>
      </w:r>
      <w:proofErr w:type="spellEnd"/>
      <w:r w:rsidR="00CE5DEF">
        <w:t xml:space="preserve"> supports </w:t>
      </w:r>
      <w:r w:rsidR="001D2176">
        <w:t xml:space="preserve">the </w:t>
      </w:r>
      <w:r w:rsidR="00CE5DEF">
        <w:t xml:space="preserve">discipline recommended by the hearing judge. </w:t>
      </w:r>
    </w:p>
    <w:p w:rsidR="00A0057D" w:rsidRDefault="00A0057D" w:rsidP="00C11CC8"/>
    <w:p w:rsidR="00916D16" w:rsidRDefault="005C0B0A" w:rsidP="00C11CC8">
      <w:r>
        <w:lastRenderedPageBreak/>
        <w:tab/>
      </w:r>
      <w:r w:rsidR="000E6336">
        <w:t>Upon our i</w:t>
      </w:r>
      <w:r>
        <w:t>ndependent revi</w:t>
      </w:r>
      <w:r w:rsidR="00916D16">
        <w:t>ew</w:t>
      </w:r>
      <w:r w:rsidR="000E6336">
        <w:t xml:space="preserve"> of </w:t>
      </w:r>
      <w:r w:rsidR="00916D16">
        <w:t>the record (</w:t>
      </w:r>
      <w:r w:rsidR="005B0977">
        <w:t xml:space="preserve">Cal. Rules of Court, rule 9.12), </w:t>
      </w:r>
      <w:r w:rsidR="00916D16">
        <w:t xml:space="preserve">we recommend </w:t>
      </w:r>
      <w:r w:rsidR="00ED65D8">
        <w:t xml:space="preserve">a 90-day </w:t>
      </w:r>
      <w:r w:rsidR="00BE348E">
        <w:t xml:space="preserve">suspension as part of a </w:t>
      </w:r>
      <w:r w:rsidR="00C6003B">
        <w:t>one</w:t>
      </w:r>
      <w:r w:rsidR="00BE348E">
        <w:t>-year stayed suspension</w:t>
      </w:r>
      <w:r w:rsidR="00916D16">
        <w:t>.</w:t>
      </w:r>
      <w:r w:rsidR="00BE348E">
        <w:t xml:space="preserve">  </w:t>
      </w:r>
      <w:r w:rsidR="00682AFF">
        <w:t xml:space="preserve">Despite </w:t>
      </w:r>
      <w:proofErr w:type="spellStart"/>
      <w:r w:rsidR="00AC7B3F">
        <w:t>Sprouls’s</w:t>
      </w:r>
      <w:proofErr w:type="spellEnd"/>
      <w:r w:rsidR="002F4B4E">
        <w:t xml:space="preserve"> </w:t>
      </w:r>
      <w:r w:rsidR="00682AFF">
        <w:t>impressive</w:t>
      </w:r>
      <w:r w:rsidR="00F81ADF">
        <w:t xml:space="preserve"> evidence o</w:t>
      </w:r>
      <w:r w:rsidR="0012244E">
        <w:t xml:space="preserve">f mitigation, we </w:t>
      </w:r>
      <w:r w:rsidR="00A0057D">
        <w:t>give the aggravating</w:t>
      </w:r>
      <w:r w:rsidR="004449B1">
        <w:t xml:space="preserve"> evidence more </w:t>
      </w:r>
      <w:r w:rsidR="0012244E">
        <w:t>weigh</w:t>
      </w:r>
      <w:r w:rsidR="004449B1">
        <w:t>t</w:t>
      </w:r>
      <w:r w:rsidR="0012244E">
        <w:t xml:space="preserve"> </w:t>
      </w:r>
      <w:r w:rsidR="00A0057D">
        <w:t>than the hearing judge</w:t>
      </w:r>
      <w:r w:rsidR="002F4B4E">
        <w:t xml:space="preserve"> </w:t>
      </w:r>
      <w:r w:rsidR="00F462D8">
        <w:t>and conclude</w:t>
      </w:r>
      <w:r w:rsidR="002F4B4E">
        <w:t xml:space="preserve"> that</w:t>
      </w:r>
      <w:r w:rsidR="00682AFF">
        <w:t xml:space="preserve"> a period of suspension is warranted under the </w:t>
      </w:r>
      <w:r w:rsidR="00A0057D">
        <w:t xml:space="preserve">applicable </w:t>
      </w:r>
      <w:r w:rsidR="00682AFF">
        <w:t>standards and case law.</w:t>
      </w:r>
    </w:p>
    <w:p w:rsidR="004F3226" w:rsidRDefault="00E90123" w:rsidP="00E90123">
      <w:pPr>
        <w:pStyle w:val="ListParagraph"/>
        <w:jc w:val="center"/>
        <w:rPr>
          <w:b/>
        </w:rPr>
      </w:pPr>
      <w:r>
        <w:rPr>
          <w:b/>
        </w:rPr>
        <w:t xml:space="preserve">I.  </w:t>
      </w:r>
      <w:r w:rsidR="004F3226" w:rsidRPr="004F3226">
        <w:rPr>
          <w:b/>
        </w:rPr>
        <w:t>BACKGROUND</w:t>
      </w:r>
    </w:p>
    <w:p w:rsidR="004F3226" w:rsidRPr="004F3226" w:rsidRDefault="009A5CCD" w:rsidP="009A5CCD">
      <w:pPr>
        <w:pStyle w:val="ListParagraph"/>
        <w:ind w:left="0"/>
        <w:rPr>
          <w:b/>
        </w:rPr>
      </w:pPr>
      <w:r>
        <w:tab/>
      </w:r>
      <w:proofErr w:type="spellStart"/>
      <w:r>
        <w:t>Sprouls</w:t>
      </w:r>
      <w:proofErr w:type="spellEnd"/>
      <w:r>
        <w:t xml:space="preserve"> was admitted to practice law in California in 1993 and has no prior record of discipline.  </w:t>
      </w:r>
      <w:r w:rsidR="002F4B4E">
        <w:t>He</w:t>
      </w:r>
      <w:r>
        <w:t xml:space="preserve"> and a partner built a law practice in downtown San Francisco, primarily handling immigration law matters with a minor focus on criminal law relating to immigration.  </w:t>
      </w:r>
      <w:proofErr w:type="spellStart"/>
      <w:r>
        <w:t>Sprouls</w:t>
      </w:r>
      <w:proofErr w:type="spellEnd"/>
      <w:r>
        <w:t xml:space="preserve"> emphasized appellate work, representing non-U.S. citizens in hundreds of appeals before the Board of Immigration Appeals (BIA) and before the Ninth Circuit.  </w:t>
      </w:r>
    </w:p>
    <w:p w:rsidR="004F3226" w:rsidRDefault="00BA2C7D" w:rsidP="004F3226">
      <w:pPr>
        <w:pStyle w:val="ListParagraph"/>
        <w:numPr>
          <w:ilvl w:val="0"/>
          <w:numId w:val="7"/>
        </w:numPr>
        <w:jc w:val="center"/>
        <w:rPr>
          <w:b/>
        </w:rPr>
      </w:pPr>
      <w:r>
        <w:rPr>
          <w:b/>
        </w:rPr>
        <w:t xml:space="preserve">PROCEEDINGS AND </w:t>
      </w:r>
      <w:r w:rsidR="004F3226">
        <w:rPr>
          <w:b/>
        </w:rPr>
        <w:t>FINDINGS</w:t>
      </w:r>
    </w:p>
    <w:p w:rsidR="00F30D61" w:rsidRDefault="00442EB8" w:rsidP="004F3226">
      <w:pPr>
        <w:pStyle w:val="ListParagraph"/>
        <w:numPr>
          <w:ilvl w:val="0"/>
          <w:numId w:val="9"/>
        </w:numPr>
        <w:rPr>
          <w:b/>
        </w:rPr>
      </w:pPr>
      <w:r>
        <w:rPr>
          <w:b/>
        </w:rPr>
        <w:t xml:space="preserve">The </w:t>
      </w:r>
      <w:r w:rsidR="00034ED2">
        <w:rPr>
          <w:b/>
        </w:rPr>
        <w:t xml:space="preserve">Ninth Circuit Discipline Order </w:t>
      </w:r>
      <w:r w:rsidR="00682AFF">
        <w:rPr>
          <w:b/>
        </w:rPr>
        <w:t>(Case No. 06-J-15200)</w:t>
      </w:r>
    </w:p>
    <w:p w:rsidR="000A4C10" w:rsidRPr="004F3226" w:rsidRDefault="000A4C10" w:rsidP="000A4C10">
      <w:pPr>
        <w:pStyle w:val="ListParagraph"/>
        <w:numPr>
          <w:ilvl w:val="0"/>
          <w:numId w:val="15"/>
        </w:numPr>
        <w:rPr>
          <w:b/>
        </w:rPr>
      </w:pPr>
      <w:r>
        <w:rPr>
          <w:b/>
        </w:rPr>
        <w:t>Proceedings based on reciprocal discipline</w:t>
      </w:r>
    </w:p>
    <w:p w:rsidR="00A0075E" w:rsidRDefault="00682AFF" w:rsidP="00A0075E">
      <w:pPr>
        <w:pStyle w:val="ListParagraph"/>
        <w:ind w:left="0"/>
      </w:pPr>
      <w:r>
        <w:rPr>
          <w:color w:val="000000"/>
          <w:spacing w:val="4"/>
        </w:rPr>
        <w:tab/>
        <w:t xml:space="preserve">In 2005, the Ninth Circuit </w:t>
      </w:r>
      <w:r w:rsidR="00EF6E91">
        <w:rPr>
          <w:color w:val="000000"/>
          <w:spacing w:val="4"/>
        </w:rPr>
        <w:t xml:space="preserve">imposed discipline on </w:t>
      </w:r>
      <w:proofErr w:type="spellStart"/>
      <w:r w:rsidR="00EF6E91">
        <w:rPr>
          <w:color w:val="000000"/>
          <w:spacing w:val="4"/>
        </w:rPr>
        <w:t>Sprouls</w:t>
      </w:r>
      <w:proofErr w:type="spellEnd"/>
      <w:r w:rsidR="00EF6E91">
        <w:rPr>
          <w:color w:val="000000"/>
          <w:spacing w:val="4"/>
        </w:rPr>
        <w:t xml:space="preserve"> for </w:t>
      </w:r>
      <w:r w:rsidR="000B79ED">
        <w:rPr>
          <w:color w:val="000000"/>
          <w:spacing w:val="4"/>
        </w:rPr>
        <w:t xml:space="preserve">his </w:t>
      </w:r>
      <w:r w:rsidR="00EF6E91">
        <w:rPr>
          <w:color w:val="000000"/>
          <w:spacing w:val="4"/>
        </w:rPr>
        <w:t>miscondu</w:t>
      </w:r>
      <w:r w:rsidR="00F462D8">
        <w:rPr>
          <w:color w:val="000000"/>
          <w:spacing w:val="4"/>
        </w:rPr>
        <w:t xml:space="preserve">ct </w:t>
      </w:r>
      <w:r w:rsidR="00552DF1">
        <w:rPr>
          <w:color w:val="000000"/>
          <w:spacing w:val="4"/>
        </w:rPr>
        <w:t xml:space="preserve">in 2003 and 2004 </w:t>
      </w:r>
      <w:r w:rsidR="00EF6E91">
        <w:rPr>
          <w:color w:val="000000"/>
          <w:spacing w:val="4"/>
        </w:rPr>
        <w:t xml:space="preserve">in </w:t>
      </w:r>
      <w:r w:rsidR="00620162">
        <w:rPr>
          <w:color w:val="000000"/>
          <w:spacing w:val="4"/>
        </w:rPr>
        <w:t xml:space="preserve">over </w:t>
      </w:r>
      <w:r w:rsidR="00EF6E91">
        <w:rPr>
          <w:color w:val="000000"/>
          <w:spacing w:val="4"/>
        </w:rPr>
        <w:t>5</w:t>
      </w:r>
      <w:r w:rsidR="00620162">
        <w:rPr>
          <w:color w:val="000000"/>
          <w:spacing w:val="4"/>
        </w:rPr>
        <w:t>0</w:t>
      </w:r>
      <w:r w:rsidR="004F3A28">
        <w:rPr>
          <w:color w:val="000000"/>
          <w:spacing w:val="4"/>
        </w:rPr>
        <w:t xml:space="preserve"> immigration cases.</w:t>
      </w:r>
      <w:r w:rsidR="00EF6E91">
        <w:rPr>
          <w:color w:val="000000"/>
          <w:spacing w:val="4"/>
        </w:rPr>
        <w:t xml:space="preserve">  </w:t>
      </w:r>
      <w:r w:rsidR="00B057F0">
        <w:rPr>
          <w:color w:val="000000"/>
          <w:spacing w:val="4"/>
        </w:rPr>
        <w:t>Its</w:t>
      </w:r>
      <w:r>
        <w:rPr>
          <w:color w:val="000000"/>
          <w:spacing w:val="4"/>
        </w:rPr>
        <w:t xml:space="preserve"> discipline </w:t>
      </w:r>
      <w:r w:rsidR="00442EB8">
        <w:rPr>
          <w:color w:val="000000"/>
          <w:spacing w:val="4"/>
        </w:rPr>
        <w:t xml:space="preserve">order </w:t>
      </w:r>
      <w:r>
        <w:t>is “conclusive evidence that [</w:t>
      </w:r>
      <w:proofErr w:type="spellStart"/>
      <w:r>
        <w:t>Sprouls</w:t>
      </w:r>
      <w:proofErr w:type="spellEnd"/>
      <w:r>
        <w:t xml:space="preserve">] is culpable of professional misconduct in this state.”  </w:t>
      </w:r>
      <w:r w:rsidRPr="00F15D36">
        <w:rPr>
          <w:color w:val="000000"/>
          <w:spacing w:val="4"/>
        </w:rPr>
        <w:t>(</w:t>
      </w:r>
      <w:r>
        <w:rPr>
          <w:color w:val="000000"/>
          <w:spacing w:val="4"/>
        </w:rPr>
        <w:t xml:space="preserve">Bus. &amp; Prof. Code, </w:t>
      </w:r>
      <w:r w:rsidRPr="00F15D36">
        <w:rPr>
          <w:color w:val="000000"/>
          <w:spacing w:val="4"/>
        </w:rPr>
        <w:t xml:space="preserve">§ 6049.1, </w:t>
      </w:r>
      <w:proofErr w:type="spellStart"/>
      <w:r w:rsidRPr="00F15D36">
        <w:rPr>
          <w:color w:val="000000"/>
          <w:spacing w:val="4"/>
        </w:rPr>
        <w:t>subd</w:t>
      </w:r>
      <w:proofErr w:type="spellEnd"/>
      <w:r w:rsidRPr="00F15D36">
        <w:rPr>
          <w:color w:val="000000"/>
          <w:spacing w:val="4"/>
        </w:rPr>
        <w:t>. (a).</w:t>
      </w:r>
      <w:r w:rsidR="002F4B4E">
        <w:rPr>
          <w:color w:val="000000"/>
          <w:spacing w:val="4"/>
        </w:rPr>
        <w:t>)</w:t>
      </w:r>
      <w:r w:rsidR="00534A70">
        <w:rPr>
          <w:rStyle w:val="FootnoteReference"/>
          <w:color w:val="000000"/>
          <w:spacing w:val="4"/>
        </w:rPr>
        <w:footnoteReference w:id="2"/>
      </w:r>
      <w:r>
        <w:t xml:space="preserve">  The only issues to address in a proceeding based on discipline from another jurisdiction are:</w:t>
      </w:r>
      <w:r w:rsidR="00442EB8">
        <w:t xml:space="preserve">  </w:t>
      </w:r>
      <w:r>
        <w:t>(1) whether the member’s culpability in the other jurisdiction warrants</w:t>
      </w:r>
      <w:r w:rsidR="00552DF1">
        <w:t xml:space="preserve"> imposing</w:t>
      </w:r>
      <w:r>
        <w:t xml:space="preserve"> discipline in California under the laws or rules applicable in California at the time the member committed the misconduct; (2) whether the proceeding in the other jurisdiction lacked fundamental constitutional protection; and (3) the degree of discipline to be imposed in </w:t>
      </w:r>
      <w:r>
        <w:lastRenderedPageBreak/>
        <w:t xml:space="preserve">California.  (§ 6049.1, </w:t>
      </w:r>
      <w:proofErr w:type="spellStart"/>
      <w:r>
        <w:t>subd</w:t>
      </w:r>
      <w:proofErr w:type="spellEnd"/>
      <w:r>
        <w:t xml:space="preserve">. (b).)  </w:t>
      </w:r>
      <w:r w:rsidR="00481083">
        <w:t>The burden is on the member to establish that the issues in subsections (1) and (2) do no</w:t>
      </w:r>
      <w:r w:rsidR="002F4B4E">
        <w:t>t</w:t>
      </w:r>
      <w:r w:rsidR="00481083">
        <w:t xml:space="preserve"> warrant discipline.  (</w:t>
      </w:r>
      <w:r w:rsidR="00481083" w:rsidRPr="008A1CD9">
        <w:rPr>
          <w:i/>
        </w:rPr>
        <w:t>Ibid</w:t>
      </w:r>
      <w:r w:rsidR="00481083">
        <w:t xml:space="preserve">.)  </w:t>
      </w:r>
      <w:proofErr w:type="spellStart"/>
      <w:r w:rsidR="000A4C10">
        <w:t>Sprouls</w:t>
      </w:r>
      <w:proofErr w:type="spellEnd"/>
      <w:r w:rsidR="000A4C10">
        <w:t xml:space="preserve"> </w:t>
      </w:r>
      <w:r w:rsidR="00620162">
        <w:t>has</w:t>
      </w:r>
      <w:r w:rsidR="00F41B68">
        <w:t xml:space="preserve"> not dispute</w:t>
      </w:r>
      <w:r w:rsidR="00620162">
        <w:t>d</w:t>
      </w:r>
      <w:r w:rsidR="00F41B68">
        <w:t xml:space="preserve"> the </w:t>
      </w:r>
      <w:r w:rsidR="002F4B4E">
        <w:t xml:space="preserve">culpability </w:t>
      </w:r>
      <w:r w:rsidR="00F41B68">
        <w:t>finding</w:t>
      </w:r>
      <w:r w:rsidR="002272A4">
        <w:t>s</w:t>
      </w:r>
      <w:r w:rsidR="00F41B68">
        <w:t xml:space="preserve"> </w:t>
      </w:r>
      <w:r w:rsidR="00534A70">
        <w:t>or</w:t>
      </w:r>
      <w:r w:rsidR="00F41B68">
        <w:t xml:space="preserve"> the fundamental fairness of the </w:t>
      </w:r>
      <w:r w:rsidR="002F4B4E">
        <w:t xml:space="preserve">Ninth Circuit </w:t>
      </w:r>
      <w:r w:rsidR="00F41B68">
        <w:t>proceedings</w:t>
      </w:r>
      <w:r w:rsidR="00534A70">
        <w:t xml:space="preserve">, and </w:t>
      </w:r>
      <w:r w:rsidR="00620162">
        <w:t xml:space="preserve">thus, the </w:t>
      </w:r>
      <w:r w:rsidR="00534A70">
        <w:t xml:space="preserve">only issue </w:t>
      </w:r>
      <w:r w:rsidR="00552DF1">
        <w:t xml:space="preserve">before us </w:t>
      </w:r>
      <w:r>
        <w:t>is the degree of discipline.</w:t>
      </w:r>
      <w:r w:rsidR="00A0075E">
        <w:tab/>
      </w:r>
    </w:p>
    <w:p w:rsidR="00EF6E91" w:rsidRPr="00A0075E" w:rsidRDefault="00A0075E" w:rsidP="00A0075E">
      <w:pPr>
        <w:pStyle w:val="ListParagraph"/>
        <w:ind w:left="0"/>
      </w:pPr>
      <w:r>
        <w:tab/>
      </w:r>
      <w:r w:rsidR="00EF6E91" w:rsidRPr="00A0075E">
        <w:t xml:space="preserve">With slight modifications, the hearing judge adopted the findings and culpability determinations of the Ninth Circuit.  </w:t>
      </w:r>
      <w:r w:rsidR="00534A70" w:rsidRPr="00A0075E">
        <w:t>In sum</w:t>
      </w:r>
      <w:r w:rsidR="00313B44" w:rsidRPr="00A0075E">
        <w:t>mary</w:t>
      </w:r>
      <w:r w:rsidR="00534A70" w:rsidRPr="00A0075E">
        <w:t xml:space="preserve">, the hearing judge found </w:t>
      </w:r>
      <w:proofErr w:type="spellStart"/>
      <w:r w:rsidR="00313B44" w:rsidRPr="00A0075E">
        <w:t>Sprouls</w:t>
      </w:r>
      <w:proofErr w:type="spellEnd"/>
      <w:r w:rsidR="00313B44" w:rsidRPr="00A0075E">
        <w:t xml:space="preserve"> culpable of </w:t>
      </w:r>
      <w:r w:rsidR="00534A70" w:rsidRPr="00A0075E">
        <w:t>5</w:t>
      </w:r>
      <w:r w:rsidR="00620162" w:rsidRPr="00A0075E">
        <w:t>1</w:t>
      </w:r>
      <w:r w:rsidR="00534A70" w:rsidRPr="00A0075E">
        <w:t xml:space="preserve"> </w:t>
      </w:r>
      <w:r w:rsidR="002272A4" w:rsidRPr="00A0075E">
        <w:t xml:space="preserve">separate </w:t>
      </w:r>
      <w:r w:rsidR="00534A70" w:rsidRPr="00A0075E">
        <w:t>acts of misconduct</w:t>
      </w:r>
      <w:r w:rsidR="00313B44" w:rsidRPr="00A0075E">
        <w:t>:</w:t>
      </w:r>
      <w:r w:rsidR="00BA2C7D" w:rsidRPr="00A0075E">
        <w:rPr>
          <w:vertAlign w:val="superscript"/>
        </w:rPr>
        <w:footnoteReference w:id="3"/>
      </w:r>
      <w:r w:rsidR="00313B44" w:rsidRPr="00A0075E">
        <w:t xml:space="preserve">  48 violations of rule 3-110(A)</w:t>
      </w:r>
      <w:r w:rsidR="002272A4" w:rsidRPr="00A0075E">
        <w:t xml:space="preserve"> of the Rules of Professional Conduct,</w:t>
      </w:r>
      <w:r w:rsidR="002272A4" w:rsidRPr="00A0075E">
        <w:rPr>
          <w:vertAlign w:val="superscript"/>
        </w:rPr>
        <w:footnoteReference w:id="4"/>
      </w:r>
      <w:r w:rsidR="002272A4" w:rsidRPr="00A0075E">
        <w:t xml:space="preserve"> </w:t>
      </w:r>
      <w:r w:rsidR="002F4B4E" w:rsidRPr="00A0075E">
        <w:t>two</w:t>
      </w:r>
      <w:r w:rsidR="00313B44" w:rsidRPr="00A0075E">
        <w:t xml:space="preserve"> violations of section 6068</w:t>
      </w:r>
      <w:r w:rsidR="002272A4" w:rsidRPr="00A0075E">
        <w:t xml:space="preserve">, subdivision </w:t>
      </w:r>
      <w:r w:rsidR="006B3AB6">
        <w:t>(c</w:t>
      </w:r>
      <w:r w:rsidR="002F4B4E" w:rsidRPr="00A0075E">
        <w:t>), and one</w:t>
      </w:r>
      <w:r w:rsidR="00313B44" w:rsidRPr="00A0075E">
        <w:t xml:space="preserve"> violation of</w:t>
      </w:r>
      <w:r w:rsidR="00805E03" w:rsidRPr="00A0075E">
        <w:t xml:space="preserve"> </w:t>
      </w:r>
      <w:r w:rsidR="00313B44" w:rsidRPr="00A0075E">
        <w:t>rule 3-200(B)</w:t>
      </w:r>
      <w:r w:rsidR="00BA2C7D" w:rsidRPr="00A0075E">
        <w:t>.  T</w:t>
      </w:r>
      <w:r w:rsidR="00534A70" w:rsidRPr="00A0075E">
        <w:t xml:space="preserve">he State Bar </w:t>
      </w:r>
      <w:r w:rsidR="00620162" w:rsidRPr="00A0075E">
        <w:t>does not challenge the</w:t>
      </w:r>
      <w:r w:rsidR="00A0096B" w:rsidRPr="00A0075E">
        <w:t>se</w:t>
      </w:r>
      <w:r w:rsidR="00620162" w:rsidRPr="00A0075E">
        <w:t xml:space="preserve"> </w:t>
      </w:r>
      <w:r w:rsidR="00534A70" w:rsidRPr="00A0075E">
        <w:t>culpability determinations</w:t>
      </w:r>
      <w:r w:rsidR="00BA2C7D" w:rsidRPr="00A0075E">
        <w:t xml:space="preserve"> on review</w:t>
      </w:r>
      <w:r w:rsidR="000B79ED" w:rsidRPr="00A0075E">
        <w:t xml:space="preserve">, but argues </w:t>
      </w:r>
      <w:r w:rsidR="002272A4" w:rsidRPr="00A0075E">
        <w:t xml:space="preserve">that we should also find </w:t>
      </w:r>
      <w:proofErr w:type="spellStart"/>
      <w:r w:rsidR="002272A4" w:rsidRPr="00A0075E">
        <w:t>Sprouls</w:t>
      </w:r>
      <w:proofErr w:type="spellEnd"/>
      <w:r w:rsidR="002272A4" w:rsidRPr="00A0075E">
        <w:t xml:space="preserve"> culpable of a pattern of misconduct in violation of section 6106.  </w:t>
      </w:r>
      <w:r w:rsidR="000B79ED" w:rsidRPr="00A0075E">
        <w:t xml:space="preserve">As discussed below, </w:t>
      </w:r>
      <w:r w:rsidR="002272A4" w:rsidRPr="00A0075E">
        <w:t>we d</w:t>
      </w:r>
      <w:r w:rsidR="00552DF1">
        <w:t>o not</w:t>
      </w:r>
      <w:r w:rsidR="002272A4" w:rsidRPr="00A0075E">
        <w:t xml:space="preserve"> find a violation of section 6106</w:t>
      </w:r>
      <w:r w:rsidR="00552DF1">
        <w:t>, but we</w:t>
      </w:r>
      <w:r w:rsidR="00B05A26" w:rsidRPr="00A0075E">
        <w:t xml:space="preserve"> consider </w:t>
      </w:r>
      <w:proofErr w:type="spellStart"/>
      <w:r w:rsidR="00AC7B3F">
        <w:t>Sprouls’s</w:t>
      </w:r>
      <w:proofErr w:type="spellEnd"/>
      <w:r w:rsidR="00B05A26" w:rsidRPr="00A0075E">
        <w:t xml:space="preserve"> pattern of misconduct as an aggravating factor.  Based upon our independent review, we </w:t>
      </w:r>
      <w:r w:rsidR="00EF6E91" w:rsidRPr="00A0075E">
        <w:t xml:space="preserve">adopt the findings of the </w:t>
      </w:r>
      <w:r w:rsidR="00534A70" w:rsidRPr="00A0075E">
        <w:t>hearing department</w:t>
      </w:r>
      <w:r w:rsidR="00EF6E91" w:rsidRPr="00A0075E">
        <w:t xml:space="preserve"> </w:t>
      </w:r>
      <w:r w:rsidR="00B05A26" w:rsidRPr="00A0075E">
        <w:t xml:space="preserve">and </w:t>
      </w:r>
      <w:r w:rsidR="00EF6E91" w:rsidRPr="00A0075E">
        <w:t>summarize</w:t>
      </w:r>
      <w:r w:rsidR="00B05A26" w:rsidRPr="00A0075E">
        <w:t xml:space="preserve"> them</w:t>
      </w:r>
      <w:r w:rsidR="00EF6E91" w:rsidRPr="00A0075E">
        <w:t xml:space="preserve"> below.</w:t>
      </w:r>
    </w:p>
    <w:p w:rsidR="000A4C10" w:rsidRPr="000A4C10" w:rsidRDefault="000A4C10" w:rsidP="000B79ED">
      <w:pPr>
        <w:pStyle w:val="ListParagraph"/>
        <w:numPr>
          <w:ilvl w:val="0"/>
          <w:numId w:val="15"/>
        </w:numPr>
        <w:rPr>
          <w:b/>
        </w:rPr>
      </w:pPr>
      <w:r w:rsidRPr="000A4C10">
        <w:rPr>
          <w:b/>
        </w:rPr>
        <w:t>Findings of Fact</w:t>
      </w:r>
      <w:r w:rsidR="00034ED2">
        <w:rPr>
          <w:b/>
        </w:rPr>
        <w:t xml:space="preserve"> and Conclusions of Law</w:t>
      </w:r>
    </w:p>
    <w:p w:rsidR="00967082" w:rsidRPr="00967082" w:rsidRDefault="00967082" w:rsidP="000B79ED">
      <w:pPr>
        <w:pStyle w:val="ListParagraph"/>
        <w:ind w:left="0"/>
        <w:rPr>
          <w:color w:val="000000"/>
          <w:spacing w:val="-3"/>
        </w:rPr>
      </w:pPr>
      <w:r>
        <w:tab/>
        <w:t xml:space="preserve">In April 2005, </w:t>
      </w:r>
      <w:r w:rsidRPr="00967082">
        <w:rPr>
          <w:color w:val="000000"/>
          <w:spacing w:val="-3"/>
        </w:rPr>
        <w:t>a three-judge panel of the Ninth Circuit filed an order to show cause (</w:t>
      </w:r>
      <w:proofErr w:type="spellStart"/>
      <w:r w:rsidRPr="00967082">
        <w:rPr>
          <w:color w:val="000000"/>
          <w:spacing w:val="-3"/>
        </w:rPr>
        <w:t>OSC</w:t>
      </w:r>
      <w:proofErr w:type="spellEnd"/>
      <w:r w:rsidRPr="00967082">
        <w:rPr>
          <w:color w:val="000000"/>
          <w:spacing w:val="-3"/>
        </w:rPr>
        <w:t xml:space="preserve">) directing </w:t>
      </w:r>
      <w:proofErr w:type="spellStart"/>
      <w:r w:rsidRPr="00967082">
        <w:rPr>
          <w:color w:val="000000"/>
          <w:spacing w:val="-3"/>
        </w:rPr>
        <w:t>Sproul</w:t>
      </w:r>
      <w:r w:rsidR="00792FD9">
        <w:rPr>
          <w:color w:val="000000"/>
          <w:spacing w:val="-3"/>
        </w:rPr>
        <w:t>s</w:t>
      </w:r>
      <w:proofErr w:type="spellEnd"/>
      <w:r w:rsidRPr="00967082">
        <w:rPr>
          <w:color w:val="000000"/>
          <w:spacing w:val="-3"/>
        </w:rPr>
        <w:t xml:space="preserve"> to show why he should not be suspended, disbarred, or otherwise disciplined for conduct unbecoming a member of the Ninth Circuit’s Bar.  The </w:t>
      </w:r>
      <w:proofErr w:type="spellStart"/>
      <w:r w:rsidRPr="00967082">
        <w:rPr>
          <w:color w:val="000000"/>
          <w:spacing w:val="-3"/>
        </w:rPr>
        <w:t>OSC</w:t>
      </w:r>
      <w:proofErr w:type="spellEnd"/>
      <w:r w:rsidRPr="00967082">
        <w:rPr>
          <w:color w:val="000000"/>
          <w:spacing w:val="-3"/>
        </w:rPr>
        <w:t xml:space="preserve"> </w:t>
      </w:r>
      <w:r w:rsidR="00313B44">
        <w:rPr>
          <w:color w:val="000000"/>
          <w:spacing w:val="-3"/>
        </w:rPr>
        <w:t xml:space="preserve">referenced </w:t>
      </w:r>
      <w:r w:rsidRPr="00967082">
        <w:rPr>
          <w:color w:val="000000"/>
          <w:spacing w:val="-3"/>
        </w:rPr>
        <w:t xml:space="preserve">75 acts of misconduct in 65 different cases.  The panel referred the matter to an appellate commissioner (Commissioner) for a hearing, report and recommendation. </w:t>
      </w:r>
    </w:p>
    <w:p w:rsidR="002D1CE4" w:rsidRDefault="00303ED1" w:rsidP="00303ED1">
      <w:pPr>
        <w:ind w:firstLine="720"/>
        <w:rPr>
          <w:color w:val="000000"/>
          <w:spacing w:val="4"/>
        </w:rPr>
      </w:pPr>
      <w:proofErr w:type="spellStart"/>
      <w:r w:rsidRPr="00967082">
        <w:rPr>
          <w:color w:val="000000"/>
          <w:spacing w:val="-3"/>
        </w:rPr>
        <w:lastRenderedPageBreak/>
        <w:t>Sproul</w:t>
      </w:r>
      <w:r w:rsidR="003B1DC7">
        <w:rPr>
          <w:color w:val="000000"/>
          <w:spacing w:val="-3"/>
        </w:rPr>
        <w:t>s</w:t>
      </w:r>
      <w:proofErr w:type="spellEnd"/>
      <w:r w:rsidRPr="00967082">
        <w:rPr>
          <w:color w:val="000000"/>
          <w:spacing w:val="-3"/>
        </w:rPr>
        <w:t xml:space="preserve"> </w:t>
      </w:r>
      <w:r w:rsidR="00481083">
        <w:rPr>
          <w:color w:val="000000"/>
          <w:spacing w:val="-3"/>
        </w:rPr>
        <w:t>acknowledged</w:t>
      </w:r>
      <w:r w:rsidRPr="00967082">
        <w:rPr>
          <w:color w:val="000000"/>
          <w:spacing w:val="-3"/>
        </w:rPr>
        <w:t xml:space="preserve"> at the hearing before the Commissioner that he had made </w:t>
      </w:r>
      <w:r w:rsidR="00651541">
        <w:rPr>
          <w:color w:val="000000"/>
          <w:spacing w:val="-3"/>
        </w:rPr>
        <w:t>calen</w:t>
      </w:r>
      <w:r w:rsidRPr="00967082">
        <w:rPr>
          <w:color w:val="000000"/>
          <w:spacing w:val="-3"/>
        </w:rPr>
        <w:t xml:space="preserve">daring errors in the cases identified in the </w:t>
      </w:r>
      <w:proofErr w:type="spellStart"/>
      <w:r w:rsidRPr="00967082">
        <w:rPr>
          <w:color w:val="000000"/>
          <w:spacing w:val="-3"/>
        </w:rPr>
        <w:t>OSC</w:t>
      </w:r>
      <w:proofErr w:type="spellEnd"/>
      <w:r w:rsidRPr="00967082">
        <w:rPr>
          <w:color w:val="000000"/>
          <w:spacing w:val="-3"/>
        </w:rPr>
        <w:t xml:space="preserve">.  </w:t>
      </w:r>
      <w:r w:rsidR="002F4B4E">
        <w:rPr>
          <w:color w:val="000000"/>
          <w:spacing w:val="-3"/>
        </w:rPr>
        <w:t>He</w:t>
      </w:r>
      <w:r w:rsidR="00552DF1">
        <w:rPr>
          <w:color w:val="000000"/>
          <w:spacing w:val="4"/>
        </w:rPr>
        <w:t xml:space="preserve"> attributed his </w:t>
      </w:r>
      <w:r w:rsidRPr="00967082">
        <w:rPr>
          <w:color w:val="000000"/>
          <w:spacing w:val="4"/>
        </w:rPr>
        <w:t xml:space="preserve">errors to </w:t>
      </w:r>
      <w:r w:rsidR="00552DF1">
        <w:rPr>
          <w:color w:val="000000"/>
          <w:spacing w:val="4"/>
        </w:rPr>
        <w:t>“</w:t>
      </w:r>
      <w:r w:rsidRPr="00967082">
        <w:rPr>
          <w:color w:val="000000"/>
          <w:spacing w:val="4"/>
        </w:rPr>
        <w:t>an unprecedented influx of cases in his office due to the Executive Office for Immigration Review’s (</w:t>
      </w:r>
      <w:proofErr w:type="spellStart"/>
      <w:r w:rsidRPr="00967082">
        <w:rPr>
          <w:color w:val="000000"/>
          <w:spacing w:val="4"/>
        </w:rPr>
        <w:t>EOIR</w:t>
      </w:r>
      <w:proofErr w:type="spellEnd"/>
      <w:r w:rsidRPr="00967082">
        <w:rPr>
          <w:color w:val="000000"/>
          <w:spacing w:val="4"/>
        </w:rPr>
        <w:t>) pilot program in the San Francisco immigration</w:t>
      </w:r>
      <w:r w:rsidR="00552DF1">
        <w:rPr>
          <w:color w:val="000000"/>
          <w:spacing w:val="4"/>
        </w:rPr>
        <w:t xml:space="preserve"> court during 2003 and 2004.”  T</w:t>
      </w:r>
      <w:r w:rsidRPr="00967082">
        <w:rPr>
          <w:color w:val="000000"/>
          <w:spacing w:val="4"/>
        </w:rPr>
        <w:t xml:space="preserve">he Commissioner found that “The [pilot] program resulted in a tide of decisions from the [BIA] that were ripe for review by [the Ninth Circuit].  The effect on </w:t>
      </w:r>
      <w:proofErr w:type="spellStart"/>
      <w:r w:rsidR="00AC7B3F">
        <w:rPr>
          <w:color w:val="000000"/>
          <w:spacing w:val="4"/>
        </w:rPr>
        <w:t>Sprouls’s</w:t>
      </w:r>
      <w:proofErr w:type="spellEnd"/>
      <w:r w:rsidRPr="00967082">
        <w:rPr>
          <w:color w:val="000000"/>
          <w:spacing w:val="4"/>
        </w:rPr>
        <w:t xml:space="preserve"> firm was overwhelming, and led to numerous calendaring and ministerial lapses in the cases [identified in the </w:t>
      </w:r>
      <w:proofErr w:type="spellStart"/>
      <w:r w:rsidRPr="00967082">
        <w:rPr>
          <w:color w:val="000000"/>
          <w:spacing w:val="4"/>
        </w:rPr>
        <w:t>OSC</w:t>
      </w:r>
      <w:proofErr w:type="spellEnd"/>
      <w:r w:rsidRPr="00967082">
        <w:rPr>
          <w:color w:val="000000"/>
          <w:spacing w:val="4"/>
        </w:rPr>
        <w:t>].”</w:t>
      </w:r>
      <w:r>
        <w:rPr>
          <w:color w:val="000000"/>
          <w:spacing w:val="4"/>
        </w:rPr>
        <w:t xml:space="preserve">  </w:t>
      </w:r>
      <w:r w:rsidR="00967082" w:rsidRPr="00967082">
        <w:rPr>
          <w:color w:val="000000"/>
          <w:spacing w:val="4"/>
        </w:rPr>
        <w:t xml:space="preserve">Relying on the California Rules of Professional Conduct and the State Bar Act, </w:t>
      </w:r>
      <w:r w:rsidR="00967082">
        <w:t xml:space="preserve">the Commissioner found </w:t>
      </w:r>
      <w:proofErr w:type="spellStart"/>
      <w:r w:rsidR="00967082">
        <w:t>Sprouls</w:t>
      </w:r>
      <w:proofErr w:type="spellEnd"/>
      <w:r w:rsidR="00967082">
        <w:t xml:space="preserve"> culpabl</w:t>
      </w:r>
      <w:r w:rsidR="00313B44">
        <w:t>e of over 60 different acts of professional misconduct</w:t>
      </w:r>
      <w:r w:rsidR="00967082">
        <w:t>.</w:t>
      </w:r>
      <w:r w:rsidR="00967082" w:rsidRPr="00967082">
        <w:rPr>
          <w:color w:val="000000"/>
          <w:spacing w:val="4"/>
        </w:rPr>
        <w:t xml:space="preserve">  </w:t>
      </w:r>
      <w:r w:rsidR="002D1CE4">
        <w:rPr>
          <w:color w:val="000000"/>
          <w:spacing w:val="4"/>
        </w:rPr>
        <w:t xml:space="preserve">Ultimately, the Commissioner </w:t>
      </w:r>
      <w:r w:rsidR="00651541">
        <w:rPr>
          <w:color w:val="000000"/>
          <w:spacing w:val="4"/>
        </w:rPr>
        <w:t>concluded</w:t>
      </w:r>
      <w:r w:rsidR="002D1CE4">
        <w:rPr>
          <w:color w:val="000000"/>
          <w:spacing w:val="4"/>
        </w:rPr>
        <w:t xml:space="preserve"> that “the mitigating circumstances weigh against a period of suspension, which would not benefit the [Ninth Circuit] or </w:t>
      </w:r>
      <w:proofErr w:type="spellStart"/>
      <w:r w:rsidR="00AC7B3F">
        <w:rPr>
          <w:color w:val="000000"/>
          <w:spacing w:val="4"/>
        </w:rPr>
        <w:t>Sprouls’s</w:t>
      </w:r>
      <w:proofErr w:type="spellEnd"/>
      <w:r w:rsidR="002D1CE4">
        <w:rPr>
          <w:color w:val="000000"/>
          <w:spacing w:val="4"/>
        </w:rPr>
        <w:t xml:space="preserve"> current clients.”  The Commissioner recommended that </w:t>
      </w:r>
      <w:proofErr w:type="spellStart"/>
      <w:r w:rsidR="002D1CE4">
        <w:rPr>
          <w:color w:val="000000"/>
          <w:spacing w:val="4"/>
        </w:rPr>
        <w:t>Sprouls</w:t>
      </w:r>
      <w:proofErr w:type="spellEnd"/>
      <w:r w:rsidR="002D1CE4">
        <w:rPr>
          <w:color w:val="000000"/>
          <w:spacing w:val="4"/>
        </w:rPr>
        <w:t xml:space="preserve"> be placed on 12 months’ probation with no suspension.  </w:t>
      </w:r>
      <w:r w:rsidR="002D1CE4" w:rsidRPr="00967082">
        <w:rPr>
          <w:color w:val="000000"/>
          <w:spacing w:val="4"/>
        </w:rPr>
        <w:t>The Commissioner’s</w:t>
      </w:r>
      <w:r w:rsidR="002D1CE4">
        <w:t xml:space="preserve"> decision and recommendation was filed August 22, 2005, and adopted by the Ninth Circuit on September 23, 2005.</w:t>
      </w:r>
    </w:p>
    <w:p w:rsidR="00176B5E" w:rsidRDefault="002D1CE4" w:rsidP="00176B5E">
      <w:pPr>
        <w:pStyle w:val="ListParagraph"/>
        <w:ind w:left="0"/>
        <w:rPr>
          <w:color w:val="000000"/>
          <w:spacing w:val="-3"/>
        </w:rPr>
      </w:pPr>
      <w:r>
        <w:tab/>
      </w:r>
      <w:proofErr w:type="spellStart"/>
      <w:r w:rsidR="00AC7B3F">
        <w:rPr>
          <w:color w:val="000000"/>
          <w:spacing w:val="-3"/>
        </w:rPr>
        <w:t>Sprouls’s</w:t>
      </w:r>
      <w:proofErr w:type="spellEnd"/>
      <w:r w:rsidR="00872A9E">
        <w:rPr>
          <w:color w:val="000000"/>
          <w:spacing w:val="-3"/>
        </w:rPr>
        <w:t xml:space="preserve"> misconduct is </w:t>
      </w:r>
      <w:r w:rsidR="00303ED1">
        <w:rPr>
          <w:color w:val="000000"/>
          <w:spacing w:val="-3"/>
        </w:rPr>
        <w:t xml:space="preserve">divided </w:t>
      </w:r>
      <w:r w:rsidR="002F1290" w:rsidRPr="00967082">
        <w:rPr>
          <w:color w:val="000000"/>
          <w:spacing w:val="-3"/>
        </w:rPr>
        <w:t>in</w:t>
      </w:r>
      <w:r w:rsidR="00303ED1">
        <w:rPr>
          <w:color w:val="000000"/>
          <w:spacing w:val="-3"/>
        </w:rPr>
        <w:t>to</w:t>
      </w:r>
      <w:r w:rsidR="002F1290" w:rsidRPr="00967082">
        <w:rPr>
          <w:color w:val="000000"/>
          <w:spacing w:val="-3"/>
        </w:rPr>
        <w:t xml:space="preserve"> four </w:t>
      </w:r>
      <w:r w:rsidR="00872A9E">
        <w:rPr>
          <w:color w:val="000000"/>
          <w:spacing w:val="-3"/>
        </w:rPr>
        <w:t xml:space="preserve">general </w:t>
      </w:r>
      <w:r w:rsidR="00EC6888">
        <w:rPr>
          <w:color w:val="000000"/>
          <w:spacing w:val="-3"/>
        </w:rPr>
        <w:t>categories:  (a)</w:t>
      </w:r>
      <w:r w:rsidR="002F1290" w:rsidRPr="00967082">
        <w:rPr>
          <w:color w:val="000000"/>
          <w:spacing w:val="-3"/>
        </w:rPr>
        <w:t xml:space="preserve"> </w:t>
      </w:r>
      <w:r w:rsidR="00552DF1">
        <w:rPr>
          <w:color w:val="000000"/>
          <w:spacing w:val="-3"/>
        </w:rPr>
        <w:t xml:space="preserve">petitions for review that </w:t>
      </w:r>
      <w:r w:rsidR="007C7600">
        <w:rPr>
          <w:color w:val="000000"/>
          <w:spacing w:val="-3"/>
        </w:rPr>
        <w:t>w</w:t>
      </w:r>
      <w:r w:rsidR="002F1290" w:rsidRPr="00967082">
        <w:rPr>
          <w:color w:val="000000"/>
          <w:spacing w:val="-3"/>
        </w:rPr>
        <w:t>ere dismissed for lack of jurisdicti</w:t>
      </w:r>
      <w:r w:rsidR="00EC6888">
        <w:rPr>
          <w:color w:val="000000"/>
          <w:spacing w:val="-3"/>
        </w:rPr>
        <w:t>on or summarily denied; (b</w:t>
      </w:r>
      <w:r w:rsidR="00552DF1">
        <w:rPr>
          <w:color w:val="000000"/>
          <w:spacing w:val="-3"/>
        </w:rPr>
        <w:t xml:space="preserve">) </w:t>
      </w:r>
      <w:r w:rsidR="002F1290" w:rsidRPr="00967082">
        <w:rPr>
          <w:color w:val="000000"/>
          <w:spacing w:val="-3"/>
        </w:rPr>
        <w:t xml:space="preserve">petitions for review </w:t>
      </w:r>
      <w:r w:rsidR="00552DF1">
        <w:rPr>
          <w:color w:val="000000"/>
          <w:spacing w:val="-3"/>
        </w:rPr>
        <w:t xml:space="preserve">that </w:t>
      </w:r>
      <w:r w:rsidR="002F1290" w:rsidRPr="00967082">
        <w:rPr>
          <w:color w:val="000000"/>
          <w:spacing w:val="-3"/>
        </w:rPr>
        <w:t>were dismis</w:t>
      </w:r>
      <w:r w:rsidR="00EC6888">
        <w:rPr>
          <w:color w:val="000000"/>
          <w:spacing w:val="-3"/>
        </w:rPr>
        <w:t>sed for failure to prosecute; (c</w:t>
      </w:r>
      <w:r w:rsidR="002F1290" w:rsidRPr="00967082">
        <w:rPr>
          <w:color w:val="000000"/>
          <w:spacing w:val="-3"/>
        </w:rPr>
        <w:t xml:space="preserve">) opening briefs </w:t>
      </w:r>
      <w:r w:rsidR="00552DF1">
        <w:rPr>
          <w:color w:val="000000"/>
          <w:spacing w:val="-3"/>
        </w:rPr>
        <w:t xml:space="preserve">that </w:t>
      </w:r>
      <w:r w:rsidR="00EC6888">
        <w:rPr>
          <w:color w:val="000000"/>
          <w:spacing w:val="-3"/>
        </w:rPr>
        <w:t>were filed late; and (d</w:t>
      </w:r>
      <w:r w:rsidR="002F1290" w:rsidRPr="00967082">
        <w:rPr>
          <w:color w:val="000000"/>
          <w:spacing w:val="-3"/>
        </w:rPr>
        <w:t>) performance</w:t>
      </w:r>
      <w:r w:rsidR="00552DF1">
        <w:rPr>
          <w:color w:val="000000"/>
          <w:spacing w:val="-3"/>
        </w:rPr>
        <w:t xml:space="preserve"> that</w:t>
      </w:r>
      <w:r w:rsidR="002F1290" w:rsidRPr="00967082">
        <w:rPr>
          <w:color w:val="000000"/>
          <w:spacing w:val="-3"/>
        </w:rPr>
        <w:t xml:space="preserve"> was lacking for </w:t>
      </w:r>
      <w:r w:rsidR="00872A9E">
        <w:rPr>
          <w:color w:val="000000"/>
          <w:spacing w:val="-3"/>
        </w:rPr>
        <w:t xml:space="preserve">other </w:t>
      </w:r>
      <w:r w:rsidR="002F1290" w:rsidRPr="00967082">
        <w:rPr>
          <w:color w:val="000000"/>
          <w:spacing w:val="-3"/>
        </w:rPr>
        <w:t>reasons.</w:t>
      </w:r>
    </w:p>
    <w:p w:rsidR="00552DF1" w:rsidRPr="00176B5E" w:rsidRDefault="00385081" w:rsidP="00176B5E">
      <w:pPr>
        <w:pStyle w:val="ListParagraph"/>
        <w:numPr>
          <w:ilvl w:val="0"/>
          <w:numId w:val="27"/>
        </w:numPr>
        <w:spacing w:line="240" w:lineRule="auto"/>
        <w:rPr>
          <w:color w:val="000000"/>
          <w:spacing w:val="-3"/>
        </w:rPr>
      </w:pPr>
      <w:r w:rsidRPr="00306002">
        <w:rPr>
          <w:b/>
        </w:rPr>
        <w:t xml:space="preserve">Petitions </w:t>
      </w:r>
      <w:r w:rsidR="008730ED" w:rsidRPr="00306002">
        <w:rPr>
          <w:b/>
        </w:rPr>
        <w:t>for Revie</w:t>
      </w:r>
      <w:r w:rsidR="00552DF1">
        <w:rPr>
          <w:b/>
        </w:rPr>
        <w:t>w Summarily Denied or Dismissed</w:t>
      </w:r>
    </w:p>
    <w:p w:rsidR="00FA5A46" w:rsidRDefault="008730ED" w:rsidP="00176B5E">
      <w:pPr>
        <w:pStyle w:val="ListParagraph"/>
        <w:spacing w:line="240" w:lineRule="auto"/>
        <w:ind w:left="1800"/>
        <w:rPr>
          <w:b/>
        </w:rPr>
      </w:pPr>
      <w:r w:rsidRPr="00306002">
        <w:rPr>
          <w:b/>
        </w:rPr>
        <w:t>for Lack of Jurisdiction</w:t>
      </w:r>
    </w:p>
    <w:p w:rsidR="00557DF6" w:rsidRPr="00557DF6" w:rsidRDefault="00557DF6" w:rsidP="00557DF6">
      <w:pPr>
        <w:pStyle w:val="ListParagraph"/>
        <w:spacing w:line="240" w:lineRule="auto"/>
        <w:ind w:left="1800"/>
        <w:rPr>
          <w:b/>
        </w:rPr>
      </w:pPr>
    </w:p>
    <w:p w:rsidR="00D429AF" w:rsidRDefault="004A2241" w:rsidP="00D429AF">
      <w:pPr>
        <w:ind w:firstLine="720"/>
      </w:pPr>
      <w:proofErr w:type="spellStart"/>
      <w:r>
        <w:t>Sprouls</w:t>
      </w:r>
      <w:proofErr w:type="spellEnd"/>
      <w:r w:rsidR="00385081">
        <w:t xml:space="preserve"> acted </w:t>
      </w:r>
      <w:r w:rsidR="001F258B">
        <w:t xml:space="preserve">improperly </w:t>
      </w:r>
      <w:r>
        <w:t xml:space="preserve">in </w:t>
      </w:r>
      <w:r w:rsidR="00D429AF">
        <w:t>4</w:t>
      </w:r>
      <w:r w:rsidR="00872A9E">
        <w:t xml:space="preserve">6 </w:t>
      </w:r>
      <w:r>
        <w:t>cases</w:t>
      </w:r>
      <w:r w:rsidR="00EF0CD2">
        <w:t xml:space="preserve"> </w:t>
      </w:r>
      <w:r w:rsidR="00872A9E">
        <w:t xml:space="preserve">based on findings that </w:t>
      </w:r>
      <w:r w:rsidR="00EB5673">
        <w:t xml:space="preserve">his clients’ petitions for review were dismissed </w:t>
      </w:r>
      <w:r w:rsidR="00872A9E">
        <w:t xml:space="preserve">for lack of jurisdiction or summarily denied </w:t>
      </w:r>
      <w:r w:rsidR="00EB5673">
        <w:t>“because the result was obvious based on the facts or prior law.”</w:t>
      </w:r>
      <w:r w:rsidR="00D079A5">
        <w:t xml:space="preserve">  The findings in these cases are summarized as follows:</w:t>
      </w:r>
    </w:p>
    <w:p w:rsidR="00F65C1D" w:rsidRDefault="00EB5673" w:rsidP="00D429AF">
      <w:pPr>
        <w:pStyle w:val="ListParagraph"/>
        <w:numPr>
          <w:ilvl w:val="0"/>
          <w:numId w:val="12"/>
        </w:numPr>
      </w:pPr>
      <w:r>
        <w:lastRenderedPageBreak/>
        <w:t>In 38 cases,</w:t>
      </w:r>
      <w:r w:rsidR="00EF0CD2">
        <w:t xml:space="preserve"> </w:t>
      </w:r>
      <w:proofErr w:type="spellStart"/>
      <w:r w:rsidR="00EF0CD2">
        <w:t>Sprouls</w:t>
      </w:r>
      <w:proofErr w:type="spellEnd"/>
      <w:r>
        <w:t xml:space="preserve"> </w:t>
      </w:r>
      <w:r w:rsidR="00D079A5">
        <w:t xml:space="preserve">acted incompetently in </w:t>
      </w:r>
      <w:r w:rsidR="007C7600">
        <w:t xml:space="preserve">willful </w:t>
      </w:r>
      <w:r w:rsidR="00D079A5">
        <w:t xml:space="preserve">violation of </w:t>
      </w:r>
      <w:r>
        <w:t>rule 3-110(A)</w:t>
      </w:r>
      <w:r w:rsidR="002411A5">
        <w:t xml:space="preserve"> by </w:t>
      </w:r>
      <w:r w:rsidR="00D079A5">
        <w:t xml:space="preserve">filing deficient briefs that failed to address how the statutory interpretation he was arguing could be distinguished from established case law. </w:t>
      </w:r>
    </w:p>
    <w:p w:rsidR="00F65C1D" w:rsidRPr="00F65C1D" w:rsidRDefault="00EB0937" w:rsidP="00D1727D">
      <w:pPr>
        <w:pStyle w:val="ListParagraph"/>
        <w:numPr>
          <w:ilvl w:val="0"/>
          <w:numId w:val="12"/>
        </w:numPr>
        <w:rPr>
          <w:rStyle w:val="FootnoteReference"/>
          <w:vertAlign w:val="baseline"/>
        </w:rPr>
      </w:pPr>
      <w:r>
        <w:t xml:space="preserve">In </w:t>
      </w:r>
      <w:r w:rsidR="00FC5D80">
        <w:t xml:space="preserve">five cases, </w:t>
      </w:r>
      <w:proofErr w:type="spellStart"/>
      <w:r w:rsidR="00FC5D80">
        <w:t>Sprouls</w:t>
      </w:r>
      <w:proofErr w:type="spellEnd"/>
      <w:r w:rsidR="00FC5D80">
        <w:t xml:space="preserve"> acted incompetently in violation</w:t>
      </w:r>
      <w:r w:rsidR="006B3AB6">
        <w:t xml:space="preserve"> of rule 3-11</w:t>
      </w:r>
      <w:r w:rsidR="007C7600">
        <w:t xml:space="preserve">0(A) </w:t>
      </w:r>
      <w:r w:rsidR="00552DF1">
        <w:t xml:space="preserve">when he:                (1) </w:t>
      </w:r>
      <w:r w:rsidR="00FC5D80">
        <w:t>recklessly fail</w:t>
      </w:r>
      <w:r w:rsidR="00552DF1">
        <w:t>ed</w:t>
      </w:r>
      <w:r w:rsidR="00FC5D80">
        <w:t xml:space="preserve"> to file responses to the government’s motions to dismiss to defend his clients’ rights</w:t>
      </w:r>
      <w:r w:rsidR="00EB58F5">
        <w:t xml:space="preserve"> i</w:t>
      </w:r>
      <w:r w:rsidR="00D1727D">
        <w:t>n two cases</w:t>
      </w:r>
      <w:r w:rsidR="00552DF1">
        <w:t xml:space="preserve">, (2) </w:t>
      </w:r>
      <w:r w:rsidR="009F61DB">
        <w:t>fil</w:t>
      </w:r>
      <w:r w:rsidR="00552DF1">
        <w:t>ed</w:t>
      </w:r>
      <w:r w:rsidR="009F61DB">
        <w:t xml:space="preserve"> </w:t>
      </w:r>
      <w:r w:rsidR="00FC5D80">
        <w:t>a misleading and frivolous opening brief in</w:t>
      </w:r>
      <w:r w:rsidR="00EB58F5">
        <w:t xml:space="preserve"> one case</w:t>
      </w:r>
      <w:r w:rsidR="00552DF1">
        <w:t>,</w:t>
      </w:r>
      <w:r w:rsidR="00D1727D">
        <w:t xml:space="preserve"> and </w:t>
      </w:r>
      <w:r w:rsidR="00552DF1">
        <w:t xml:space="preserve">(3) </w:t>
      </w:r>
      <w:r w:rsidR="00FC5D80">
        <w:t>inexcusably and recklessly fail</w:t>
      </w:r>
      <w:r w:rsidR="00552DF1">
        <w:t>ed</w:t>
      </w:r>
      <w:r w:rsidR="009F61DB">
        <w:t xml:space="preserve"> </w:t>
      </w:r>
      <w:r w:rsidR="00FC5D80">
        <w:t>to oppose the governments’ motions to summarily dismiss petitions for review</w:t>
      </w:r>
      <w:r w:rsidR="00EB58F5">
        <w:t xml:space="preserve"> </w:t>
      </w:r>
      <w:r w:rsidR="00D1727D">
        <w:t>i</w:t>
      </w:r>
      <w:r w:rsidR="00EB58F5">
        <w:t>n two cases</w:t>
      </w:r>
      <w:r w:rsidR="00FC5D80">
        <w:t xml:space="preserve">. </w:t>
      </w:r>
    </w:p>
    <w:p w:rsidR="00D1727D" w:rsidRDefault="00446D3E" w:rsidP="00D1727D">
      <w:pPr>
        <w:pStyle w:val="ListParagraph"/>
        <w:numPr>
          <w:ilvl w:val="0"/>
          <w:numId w:val="12"/>
        </w:numPr>
      </w:pPr>
      <w:r>
        <w:t xml:space="preserve">In </w:t>
      </w:r>
      <w:r w:rsidR="00D1727D">
        <w:t>two</w:t>
      </w:r>
      <w:r>
        <w:t xml:space="preserve"> case</w:t>
      </w:r>
      <w:r w:rsidR="00D1727D">
        <w:t>s</w:t>
      </w:r>
      <w:r>
        <w:t xml:space="preserve">, </w:t>
      </w:r>
      <w:proofErr w:type="spellStart"/>
      <w:r w:rsidR="00357393">
        <w:t>Sprouls</w:t>
      </w:r>
      <w:proofErr w:type="spellEnd"/>
      <w:r>
        <w:t xml:space="preserve"> </w:t>
      </w:r>
      <w:r w:rsidR="007C7600">
        <w:t xml:space="preserve">failed to maintain only those actions that are legal or just in willful </w:t>
      </w:r>
      <w:r w:rsidR="007533D8">
        <w:t>viola</w:t>
      </w:r>
      <w:r w:rsidR="007C7600">
        <w:t>tion of</w:t>
      </w:r>
      <w:r w:rsidR="007533D8">
        <w:t xml:space="preserve"> section 6068, subdivision (c), when he</w:t>
      </w:r>
      <w:r w:rsidR="00D1727D">
        <w:t>: (1)</w:t>
      </w:r>
      <w:r w:rsidR="007533D8">
        <w:t xml:space="preserve"> </w:t>
      </w:r>
      <w:r>
        <w:t>filed a frivolous opposition to the government’s dismissal motion</w:t>
      </w:r>
      <w:r w:rsidR="007C7600">
        <w:t xml:space="preserve"> in one case</w:t>
      </w:r>
      <w:r w:rsidR="00D1727D">
        <w:t xml:space="preserve">, and (2) </w:t>
      </w:r>
      <w:r w:rsidR="00F65C1D">
        <w:t>fail</w:t>
      </w:r>
      <w:r w:rsidR="00D1727D">
        <w:t>ed</w:t>
      </w:r>
      <w:r w:rsidR="00F65C1D">
        <w:t xml:space="preserve"> to dismiss a petition for review before the </w:t>
      </w:r>
      <w:r w:rsidR="00452A47">
        <w:t xml:space="preserve">Ninth Circuit </w:t>
      </w:r>
      <w:r w:rsidR="00F65C1D">
        <w:t>after he</w:t>
      </w:r>
      <w:r w:rsidR="00452A47">
        <w:t xml:space="preserve"> obtain</w:t>
      </w:r>
      <w:r w:rsidR="00357393">
        <w:t>ed</w:t>
      </w:r>
      <w:r w:rsidR="00452A47">
        <w:t xml:space="preserve"> a BIA order reopening proceedin</w:t>
      </w:r>
      <w:r w:rsidR="007C7600">
        <w:t>gs before the immigration judge in the other case.</w:t>
      </w:r>
      <w:r w:rsidR="00452A47">
        <w:t xml:space="preserve">  </w:t>
      </w:r>
    </w:p>
    <w:p w:rsidR="00C538EE" w:rsidRDefault="00D1727D" w:rsidP="00C538EE">
      <w:pPr>
        <w:pStyle w:val="ListParagraph"/>
        <w:numPr>
          <w:ilvl w:val="0"/>
          <w:numId w:val="12"/>
        </w:numPr>
      </w:pPr>
      <w:r>
        <w:t xml:space="preserve">In one case, </w:t>
      </w:r>
      <w:proofErr w:type="spellStart"/>
      <w:r>
        <w:t>Sprouls</w:t>
      </w:r>
      <w:proofErr w:type="spellEnd"/>
      <w:r>
        <w:t xml:space="preserve"> </w:t>
      </w:r>
      <w:r w:rsidR="007C7600">
        <w:t xml:space="preserve">presented a claim not warranted under existing law in </w:t>
      </w:r>
      <w:r>
        <w:t>willful violat</w:t>
      </w:r>
      <w:r w:rsidR="007C7600">
        <w:t xml:space="preserve">ion of </w:t>
      </w:r>
      <w:r>
        <w:t>rule 3-200(B) when he failed to dismiss a petition after he r</w:t>
      </w:r>
      <w:r w:rsidR="00552DF1">
        <w:t xml:space="preserve">ealized it was improperly filed.  </w:t>
      </w:r>
    </w:p>
    <w:p w:rsidR="001B4E2C" w:rsidRPr="007533D8" w:rsidRDefault="00176B5E" w:rsidP="00C538EE">
      <w:pPr>
        <w:pStyle w:val="ListParagraph"/>
        <w:ind w:left="1800" w:hanging="360"/>
      </w:pPr>
      <w:r>
        <w:rPr>
          <w:b/>
        </w:rPr>
        <w:t>b</w:t>
      </w:r>
      <w:r w:rsidR="00C538EE">
        <w:rPr>
          <w:b/>
        </w:rPr>
        <w:t>.</w:t>
      </w:r>
      <w:r w:rsidR="00552DF1">
        <w:rPr>
          <w:b/>
        </w:rPr>
        <w:tab/>
      </w:r>
      <w:r w:rsidR="001B4E2C" w:rsidRPr="00552DF1">
        <w:rPr>
          <w:b/>
        </w:rPr>
        <w:t xml:space="preserve">Petitions </w:t>
      </w:r>
      <w:r w:rsidR="008730ED" w:rsidRPr="00552DF1">
        <w:rPr>
          <w:b/>
        </w:rPr>
        <w:t>Dismissed for Failure to Prosecute</w:t>
      </w:r>
      <w:r w:rsidR="00705320" w:rsidRPr="00552DF1">
        <w:rPr>
          <w:b/>
        </w:rPr>
        <w:t xml:space="preserve"> or Comply with Orders</w:t>
      </w:r>
    </w:p>
    <w:p w:rsidR="001C3133" w:rsidRDefault="00306002" w:rsidP="001B4E2C">
      <w:pPr>
        <w:ind w:firstLine="720"/>
        <w:rPr>
          <w:color w:val="000000"/>
          <w:spacing w:val="4"/>
        </w:rPr>
      </w:pPr>
      <w:proofErr w:type="spellStart"/>
      <w:r>
        <w:rPr>
          <w:color w:val="000000"/>
          <w:spacing w:val="4"/>
        </w:rPr>
        <w:t>Sprouls</w:t>
      </w:r>
      <w:proofErr w:type="spellEnd"/>
      <w:r>
        <w:rPr>
          <w:color w:val="000000"/>
          <w:spacing w:val="4"/>
        </w:rPr>
        <w:t xml:space="preserve"> </w:t>
      </w:r>
      <w:r w:rsidR="0059707B">
        <w:rPr>
          <w:color w:val="000000"/>
          <w:spacing w:val="4"/>
        </w:rPr>
        <w:t>perform</w:t>
      </w:r>
      <w:r w:rsidR="00552DF1">
        <w:rPr>
          <w:color w:val="000000"/>
          <w:spacing w:val="4"/>
        </w:rPr>
        <w:t>ed</w:t>
      </w:r>
      <w:r w:rsidR="0059707B">
        <w:rPr>
          <w:color w:val="000000"/>
          <w:spacing w:val="4"/>
        </w:rPr>
        <w:t xml:space="preserve"> incompetently in </w:t>
      </w:r>
      <w:r>
        <w:rPr>
          <w:color w:val="000000"/>
          <w:spacing w:val="4"/>
        </w:rPr>
        <w:t>willful</w:t>
      </w:r>
      <w:r w:rsidR="0059707B">
        <w:rPr>
          <w:color w:val="000000"/>
          <w:spacing w:val="4"/>
        </w:rPr>
        <w:t xml:space="preserve"> violation of</w:t>
      </w:r>
      <w:r>
        <w:rPr>
          <w:color w:val="000000"/>
          <w:spacing w:val="4"/>
        </w:rPr>
        <w:t xml:space="preserve"> rule 3-110(A) in three </w:t>
      </w:r>
      <w:r w:rsidR="00705320">
        <w:rPr>
          <w:color w:val="000000"/>
          <w:spacing w:val="4"/>
        </w:rPr>
        <w:t xml:space="preserve">cases </w:t>
      </w:r>
      <w:r w:rsidR="00552DF1">
        <w:rPr>
          <w:color w:val="000000"/>
          <w:spacing w:val="4"/>
        </w:rPr>
        <w:t>where</w:t>
      </w:r>
      <w:r w:rsidR="00705320">
        <w:rPr>
          <w:color w:val="000000"/>
          <w:spacing w:val="4"/>
        </w:rPr>
        <w:t xml:space="preserve"> the petitions for review were dismissed because he either failed to prosecute them or failed to comply with court orders as follows:</w:t>
      </w:r>
    </w:p>
    <w:p w:rsidR="001B4E2C" w:rsidRDefault="001B4E2C" w:rsidP="001C3133">
      <w:pPr>
        <w:pStyle w:val="ListParagraph"/>
        <w:numPr>
          <w:ilvl w:val="0"/>
          <w:numId w:val="13"/>
        </w:numPr>
      </w:pPr>
      <w:r>
        <w:t xml:space="preserve">In </w:t>
      </w:r>
      <w:r w:rsidR="00653AEF">
        <w:t>one</w:t>
      </w:r>
      <w:r>
        <w:t xml:space="preserve"> </w:t>
      </w:r>
      <w:r w:rsidR="006D4781">
        <w:t>case</w:t>
      </w:r>
      <w:r>
        <w:t xml:space="preserve">, </w:t>
      </w:r>
      <w:r w:rsidR="00306002">
        <w:t xml:space="preserve">he failed to </w:t>
      </w:r>
      <w:r>
        <w:t xml:space="preserve">act diligently to </w:t>
      </w:r>
      <w:r w:rsidR="006D4781">
        <w:t>reinstate</w:t>
      </w:r>
      <w:r>
        <w:t xml:space="preserve"> </w:t>
      </w:r>
      <w:r w:rsidR="00653AEF">
        <w:t xml:space="preserve">the petition after it was </w:t>
      </w:r>
      <w:r>
        <w:t xml:space="preserve">dismissed </w:t>
      </w:r>
      <w:r w:rsidR="00653AEF">
        <w:t>based on his failure to timely file an opening brief</w:t>
      </w:r>
      <w:r>
        <w:t xml:space="preserve">.  </w:t>
      </w:r>
    </w:p>
    <w:p w:rsidR="00653AEF" w:rsidRDefault="00420925" w:rsidP="00653AEF">
      <w:pPr>
        <w:pStyle w:val="ListParagraph"/>
        <w:numPr>
          <w:ilvl w:val="0"/>
          <w:numId w:val="13"/>
        </w:numPr>
      </w:pPr>
      <w:r>
        <w:t xml:space="preserve">In </w:t>
      </w:r>
      <w:r w:rsidR="00153CB8">
        <w:t>another</w:t>
      </w:r>
      <w:r>
        <w:t xml:space="preserve"> case, </w:t>
      </w:r>
      <w:r w:rsidR="00306002">
        <w:t>after losing contact with his clients</w:t>
      </w:r>
      <w:r w:rsidR="00617C18">
        <w:t>,</w:t>
      </w:r>
      <w:r w:rsidR="00306002">
        <w:t xml:space="preserve"> he consciously decided not to </w:t>
      </w:r>
      <w:r>
        <w:t>file an opening brief</w:t>
      </w:r>
      <w:r w:rsidR="00306002">
        <w:t xml:space="preserve">, rather than </w:t>
      </w:r>
      <w:r w:rsidR="00653AEF">
        <w:t>withdraw</w:t>
      </w:r>
      <w:r w:rsidR="00306002">
        <w:t>ing as counsel or moving</w:t>
      </w:r>
      <w:r w:rsidR="00653AEF">
        <w:t xml:space="preserve"> to dismiss</w:t>
      </w:r>
      <w:r w:rsidR="00306002">
        <w:t>.</w:t>
      </w:r>
    </w:p>
    <w:p w:rsidR="00653AEF" w:rsidRPr="0059707B" w:rsidRDefault="00944DB9" w:rsidP="0059707B">
      <w:pPr>
        <w:pStyle w:val="ListParagraph"/>
        <w:numPr>
          <w:ilvl w:val="0"/>
          <w:numId w:val="13"/>
        </w:numPr>
        <w:rPr>
          <w:b/>
        </w:rPr>
      </w:pPr>
      <w:r>
        <w:lastRenderedPageBreak/>
        <w:t xml:space="preserve">In </w:t>
      </w:r>
      <w:r w:rsidR="00153CB8">
        <w:t xml:space="preserve">the </w:t>
      </w:r>
      <w:r w:rsidR="003236B8">
        <w:t>third</w:t>
      </w:r>
      <w:r w:rsidR="00653AEF">
        <w:t xml:space="preserve"> case, he </w:t>
      </w:r>
      <w:r w:rsidR="006D4781">
        <w:t xml:space="preserve">filed a </w:t>
      </w:r>
      <w:r>
        <w:t>re</w:t>
      </w:r>
      <w:r w:rsidR="006D4781">
        <w:t>sponse</w:t>
      </w:r>
      <w:r>
        <w:t xml:space="preserve"> to a Ninth Circuit </w:t>
      </w:r>
      <w:proofErr w:type="spellStart"/>
      <w:r w:rsidR="006D4781">
        <w:t>OSC</w:t>
      </w:r>
      <w:proofErr w:type="spellEnd"/>
      <w:r w:rsidR="006D4781">
        <w:t xml:space="preserve"> regarding dismissal of his client’s case but used an </w:t>
      </w:r>
      <w:r>
        <w:t xml:space="preserve">incorrect case number and </w:t>
      </w:r>
      <w:r w:rsidR="006D4781">
        <w:t xml:space="preserve">then </w:t>
      </w:r>
      <w:r>
        <w:t xml:space="preserve">failed to move </w:t>
      </w:r>
      <w:r w:rsidR="006D4781">
        <w:t>to reinstate</w:t>
      </w:r>
      <w:r w:rsidR="00D405DD">
        <w:t xml:space="preserve"> </w:t>
      </w:r>
      <w:r>
        <w:t>the case as he deemed it “an idle exercise</w:t>
      </w:r>
      <w:r w:rsidR="00653AEF">
        <w:t>.”</w:t>
      </w:r>
    </w:p>
    <w:p w:rsidR="00944DB9" w:rsidRPr="00653AEF" w:rsidRDefault="00176B5E" w:rsidP="00C538EE">
      <w:pPr>
        <w:pStyle w:val="ListParagraph"/>
        <w:ind w:left="1800" w:hanging="360"/>
        <w:rPr>
          <w:b/>
        </w:rPr>
      </w:pPr>
      <w:r>
        <w:rPr>
          <w:b/>
        </w:rPr>
        <w:t>c</w:t>
      </w:r>
      <w:r w:rsidR="00C538EE">
        <w:rPr>
          <w:b/>
        </w:rPr>
        <w:t>.</w:t>
      </w:r>
      <w:r w:rsidR="00C538EE">
        <w:rPr>
          <w:b/>
        </w:rPr>
        <w:tab/>
      </w:r>
      <w:r w:rsidR="008730ED" w:rsidRPr="00653AEF">
        <w:rPr>
          <w:b/>
        </w:rPr>
        <w:t>Tardy Opening Briefs</w:t>
      </w:r>
      <w:r w:rsidR="00944DB9" w:rsidRPr="00653AEF">
        <w:rPr>
          <w:b/>
        </w:rPr>
        <w:t xml:space="preserve"> </w:t>
      </w:r>
    </w:p>
    <w:p w:rsidR="00944DB9" w:rsidRDefault="00944DB9" w:rsidP="00944DB9">
      <w:pPr>
        <w:ind w:firstLine="720"/>
      </w:pPr>
      <w:r>
        <w:t xml:space="preserve">The </w:t>
      </w:r>
      <w:proofErr w:type="spellStart"/>
      <w:r w:rsidR="00DF7EE8">
        <w:t>OSC</w:t>
      </w:r>
      <w:proofErr w:type="spellEnd"/>
      <w:r w:rsidR="00DF7EE8">
        <w:t xml:space="preserve"> identified seven cases in which </w:t>
      </w:r>
      <w:proofErr w:type="spellStart"/>
      <w:r w:rsidR="00566116">
        <w:t>Sprouls</w:t>
      </w:r>
      <w:proofErr w:type="spellEnd"/>
      <w:r>
        <w:t xml:space="preserve"> </w:t>
      </w:r>
      <w:r w:rsidR="00DF7EE8">
        <w:t>filed briefs late</w:t>
      </w:r>
      <w:r w:rsidR="00D25D3F">
        <w:t xml:space="preserve"> and</w:t>
      </w:r>
      <w:r w:rsidR="00DF7EE8">
        <w:t xml:space="preserve"> </w:t>
      </w:r>
      <w:r w:rsidR="00566116">
        <w:t>without leave of court</w:t>
      </w:r>
      <w:r>
        <w:t xml:space="preserve">.  The Commissioner found that </w:t>
      </w:r>
      <w:proofErr w:type="spellStart"/>
      <w:r w:rsidR="00566116">
        <w:t>Sprouls</w:t>
      </w:r>
      <w:proofErr w:type="spellEnd"/>
      <w:r>
        <w:t xml:space="preserve"> corrected his tardiness by filing unopposed motions </w:t>
      </w:r>
      <w:r w:rsidR="00566116">
        <w:t>to file</w:t>
      </w:r>
      <w:r>
        <w:t xml:space="preserve"> the briefs late</w:t>
      </w:r>
      <w:r w:rsidR="00566116">
        <w:t>,</w:t>
      </w:r>
      <w:r w:rsidR="006E6D13">
        <w:t xml:space="preserve"> and the cases were </w:t>
      </w:r>
      <w:r w:rsidR="00566116">
        <w:t xml:space="preserve">then </w:t>
      </w:r>
      <w:r w:rsidR="006E6D13">
        <w:t xml:space="preserve">decided on the merits.  </w:t>
      </w:r>
      <w:r w:rsidR="00DF7EE8">
        <w:t>T</w:t>
      </w:r>
      <w:r w:rsidR="006E6D13">
        <w:t xml:space="preserve">he Ninth Circuit and the hearing judge found </w:t>
      </w:r>
      <w:r w:rsidR="00A87718">
        <w:t xml:space="preserve">that </w:t>
      </w:r>
      <w:proofErr w:type="spellStart"/>
      <w:r w:rsidR="00A87718">
        <w:t>Sprouls</w:t>
      </w:r>
      <w:proofErr w:type="spellEnd"/>
      <w:r w:rsidR="00A87718">
        <w:t xml:space="preserve"> did</w:t>
      </w:r>
      <w:r w:rsidR="00617C18">
        <w:t xml:space="preserve"> not commit </w:t>
      </w:r>
      <w:r w:rsidR="006E6D13">
        <w:t>professional misconduct</w:t>
      </w:r>
      <w:r w:rsidR="00DF7EE8">
        <w:t xml:space="preserve"> in these seven cases</w:t>
      </w:r>
      <w:r w:rsidR="00552DF1">
        <w:t>.</w:t>
      </w:r>
      <w:r w:rsidR="006E6D13">
        <w:t xml:space="preserve"> </w:t>
      </w:r>
    </w:p>
    <w:p w:rsidR="006E6D13" w:rsidRPr="008730ED" w:rsidRDefault="006E6D13" w:rsidP="00176B5E">
      <w:pPr>
        <w:pStyle w:val="ListParagraph"/>
        <w:numPr>
          <w:ilvl w:val="0"/>
          <w:numId w:val="28"/>
        </w:numPr>
        <w:ind w:left="1800"/>
        <w:rPr>
          <w:b/>
        </w:rPr>
      </w:pPr>
      <w:r w:rsidRPr="008730ED">
        <w:rPr>
          <w:b/>
        </w:rPr>
        <w:t xml:space="preserve">Lack </w:t>
      </w:r>
      <w:r w:rsidR="008730ED">
        <w:rPr>
          <w:b/>
        </w:rPr>
        <w:t>o</w:t>
      </w:r>
      <w:r w:rsidR="008730ED" w:rsidRPr="008730ED">
        <w:rPr>
          <w:b/>
        </w:rPr>
        <w:t>f Performance</w:t>
      </w:r>
    </w:p>
    <w:p w:rsidR="006E6D13" w:rsidRDefault="00DF7EE8" w:rsidP="006E6D13">
      <w:pPr>
        <w:ind w:firstLine="720"/>
      </w:pPr>
      <w:r>
        <w:t xml:space="preserve">The </w:t>
      </w:r>
      <w:proofErr w:type="spellStart"/>
      <w:r>
        <w:t>OSC</w:t>
      </w:r>
      <w:proofErr w:type="spellEnd"/>
      <w:r>
        <w:t xml:space="preserve"> identified 11 cases in which </w:t>
      </w:r>
      <w:proofErr w:type="spellStart"/>
      <w:r w:rsidR="00AC7B3F">
        <w:t>Sprouls’s</w:t>
      </w:r>
      <w:proofErr w:type="spellEnd"/>
      <w:r w:rsidR="006E6D13">
        <w:t xml:space="preserve"> professional performance was deficient.</w:t>
      </w:r>
      <w:r w:rsidR="00025A0E">
        <w:t xml:space="preserve">  </w:t>
      </w:r>
      <w:r w:rsidR="00F67FAC">
        <w:rPr>
          <w:color w:val="000000"/>
          <w:spacing w:val="4"/>
        </w:rPr>
        <w:t xml:space="preserve">Of the 11 cases, </w:t>
      </w:r>
      <w:proofErr w:type="spellStart"/>
      <w:r w:rsidR="00F67FAC">
        <w:rPr>
          <w:color w:val="000000"/>
          <w:spacing w:val="4"/>
        </w:rPr>
        <w:t>Sprouls</w:t>
      </w:r>
      <w:proofErr w:type="spellEnd"/>
      <w:r w:rsidR="00F67FAC">
        <w:rPr>
          <w:color w:val="000000"/>
          <w:spacing w:val="4"/>
        </w:rPr>
        <w:t xml:space="preserve"> perform</w:t>
      </w:r>
      <w:r w:rsidR="00617C18">
        <w:rPr>
          <w:color w:val="000000"/>
          <w:spacing w:val="4"/>
        </w:rPr>
        <w:t>ed</w:t>
      </w:r>
      <w:r w:rsidR="00F67FAC">
        <w:rPr>
          <w:color w:val="000000"/>
          <w:spacing w:val="4"/>
        </w:rPr>
        <w:t xml:space="preserve"> incompetently in willful violation of rule 3-110(A) in two of the cases</w:t>
      </w:r>
      <w:r w:rsidR="00557DF6">
        <w:rPr>
          <w:color w:val="000000"/>
          <w:spacing w:val="4"/>
        </w:rPr>
        <w:t>.</w:t>
      </w:r>
      <w:r w:rsidR="00B75218">
        <w:rPr>
          <w:rStyle w:val="FootnoteReference"/>
        </w:rPr>
        <w:footnoteReference w:id="5"/>
      </w:r>
    </w:p>
    <w:p w:rsidR="00D467E2" w:rsidRDefault="006E6D13" w:rsidP="006E6D13">
      <w:pPr>
        <w:ind w:firstLine="720"/>
      </w:pPr>
      <w:r>
        <w:t xml:space="preserve">In </w:t>
      </w:r>
      <w:r w:rsidR="00FF1E33">
        <w:t>the first m</w:t>
      </w:r>
      <w:r w:rsidR="00566116">
        <w:t>atter</w:t>
      </w:r>
      <w:r w:rsidR="00FF1E33">
        <w:t xml:space="preserve"> (</w:t>
      </w:r>
      <w:r w:rsidR="00FF1E33" w:rsidRPr="00FF1E33">
        <w:rPr>
          <w:i/>
        </w:rPr>
        <w:t>Gutierrez</w:t>
      </w:r>
      <w:r w:rsidR="00FF1E33">
        <w:t>)</w:t>
      </w:r>
      <w:r w:rsidR="001D2176">
        <w:t xml:space="preserve">, </w:t>
      </w:r>
      <w:proofErr w:type="spellStart"/>
      <w:r w:rsidR="00566116">
        <w:t>Sprouls</w:t>
      </w:r>
      <w:proofErr w:type="spellEnd"/>
      <w:r>
        <w:t xml:space="preserve"> </w:t>
      </w:r>
      <w:r w:rsidR="006B3AB6">
        <w:t>moved to reopen immigration proceedings</w:t>
      </w:r>
      <w:r w:rsidR="00682B94">
        <w:t xml:space="preserve"> before the BIA</w:t>
      </w:r>
      <w:r w:rsidR="006B3AB6">
        <w:t>, arguing that the immigration judge (</w:t>
      </w:r>
      <w:proofErr w:type="spellStart"/>
      <w:r w:rsidR="006B3AB6">
        <w:t>IJ</w:t>
      </w:r>
      <w:proofErr w:type="spellEnd"/>
      <w:r w:rsidR="006B3AB6">
        <w:t xml:space="preserve">) denied his client </w:t>
      </w:r>
      <w:r w:rsidR="00552DF1">
        <w:t>due process</w:t>
      </w:r>
      <w:r w:rsidR="00E8636A">
        <w:t xml:space="preserve">.  </w:t>
      </w:r>
      <w:proofErr w:type="spellStart"/>
      <w:r w:rsidR="00135AE8">
        <w:t>Sprouls</w:t>
      </w:r>
      <w:proofErr w:type="spellEnd"/>
      <w:r w:rsidR="00135AE8">
        <w:t xml:space="preserve"> failed to preserve the due process issue because he did not </w:t>
      </w:r>
      <w:r w:rsidR="00EC6888">
        <w:t>file</w:t>
      </w:r>
      <w:r w:rsidR="00E8636A">
        <w:t xml:space="preserve"> a petition for review </w:t>
      </w:r>
      <w:r w:rsidR="00135AE8">
        <w:t xml:space="preserve">in the Ninth Circuit after the BIA denied the motion to </w:t>
      </w:r>
      <w:r w:rsidR="00EC6888">
        <w:t>reopen</w:t>
      </w:r>
      <w:r w:rsidR="00135AE8">
        <w:t>.</w:t>
      </w:r>
      <w:r w:rsidR="00E8636A">
        <w:t xml:space="preserve">  As a result, the Ninth Circuit had no jurisdiction to consider </w:t>
      </w:r>
      <w:r w:rsidR="00135AE8">
        <w:t xml:space="preserve">this issue </w:t>
      </w:r>
      <w:r w:rsidR="00EC6888">
        <w:t xml:space="preserve">later when </w:t>
      </w:r>
      <w:proofErr w:type="spellStart"/>
      <w:r w:rsidR="00EC6888">
        <w:t>Sprouls</w:t>
      </w:r>
      <w:proofErr w:type="spellEnd"/>
      <w:r w:rsidR="00EC6888">
        <w:t xml:space="preserve"> raised it </w:t>
      </w:r>
      <w:r w:rsidR="00135AE8">
        <w:t xml:space="preserve">to challenge the </w:t>
      </w:r>
      <w:proofErr w:type="spellStart"/>
      <w:r w:rsidR="00135AE8">
        <w:t>IJ’s</w:t>
      </w:r>
      <w:proofErr w:type="spellEnd"/>
      <w:r w:rsidR="00135AE8">
        <w:t xml:space="preserve"> underlying decision</w:t>
      </w:r>
      <w:r w:rsidR="00EC6888">
        <w:t>.  His justification for not properly pursuing the issue made “little sense” and demonstrated a lack of knowledge of the law on jurisdiction</w:t>
      </w:r>
      <w:r w:rsidR="00D467E2">
        <w:t xml:space="preserve">.  </w:t>
      </w:r>
      <w:proofErr w:type="spellStart"/>
      <w:r w:rsidR="00AC7B3F">
        <w:t>Sprouls’s</w:t>
      </w:r>
      <w:proofErr w:type="spellEnd"/>
      <w:r w:rsidR="00E8636A">
        <w:t xml:space="preserve"> </w:t>
      </w:r>
      <w:r w:rsidR="00FF1E33">
        <w:t>lack of competence caused the forfeit of his client’s claim and resulted in potential injury.</w:t>
      </w:r>
    </w:p>
    <w:p w:rsidR="00A87718" w:rsidRDefault="00E8636A" w:rsidP="00D467E2">
      <w:pPr>
        <w:ind w:firstLine="720"/>
      </w:pPr>
      <w:r>
        <w:lastRenderedPageBreak/>
        <w:t xml:space="preserve">In the </w:t>
      </w:r>
      <w:r w:rsidR="00EB0AE7">
        <w:t>second matter</w:t>
      </w:r>
      <w:r w:rsidR="00FF1E33">
        <w:t xml:space="preserve"> (</w:t>
      </w:r>
      <w:r w:rsidR="00FF1E33" w:rsidRPr="00B75218">
        <w:rPr>
          <w:i/>
        </w:rPr>
        <w:t>Garcia Lopez</w:t>
      </w:r>
      <w:r w:rsidR="00FF1E33">
        <w:t>),</w:t>
      </w:r>
      <w:r w:rsidR="00566116">
        <w:t xml:space="preserve"> </w:t>
      </w:r>
      <w:proofErr w:type="spellStart"/>
      <w:r w:rsidR="00566116">
        <w:t>Sprouls</w:t>
      </w:r>
      <w:proofErr w:type="spellEnd"/>
      <w:r>
        <w:t xml:space="preserve"> acted incompetentl</w:t>
      </w:r>
      <w:r w:rsidR="0080351D">
        <w:t xml:space="preserve">y </w:t>
      </w:r>
      <w:r w:rsidR="00566116">
        <w:t>by filing</w:t>
      </w:r>
      <w:r w:rsidR="001D2176">
        <w:t xml:space="preserve"> </w:t>
      </w:r>
      <w:r>
        <w:t xml:space="preserve">a fundamentally inadequate opening brief </w:t>
      </w:r>
      <w:r w:rsidR="00566116">
        <w:t>that</w:t>
      </w:r>
      <w:r>
        <w:t xml:space="preserve"> lacked appropriate record citations, contained </w:t>
      </w:r>
      <w:r w:rsidR="00566116">
        <w:t>insufficient</w:t>
      </w:r>
      <w:r>
        <w:t xml:space="preserve"> legal and factual discussion</w:t>
      </w:r>
      <w:r w:rsidR="00566116">
        <w:t>s</w:t>
      </w:r>
      <w:r>
        <w:t xml:space="preserve"> and failed to discuss applicable law.</w:t>
      </w:r>
    </w:p>
    <w:p w:rsidR="0012794A" w:rsidRDefault="00E12926" w:rsidP="00E12926">
      <w:pPr>
        <w:pStyle w:val="ListParagraph"/>
        <w:numPr>
          <w:ilvl w:val="0"/>
          <w:numId w:val="15"/>
        </w:numPr>
        <w:rPr>
          <w:b/>
        </w:rPr>
      </w:pPr>
      <w:r w:rsidRPr="00E12926">
        <w:rPr>
          <w:b/>
        </w:rPr>
        <w:t>State Bar Argues for Culpability under Section 6106</w:t>
      </w:r>
    </w:p>
    <w:p w:rsidR="00C538EE" w:rsidRDefault="0012794A" w:rsidP="00C538EE">
      <w:pPr>
        <w:pStyle w:val="ListParagraph"/>
        <w:ind w:left="0"/>
        <w:rPr>
          <w:b/>
        </w:rPr>
      </w:pPr>
      <w:r>
        <w:rPr>
          <w:b/>
        </w:rPr>
        <w:tab/>
      </w:r>
      <w:r>
        <w:t>The State Bar argues that the hearing j</w:t>
      </w:r>
      <w:r w:rsidR="00BC216E">
        <w:t>udge erred in not addressing or</w:t>
      </w:r>
      <w:r>
        <w:t xml:space="preserve"> finding that </w:t>
      </w:r>
      <w:proofErr w:type="spellStart"/>
      <w:r>
        <w:t>Sprouls</w:t>
      </w:r>
      <w:proofErr w:type="spellEnd"/>
      <w:r>
        <w:t xml:space="preserve"> violated section 6106 because: 1) it was “plainly alleged” in the notice of disciplinary charges, and 2) his pattern of gross negligence </w:t>
      </w:r>
      <w:r w:rsidR="00BC216E">
        <w:t xml:space="preserve">clearly </w:t>
      </w:r>
      <w:r>
        <w:t xml:space="preserve">constitutes moral turpitude.  </w:t>
      </w:r>
      <w:r w:rsidR="00AB6E6E">
        <w:t xml:space="preserve">However, </w:t>
      </w:r>
      <w:r>
        <w:t xml:space="preserve">the notice failed to </w:t>
      </w:r>
      <w:r w:rsidR="00947D66">
        <w:t>sufficiently</w:t>
      </w:r>
      <w:r>
        <w:t xml:space="preserve"> allege a violation</w:t>
      </w:r>
      <w:r w:rsidR="00AD7F32">
        <w:t xml:space="preserve"> of section 6106</w:t>
      </w:r>
      <w:r>
        <w:t>.</w:t>
      </w:r>
      <w:r w:rsidR="00AB6E6E">
        <w:t xml:space="preserve">  </w:t>
      </w:r>
      <w:r>
        <w:t xml:space="preserve">Although the State Bar listed section 6106 </w:t>
      </w:r>
      <w:r w:rsidR="00D0272F">
        <w:t xml:space="preserve">as </w:t>
      </w:r>
      <w:r w:rsidR="00C000BB">
        <w:t>a</w:t>
      </w:r>
      <w:r w:rsidR="00D0272F">
        <w:t xml:space="preserve"> statute that had been violated</w:t>
      </w:r>
      <w:r>
        <w:t xml:space="preserve">, it failed to set forth </w:t>
      </w:r>
      <w:r w:rsidR="00AB6E6E">
        <w:t>any supporting allegations</w:t>
      </w:r>
      <w:r>
        <w:t xml:space="preserve"> </w:t>
      </w:r>
      <w:r w:rsidR="00947D66">
        <w:t xml:space="preserve">or the manner in which </w:t>
      </w:r>
      <w:proofErr w:type="spellStart"/>
      <w:r w:rsidR="00AC7B3F">
        <w:t>Sprouls’s</w:t>
      </w:r>
      <w:proofErr w:type="spellEnd"/>
      <w:r w:rsidR="00AB6E6E">
        <w:t xml:space="preserve"> conduct violated the statute</w:t>
      </w:r>
      <w:r>
        <w:t>.</w:t>
      </w:r>
      <w:r w:rsidR="00AB6E6E">
        <w:t xml:space="preserve">  </w:t>
      </w:r>
      <w:r w:rsidR="008F248F">
        <w:t xml:space="preserve">In addition, the Ninth Circuit did not allege or find a violation of section 6106.  </w:t>
      </w:r>
      <w:r w:rsidR="00AB6E6E">
        <w:t xml:space="preserve">Under the circumstances, </w:t>
      </w:r>
      <w:r w:rsidR="005C408A">
        <w:t xml:space="preserve">we </w:t>
      </w:r>
      <w:r w:rsidR="00AB6E6E">
        <w:t xml:space="preserve">find that the notice failed to provide sufficient </w:t>
      </w:r>
      <w:r w:rsidR="00617C18">
        <w:t>support for</w:t>
      </w:r>
      <w:r w:rsidR="008F248F">
        <w:t xml:space="preserve"> the </w:t>
      </w:r>
      <w:r w:rsidR="00876A96">
        <w:t xml:space="preserve">alleged </w:t>
      </w:r>
      <w:r w:rsidR="008F248F">
        <w:t>violation and dismiss it with prejudice.</w:t>
      </w:r>
      <w:r w:rsidR="00C538EE">
        <w:t xml:space="preserve">  However, </w:t>
      </w:r>
      <w:r w:rsidR="005C408A">
        <w:t xml:space="preserve">we consider </w:t>
      </w:r>
      <w:proofErr w:type="spellStart"/>
      <w:r w:rsidR="00AC7B3F">
        <w:t>Sprouls’s</w:t>
      </w:r>
      <w:proofErr w:type="spellEnd"/>
      <w:r w:rsidR="00C538EE">
        <w:t xml:space="preserve"> pattern of misconduct in aggravation.  (</w:t>
      </w:r>
      <w:r w:rsidR="00C538EE" w:rsidRPr="00876A96">
        <w:rPr>
          <w:i/>
        </w:rPr>
        <w:t>In the Matter of Broderick</w:t>
      </w:r>
      <w:r w:rsidR="00C538EE">
        <w:t xml:space="preserve"> (Review Dept. 1994) 3 Cal. State Bar Ct. </w:t>
      </w:r>
      <w:proofErr w:type="spellStart"/>
      <w:r w:rsidR="00C538EE">
        <w:t>Rptr</w:t>
      </w:r>
      <w:proofErr w:type="spellEnd"/>
      <w:r w:rsidR="00C538EE">
        <w:t>. 138</w:t>
      </w:r>
      <w:r w:rsidR="006B3AB6">
        <w:t>, 155</w:t>
      </w:r>
      <w:r w:rsidR="00C538EE">
        <w:t xml:space="preserve"> [although not mentioned in notice, attorney’s repeated failure to perform that resulted in significant harm was appropriate aggravating factor].)</w:t>
      </w:r>
    </w:p>
    <w:p w:rsidR="00A85916" w:rsidRPr="00C538EE" w:rsidRDefault="00C538EE" w:rsidP="00C538EE">
      <w:pPr>
        <w:pStyle w:val="ListParagraph"/>
        <w:ind w:left="0"/>
        <w:rPr>
          <w:b/>
        </w:rPr>
      </w:pPr>
      <w:r>
        <w:rPr>
          <w:b/>
        </w:rPr>
        <w:t>B.</w:t>
      </w:r>
      <w:r>
        <w:rPr>
          <w:b/>
        </w:rPr>
        <w:tab/>
      </w:r>
      <w:r w:rsidR="00825592" w:rsidRPr="00BC216E">
        <w:rPr>
          <w:b/>
        </w:rPr>
        <w:t xml:space="preserve">The </w:t>
      </w:r>
      <w:r w:rsidR="008730ED" w:rsidRPr="00BC216E">
        <w:rPr>
          <w:b/>
        </w:rPr>
        <w:t>G</w:t>
      </w:r>
      <w:r w:rsidR="00825592" w:rsidRPr="00BC216E">
        <w:rPr>
          <w:b/>
        </w:rPr>
        <w:t>ranados Matter (Case No. 07-O-12614)</w:t>
      </w:r>
    </w:p>
    <w:p w:rsidR="00AC7B3F" w:rsidRDefault="00456235" w:rsidP="00A85916">
      <w:pPr>
        <w:ind w:firstLine="720"/>
      </w:pPr>
      <w:r>
        <w:t>T</w:t>
      </w:r>
      <w:r w:rsidR="009F6B6C">
        <w:t xml:space="preserve">he State Bar </w:t>
      </w:r>
      <w:r>
        <w:t xml:space="preserve">filed this original proceeding </w:t>
      </w:r>
      <w:r w:rsidR="009F6B6C">
        <w:t>in September 2008</w:t>
      </w:r>
      <w:r>
        <w:t xml:space="preserve">, </w:t>
      </w:r>
      <w:r w:rsidR="00A85916">
        <w:t>alleg</w:t>
      </w:r>
      <w:r>
        <w:t>ing</w:t>
      </w:r>
      <w:r w:rsidR="00A85916">
        <w:t xml:space="preserve"> </w:t>
      </w:r>
      <w:proofErr w:type="spellStart"/>
      <w:r>
        <w:t>Sprouls</w:t>
      </w:r>
      <w:proofErr w:type="spellEnd"/>
      <w:r w:rsidR="000D0260">
        <w:t xml:space="preserve"> committed</w:t>
      </w:r>
      <w:r w:rsidR="001A149C">
        <w:t xml:space="preserve"> misconduct in </w:t>
      </w:r>
      <w:r w:rsidR="009F6B6C">
        <w:t>handling a client’s asylum case</w:t>
      </w:r>
      <w:r>
        <w:t xml:space="preserve">.  </w:t>
      </w:r>
      <w:r w:rsidR="001A149C">
        <w:t>T</w:t>
      </w:r>
      <w:r w:rsidR="00A85916">
        <w:t>he hearing judge</w:t>
      </w:r>
      <w:r w:rsidR="001A149C">
        <w:t xml:space="preserve">’s findings </w:t>
      </w:r>
      <w:r w:rsidR="00AD7F32">
        <w:t xml:space="preserve">of fact and culpability </w:t>
      </w:r>
      <w:r w:rsidR="001A149C">
        <w:t>are undisputed, which we adopt and summarize</w:t>
      </w:r>
      <w:r w:rsidR="00C538EE">
        <w:t xml:space="preserve"> below</w:t>
      </w:r>
      <w:r w:rsidR="001A149C">
        <w:t>.</w:t>
      </w:r>
    </w:p>
    <w:p w:rsidR="00AC7B3F" w:rsidRDefault="00AC7B3F">
      <w:pPr>
        <w:spacing w:after="200" w:line="276" w:lineRule="auto"/>
      </w:pPr>
      <w:r>
        <w:br w:type="page"/>
      </w:r>
    </w:p>
    <w:p w:rsidR="00DF3920" w:rsidRPr="00DF3920" w:rsidRDefault="00DF3920" w:rsidP="00DF3920">
      <w:pPr>
        <w:pStyle w:val="ListParagraph"/>
        <w:numPr>
          <w:ilvl w:val="0"/>
          <w:numId w:val="17"/>
        </w:numPr>
        <w:rPr>
          <w:b/>
        </w:rPr>
      </w:pPr>
      <w:r w:rsidRPr="00DF3920">
        <w:rPr>
          <w:b/>
        </w:rPr>
        <w:lastRenderedPageBreak/>
        <w:t>Findings of Fact</w:t>
      </w:r>
    </w:p>
    <w:p w:rsidR="00A85916" w:rsidRDefault="00A85916" w:rsidP="009D7349">
      <w:pPr>
        <w:ind w:firstLine="720"/>
      </w:pPr>
      <w:r>
        <w:t>Saul Granados</w:t>
      </w:r>
      <w:r w:rsidR="00C17216">
        <w:t>, a non-U.S. citizen,</w:t>
      </w:r>
      <w:r>
        <w:t xml:space="preserve"> entered the United States in 1989 without immigration inspection.  In 2003, he hired a Southern California “</w:t>
      </w:r>
      <w:proofErr w:type="spellStart"/>
      <w:r>
        <w:t>notario</w:t>
      </w:r>
      <w:proofErr w:type="spellEnd"/>
      <w:r>
        <w:t>”</w:t>
      </w:r>
      <w:r w:rsidR="00290309">
        <w:rPr>
          <w:rStyle w:val="FootnoteReference"/>
        </w:rPr>
        <w:footnoteReference w:id="6"/>
      </w:r>
      <w:r w:rsidR="00E306CE">
        <w:t xml:space="preserve"> to seek legalization as an asylum applicant </w:t>
      </w:r>
      <w:r w:rsidR="00CA67C0">
        <w:t xml:space="preserve">but the </w:t>
      </w:r>
      <w:proofErr w:type="spellStart"/>
      <w:r w:rsidR="00CA67C0">
        <w:t>notario</w:t>
      </w:r>
      <w:proofErr w:type="spellEnd"/>
      <w:r w:rsidR="00CA67C0">
        <w:t xml:space="preserve"> abandoned him, forcing Granados to appear in pro per before an immigration judge.  </w:t>
      </w:r>
      <w:r w:rsidR="00520B62">
        <w:t>A</w:t>
      </w:r>
      <w:r w:rsidR="009D7349">
        <w:t xml:space="preserve">n order was </w:t>
      </w:r>
      <w:r w:rsidR="00520B62">
        <w:t xml:space="preserve">later </w:t>
      </w:r>
      <w:r w:rsidR="009D7349">
        <w:t>issued that Granados be removed from the U</w:t>
      </w:r>
      <w:r w:rsidR="006B3AB6">
        <w:t>nited States.</w:t>
      </w:r>
    </w:p>
    <w:p w:rsidR="00DF77BF" w:rsidRDefault="001A149C" w:rsidP="0086771D">
      <w:pPr>
        <w:ind w:firstLine="720"/>
      </w:pPr>
      <w:r>
        <w:t xml:space="preserve">In January 2004, </w:t>
      </w:r>
      <w:r w:rsidR="00520B62">
        <w:t xml:space="preserve">Granados </w:t>
      </w:r>
      <w:r w:rsidR="009D7349">
        <w:t>hired</w:t>
      </w:r>
      <w:r w:rsidR="00520B62">
        <w:t xml:space="preserve"> </w:t>
      </w:r>
      <w:proofErr w:type="spellStart"/>
      <w:r>
        <w:t>Sprouls</w:t>
      </w:r>
      <w:proofErr w:type="spellEnd"/>
      <w:r>
        <w:t xml:space="preserve"> </w:t>
      </w:r>
      <w:r w:rsidR="00520B62">
        <w:t>and</w:t>
      </w:r>
      <w:r w:rsidR="009D7349">
        <w:t xml:space="preserve"> paid </w:t>
      </w:r>
      <w:r>
        <w:t xml:space="preserve">him </w:t>
      </w:r>
      <w:r w:rsidR="009D7349">
        <w:t xml:space="preserve">$2,500. </w:t>
      </w:r>
      <w:r w:rsidR="00520B62">
        <w:t xml:space="preserve"> </w:t>
      </w:r>
      <w:r w:rsidR="009D7349">
        <w:t xml:space="preserve">The next month, </w:t>
      </w:r>
      <w:proofErr w:type="spellStart"/>
      <w:r w:rsidR="00520B62">
        <w:t>Sprouls</w:t>
      </w:r>
      <w:proofErr w:type="spellEnd"/>
      <w:r w:rsidR="009D7349">
        <w:t xml:space="preserve"> filed a motion </w:t>
      </w:r>
      <w:r w:rsidR="006B3AB6">
        <w:t xml:space="preserve">to reopen </w:t>
      </w:r>
      <w:r w:rsidR="00A82605">
        <w:t>in the immigration court</w:t>
      </w:r>
      <w:r w:rsidR="009D7349">
        <w:t xml:space="preserve"> to rescind the removal order, alleging the </w:t>
      </w:r>
      <w:proofErr w:type="spellStart"/>
      <w:r w:rsidR="009D7349">
        <w:t>notario’s</w:t>
      </w:r>
      <w:proofErr w:type="spellEnd"/>
      <w:r w:rsidR="009D7349">
        <w:t xml:space="preserve"> ineffective assistance</w:t>
      </w:r>
      <w:r w:rsidR="0086771D">
        <w:t xml:space="preserve">.  </w:t>
      </w:r>
      <w:r w:rsidR="00102771">
        <w:t xml:space="preserve">The motion </w:t>
      </w:r>
      <w:r w:rsidR="00FA4040">
        <w:t>included</w:t>
      </w:r>
      <w:r w:rsidR="00A82605">
        <w:t xml:space="preserve"> two false statements</w:t>
      </w:r>
      <w:r w:rsidR="00FA4040">
        <w:t xml:space="preserve">: </w:t>
      </w:r>
      <w:r w:rsidR="00A82605">
        <w:t xml:space="preserve"> Granados had lived in Northern California his entire life</w:t>
      </w:r>
      <w:r w:rsidR="00BC216E">
        <w:t>,</w:t>
      </w:r>
      <w:r w:rsidR="00A82605">
        <w:t xml:space="preserve"> and Granados’ father </w:t>
      </w:r>
      <w:r w:rsidR="00FA4040">
        <w:t xml:space="preserve">(who had been dead for 30 years) </w:t>
      </w:r>
      <w:r w:rsidR="00A82605">
        <w:t xml:space="preserve">would soon become a permanent legal resident.  </w:t>
      </w:r>
      <w:r w:rsidR="00047925">
        <w:t xml:space="preserve">The accompanying declaration purported </w:t>
      </w:r>
      <w:r w:rsidR="00A82605">
        <w:t>to be that of Granados.  However, it is undisputed that Granados did not</w:t>
      </w:r>
      <w:r w:rsidR="00131A2E">
        <w:t xml:space="preserve"> </w:t>
      </w:r>
      <w:r w:rsidR="00EB0AE7">
        <w:t xml:space="preserve">see or </w:t>
      </w:r>
      <w:r w:rsidR="00A82605">
        <w:t>sign th</w:t>
      </w:r>
      <w:r w:rsidR="00DF77BF">
        <w:t>e</w:t>
      </w:r>
      <w:r w:rsidR="00A82605">
        <w:t xml:space="preserve"> declaratio</w:t>
      </w:r>
      <w:r w:rsidR="00263AD1">
        <w:t>n and his signature was forged</w:t>
      </w:r>
      <w:r w:rsidR="00DF77BF">
        <w:t xml:space="preserve"> by someone in </w:t>
      </w:r>
      <w:proofErr w:type="spellStart"/>
      <w:r w:rsidR="00AC7B3F">
        <w:t>Sprouls’s</w:t>
      </w:r>
      <w:proofErr w:type="spellEnd"/>
      <w:r w:rsidR="00DF77BF">
        <w:t xml:space="preserve"> office</w:t>
      </w:r>
      <w:r w:rsidR="004449B1">
        <w:t xml:space="preserve">. </w:t>
      </w:r>
      <w:r w:rsidR="00EC6888">
        <w:t xml:space="preserve"> </w:t>
      </w:r>
      <w:proofErr w:type="spellStart"/>
      <w:r w:rsidR="00EC6888">
        <w:t>Sprouls</w:t>
      </w:r>
      <w:proofErr w:type="spellEnd"/>
      <w:r w:rsidR="00EC6888">
        <w:t xml:space="preserve"> had delegated much of the preparation of the motion and the accompanying declaration to non-lawyers in his office, and, although he had no reason to suspect the signature was forged, he attributed the inaccurate information to careless mistakes resulting from his overextended practice.</w:t>
      </w:r>
    </w:p>
    <w:p w:rsidR="00842EA7" w:rsidRDefault="00CE147F" w:rsidP="00CE147F">
      <w:pPr>
        <w:ind w:firstLine="720"/>
      </w:pPr>
      <w:r>
        <w:t xml:space="preserve">In December 2004, </w:t>
      </w:r>
      <w:r w:rsidR="00EC6888">
        <w:t xml:space="preserve">after being denied relief by the </w:t>
      </w:r>
      <w:proofErr w:type="spellStart"/>
      <w:r w:rsidR="006B3AB6">
        <w:t>IJ</w:t>
      </w:r>
      <w:proofErr w:type="spellEnd"/>
      <w:r w:rsidR="00EC6888">
        <w:t xml:space="preserve"> and the BIA, </w:t>
      </w:r>
      <w:proofErr w:type="spellStart"/>
      <w:r w:rsidR="00CD2B69">
        <w:t>Sprouls</w:t>
      </w:r>
      <w:proofErr w:type="spellEnd"/>
      <w:r w:rsidR="006B3AB6">
        <w:t xml:space="preserve"> petitioned for review</w:t>
      </w:r>
      <w:r>
        <w:t xml:space="preserve"> in the Ninth Circuit</w:t>
      </w:r>
      <w:r w:rsidR="001763AF">
        <w:t>.  In November</w:t>
      </w:r>
      <w:r w:rsidR="00842EA7">
        <w:t xml:space="preserve"> </w:t>
      </w:r>
      <w:r w:rsidR="00061282">
        <w:t xml:space="preserve">2005, </w:t>
      </w:r>
      <w:r w:rsidR="00CD2B69">
        <w:t>he</w:t>
      </w:r>
      <w:r w:rsidR="00842EA7">
        <w:t xml:space="preserve"> filed an opening brief for Granados</w:t>
      </w:r>
      <w:r w:rsidR="00CD2B69">
        <w:t>, which</w:t>
      </w:r>
      <w:r w:rsidR="00842EA7">
        <w:t xml:space="preserve"> included the </w:t>
      </w:r>
      <w:r w:rsidR="00EC6888">
        <w:t xml:space="preserve">same </w:t>
      </w:r>
      <w:r w:rsidR="00842EA7">
        <w:t>false statement</w:t>
      </w:r>
      <w:r w:rsidR="00EC6888">
        <w:t>s of fact</w:t>
      </w:r>
      <w:r w:rsidR="00842EA7">
        <w:t xml:space="preserve">. </w:t>
      </w:r>
    </w:p>
    <w:p w:rsidR="00061282" w:rsidRDefault="00842EA7" w:rsidP="00CE147F">
      <w:pPr>
        <w:ind w:firstLine="720"/>
      </w:pPr>
      <w:r>
        <w:t xml:space="preserve">In December 2006, the Ninth Circuit appointed pro bono counsel for Granados.  </w:t>
      </w:r>
      <w:r w:rsidR="00CD2B69">
        <w:t>Through his new counsel</w:t>
      </w:r>
      <w:r>
        <w:t xml:space="preserve">, Granados learned for the first time that </w:t>
      </w:r>
      <w:proofErr w:type="spellStart"/>
      <w:r w:rsidR="00AC7B3F">
        <w:t>Sprouls’s</w:t>
      </w:r>
      <w:proofErr w:type="spellEnd"/>
      <w:r>
        <w:t xml:space="preserve"> motion contained misstatements and that Granados’ declaration bore a forged signature.  Two months later, </w:t>
      </w:r>
      <w:r w:rsidR="00061282">
        <w:t>Granados decide</w:t>
      </w:r>
      <w:r w:rsidR="000B5189">
        <w:t xml:space="preserve">d to continue the </w:t>
      </w:r>
      <w:r w:rsidR="00061282">
        <w:t xml:space="preserve">appeal </w:t>
      </w:r>
      <w:r w:rsidR="00CD2B69">
        <w:t>with his</w:t>
      </w:r>
      <w:r w:rsidR="00061282">
        <w:t xml:space="preserve"> pro bono counsel </w:t>
      </w:r>
      <w:r w:rsidR="00CD2B69">
        <w:t xml:space="preserve">only </w:t>
      </w:r>
      <w:r w:rsidR="00061282">
        <w:t xml:space="preserve">and discharged </w:t>
      </w:r>
      <w:proofErr w:type="spellStart"/>
      <w:r w:rsidR="00CD2B69">
        <w:t>Sprouls</w:t>
      </w:r>
      <w:proofErr w:type="spellEnd"/>
      <w:r w:rsidR="00061282">
        <w:t xml:space="preserve">.  </w:t>
      </w:r>
      <w:r w:rsidR="00061282">
        <w:lastRenderedPageBreak/>
        <w:t>Granados’ new counsel filed a supplemental brief in the Ninth Circuit alleg</w:t>
      </w:r>
      <w:r w:rsidR="00C538EE">
        <w:t>ing</w:t>
      </w:r>
      <w:r w:rsidR="00061282">
        <w:t xml:space="preserve"> ineffective </w:t>
      </w:r>
      <w:r w:rsidR="00EC6888">
        <w:t xml:space="preserve">assistance of </w:t>
      </w:r>
      <w:r w:rsidR="00061282">
        <w:t>counsel</w:t>
      </w:r>
      <w:r w:rsidR="00EC6888">
        <w:t xml:space="preserve"> (</w:t>
      </w:r>
      <w:proofErr w:type="spellStart"/>
      <w:r w:rsidR="00EC6888">
        <w:t>IAC</w:t>
      </w:r>
      <w:proofErr w:type="spellEnd"/>
      <w:r w:rsidR="00EC6888">
        <w:t>)</w:t>
      </w:r>
      <w:r w:rsidR="00061282">
        <w:t xml:space="preserve"> </w:t>
      </w:r>
      <w:r w:rsidR="00CD2B69">
        <w:t xml:space="preserve">by </w:t>
      </w:r>
      <w:proofErr w:type="spellStart"/>
      <w:r w:rsidR="00CD2B69">
        <w:t>Sprouls</w:t>
      </w:r>
      <w:proofErr w:type="spellEnd"/>
      <w:r w:rsidR="00EB0AE7">
        <w:t>.</w:t>
      </w:r>
    </w:p>
    <w:p w:rsidR="00DF3920" w:rsidRDefault="00DF3920" w:rsidP="00DF3920">
      <w:pPr>
        <w:rPr>
          <w:color w:val="000000"/>
        </w:rPr>
      </w:pPr>
      <w:r>
        <w:rPr>
          <w:color w:val="000000"/>
        </w:rPr>
        <w:tab/>
        <w:t xml:space="preserve">In </w:t>
      </w:r>
      <w:r w:rsidRPr="00470F0E">
        <w:rPr>
          <w:color w:val="000000"/>
        </w:rPr>
        <w:t xml:space="preserve">October 2007, the Ninth Circuit issued a memorandum granting </w:t>
      </w:r>
      <w:r w:rsidR="00617C18">
        <w:rPr>
          <w:color w:val="000000"/>
        </w:rPr>
        <w:t>Granados’</w:t>
      </w:r>
      <w:r>
        <w:rPr>
          <w:color w:val="000000"/>
        </w:rPr>
        <w:t xml:space="preserve"> </w:t>
      </w:r>
      <w:r w:rsidRPr="00470F0E">
        <w:rPr>
          <w:color w:val="000000"/>
        </w:rPr>
        <w:t xml:space="preserve">petition for review and remanding the </w:t>
      </w:r>
      <w:r>
        <w:rPr>
          <w:color w:val="000000"/>
        </w:rPr>
        <w:t xml:space="preserve">matter </w:t>
      </w:r>
      <w:r w:rsidRPr="00470F0E">
        <w:rPr>
          <w:color w:val="000000"/>
        </w:rPr>
        <w:t>to the BIA</w:t>
      </w:r>
      <w:r>
        <w:rPr>
          <w:color w:val="000000"/>
        </w:rPr>
        <w:t xml:space="preserve"> for further proceedings</w:t>
      </w:r>
      <w:r w:rsidRPr="00470F0E">
        <w:rPr>
          <w:color w:val="000000"/>
        </w:rPr>
        <w:t>.</w:t>
      </w:r>
      <w:r>
        <w:rPr>
          <w:color w:val="000000"/>
        </w:rPr>
        <w:t xml:space="preserve">  </w:t>
      </w:r>
      <w:r w:rsidRPr="008D7D7E">
        <w:rPr>
          <w:color w:val="000000"/>
        </w:rPr>
        <w:t>In that memorandum</w:t>
      </w:r>
      <w:r>
        <w:rPr>
          <w:color w:val="000000"/>
        </w:rPr>
        <w:t>,</w:t>
      </w:r>
      <w:r w:rsidRPr="008D7D7E">
        <w:rPr>
          <w:color w:val="000000"/>
        </w:rPr>
        <w:t xml:space="preserve"> the </w:t>
      </w:r>
      <w:r>
        <w:rPr>
          <w:color w:val="000000"/>
        </w:rPr>
        <w:t xml:space="preserve">Ninth Circuit held </w:t>
      </w:r>
      <w:r w:rsidRPr="008D7D7E">
        <w:rPr>
          <w:color w:val="000000"/>
        </w:rPr>
        <w:t xml:space="preserve">that </w:t>
      </w:r>
      <w:proofErr w:type="spellStart"/>
      <w:r w:rsidR="00AC7B3F">
        <w:rPr>
          <w:color w:val="000000"/>
        </w:rPr>
        <w:t>Sprouls’s</w:t>
      </w:r>
      <w:proofErr w:type="spellEnd"/>
      <w:r w:rsidRPr="008D7D7E">
        <w:rPr>
          <w:color w:val="000000"/>
        </w:rPr>
        <w:t xml:space="preserve"> deficient performance </w:t>
      </w:r>
      <w:r>
        <w:rPr>
          <w:color w:val="000000"/>
        </w:rPr>
        <w:t xml:space="preserve">was </w:t>
      </w:r>
      <w:r w:rsidRPr="008D7D7E">
        <w:rPr>
          <w:color w:val="000000"/>
        </w:rPr>
        <w:t xml:space="preserve">“plain on the face of the administrative record and rises to the level of a due process violation because Granados </w:t>
      </w:r>
      <w:r>
        <w:rPr>
          <w:color w:val="000000"/>
        </w:rPr>
        <w:t>‘</w:t>
      </w:r>
      <w:r w:rsidRPr="008D7D7E">
        <w:rPr>
          <w:color w:val="000000"/>
        </w:rPr>
        <w:t>was prevented from reasonably representing his case.</w:t>
      </w:r>
      <w:r>
        <w:rPr>
          <w:color w:val="000000"/>
        </w:rPr>
        <w:t>’  [Citations.]</w:t>
      </w:r>
      <w:r w:rsidRPr="008D7D7E">
        <w:rPr>
          <w:color w:val="000000"/>
        </w:rPr>
        <w:t xml:space="preserve">”  </w:t>
      </w:r>
      <w:r>
        <w:rPr>
          <w:color w:val="000000"/>
        </w:rPr>
        <w:t xml:space="preserve">In addition, the Ninth Circuit held that </w:t>
      </w:r>
      <w:proofErr w:type="spellStart"/>
      <w:r w:rsidR="00263AD1">
        <w:rPr>
          <w:color w:val="000000"/>
        </w:rPr>
        <w:t>Sprouls</w:t>
      </w:r>
      <w:proofErr w:type="spellEnd"/>
      <w:r>
        <w:rPr>
          <w:color w:val="000000"/>
        </w:rPr>
        <w:t xml:space="preserve"> “presented </w:t>
      </w:r>
      <w:r w:rsidRPr="00470F0E">
        <w:rPr>
          <w:color w:val="000000"/>
        </w:rPr>
        <w:t xml:space="preserve">an incomplete and grammatically flawed motion to reopen, failed to comply with any of the </w:t>
      </w:r>
      <w:proofErr w:type="spellStart"/>
      <w:r w:rsidR="005C408A">
        <w:rPr>
          <w:i/>
          <w:color w:val="000000"/>
        </w:rPr>
        <w:t>Lozada</w:t>
      </w:r>
      <w:proofErr w:type="spellEnd"/>
      <w:r w:rsidR="005C408A">
        <w:rPr>
          <w:color w:val="000000"/>
        </w:rPr>
        <w:t xml:space="preserve"> requirements </w:t>
      </w:r>
      <w:r w:rsidR="00623DA8">
        <w:rPr>
          <w:color w:val="000000"/>
        </w:rPr>
        <w:t>[</w:t>
      </w:r>
      <w:r w:rsidR="00623DA8" w:rsidRPr="009720D7">
        <w:rPr>
          <w:i/>
          <w:color w:val="000000"/>
        </w:rPr>
        <w:t xml:space="preserve">Matter of </w:t>
      </w:r>
      <w:proofErr w:type="spellStart"/>
      <w:r w:rsidR="00623DA8" w:rsidRPr="009720D7">
        <w:rPr>
          <w:i/>
          <w:color w:val="000000"/>
        </w:rPr>
        <w:t>Lozada</w:t>
      </w:r>
      <w:proofErr w:type="spellEnd"/>
      <w:r w:rsidR="00623DA8">
        <w:rPr>
          <w:color w:val="000000"/>
        </w:rPr>
        <w:t xml:space="preserve"> (BIA 1988) 19 </w:t>
      </w:r>
      <w:proofErr w:type="spellStart"/>
      <w:r w:rsidR="00623DA8">
        <w:rPr>
          <w:color w:val="000000"/>
        </w:rPr>
        <w:t>I&amp;N</w:t>
      </w:r>
      <w:proofErr w:type="spellEnd"/>
      <w:r w:rsidR="00623DA8">
        <w:rPr>
          <w:color w:val="000000"/>
        </w:rPr>
        <w:t xml:space="preserve"> D</w:t>
      </w:r>
      <w:r w:rsidR="005C408A">
        <w:rPr>
          <w:color w:val="000000"/>
        </w:rPr>
        <w:t>e</w:t>
      </w:r>
      <w:r w:rsidR="00623DA8">
        <w:rPr>
          <w:color w:val="000000"/>
        </w:rPr>
        <w:t>c. 637</w:t>
      </w:r>
      <w:r w:rsidR="009720D7">
        <w:rPr>
          <w:color w:val="000000"/>
        </w:rPr>
        <w:t xml:space="preserve">] </w:t>
      </w:r>
      <w:r w:rsidRPr="00470F0E">
        <w:rPr>
          <w:color w:val="000000"/>
        </w:rPr>
        <w:t xml:space="preserve">for an </w:t>
      </w:r>
      <w:proofErr w:type="spellStart"/>
      <w:r>
        <w:rPr>
          <w:color w:val="000000"/>
        </w:rPr>
        <w:t>IAC</w:t>
      </w:r>
      <w:proofErr w:type="spellEnd"/>
      <w:r>
        <w:rPr>
          <w:color w:val="000000"/>
        </w:rPr>
        <w:t xml:space="preserve"> </w:t>
      </w:r>
      <w:r w:rsidRPr="00470F0E">
        <w:rPr>
          <w:color w:val="000000"/>
        </w:rPr>
        <w:t>claim, failed to investigate or elicit mate</w:t>
      </w:r>
      <w:r w:rsidR="006E55B2">
        <w:rPr>
          <w:color w:val="000000"/>
        </w:rPr>
        <w:t>rial facts relevant to Granados’</w:t>
      </w:r>
      <w:r w:rsidRPr="00470F0E">
        <w:rPr>
          <w:color w:val="000000"/>
        </w:rPr>
        <w:t xml:space="preserve"> individual case, failed to provide </w:t>
      </w:r>
      <w:r w:rsidR="006E55B2">
        <w:rPr>
          <w:color w:val="000000"/>
        </w:rPr>
        <w:t xml:space="preserve">Granados </w:t>
      </w:r>
      <w:r w:rsidRPr="00470F0E">
        <w:rPr>
          <w:color w:val="000000"/>
        </w:rPr>
        <w:t>a translated version of the motion to reopen to Granados</w:t>
      </w:r>
      <w:r>
        <w:rPr>
          <w:color w:val="000000"/>
        </w:rPr>
        <w:t>,</w:t>
      </w:r>
      <w:r w:rsidRPr="00470F0E">
        <w:rPr>
          <w:color w:val="000000"/>
        </w:rPr>
        <w:t xml:space="preserve"> and </w:t>
      </w:r>
      <w:r>
        <w:rPr>
          <w:color w:val="000000"/>
        </w:rPr>
        <w:t xml:space="preserve">on his own initiative included </w:t>
      </w:r>
      <w:r w:rsidRPr="00470F0E">
        <w:rPr>
          <w:color w:val="000000"/>
        </w:rPr>
        <w:t>false statements of fact.</w:t>
      </w:r>
      <w:r>
        <w:rPr>
          <w:color w:val="000000"/>
        </w:rPr>
        <w:t>”</w:t>
      </w:r>
      <w:r w:rsidRPr="00470F0E">
        <w:rPr>
          <w:color w:val="000000"/>
        </w:rPr>
        <w:t xml:space="preserve">  The </w:t>
      </w:r>
      <w:r>
        <w:rPr>
          <w:color w:val="000000"/>
        </w:rPr>
        <w:t xml:space="preserve">Ninth Circuit also concluded that </w:t>
      </w:r>
      <w:proofErr w:type="spellStart"/>
      <w:r w:rsidR="00AC7B3F">
        <w:rPr>
          <w:color w:val="000000"/>
        </w:rPr>
        <w:t>Sprouls’s</w:t>
      </w:r>
      <w:proofErr w:type="spellEnd"/>
      <w:r w:rsidR="00263AD1">
        <w:rPr>
          <w:color w:val="000000"/>
        </w:rPr>
        <w:t xml:space="preserve"> failures</w:t>
      </w:r>
      <w:r w:rsidRPr="00470F0E">
        <w:rPr>
          <w:color w:val="000000"/>
        </w:rPr>
        <w:t xml:space="preserve"> prejudiced </w:t>
      </w:r>
      <w:r w:rsidR="00263AD1">
        <w:rPr>
          <w:color w:val="000000"/>
        </w:rPr>
        <w:t>his client</w:t>
      </w:r>
      <w:r w:rsidRPr="00470F0E">
        <w:rPr>
          <w:color w:val="000000"/>
        </w:rPr>
        <w:t xml:space="preserve"> because</w:t>
      </w:r>
      <w:r>
        <w:rPr>
          <w:color w:val="000000"/>
        </w:rPr>
        <w:t xml:space="preserve"> </w:t>
      </w:r>
      <w:r w:rsidR="00263AD1">
        <w:rPr>
          <w:color w:val="000000"/>
        </w:rPr>
        <w:t xml:space="preserve">they caused Granados to be denied the relief he sought. </w:t>
      </w:r>
    </w:p>
    <w:p w:rsidR="00DF3920" w:rsidRPr="00DF3920" w:rsidRDefault="00DF3920" w:rsidP="00DF3920">
      <w:pPr>
        <w:pStyle w:val="ListParagraph"/>
        <w:numPr>
          <w:ilvl w:val="0"/>
          <w:numId w:val="17"/>
        </w:numPr>
        <w:rPr>
          <w:b/>
          <w:color w:val="000000"/>
        </w:rPr>
      </w:pPr>
      <w:r w:rsidRPr="00DF3920">
        <w:rPr>
          <w:b/>
          <w:color w:val="000000"/>
        </w:rPr>
        <w:t>Conclusions of Law</w:t>
      </w:r>
    </w:p>
    <w:p w:rsidR="00C538EE" w:rsidRDefault="00DF3920" w:rsidP="00C538EE">
      <w:pPr>
        <w:ind w:firstLine="720"/>
      </w:pPr>
      <w:r>
        <w:t>T</w:t>
      </w:r>
      <w:r w:rsidR="007126CF">
        <w:t xml:space="preserve">he hearing judge concluded that </w:t>
      </w:r>
      <w:proofErr w:type="spellStart"/>
      <w:r w:rsidR="00C746E6">
        <w:t>Sprouls</w:t>
      </w:r>
      <w:proofErr w:type="spellEnd"/>
      <w:r w:rsidR="001D2176">
        <w:t xml:space="preserve"> </w:t>
      </w:r>
      <w:r w:rsidR="002B3DD5">
        <w:t xml:space="preserve">willfully violated rule 3-110(A) </w:t>
      </w:r>
      <w:r w:rsidR="001763AF">
        <w:t xml:space="preserve">when he filed the motion to reopen without complying with the </w:t>
      </w:r>
      <w:proofErr w:type="spellStart"/>
      <w:r w:rsidR="009720D7">
        <w:t>IAC</w:t>
      </w:r>
      <w:proofErr w:type="spellEnd"/>
      <w:r w:rsidR="001763AF">
        <w:t xml:space="preserve"> requirements.  </w:t>
      </w:r>
      <w:proofErr w:type="spellStart"/>
      <w:r w:rsidR="00263AD1">
        <w:t>Sprouls</w:t>
      </w:r>
      <w:proofErr w:type="spellEnd"/>
      <w:r w:rsidR="00263AD1">
        <w:t xml:space="preserve"> delegated the preparation of legal documents to non</w:t>
      </w:r>
      <w:r w:rsidR="00AB72A6">
        <w:t>-</w:t>
      </w:r>
      <w:r w:rsidR="00263AD1">
        <w:t xml:space="preserve">lawyers in his office and failed to supervise them adequately.  </w:t>
      </w:r>
      <w:r w:rsidR="008F0B72">
        <w:t xml:space="preserve">However, based largely on a positive credibility determination of </w:t>
      </w:r>
      <w:proofErr w:type="spellStart"/>
      <w:r w:rsidR="008F0B72">
        <w:t>Sprouls</w:t>
      </w:r>
      <w:proofErr w:type="spellEnd"/>
      <w:r w:rsidR="008F0B72">
        <w:t xml:space="preserve">, the hearing judge found </w:t>
      </w:r>
      <w:proofErr w:type="spellStart"/>
      <w:r w:rsidR="008F0B72">
        <w:t>Sprouls</w:t>
      </w:r>
      <w:proofErr w:type="spellEnd"/>
      <w:r w:rsidR="008F0B72">
        <w:t xml:space="preserve"> </w:t>
      </w:r>
      <w:r w:rsidR="002B3DD5">
        <w:t xml:space="preserve">did not commit moral turpitude or seek to mislead a court. </w:t>
      </w:r>
      <w:r w:rsidR="008F0B72">
        <w:t>The State Bar does not challenge these culpability findings, and based on our independent review, w</w:t>
      </w:r>
      <w:r w:rsidR="002B3DD5">
        <w:t>e adopt the hearin</w:t>
      </w:r>
      <w:r w:rsidR="007870F1">
        <w:t xml:space="preserve">g judge’s conclusions. </w:t>
      </w:r>
    </w:p>
    <w:p w:rsidR="005C408A" w:rsidRDefault="005C408A" w:rsidP="00C538EE">
      <w:pPr>
        <w:ind w:firstLine="720"/>
      </w:pPr>
    </w:p>
    <w:p w:rsidR="005C408A" w:rsidRDefault="005C408A" w:rsidP="00C538EE">
      <w:pPr>
        <w:ind w:firstLine="720"/>
      </w:pPr>
    </w:p>
    <w:p w:rsidR="00E6547F" w:rsidRDefault="00C538EE" w:rsidP="00C538EE">
      <w:r>
        <w:rPr>
          <w:b/>
        </w:rPr>
        <w:lastRenderedPageBreak/>
        <w:t>C.</w:t>
      </w:r>
      <w:r>
        <w:rPr>
          <w:b/>
        </w:rPr>
        <w:tab/>
      </w:r>
      <w:r w:rsidR="008730ED" w:rsidRPr="00947D66">
        <w:rPr>
          <w:b/>
        </w:rPr>
        <w:t>M</w:t>
      </w:r>
      <w:r w:rsidR="00B233B4" w:rsidRPr="00947D66">
        <w:rPr>
          <w:b/>
        </w:rPr>
        <w:t>itigation and Aggravation</w:t>
      </w:r>
    </w:p>
    <w:p w:rsidR="00B233B4" w:rsidRDefault="00CA1790" w:rsidP="00B233B4">
      <w:pPr>
        <w:pStyle w:val="ListParagraph"/>
        <w:ind w:left="0"/>
      </w:pPr>
      <w:r>
        <w:tab/>
      </w:r>
      <w:r w:rsidRPr="00BC7192">
        <w:t>We determine the appropriate discipline in light of all relevant circumstances, including mitigating and aggravating factors.  (</w:t>
      </w:r>
      <w:r w:rsidRPr="005D0980">
        <w:rPr>
          <w:i/>
        </w:rPr>
        <w:t>Gary v. State Bar</w:t>
      </w:r>
      <w:r w:rsidRPr="00BC7192">
        <w:t xml:space="preserve"> (1988) 44 </w:t>
      </w:r>
      <w:proofErr w:type="spellStart"/>
      <w:r w:rsidRPr="00BC7192">
        <w:t>Cal.3d</w:t>
      </w:r>
      <w:proofErr w:type="spellEnd"/>
      <w:r w:rsidRPr="00BC7192">
        <w:t xml:space="preserve"> 820, 828.)  </w:t>
      </w:r>
      <w:r>
        <w:t>The State Bar</w:t>
      </w:r>
      <w:r w:rsidRPr="00BC7192">
        <w:t xml:space="preserve"> must establish </w:t>
      </w:r>
      <w:r>
        <w:t>aggravation</w:t>
      </w:r>
      <w:r w:rsidRPr="00BC7192">
        <w:t xml:space="preserve"> by clear and convincing evidence, while </w:t>
      </w:r>
      <w:proofErr w:type="spellStart"/>
      <w:r>
        <w:t>Sprouls</w:t>
      </w:r>
      <w:proofErr w:type="spellEnd"/>
      <w:r w:rsidRPr="00BC7192">
        <w:t xml:space="preserve"> has the same burden of proof for </w:t>
      </w:r>
      <w:r>
        <w:t>mitigating</w:t>
      </w:r>
      <w:r w:rsidRPr="00BC7192">
        <w:t xml:space="preserve"> circumstances.  (Rules Proc. of State Bar, tit. IV, </w:t>
      </w:r>
      <w:proofErr w:type="spellStart"/>
      <w:r w:rsidRPr="00BC7192">
        <w:t>Stds</w:t>
      </w:r>
      <w:proofErr w:type="spellEnd"/>
      <w:r w:rsidRPr="00BC7192">
        <w:t xml:space="preserve">. for Atty. Sanctions for Prof. Misconduct, </w:t>
      </w:r>
      <w:proofErr w:type="spellStart"/>
      <w:r w:rsidRPr="00BC7192">
        <w:t>stds</w:t>
      </w:r>
      <w:proofErr w:type="spellEnd"/>
      <w:r w:rsidRPr="00BC7192">
        <w:t>. 1.2(</w:t>
      </w:r>
      <w:r w:rsidR="006B3AB6">
        <w:t>b</w:t>
      </w:r>
      <w:r w:rsidRPr="00BC7192">
        <w:t>) &amp; 1.2(</w:t>
      </w:r>
      <w:r w:rsidR="006B3AB6">
        <w:t>e</w:t>
      </w:r>
      <w:r w:rsidRPr="00BC7192">
        <w:t>).</w:t>
      </w:r>
      <w:r>
        <w:rPr>
          <w:rStyle w:val="FootnoteReference"/>
        </w:rPr>
        <w:footnoteReference w:id="7"/>
      </w:r>
      <w:r w:rsidR="00EF11EC">
        <w:t>)</w:t>
      </w:r>
    </w:p>
    <w:p w:rsidR="00CA1790" w:rsidRPr="00B233B4" w:rsidRDefault="00CA1790" w:rsidP="00B233B4">
      <w:pPr>
        <w:pStyle w:val="ListParagraph"/>
        <w:numPr>
          <w:ilvl w:val="0"/>
          <w:numId w:val="20"/>
        </w:numPr>
      </w:pPr>
      <w:r w:rsidRPr="00B233B4">
        <w:rPr>
          <w:b/>
        </w:rPr>
        <w:t>Mitigation</w:t>
      </w:r>
    </w:p>
    <w:p w:rsidR="00B21CAD" w:rsidRDefault="00D91EA4" w:rsidP="00D91EA4">
      <w:pPr>
        <w:ind w:firstLine="720"/>
      </w:pPr>
      <w:r>
        <w:t xml:space="preserve">In mitigation, the hearing judge considered several factors </w:t>
      </w:r>
      <w:r w:rsidR="006813BC">
        <w:t>that</w:t>
      </w:r>
      <w:r>
        <w:t xml:space="preserve"> she deemed compelling</w:t>
      </w:r>
      <w:r w:rsidR="006D36CB">
        <w:t>,</w:t>
      </w:r>
      <w:r w:rsidR="00047925">
        <w:t xml:space="preserve"> and </w:t>
      </w:r>
      <w:r w:rsidR="006D36CB">
        <w:t xml:space="preserve">with minor modifications, </w:t>
      </w:r>
      <w:r w:rsidR="00047925">
        <w:t xml:space="preserve">we </w:t>
      </w:r>
      <w:r w:rsidR="006D36CB">
        <w:t xml:space="preserve">adopt </w:t>
      </w:r>
      <w:r w:rsidR="00EF11EC">
        <w:t xml:space="preserve">the following </w:t>
      </w:r>
      <w:r w:rsidR="006D36CB">
        <w:t>findings</w:t>
      </w:r>
      <w:r w:rsidR="00EF11EC">
        <w:t>:</w:t>
      </w:r>
      <w:r w:rsidR="006D36CB">
        <w:t xml:space="preserve">  </w:t>
      </w:r>
      <w:proofErr w:type="spellStart"/>
      <w:r w:rsidR="00047925">
        <w:t>Sprouls</w:t>
      </w:r>
      <w:proofErr w:type="spellEnd"/>
      <w:r w:rsidR="00047925">
        <w:t xml:space="preserve"> </w:t>
      </w:r>
      <w:r w:rsidR="002A6D58">
        <w:t>has no prior record of discipline</w:t>
      </w:r>
      <w:r w:rsidR="00C538EE">
        <w:t xml:space="preserve"> in 10 years</w:t>
      </w:r>
      <w:r w:rsidR="002A6D58">
        <w:t xml:space="preserve"> (std. 1.2(e)(</w:t>
      </w:r>
      <w:proofErr w:type="spellStart"/>
      <w:r w:rsidR="002A6D58">
        <w:t>i</w:t>
      </w:r>
      <w:proofErr w:type="spellEnd"/>
      <w:r w:rsidR="002A6D58">
        <w:t>))</w:t>
      </w:r>
      <w:r w:rsidR="00C538EE">
        <w:t>;</w:t>
      </w:r>
      <w:r w:rsidR="002A6D58">
        <w:t xml:space="preserve"> he </w:t>
      </w:r>
      <w:r w:rsidR="00047925">
        <w:t xml:space="preserve">presented </w:t>
      </w:r>
      <w:r w:rsidR="00A6771B">
        <w:t>significant</w:t>
      </w:r>
      <w:r w:rsidR="00CA1790">
        <w:t xml:space="preserve"> </w:t>
      </w:r>
      <w:r w:rsidR="00047925">
        <w:t>evidence</w:t>
      </w:r>
      <w:r w:rsidR="006D36CB">
        <w:t xml:space="preserve"> of his good character</w:t>
      </w:r>
      <w:r w:rsidR="00047925">
        <w:t xml:space="preserve"> </w:t>
      </w:r>
      <w:r w:rsidR="00325B75">
        <w:t xml:space="preserve">and pro bono service </w:t>
      </w:r>
      <w:r w:rsidR="00047925">
        <w:t>(std. 1.2(e)(vi)</w:t>
      </w:r>
      <w:r w:rsidR="002A6D58">
        <w:t>)</w:t>
      </w:r>
      <w:r w:rsidR="005C408A">
        <w:t xml:space="preserve">; and </w:t>
      </w:r>
      <w:r w:rsidR="006E55B2">
        <w:t xml:space="preserve">he </w:t>
      </w:r>
      <w:r w:rsidR="00325B75">
        <w:t xml:space="preserve">showed </w:t>
      </w:r>
      <w:r>
        <w:t>re</w:t>
      </w:r>
      <w:r w:rsidR="002A6D58">
        <w:t xml:space="preserve">morse and acknowledgement of his wrongdoing, along with </w:t>
      </w:r>
      <w:r>
        <w:t>remedial steps</w:t>
      </w:r>
      <w:r w:rsidR="006813BC">
        <w:t xml:space="preserve"> </w:t>
      </w:r>
      <w:r w:rsidR="002A6D58">
        <w:t xml:space="preserve">to rectify the consequences of his actions (std. 1.2(vii)).  Finally, we also </w:t>
      </w:r>
      <w:r w:rsidR="006D36CB">
        <w:t xml:space="preserve">give </w:t>
      </w:r>
      <w:r w:rsidR="00CA1790">
        <w:t>weight to t</w:t>
      </w:r>
      <w:r w:rsidR="002A6D58">
        <w:t xml:space="preserve">he mitigating circumstances surrounding the </w:t>
      </w:r>
      <w:proofErr w:type="spellStart"/>
      <w:r w:rsidR="002A6D58">
        <w:t>EOIR’s</w:t>
      </w:r>
      <w:proofErr w:type="spellEnd"/>
      <w:r w:rsidR="002A6D58">
        <w:t xml:space="preserve"> pilot program and the impact </w:t>
      </w:r>
      <w:r w:rsidR="00325B75">
        <w:t xml:space="preserve">it had </w:t>
      </w:r>
      <w:r w:rsidR="006E55B2">
        <w:t xml:space="preserve">on </w:t>
      </w:r>
      <w:proofErr w:type="spellStart"/>
      <w:r w:rsidR="00AC7B3F">
        <w:t>Sprouls’s</w:t>
      </w:r>
      <w:proofErr w:type="spellEnd"/>
      <w:r w:rsidR="002A6D58">
        <w:t xml:space="preserve"> practice.</w:t>
      </w:r>
    </w:p>
    <w:p w:rsidR="00560130" w:rsidRDefault="00AC7B3F" w:rsidP="00D91EA4">
      <w:pPr>
        <w:ind w:firstLine="720"/>
      </w:pPr>
      <w:proofErr w:type="spellStart"/>
      <w:r>
        <w:t>Sprouls’s</w:t>
      </w:r>
      <w:proofErr w:type="spellEnd"/>
      <w:r w:rsidR="00D91EA4">
        <w:t xml:space="preserve"> </w:t>
      </w:r>
      <w:r w:rsidR="00CD7547">
        <w:t>character</w:t>
      </w:r>
      <w:r w:rsidR="00D91EA4">
        <w:t xml:space="preserve"> evidence </w:t>
      </w:r>
      <w:r w:rsidR="00CD7547">
        <w:t>from</w:t>
      </w:r>
      <w:r w:rsidR="00D91EA4">
        <w:t xml:space="preserve"> 14 attorneys</w:t>
      </w:r>
      <w:r w:rsidR="002A6D58">
        <w:t xml:space="preserve"> </w:t>
      </w:r>
      <w:r w:rsidR="00CD7547">
        <w:t xml:space="preserve">and </w:t>
      </w:r>
      <w:r w:rsidR="00D91EA4">
        <w:t>a San Francisco Superior Court judge</w:t>
      </w:r>
      <w:r w:rsidR="00C538EE">
        <w:t xml:space="preserve"> is worthy of serious consideration</w:t>
      </w:r>
      <w:r w:rsidR="00D91EA4">
        <w:t>.</w:t>
      </w:r>
      <w:r w:rsidR="00550DD8">
        <w:t xml:space="preserve"> </w:t>
      </w:r>
      <w:r w:rsidR="00D91EA4">
        <w:t xml:space="preserve"> Although some of the </w:t>
      </w:r>
      <w:r w:rsidR="0059728E">
        <w:t>witnesses</w:t>
      </w:r>
      <w:r w:rsidR="00D91EA4">
        <w:t xml:space="preserve"> </w:t>
      </w:r>
      <w:r w:rsidR="00550DD8">
        <w:t xml:space="preserve">were not very </w:t>
      </w:r>
      <w:r w:rsidR="00D91EA4">
        <w:t xml:space="preserve">familiar with </w:t>
      </w:r>
      <w:proofErr w:type="spellStart"/>
      <w:r>
        <w:t>Sprouls’s</w:t>
      </w:r>
      <w:proofErr w:type="spellEnd"/>
      <w:r w:rsidR="00550DD8">
        <w:t xml:space="preserve"> misconduct</w:t>
      </w:r>
      <w:r w:rsidR="00D91EA4">
        <w:t xml:space="preserve">, those who did know </w:t>
      </w:r>
      <w:r w:rsidR="00C538EE">
        <w:t xml:space="preserve">about it </w:t>
      </w:r>
      <w:r w:rsidR="00550DD8">
        <w:t xml:space="preserve">still maintained high </w:t>
      </w:r>
      <w:r w:rsidR="00D91EA4">
        <w:t xml:space="preserve">opinions of </w:t>
      </w:r>
      <w:r w:rsidR="00550DD8">
        <w:t>his</w:t>
      </w:r>
      <w:r w:rsidR="00D91EA4">
        <w:t xml:space="preserve"> character and integrity.  All </w:t>
      </w:r>
      <w:r w:rsidR="00550DD8">
        <w:t xml:space="preserve">of the </w:t>
      </w:r>
      <w:r w:rsidR="00D91EA4">
        <w:t xml:space="preserve">witnesses </w:t>
      </w:r>
      <w:r w:rsidR="00550DD8">
        <w:t xml:space="preserve">had </w:t>
      </w:r>
      <w:r w:rsidR="00EB0AE7">
        <w:t>great</w:t>
      </w:r>
      <w:r w:rsidR="00D91EA4">
        <w:t xml:space="preserve"> </w:t>
      </w:r>
      <w:r w:rsidR="00550DD8">
        <w:t>regard for</w:t>
      </w:r>
      <w:r w:rsidR="001D2176">
        <w:t xml:space="preserve"> </w:t>
      </w:r>
      <w:proofErr w:type="spellStart"/>
      <w:r>
        <w:t>Sprouls’s</w:t>
      </w:r>
      <w:proofErr w:type="spellEnd"/>
      <w:r w:rsidR="00D91EA4">
        <w:t xml:space="preserve"> knowledge </w:t>
      </w:r>
      <w:r w:rsidR="00550DD8">
        <w:t>of</w:t>
      </w:r>
      <w:r w:rsidR="00D91EA4">
        <w:t xml:space="preserve"> immigration law and his unselfishness </w:t>
      </w:r>
      <w:r w:rsidR="001879A8">
        <w:t>in sharing</w:t>
      </w:r>
      <w:r w:rsidR="00D91EA4">
        <w:t xml:space="preserve"> </w:t>
      </w:r>
      <w:r w:rsidR="00582931">
        <w:t>it</w:t>
      </w:r>
      <w:r w:rsidR="00D91EA4">
        <w:t xml:space="preserve"> with other attorneys.  Several witnesses considered </w:t>
      </w:r>
      <w:r w:rsidR="00582931">
        <w:t>him</w:t>
      </w:r>
      <w:r w:rsidR="00D91EA4">
        <w:t xml:space="preserve"> their mentor when they </w:t>
      </w:r>
      <w:r w:rsidR="00BE487C">
        <w:t xml:space="preserve">began to practice immigration law.  All </w:t>
      </w:r>
      <w:r w:rsidR="00C538EE">
        <w:t xml:space="preserve">of the </w:t>
      </w:r>
      <w:r w:rsidR="00BE487C">
        <w:t xml:space="preserve">witnesses who testified considered </w:t>
      </w:r>
      <w:proofErr w:type="spellStart"/>
      <w:r w:rsidR="00582931">
        <w:t>Sprouls</w:t>
      </w:r>
      <w:proofErr w:type="spellEnd"/>
      <w:r w:rsidR="00582931">
        <w:t xml:space="preserve"> to be</w:t>
      </w:r>
      <w:r w:rsidR="00BE487C">
        <w:t xml:space="preserve"> devoted to his clients</w:t>
      </w:r>
      <w:r w:rsidR="00582931">
        <w:t xml:space="preserve">, including </w:t>
      </w:r>
      <w:r w:rsidR="00BE487C">
        <w:t xml:space="preserve">those he served </w:t>
      </w:r>
      <w:r w:rsidR="00582931">
        <w:t xml:space="preserve">on a </w:t>
      </w:r>
      <w:r w:rsidR="00BE487C">
        <w:t>pro bono</w:t>
      </w:r>
      <w:r w:rsidR="00582931">
        <w:t xml:space="preserve"> basis</w:t>
      </w:r>
      <w:r w:rsidR="00BE487C">
        <w:t>.</w:t>
      </w:r>
      <w:r w:rsidR="00560130">
        <w:t xml:space="preserve">  </w:t>
      </w:r>
    </w:p>
    <w:p w:rsidR="003561E5" w:rsidRDefault="00560130" w:rsidP="003561E5">
      <w:pPr>
        <w:ind w:firstLine="720"/>
      </w:pPr>
      <w:r>
        <w:lastRenderedPageBreak/>
        <w:t xml:space="preserve">In further support of his character, </w:t>
      </w:r>
      <w:proofErr w:type="spellStart"/>
      <w:r>
        <w:t>Sprouls</w:t>
      </w:r>
      <w:proofErr w:type="spellEnd"/>
      <w:r>
        <w:t xml:space="preserve"> presented evidence of his pro bono service to the San Francisco Bar Association’s Pro Bono Immigration Project.  </w:t>
      </w:r>
      <w:r w:rsidR="0059728E">
        <w:t xml:space="preserve">The State Bar </w:t>
      </w:r>
      <w:r w:rsidR="003D474E">
        <w:t xml:space="preserve">asserts that </w:t>
      </w:r>
      <w:proofErr w:type="spellStart"/>
      <w:r w:rsidR="00AC7B3F">
        <w:t>Sprouls’s</w:t>
      </w:r>
      <w:proofErr w:type="spellEnd"/>
      <w:r w:rsidR="003D474E">
        <w:t xml:space="preserve"> </w:t>
      </w:r>
      <w:r w:rsidR="0059728E">
        <w:t xml:space="preserve">pro bono service </w:t>
      </w:r>
      <w:r w:rsidR="003D474E">
        <w:t xml:space="preserve">should be offset by </w:t>
      </w:r>
      <w:r w:rsidR="0059728E">
        <w:t xml:space="preserve">his disregard of his clients as evidenced in the culpability findings.  </w:t>
      </w:r>
      <w:r w:rsidR="003D474E">
        <w:t>W</w:t>
      </w:r>
      <w:r w:rsidR="0059728E">
        <w:t>e do not agree</w:t>
      </w:r>
      <w:r w:rsidR="003D474E">
        <w:t>, and accord him mitigation for his pro bono service.</w:t>
      </w:r>
    </w:p>
    <w:p w:rsidR="003B62E3" w:rsidRDefault="007B1C94" w:rsidP="003B62E3">
      <w:pPr>
        <w:ind w:firstLine="720"/>
      </w:pPr>
      <w:r>
        <w:t xml:space="preserve">We </w:t>
      </w:r>
      <w:r w:rsidR="00C538EE">
        <w:t>give no</w:t>
      </w:r>
      <w:r>
        <w:t xml:space="preserve"> mitigating weight to the passage of almost five years since the misconduct </w:t>
      </w:r>
      <w:r w:rsidR="00865152">
        <w:t xml:space="preserve">in the Ninth Circuit discipline </w:t>
      </w:r>
      <w:r w:rsidR="003F5499">
        <w:t xml:space="preserve">order </w:t>
      </w:r>
      <w:r w:rsidR="00C538EE">
        <w:t>because</w:t>
      </w:r>
      <w:r w:rsidR="006E55B2">
        <w:t xml:space="preserve"> the problems with </w:t>
      </w:r>
      <w:proofErr w:type="spellStart"/>
      <w:r w:rsidR="00AC7B3F">
        <w:t>Sprouls’s</w:t>
      </w:r>
      <w:proofErr w:type="spellEnd"/>
      <w:r>
        <w:t xml:space="preserve"> office continued in Granados’ case until</w:t>
      </w:r>
      <w:r w:rsidR="003F5499">
        <w:t xml:space="preserve"> at least November 2005 – after the </w:t>
      </w:r>
      <w:proofErr w:type="spellStart"/>
      <w:r w:rsidR="003F5499">
        <w:t>OSC</w:t>
      </w:r>
      <w:proofErr w:type="spellEnd"/>
      <w:r w:rsidR="003F5499">
        <w:t xml:space="preserve"> and </w:t>
      </w:r>
      <w:r w:rsidR="004B3CB3">
        <w:t xml:space="preserve">the Ninth Circuit discipline </w:t>
      </w:r>
      <w:r w:rsidR="003F5499">
        <w:t xml:space="preserve">order </w:t>
      </w:r>
      <w:r w:rsidR="006E55B2">
        <w:t xml:space="preserve">– when </w:t>
      </w:r>
      <w:r w:rsidR="003F5499">
        <w:t xml:space="preserve">he filed his flawed </w:t>
      </w:r>
      <w:r w:rsidR="00427155">
        <w:t>opening brief</w:t>
      </w:r>
      <w:r w:rsidR="003F5499">
        <w:t xml:space="preserve">.  </w:t>
      </w:r>
      <w:r>
        <w:t>We also decline to prov</w:t>
      </w:r>
      <w:r w:rsidR="006E55B2">
        <w:t xml:space="preserve">ide any mitigation for </w:t>
      </w:r>
      <w:proofErr w:type="spellStart"/>
      <w:r w:rsidR="00AC7B3F">
        <w:t>Sprouls’s</w:t>
      </w:r>
      <w:proofErr w:type="spellEnd"/>
      <w:r>
        <w:t xml:space="preserve"> “demonstrated legal abilities and dedication to clients</w:t>
      </w:r>
      <w:r w:rsidR="003B62E3">
        <w:t>.</w:t>
      </w:r>
      <w:r>
        <w:t xml:space="preserve">” </w:t>
      </w:r>
      <w:r w:rsidR="003B62E3">
        <w:t xml:space="preserve"> </w:t>
      </w:r>
      <w:r w:rsidR="00865152">
        <w:t>I</w:t>
      </w:r>
      <w:r>
        <w:t xml:space="preserve">n </w:t>
      </w:r>
      <w:r w:rsidR="00865152">
        <w:t xml:space="preserve">over </w:t>
      </w:r>
      <w:r>
        <w:t>5</w:t>
      </w:r>
      <w:r w:rsidR="00865152">
        <w:t>0 immigration</w:t>
      </w:r>
      <w:r>
        <w:t xml:space="preserve"> cases</w:t>
      </w:r>
      <w:r w:rsidR="006E55B2">
        <w:t>,</w:t>
      </w:r>
      <w:r>
        <w:t xml:space="preserve"> his legal skills were called into question</w:t>
      </w:r>
      <w:r w:rsidR="005C408A">
        <w:t xml:space="preserve"> and, </w:t>
      </w:r>
      <w:r w:rsidR="00865152">
        <w:t xml:space="preserve">as found by the Commissioner, </w:t>
      </w:r>
      <w:r w:rsidR="003B62E3">
        <w:t>demonstrate</w:t>
      </w:r>
      <w:r w:rsidR="006D36CB">
        <w:t>d</w:t>
      </w:r>
      <w:r w:rsidR="003B62E3">
        <w:t xml:space="preserve"> that “</w:t>
      </w:r>
      <w:proofErr w:type="spellStart"/>
      <w:r w:rsidR="003B62E3">
        <w:t>Sprouls</w:t>
      </w:r>
      <w:proofErr w:type="spellEnd"/>
      <w:r w:rsidR="003B62E3">
        <w:t xml:space="preserve"> did not understand some aspects of immigration law and appellate procedure.”  </w:t>
      </w:r>
    </w:p>
    <w:p w:rsidR="00B233B4" w:rsidRPr="003B62E3" w:rsidRDefault="00B233B4" w:rsidP="003B62E3">
      <w:pPr>
        <w:pStyle w:val="ListParagraph"/>
        <w:numPr>
          <w:ilvl w:val="0"/>
          <w:numId w:val="20"/>
        </w:numPr>
        <w:rPr>
          <w:b/>
        </w:rPr>
      </w:pPr>
      <w:r w:rsidRPr="003B62E3">
        <w:rPr>
          <w:b/>
        </w:rPr>
        <w:t>Aggravation</w:t>
      </w:r>
    </w:p>
    <w:p w:rsidR="0021672A" w:rsidRDefault="007C033D" w:rsidP="00D91EA4">
      <w:pPr>
        <w:ind w:firstLine="720"/>
      </w:pPr>
      <w:r>
        <w:t>In</w:t>
      </w:r>
      <w:r w:rsidR="00E753C1">
        <w:t xml:space="preserve"> aggravati</w:t>
      </w:r>
      <w:r>
        <w:t>o</w:t>
      </w:r>
      <w:r w:rsidR="00E753C1">
        <w:t xml:space="preserve">n, the hearing judge concluded that </w:t>
      </w:r>
      <w:proofErr w:type="spellStart"/>
      <w:r>
        <w:t>Sprouls</w:t>
      </w:r>
      <w:proofErr w:type="spellEnd"/>
      <w:r w:rsidR="00C538EE">
        <w:t xml:space="preserve"> committed</w:t>
      </w:r>
      <w:r w:rsidR="00E753C1">
        <w:t xml:space="preserve"> multiple acts of misconduct</w:t>
      </w:r>
      <w:r w:rsidR="00B06285">
        <w:t xml:space="preserve"> (s</w:t>
      </w:r>
      <w:r w:rsidR="00E753C1">
        <w:t>td. 1.2 (b)(ii))</w:t>
      </w:r>
      <w:r w:rsidR="00B06285">
        <w:t>, and significantly harmed the Ninth Circuit’s administration of justice (std. 1.2(b)(iv)).</w:t>
      </w:r>
      <w:r w:rsidR="00E753C1">
        <w:t xml:space="preserve">  </w:t>
      </w:r>
    </w:p>
    <w:p w:rsidR="0021672A" w:rsidRDefault="00EC6888" w:rsidP="00D91EA4">
      <w:pPr>
        <w:ind w:firstLine="720"/>
      </w:pPr>
      <w:r>
        <w:t>We agree with t</w:t>
      </w:r>
      <w:r w:rsidR="00E205BB">
        <w:t xml:space="preserve">he hearing judge’s finding that </w:t>
      </w:r>
      <w:proofErr w:type="spellStart"/>
      <w:r w:rsidR="00AC7B3F">
        <w:t>Sprouls’s</w:t>
      </w:r>
      <w:proofErr w:type="spellEnd"/>
      <w:r w:rsidR="00E205BB">
        <w:t xml:space="preserve"> multiple acts of misconduct </w:t>
      </w:r>
      <w:r w:rsidR="00761C22">
        <w:t>constitute</w:t>
      </w:r>
      <w:r w:rsidR="00E205BB">
        <w:t xml:space="preserve"> an aggravating factor</w:t>
      </w:r>
      <w:r w:rsidR="00CB582A">
        <w:t>, a</w:t>
      </w:r>
      <w:r w:rsidR="001A08AD">
        <w:t xml:space="preserve">s well as a </w:t>
      </w:r>
      <w:r w:rsidR="000454AE">
        <w:t>pattern of misconduct</w:t>
      </w:r>
      <w:r w:rsidR="00E205BB">
        <w:t xml:space="preserve">.  </w:t>
      </w:r>
      <w:r w:rsidR="00CB582A">
        <w:t>(</w:t>
      </w:r>
      <w:r w:rsidR="00CB582A">
        <w:rPr>
          <w:i/>
        </w:rPr>
        <w:t xml:space="preserve">Levin v. State Bar </w:t>
      </w:r>
      <w:r w:rsidR="00CB582A" w:rsidRPr="00AD42F0">
        <w:t>(1989)</w:t>
      </w:r>
      <w:r w:rsidR="00CB582A">
        <w:rPr>
          <w:i/>
        </w:rPr>
        <w:t xml:space="preserve"> </w:t>
      </w:r>
      <w:r w:rsidR="00CB582A" w:rsidRPr="00E36A09">
        <w:t xml:space="preserve">47 </w:t>
      </w:r>
      <w:proofErr w:type="spellStart"/>
      <w:r w:rsidR="00CB582A" w:rsidRPr="00E36A09">
        <w:t>Cal.3d</w:t>
      </w:r>
      <w:proofErr w:type="spellEnd"/>
      <w:r w:rsidR="00CB582A" w:rsidRPr="00E36A09">
        <w:t xml:space="preserve"> 1140, 1149, fn. 14</w:t>
      </w:r>
      <w:r w:rsidR="00CB582A">
        <w:t xml:space="preserve"> [for purposes of aggravation, result is same whether misconduct is characterized as multiple acts or a pattern of misconduct].)  </w:t>
      </w:r>
      <w:r w:rsidR="00E205BB">
        <w:t xml:space="preserve">However, the finding of a pattern </w:t>
      </w:r>
      <w:r w:rsidR="008966CD">
        <w:t xml:space="preserve">in this particular case </w:t>
      </w:r>
      <w:r w:rsidR="00BA1F62">
        <w:t xml:space="preserve">is </w:t>
      </w:r>
      <w:r w:rsidR="00427155">
        <w:t>slightly</w:t>
      </w:r>
      <w:r w:rsidR="00BA1F62">
        <w:t xml:space="preserve"> diminished</w:t>
      </w:r>
      <w:r w:rsidR="00E205BB">
        <w:t xml:space="preserve"> due to the nature and timing of the actions.  In 38 of the </w:t>
      </w:r>
      <w:r w:rsidR="00E35613">
        <w:t xml:space="preserve">51 </w:t>
      </w:r>
      <w:r w:rsidR="00E205BB">
        <w:t>cases</w:t>
      </w:r>
      <w:r w:rsidR="003F5499">
        <w:t xml:space="preserve"> before the Ninth Circuit</w:t>
      </w:r>
      <w:r w:rsidR="00E205BB">
        <w:t xml:space="preserve">, the misconduct resulted from </w:t>
      </w:r>
      <w:proofErr w:type="spellStart"/>
      <w:r w:rsidR="00AC7B3F">
        <w:t>Sprouls’s</w:t>
      </w:r>
      <w:proofErr w:type="spellEnd"/>
      <w:r w:rsidR="00E205BB">
        <w:t xml:space="preserve"> failure to </w:t>
      </w:r>
      <w:r w:rsidR="003F5499">
        <w:t>adequately argue the same</w:t>
      </w:r>
      <w:r w:rsidR="00E205BB">
        <w:t xml:space="preserve"> statutory interpretation</w:t>
      </w:r>
      <w:r w:rsidR="00761C22">
        <w:t xml:space="preserve"> in</w:t>
      </w:r>
      <w:r w:rsidR="008966CD">
        <w:t xml:space="preserve"> his</w:t>
      </w:r>
      <w:r w:rsidR="00761C22">
        <w:t xml:space="preserve"> </w:t>
      </w:r>
      <w:r w:rsidR="00BA1F62">
        <w:t xml:space="preserve">opening </w:t>
      </w:r>
      <w:r w:rsidR="00761C22">
        <w:t>briefs</w:t>
      </w:r>
      <w:r w:rsidR="00E205BB">
        <w:t xml:space="preserve">.  As found by the Commissioner, </w:t>
      </w:r>
      <w:proofErr w:type="spellStart"/>
      <w:r w:rsidR="00E205BB">
        <w:t>Sprouls</w:t>
      </w:r>
      <w:proofErr w:type="spellEnd"/>
      <w:r w:rsidR="00E205BB">
        <w:t xml:space="preserve"> did </w:t>
      </w:r>
      <w:r w:rsidR="00E205BB" w:rsidRPr="009720D7">
        <w:t>not</w:t>
      </w:r>
      <w:r w:rsidR="00E205BB">
        <w:t xml:space="preserve"> act incompetently by </w:t>
      </w:r>
      <w:r w:rsidR="00E205BB" w:rsidRPr="009720D7">
        <w:rPr>
          <w:i/>
        </w:rPr>
        <w:t>raising</w:t>
      </w:r>
      <w:r w:rsidR="00E205BB">
        <w:t xml:space="preserve"> the statutory interpretation issue, but </w:t>
      </w:r>
      <w:r w:rsidR="003F5499">
        <w:t xml:space="preserve">acted incompetently </w:t>
      </w:r>
      <w:r w:rsidR="008966CD">
        <w:t xml:space="preserve">by failing to </w:t>
      </w:r>
      <w:r w:rsidR="00E205BB">
        <w:t xml:space="preserve">sufficiently </w:t>
      </w:r>
      <w:r w:rsidR="008966CD">
        <w:t xml:space="preserve">explain </w:t>
      </w:r>
      <w:r w:rsidR="00E205BB">
        <w:t xml:space="preserve">how his argument could be distinguished from </w:t>
      </w:r>
      <w:r w:rsidR="00E205BB">
        <w:lastRenderedPageBreak/>
        <w:t xml:space="preserve">existing law.  </w:t>
      </w:r>
      <w:r w:rsidR="00E35613">
        <w:t xml:space="preserve">Moreover, all of this misconduct occurred during a relatively </w:t>
      </w:r>
      <w:r w:rsidR="003F5499">
        <w:t>short</w:t>
      </w:r>
      <w:r w:rsidR="00E35613">
        <w:t xml:space="preserve"> period of time during the </w:t>
      </w:r>
      <w:proofErr w:type="spellStart"/>
      <w:r w:rsidR="00E35613">
        <w:t>EOIR’s</w:t>
      </w:r>
      <w:proofErr w:type="spellEnd"/>
      <w:r w:rsidR="00E35613">
        <w:t xml:space="preserve"> pilot program from 2003-2004, when </w:t>
      </w:r>
      <w:proofErr w:type="spellStart"/>
      <w:r w:rsidR="00E35613">
        <w:t>Sprouls</w:t>
      </w:r>
      <w:proofErr w:type="spellEnd"/>
      <w:r w:rsidR="00E35613">
        <w:t xml:space="preserve"> experienced an unforeseen</w:t>
      </w:r>
      <w:r w:rsidR="00761C22">
        <w:t xml:space="preserve"> increase in his workload.  Thus, the</w:t>
      </w:r>
      <w:r w:rsidR="00E35613">
        <w:t xml:space="preserve"> “pattern” in this ca</w:t>
      </w:r>
      <w:r w:rsidR="00FA3A19">
        <w:t xml:space="preserve">se is distinguishable from the </w:t>
      </w:r>
      <w:r w:rsidR="00E35613">
        <w:t xml:space="preserve">most serious instances of repeated misconduct over a prolonged </w:t>
      </w:r>
      <w:r w:rsidR="009720D7">
        <w:t>time</w:t>
      </w:r>
      <w:r w:rsidR="00E35613">
        <w:t xml:space="preserve"> </w:t>
      </w:r>
      <w:r w:rsidR="0057246F">
        <w:t>that</w:t>
      </w:r>
      <w:r w:rsidR="00E36A09">
        <w:t xml:space="preserve"> support </w:t>
      </w:r>
      <w:r w:rsidR="001A08AD">
        <w:t xml:space="preserve">lengthy periods of suspension or disbarment.  </w:t>
      </w:r>
      <w:r w:rsidR="00FA3A19">
        <w:t>(</w:t>
      </w:r>
      <w:r w:rsidR="00FA3A19" w:rsidRPr="001A08AD">
        <w:rPr>
          <w:i/>
        </w:rPr>
        <w:t>Stanley v. State Bar</w:t>
      </w:r>
      <w:r w:rsidR="00FA3A19">
        <w:t xml:space="preserve"> (1990) 50 </w:t>
      </w:r>
      <w:proofErr w:type="spellStart"/>
      <w:r w:rsidR="00FA3A19">
        <w:t>Cal.3d</w:t>
      </w:r>
      <w:proofErr w:type="spellEnd"/>
      <w:r w:rsidR="00FA3A19">
        <w:t xml:space="preserve"> 555 [attorney disbarred for 30 egregious acts of misconduct and abandonment of 20 clients over a seven-year period, in addition to acts of moral turpitude including misappropriating settlement funds by forging clients’ names].)  N</w:t>
      </w:r>
      <w:r w:rsidR="00CB582A">
        <w:t xml:space="preserve">onetheless, we consider this </w:t>
      </w:r>
      <w:r w:rsidR="009720D7">
        <w:t xml:space="preserve">pattern </w:t>
      </w:r>
      <w:r w:rsidR="00CB582A">
        <w:t xml:space="preserve">a significant </w:t>
      </w:r>
      <w:r w:rsidR="00FA3A19">
        <w:t>aggravating factor.</w:t>
      </w:r>
    </w:p>
    <w:p w:rsidR="00555722" w:rsidRDefault="00E753C1" w:rsidP="00D91EA4">
      <w:pPr>
        <w:ind w:firstLine="720"/>
      </w:pPr>
      <w:r>
        <w:t xml:space="preserve">We also agree with the judge’s </w:t>
      </w:r>
      <w:r w:rsidR="007C033D">
        <w:t>finding</w:t>
      </w:r>
      <w:r>
        <w:t xml:space="preserve"> that </w:t>
      </w:r>
      <w:proofErr w:type="spellStart"/>
      <w:r w:rsidR="00AC7B3F">
        <w:t>Sprouls’s</w:t>
      </w:r>
      <w:proofErr w:type="spellEnd"/>
      <w:r>
        <w:t xml:space="preserve"> misconduct </w:t>
      </w:r>
      <w:r w:rsidR="007C033D">
        <w:t xml:space="preserve">significantly </w:t>
      </w:r>
      <w:r>
        <w:t xml:space="preserve">harmed the Ninth Circuit’s administration of justice.  </w:t>
      </w:r>
      <w:r w:rsidR="00675E57">
        <w:t xml:space="preserve">Although the State Bar did not provide any evidence </w:t>
      </w:r>
      <w:r w:rsidR="0057246F">
        <w:t xml:space="preserve">of specific harm to clients, </w:t>
      </w:r>
      <w:r w:rsidR="00675E57">
        <w:t>we agree with the Ninth Circuit</w:t>
      </w:r>
      <w:r w:rsidR="0057246F">
        <w:t xml:space="preserve"> th</w:t>
      </w:r>
      <w:r w:rsidR="00675E57">
        <w:t xml:space="preserve">at </w:t>
      </w:r>
      <w:proofErr w:type="spellStart"/>
      <w:r w:rsidR="00AC7B3F">
        <w:t>Sprouls’s</w:t>
      </w:r>
      <w:proofErr w:type="spellEnd"/>
      <w:r w:rsidR="00675E57">
        <w:t xml:space="preserve"> misconduct prejudiced Granados.  We also note that Granados would likely have been harmed had the Ninth Circuit not supervised the matter and appointed pro bono co</w:t>
      </w:r>
      <w:r w:rsidR="006E55B2">
        <w:t xml:space="preserve">unsel to remedy </w:t>
      </w:r>
      <w:proofErr w:type="spellStart"/>
      <w:r w:rsidR="00AC7B3F">
        <w:t>Sprouls’s</w:t>
      </w:r>
      <w:proofErr w:type="spellEnd"/>
      <w:r w:rsidR="00675E57">
        <w:t xml:space="preserve"> deficiencies</w:t>
      </w:r>
      <w:r w:rsidR="009D76C0">
        <w:t>.</w:t>
      </w:r>
      <w:r w:rsidR="006D36CB">
        <w:t xml:space="preserve"> </w:t>
      </w:r>
    </w:p>
    <w:p w:rsidR="00936F16" w:rsidRPr="00B233B4" w:rsidRDefault="007434A0" w:rsidP="00B233B4">
      <w:pPr>
        <w:pStyle w:val="ListParagraph"/>
        <w:numPr>
          <w:ilvl w:val="0"/>
          <w:numId w:val="7"/>
        </w:numPr>
        <w:jc w:val="center"/>
        <w:rPr>
          <w:b/>
        </w:rPr>
      </w:pPr>
      <w:r w:rsidRPr="00B233B4">
        <w:rPr>
          <w:b/>
        </w:rPr>
        <w:t>DEGREE OF DISCIPLINE</w:t>
      </w:r>
    </w:p>
    <w:p w:rsidR="00A41CFA" w:rsidRDefault="005C509A" w:rsidP="00B50FCA">
      <w:pPr>
        <w:ind w:firstLine="720"/>
      </w:pPr>
      <w:r w:rsidRPr="00195DF6">
        <w:t>The purpose</w:t>
      </w:r>
      <w:r w:rsidR="00B809C4">
        <w:t xml:space="preserve"> </w:t>
      </w:r>
      <w:r w:rsidRPr="00195DF6">
        <w:t xml:space="preserve">of </w:t>
      </w:r>
      <w:r w:rsidR="00B30341">
        <w:t xml:space="preserve">State Bar </w:t>
      </w:r>
      <w:r w:rsidRPr="00195DF6">
        <w:t xml:space="preserve">disciplinary proceedings </w:t>
      </w:r>
      <w:r w:rsidR="00B809C4">
        <w:t xml:space="preserve">is not to punish the attorney, but to protect </w:t>
      </w:r>
      <w:r w:rsidRPr="00195DF6">
        <w:t xml:space="preserve">the public, </w:t>
      </w:r>
      <w:r w:rsidR="00B809C4">
        <w:t xml:space="preserve">to preserve confidence in the profession and to maintain the highest possible professional standards.  </w:t>
      </w:r>
      <w:r w:rsidRPr="00195DF6">
        <w:t>(Std. 1.3</w:t>
      </w:r>
      <w:r w:rsidR="00B809C4">
        <w:t xml:space="preserve">; </w:t>
      </w:r>
      <w:r w:rsidR="00B809C4" w:rsidRPr="00B809C4">
        <w:rPr>
          <w:i/>
        </w:rPr>
        <w:t>Chadwic</w:t>
      </w:r>
      <w:r w:rsidR="00B809C4">
        <w:rPr>
          <w:i/>
        </w:rPr>
        <w:t>k</w:t>
      </w:r>
      <w:r w:rsidR="00B809C4" w:rsidRPr="00B809C4">
        <w:rPr>
          <w:i/>
        </w:rPr>
        <w:t xml:space="preserve"> v. State Bar</w:t>
      </w:r>
      <w:r w:rsidR="00B809C4">
        <w:t xml:space="preserve"> (1989) 49 </w:t>
      </w:r>
      <w:proofErr w:type="spellStart"/>
      <w:r w:rsidR="00B809C4">
        <w:t>Cal.3d</w:t>
      </w:r>
      <w:proofErr w:type="spellEnd"/>
      <w:r w:rsidR="00B809C4">
        <w:t xml:space="preserve"> 103, 111.)</w:t>
      </w:r>
      <w:r>
        <w:t xml:space="preserve">  In determining the degree of discipline to recommend, we consider </w:t>
      </w:r>
      <w:r w:rsidR="00B809C4">
        <w:t xml:space="preserve">as guidelines </w:t>
      </w:r>
      <w:r>
        <w:t>the standards</w:t>
      </w:r>
      <w:r w:rsidR="00B809C4">
        <w:t xml:space="preserve"> </w:t>
      </w:r>
      <w:r>
        <w:t>as well as prior decisions imposing discipline based on similar facts.</w:t>
      </w:r>
      <w:r w:rsidR="00175898">
        <w:t xml:space="preserve">  </w:t>
      </w:r>
      <w:r w:rsidR="00175898" w:rsidRPr="00175898">
        <w:t xml:space="preserve"> </w:t>
      </w:r>
      <w:r w:rsidR="00175898">
        <w:t>(</w:t>
      </w:r>
      <w:r w:rsidR="00175898">
        <w:rPr>
          <w:i/>
          <w:iCs/>
        </w:rPr>
        <w:t>In the Matter of Taylor</w:t>
      </w:r>
      <w:r w:rsidR="00175898">
        <w:t xml:space="preserve"> (Review Dept. 1991) 1 Cal. State Bar Ct. </w:t>
      </w:r>
      <w:proofErr w:type="spellStart"/>
      <w:r w:rsidR="00175898">
        <w:t>Rptr</w:t>
      </w:r>
      <w:proofErr w:type="spellEnd"/>
      <w:r w:rsidR="00175898">
        <w:t>. 563, 580.)</w:t>
      </w:r>
      <w:r w:rsidR="00816EA3">
        <w:t xml:space="preserve">  </w:t>
      </w:r>
    </w:p>
    <w:p w:rsidR="00B50FCA" w:rsidRDefault="006E55B2" w:rsidP="00B50FCA">
      <w:pPr>
        <w:ind w:firstLine="720"/>
      </w:pPr>
      <w:r>
        <w:t>In this</w:t>
      </w:r>
      <w:r w:rsidR="00175898">
        <w:t xml:space="preserve"> case, s</w:t>
      </w:r>
      <w:r w:rsidR="00B50FCA">
        <w:t xml:space="preserve">everal standards apply to the culpability findings and provide for a </w:t>
      </w:r>
      <w:r w:rsidR="00B44C63">
        <w:t xml:space="preserve">wide </w:t>
      </w:r>
      <w:r w:rsidR="00B50FCA">
        <w:t>range of discipline.</w:t>
      </w:r>
      <w:r w:rsidR="00175898">
        <w:t xml:space="preserve">  </w:t>
      </w:r>
      <w:r w:rsidR="009A2049">
        <w:t xml:space="preserve">Standards 2.4(b) and 2.10 </w:t>
      </w:r>
      <w:r w:rsidR="0057246F">
        <w:t>call</w:t>
      </w:r>
      <w:r w:rsidR="009A2049">
        <w:t xml:space="preserve"> for </w:t>
      </w:r>
      <w:proofErr w:type="spellStart"/>
      <w:r w:rsidR="009A2049">
        <w:t>reproval</w:t>
      </w:r>
      <w:proofErr w:type="spellEnd"/>
      <w:r w:rsidR="009A2049">
        <w:t xml:space="preserve"> or suspension for the rule violations.  The most severe sanction is </w:t>
      </w:r>
      <w:r w:rsidR="00B44C63">
        <w:t>set forth in</w:t>
      </w:r>
      <w:r w:rsidR="009A2049">
        <w:t xml:space="preserve"> standard 2.6 for a violation of section 6068 </w:t>
      </w:r>
      <w:r w:rsidR="009A2049">
        <w:lastRenderedPageBreak/>
        <w:t>and provides for suspension to disbarment</w:t>
      </w:r>
      <w:r w:rsidR="00B44C63">
        <w:t>,</w:t>
      </w:r>
      <w:r w:rsidR="00B44C63" w:rsidRPr="00B44C63">
        <w:t xml:space="preserve"> </w:t>
      </w:r>
      <w:r w:rsidR="00B44C63">
        <w:t>depending on the gravity of the offense and harm to the victim</w:t>
      </w:r>
      <w:r w:rsidR="009A2049">
        <w:t xml:space="preserve">. </w:t>
      </w:r>
      <w:r w:rsidR="0057246F">
        <w:t xml:space="preserve"> </w:t>
      </w:r>
      <w:r w:rsidR="00175898">
        <w:t xml:space="preserve">In light of the broad range of discipline recommended by the standards, we </w:t>
      </w:r>
      <w:r w:rsidR="00BA1F62">
        <w:t xml:space="preserve">look to </w:t>
      </w:r>
      <w:r w:rsidR="00B44C63">
        <w:t xml:space="preserve">prior </w:t>
      </w:r>
      <w:r w:rsidR="00175898">
        <w:t xml:space="preserve">decisions </w:t>
      </w:r>
      <w:r w:rsidR="004D5A57">
        <w:t>for further guidance</w:t>
      </w:r>
      <w:r w:rsidR="00B30341">
        <w:t>.</w:t>
      </w:r>
    </w:p>
    <w:p w:rsidR="00900D2D" w:rsidRDefault="00900D2D" w:rsidP="00900D2D">
      <w:pPr>
        <w:ind w:firstLine="720"/>
      </w:pPr>
      <w:r>
        <w:t>To support its contention that the appropriate level of discipline should include a two-year period of suspension, the State Bar urges th</w:t>
      </w:r>
      <w:r w:rsidR="00AB41A3">
        <w:t xml:space="preserve">at we consider </w:t>
      </w:r>
      <w:r>
        <w:rPr>
          <w:i/>
        </w:rPr>
        <w:t>Cannon v. State</w:t>
      </w:r>
      <w:r w:rsidRPr="006B3AB6">
        <w:rPr>
          <w:i/>
        </w:rPr>
        <w:t xml:space="preserve"> Bar</w:t>
      </w:r>
      <w:r>
        <w:t xml:space="preserve"> (1990) 51 </w:t>
      </w:r>
      <w:proofErr w:type="spellStart"/>
      <w:r>
        <w:t>Cal.3d</w:t>
      </w:r>
      <w:proofErr w:type="spellEnd"/>
      <w:r>
        <w:t xml:space="preserve"> 1103 and </w:t>
      </w:r>
      <w:r>
        <w:rPr>
          <w:i/>
        </w:rPr>
        <w:t xml:space="preserve">In the Matter of </w:t>
      </w:r>
      <w:proofErr w:type="spellStart"/>
      <w:r w:rsidRPr="00AB72A6">
        <w:rPr>
          <w:i/>
        </w:rPr>
        <w:t>Gadda</w:t>
      </w:r>
      <w:proofErr w:type="spellEnd"/>
      <w:r>
        <w:t xml:space="preserve"> (Review Dept. 2002)</w:t>
      </w:r>
      <w:r w:rsidR="0057246F">
        <w:t xml:space="preserve"> 4 Cal. State Bar Ct. </w:t>
      </w:r>
      <w:proofErr w:type="spellStart"/>
      <w:r w:rsidR="0057246F">
        <w:t>Rptr</w:t>
      </w:r>
      <w:proofErr w:type="spellEnd"/>
      <w:r w:rsidR="0057246F">
        <w:t>. 416</w:t>
      </w:r>
      <w:r>
        <w:t xml:space="preserve">, </w:t>
      </w:r>
      <w:r w:rsidRPr="008A7BF0">
        <w:t>as</w:t>
      </w:r>
      <w:r>
        <w:t xml:space="preserve"> well as </w:t>
      </w:r>
      <w:r w:rsidR="00AD61B5">
        <w:rPr>
          <w:i/>
        </w:rPr>
        <w:t xml:space="preserve">In the Matter of </w:t>
      </w:r>
      <w:proofErr w:type="spellStart"/>
      <w:r w:rsidR="00AD61B5">
        <w:rPr>
          <w:i/>
        </w:rPr>
        <w:t>Valinoti</w:t>
      </w:r>
      <w:proofErr w:type="spellEnd"/>
      <w:r w:rsidR="006B3AB6">
        <w:rPr>
          <w:i/>
        </w:rPr>
        <w:t xml:space="preserve"> </w:t>
      </w:r>
      <w:r w:rsidR="006B3AB6">
        <w:t>(Review Dept. 2002)</w:t>
      </w:r>
      <w:r>
        <w:t xml:space="preserve"> 4 Cal. State Bar Ct. </w:t>
      </w:r>
      <w:proofErr w:type="spellStart"/>
      <w:r>
        <w:t>Rptr</w:t>
      </w:r>
      <w:proofErr w:type="spellEnd"/>
      <w:r>
        <w:t>. 498.  While those cases arise from misconduct in immigration law practice</w:t>
      </w:r>
      <w:r w:rsidR="00816EA3">
        <w:t>s</w:t>
      </w:r>
      <w:r>
        <w:t xml:space="preserve">, they involve far more serious and deliberate conduct causing </w:t>
      </w:r>
      <w:r w:rsidR="00C93CEC">
        <w:t xml:space="preserve">significant </w:t>
      </w:r>
      <w:r>
        <w:t>client harm with far less mitigation.</w:t>
      </w:r>
      <w:r w:rsidR="00F81ADF">
        <w:rPr>
          <w:rStyle w:val="FootnoteReference"/>
        </w:rPr>
        <w:footnoteReference w:id="8"/>
      </w:r>
    </w:p>
    <w:p w:rsidR="0085757C" w:rsidRDefault="00816EA3" w:rsidP="00F81ADF">
      <w:pPr>
        <w:ind w:firstLine="720"/>
      </w:pPr>
      <w:r>
        <w:t xml:space="preserve">Unlike the attorneys in </w:t>
      </w:r>
      <w:r w:rsidR="008A7B39">
        <w:t xml:space="preserve">the </w:t>
      </w:r>
      <w:r w:rsidR="009522BD">
        <w:t xml:space="preserve">cases cited by </w:t>
      </w:r>
      <w:r>
        <w:t xml:space="preserve">the State Bar, </w:t>
      </w:r>
      <w:proofErr w:type="spellStart"/>
      <w:r w:rsidR="00E11E59">
        <w:t>Sprouls</w:t>
      </w:r>
      <w:proofErr w:type="spellEnd"/>
      <w:r w:rsidR="002F18A5">
        <w:t xml:space="preserve"> has presented </w:t>
      </w:r>
      <w:r w:rsidR="00526CA5">
        <w:t>compelling</w:t>
      </w:r>
      <w:r w:rsidR="009F52A7">
        <w:t xml:space="preserve"> </w:t>
      </w:r>
      <w:r w:rsidR="002F18A5">
        <w:t xml:space="preserve">mitigating evidence </w:t>
      </w:r>
      <w:r w:rsidR="00F81ADF">
        <w:t xml:space="preserve">that </w:t>
      </w:r>
      <w:r w:rsidR="002F18A5">
        <w:t>clearly outwei</w:t>
      </w:r>
      <w:r w:rsidR="009A2049">
        <w:t xml:space="preserve">ghs the </w:t>
      </w:r>
      <w:r w:rsidR="002F18A5">
        <w:t xml:space="preserve">aggravating factors.  The Commissioner and the hearing judge each observed </w:t>
      </w:r>
      <w:proofErr w:type="spellStart"/>
      <w:r w:rsidR="00391EF9">
        <w:t>Sprouls</w:t>
      </w:r>
      <w:proofErr w:type="spellEnd"/>
      <w:r w:rsidR="002F18A5">
        <w:t xml:space="preserve"> </w:t>
      </w:r>
      <w:r w:rsidR="004978F6">
        <w:t xml:space="preserve">and </w:t>
      </w:r>
      <w:r w:rsidR="002F18A5">
        <w:t>were impressed with his acceptance of responsibility for his shortcomings, his remedial steps to avoid recurrence</w:t>
      </w:r>
      <w:r w:rsidR="00E11E59">
        <w:t xml:space="preserve"> of his misconduct</w:t>
      </w:r>
      <w:r>
        <w:t xml:space="preserve"> and his</w:t>
      </w:r>
      <w:r w:rsidR="002F18A5">
        <w:t xml:space="preserve"> </w:t>
      </w:r>
      <w:r w:rsidR="00E11E59">
        <w:t xml:space="preserve">character </w:t>
      </w:r>
      <w:r w:rsidR="002F18A5">
        <w:t>evidence.</w:t>
      </w:r>
      <w:r w:rsidR="00F81ADF" w:rsidRPr="00F81ADF">
        <w:t xml:space="preserve"> </w:t>
      </w:r>
      <w:r>
        <w:t xml:space="preserve"> </w:t>
      </w:r>
      <w:r w:rsidR="00197E9F">
        <w:t xml:space="preserve">He has no prior record of discipline.  </w:t>
      </w:r>
      <w:r w:rsidR="009F52A7">
        <w:t xml:space="preserve">His practice was negatively impacted by the </w:t>
      </w:r>
      <w:proofErr w:type="spellStart"/>
      <w:r w:rsidR="005B564D">
        <w:t>EOIR</w:t>
      </w:r>
      <w:r w:rsidR="006A3CC3">
        <w:t>’s</w:t>
      </w:r>
      <w:proofErr w:type="spellEnd"/>
      <w:r w:rsidR="005B564D">
        <w:t xml:space="preserve"> pilot program and the unexpected increase in his workload.  Further, we cannot ignore the fact that the Ninth Circuit, which was most directly </w:t>
      </w:r>
      <w:r w:rsidR="00C000BB">
        <w:t>affe</w:t>
      </w:r>
      <w:r w:rsidR="005B564D">
        <w:t>cted</w:t>
      </w:r>
      <w:r w:rsidR="00197E9F">
        <w:t xml:space="preserve"> by his misconduct</w:t>
      </w:r>
      <w:r w:rsidR="005B564D">
        <w:t xml:space="preserve">, </w:t>
      </w:r>
      <w:r w:rsidR="00F8318A">
        <w:t xml:space="preserve">declined to suspend </w:t>
      </w:r>
      <w:proofErr w:type="spellStart"/>
      <w:r w:rsidR="00F8318A">
        <w:t>Sprouls</w:t>
      </w:r>
      <w:proofErr w:type="spellEnd"/>
      <w:r w:rsidR="00F8318A">
        <w:t xml:space="preserve"> </w:t>
      </w:r>
      <w:r w:rsidR="009A2049">
        <w:t>and adopted the Commissioner’s findings</w:t>
      </w:r>
      <w:r w:rsidR="009D76C0">
        <w:t xml:space="preserve"> that</w:t>
      </w:r>
      <w:r w:rsidR="00F8318A">
        <w:t>:</w:t>
      </w:r>
    </w:p>
    <w:p w:rsidR="00F8318A" w:rsidRDefault="00F8318A" w:rsidP="00F8318A">
      <w:pPr>
        <w:spacing w:line="240" w:lineRule="auto"/>
        <w:ind w:left="720"/>
      </w:pPr>
      <w:r>
        <w:lastRenderedPageBreak/>
        <w:t xml:space="preserve">The </w:t>
      </w:r>
      <w:proofErr w:type="spellStart"/>
      <w:r>
        <w:t>EOIR</w:t>
      </w:r>
      <w:proofErr w:type="spellEnd"/>
      <w:r>
        <w:t xml:space="preserve"> pilot program, which contributed to the bulk of </w:t>
      </w:r>
      <w:proofErr w:type="spellStart"/>
      <w:r w:rsidR="00AC7B3F">
        <w:t>Sprouls’s</w:t>
      </w:r>
      <w:proofErr w:type="spellEnd"/>
      <w:r>
        <w:t xml:space="preserve"> misconduct, has ended, and </w:t>
      </w:r>
      <w:proofErr w:type="spellStart"/>
      <w:r>
        <w:t>Sprouls</w:t>
      </w:r>
      <w:proofErr w:type="spellEnd"/>
      <w:r>
        <w:t xml:space="preserve"> testified at the hearing that this caseload has dropped significantly as a result.  </w:t>
      </w:r>
      <w:proofErr w:type="spellStart"/>
      <w:r>
        <w:t>Sprouls</w:t>
      </w:r>
      <w:proofErr w:type="spellEnd"/>
      <w:r>
        <w:t xml:space="preserve"> also has taken affirmative steps to ensure that cases and deadlines are properly calendared in the future, and he assured the court that the conduct addressed in these proceedings would not recur.  </w:t>
      </w:r>
      <w:proofErr w:type="spellStart"/>
      <w:r>
        <w:t>Sprouls</w:t>
      </w:r>
      <w:proofErr w:type="spellEnd"/>
      <w:r>
        <w:t xml:space="preserve"> is zealous and dedicated to his clients, is often effective on their behalf, and has the desire and ability to ensure that his misconduct will not recur.  On balance, the mitigating circumstances weigh against a period of suspension, which would not benefit the court or his current clients.</w:t>
      </w:r>
    </w:p>
    <w:p w:rsidR="00F8318A" w:rsidRDefault="00F8318A" w:rsidP="00F8318A">
      <w:pPr>
        <w:spacing w:line="240" w:lineRule="auto"/>
        <w:ind w:left="720" w:firstLine="720"/>
      </w:pPr>
    </w:p>
    <w:p w:rsidR="00F8318A" w:rsidRDefault="000B72DC" w:rsidP="00F8318A">
      <w:pPr>
        <w:ind w:firstLine="720"/>
      </w:pPr>
      <w:r>
        <w:t>Thus</w:t>
      </w:r>
      <w:r w:rsidR="00F8318A">
        <w:t xml:space="preserve">, </w:t>
      </w:r>
      <w:r w:rsidR="00C000BB">
        <w:t xml:space="preserve">considering </w:t>
      </w:r>
      <w:r w:rsidR="00500E35">
        <w:t xml:space="preserve">the </w:t>
      </w:r>
      <w:r w:rsidR="009D76C0">
        <w:t xml:space="preserve">nature and extent of </w:t>
      </w:r>
      <w:proofErr w:type="spellStart"/>
      <w:r w:rsidR="00AC7B3F">
        <w:t>Sprouls’s</w:t>
      </w:r>
      <w:proofErr w:type="spellEnd"/>
      <w:r w:rsidR="00500E35">
        <w:t xml:space="preserve"> misconduct</w:t>
      </w:r>
      <w:r w:rsidR="009D76C0">
        <w:t xml:space="preserve"> before the Ninth Circuit and his </w:t>
      </w:r>
      <w:r w:rsidR="00526CA5">
        <w:t>compelling</w:t>
      </w:r>
      <w:r w:rsidR="00F8318A">
        <w:t xml:space="preserve"> mitigation, we conclude that a lesser actual suspension </w:t>
      </w:r>
      <w:r>
        <w:t xml:space="preserve">than recommended by the State Bar </w:t>
      </w:r>
      <w:r w:rsidR="00F8318A">
        <w:t>will protect the public and maintain the high standards of the legal profession.</w:t>
      </w:r>
    </w:p>
    <w:p w:rsidR="00AC7B3F" w:rsidRDefault="00FF1A73" w:rsidP="005B564D">
      <w:pPr>
        <w:ind w:firstLine="720"/>
      </w:pPr>
      <w:r>
        <w:t>In the final analysis</w:t>
      </w:r>
      <w:r w:rsidR="006E55B2">
        <w:t>,</w:t>
      </w:r>
      <w:r>
        <w:t xml:space="preserve"> we determine disciplinary sanctions after considering all factors in the case.  (</w:t>
      </w:r>
      <w:proofErr w:type="spellStart"/>
      <w:r w:rsidRPr="00FF4BF6">
        <w:rPr>
          <w:i/>
        </w:rPr>
        <w:t>Codiga</w:t>
      </w:r>
      <w:proofErr w:type="spellEnd"/>
      <w:r w:rsidRPr="00FF4BF6">
        <w:rPr>
          <w:i/>
        </w:rPr>
        <w:t xml:space="preserve"> v. State Bar</w:t>
      </w:r>
      <w:r>
        <w:t xml:space="preserve"> (1978) 20 </w:t>
      </w:r>
      <w:proofErr w:type="spellStart"/>
      <w:r>
        <w:t>Cal.3d</w:t>
      </w:r>
      <w:proofErr w:type="spellEnd"/>
      <w:r>
        <w:t xml:space="preserve"> 788, 796.)  </w:t>
      </w:r>
      <w:r w:rsidR="00500E35">
        <w:t xml:space="preserve">The hearing judge relied on </w:t>
      </w:r>
      <w:r w:rsidR="00337D14">
        <w:t>the</w:t>
      </w:r>
      <w:r w:rsidR="00500E35">
        <w:t xml:space="preserve"> compelling mitigation</w:t>
      </w:r>
      <w:r w:rsidR="00004CA9">
        <w:t xml:space="preserve"> </w:t>
      </w:r>
      <w:r w:rsidR="00500E35">
        <w:t>to support her recommendation of an entirely stayed suspension</w:t>
      </w:r>
      <w:r w:rsidR="00004CA9">
        <w:t>, but did not cite to any cases</w:t>
      </w:r>
      <w:r w:rsidR="00500E35">
        <w:t xml:space="preserve">.  </w:t>
      </w:r>
      <w:r w:rsidR="00745E3B">
        <w:t>W</w:t>
      </w:r>
      <w:r w:rsidR="00500E35">
        <w:t xml:space="preserve">e </w:t>
      </w:r>
      <w:r w:rsidR="00337D14">
        <w:t>find</w:t>
      </w:r>
      <w:r w:rsidR="00FF4BF6">
        <w:t xml:space="preserve"> </w:t>
      </w:r>
      <w:r w:rsidR="00526CA5">
        <w:t xml:space="preserve">slightly </w:t>
      </w:r>
      <w:r w:rsidR="00FF4BF6">
        <w:t xml:space="preserve">less mitigation </w:t>
      </w:r>
      <w:r w:rsidR="00004CA9">
        <w:t>than the hearing judge</w:t>
      </w:r>
      <w:r w:rsidR="0057246F">
        <w:t xml:space="preserve">, </w:t>
      </w:r>
      <w:r w:rsidR="00AD7FCD">
        <w:t>give more weight to the aggravating evidence</w:t>
      </w:r>
      <w:r w:rsidR="00337D14">
        <w:t>, and conclude that a period of actual suspension is warranted</w:t>
      </w:r>
      <w:r w:rsidR="00FF4BF6">
        <w:t xml:space="preserve">.  </w:t>
      </w:r>
      <w:r w:rsidR="00EC34EB">
        <w:t>B</w:t>
      </w:r>
      <w:r w:rsidR="00BC7E7E">
        <w:t xml:space="preserve">alancing all of the appropriate factors, </w:t>
      </w:r>
      <w:r w:rsidR="003651C6">
        <w:t>we</w:t>
      </w:r>
      <w:r w:rsidR="00BC7E7E">
        <w:t xml:space="preserve"> recommend a </w:t>
      </w:r>
      <w:r w:rsidR="00FA3A19">
        <w:t>90-day</w:t>
      </w:r>
      <w:r w:rsidR="00BC7E7E">
        <w:t xml:space="preserve"> suspension as a condition of </w:t>
      </w:r>
      <w:r w:rsidR="004D11FA">
        <w:t xml:space="preserve">a </w:t>
      </w:r>
      <w:r w:rsidR="00C6003B">
        <w:t>one</w:t>
      </w:r>
      <w:r w:rsidR="004D11FA">
        <w:t xml:space="preserve">-year stayed suspension </w:t>
      </w:r>
      <w:r w:rsidR="00A4092D">
        <w:t>and two year</w:t>
      </w:r>
      <w:r w:rsidR="003651C6">
        <w:t>s</w:t>
      </w:r>
      <w:r w:rsidR="009B2BFC">
        <w:t>’</w:t>
      </w:r>
      <w:r w:rsidR="00A4092D">
        <w:t xml:space="preserve"> probation</w:t>
      </w:r>
      <w:r w:rsidR="00C6003B">
        <w:t>,</w:t>
      </w:r>
      <w:r w:rsidR="009B2BFC">
        <w:t xml:space="preserve"> </w:t>
      </w:r>
      <w:r w:rsidR="003651C6">
        <w:t>along with</w:t>
      </w:r>
      <w:r w:rsidR="009B2BFC">
        <w:t xml:space="preserve"> the other conditions recommended by the hearing judge</w:t>
      </w:r>
      <w:r w:rsidR="00A4092D">
        <w:t>.</w:t>
      </w:r>
      <w:r w:rsidR="00045FEA">
        <w:rPr>
          <w:rStyle w:val="FootnoteReference"/>
        </w:rPr>
        <w:footnoteReference w:id="9"/>
      </w:r>
      <w:r w:rsidR="00A4092D">
        <w:t xml:space="preserve">  </w:t>
      </w:r>
    </w:p>
    <w:p w:rsidR="000C6B16" w:rsidRDefault="000C6B16" w:rsidP="000C6B16">
      <w:pPr>
        <w:jc w:val="center"/>
        <w:rPr>
          <w:b/>
        </w:rPr>
      </w:pPr>
    </w:p>
    <w:p w:rsidR="000C6B16" w:rsidRDefault="000C6B16" w:rsidP="000C6B16">
      <w:pPr>
        <w:jc w:val="center"/>
        <w:rPr>
          <w:b/>
        </w:rPr>
      </w:pPr>
    </w:p>
    <w:p w:rsidR="00C11CC8" w:rsidRPr="005B564D" w:rsidRDefault="000C6B16" w:rsidP="000C6B16">
      <w:pPr>
        <w:jc w:val="center"/>
      </w:pPr>
      <w:r>
        <w:rPr>
          <w:b/>
        </w:rPr>
        <w:lastRenderedPageBreak/>
        <w:t xml:space="preserve">III.  </w:t>
      </w:r>
      <w:r w:rsidR="007434A0" w:rsidRPr="000C6B16">
        <w:rPr>
          <w:b/>
        </w:rPr>
        <w:t>RECOMMENDATION</w:t>
      </w:r>
    </w:p>
    <w:p w:rsidR="00394015" w:rsidRDefault="003651C6" w:rsidP="000617D6">
      <w:pPr>
        <w:ind w:firstLine="720"/>
      </w:pPr>
      <w:r>
        <w:t>W</w:t>
      </w:r>
      <w:r w:rsidR="00394015">
        <w:t xml:space="preserve">e recommend </w:t>
      </w:r>
      <w:r w:rsidR="000617D6">
        <w:t xml:space="preserve">that Frank Patrick </w:t>
      </w:r>
      <w:proofErr w:type="spellStart"/>
      <w:r w:rsidR="000617D6">
        <w:t>Sprouls</w:t>
      </w:r>
      <w:proofErr w:type="spellEnd"/>
      <w:r w:rsidR="000617D6">
        <w:t xml:space="preserve"> be suspended from the practice of law in California for </w:t>
      </w:r>
      <w:r w:rsidR="00C6003B">
        <w:t>one year</w:t>
      </w:r>
      <w:r w:rsidR="000617D6">
        <w:t xml:space="preserve">, that execution of such suspension be stayed and that he be placed on probation for two years on the following conditions: </w:t>
      </w:r>
    </w:p>
    <w:p w:rsidR="00745AEB" w:rsidRDefault="00745AEB" w:rsidP="002268DD">
      <w:pPr>
        <w:pStyle w:val="BodyTextIndent2"/>
        <w:numPr>
          <w:ilvl w:val="0"/>
          <w:numId w:val="21"/>
        </w:numPr>
        <w:ind w:left="720"/>
      </w:pPr>
      <w:proofErr w:type="spellStart"/>
      <w:r>
        <w:t>Sprouls</w:t>
      </w:r>
      <w:proofErr w:type="spellEnd"/>
      <w:r>
        <w:t xml:space="preserve"> must be suspended from the practice of law for the first </w:t>
      </w:r>
      <w:r w:rsidR="00C000BB">
        <w:t xml:space="preserve">90 </w:t>
      </w:r>
      <w:r w:rsidR="00FA3A19">
        <w:t>days</w:t>
      </w:r>
      <w:r>
        <w:t xml:space="preserve"> of the period of his probation.</w:t>
      </w:r>
    </w:p>
    <w:p w:rsidR="00745AEB" w:rsidRDefault="00745AEB" w:rsidP="002268DD">
      <w:pPr>
        <w:pStyle w:val="BodyTextIndent2"/>
      </w:pPr>
    </w:p>
    <w:p w:rsidR="00B35B60" w:rsidRDefault="00745AEB" w:rsidP="00B35B60">
      <w:pPr>
        <w:pStyle w:val="ListParagraph"/>
        <w:numPr>
          <w:ilvl w:val="0"/>
          <w:numId w:val="21"/>
        </w:numPr>
        <w:spacing w:line="240" w:lineRule="auto"/>
        <w:ind w:left="720"/>
        <w:contextualSpacing w:val="0"/>
      </w:pPr>
      <w:proofErr w:type="spellStart"/>
      <w:r>
        <w:t>Sprouls</w:t>
      </w:r>
      <w:proofErr w:type="spellEnd"/>
      <w:r>
        <w:t xml:space="preserve"> must comply with the provisions of the State Bar Act and the Rules of Professional Conduct.</w:t>
      </w:r>
    </w:p>
    <w:p w:rsidR="00B35B60" w:rsidRDefault="00B35B60" w:rsidP="00B35B60">
      <w:pPr>
        <w:pStyle w:val="ListParagraph"/>
        <w:spacing w:line="240" w:lineRule="auto"/>
        <w:contextualSpacing w:val="0"/>
      </w:pPr>
    </w:p>
    <w:p w:rsidR="00745AEB" w:rsidRDefault="00745AEB" w:rsidP="002268DD">
      <w:pPr>
        <w:pStyle w:val="ListParagraph"/>
        <w:numPr>
          <w:ilvl w:val="0"/>
          <w:numId w:val="21"/>
        </w:numPr>
        <w:spacing w:line="240" w:lineRule="auto"/>
        <w:ind w:left="720"/>
        <w:contextualSpacing w:val="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rsidR="00745AEB" w:rsidRDefault="00745AEB" w:rsidP="002268DD">
      <w:pPr>
        <w:pStyle w:val="ListParagraph"/>
        <w:tabs>
          <w:tab w:val="left" w:pos="720"/>
        </w:tabs>
        <w:spacing w:line="240" w:lineRule="auto"/>
      </w:pPr>
    </w:p>
    <w:p w:rsidR="00745AEB" w:rsidRDefault="00745AEB" w:rsidP="002268DD">
      <w:pPr>
        <w:pStyle w:val="ListParagraph"/>
        <w:numPr>
          <w:ilvl w:val="0"/>
          <w:numId w:val="21"/>
        </w:numPr>
        <w:tabs>
          <w:tab w:val="left" w:pos="720"/>
        </w:tabs>
        <w:spacing w:line="240" w:lineRule="auto"/>
        <w:ind w:left="720"/>
        <w:contextualSpacing w:val="0"/>
      </w:pPr>
      <w:proofErr w:type="spellStart"/>
      <w:r>
        <w:t>Sprouls</w:t>
      </w:r>
      <w:proofErr w:type="spellEnd"/>
      <w:r>
        <w:t xml:space="preserve"> must submit written quarterly reports to the Office of Probation on each January 10, April 10, July 10, and October 10 of the period of probation.  Under penalty of perjury, he must state whether respondent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745AEB" w:rsidRDefault="00745AEB" w:rsidP="002268DD">
      <w:pPr>
        <w:pStyle w:val="ListParagraph"/>
        <w:tabs>
          <w:tab w:val="left" w:pos="720"/>
        </w:tabs>
        <w:spacing w:line="240" w:lineRule="auto"/>
      </w:pPr>
    </w:p>
    <w:p w:rsidR="00745AEB" w:rsidRDefault="00745AEB" w:rsidP="002268DD">
      <w:pPr>
        <w:pStyle w:val="ListParagraph"/>
        <w:numPr>
          <w:ilvl w:val="0"/>
          <w:numId w:val="21"/>
        </w:numPr>
        <w:spacing w:line="240" w:lineRule="auto"/>
        <w:ind w:left="720"/>
        <w:contextualSpacing w:val="0"/>
      </w:pPr>
      <w:r>
        <w:t xml:space="preserve">Subject to the assertion of applicable privileges, </w:t>
      </w:r>
      <w:proofErr w:type="spellStart"/>
      <w:r>
        <w:t>Sprouls</w:t>
      </w:r>
      <w:proofErr w:type="spellEnd"/>
      <w:r>
        <w:t xml:space="preserve"> must answer fully, promptly, and truthfully, any inquiries of the Office of Probation which are directed to him personally or in writing, relating to whether he is complying or has complied with the conditions contained herein. </w:t>
      </w:r>
    </w:p>
    <w:p w:rsidR="00745AEB" w:rsidRDefault="00745AEB" w:rsidP="002268DD">
      <w:pPr>
        <w:pStyle w:val="ListParagraph"/>
        <w:spacing w:line="240" w:lineRule="auto"/>
      </w:pPr>
    </w:p>
    <w:p w:rsidR="00745AEB" w:rsidRDefault="00745AEB" w:rsidP="002268DD">
      <w:pPr>
        <w:pStyle w:val="ListParagraph"/>
        <w:numPr>
          <w:ilvl w:val="0"/>
          <w:numId w:val="21"/>
        </w:numPr>
        <w:spacing w:line="240" w:lineRule="auto"/>
        <w:ind w:left="720"/>
        <w:contextualSpacing w:val="0"/>
      </w:pPr>
      <w:r>
        <w:t xml:space="preserve">Within one year of the effective date of the discipline herein, </w:t>
      </w:r>
      <w:proofErr w:type="spellStart"/>
      <w:r>
        <w:t>Sprouls</w:t>
      </w:r>
      <w:proofErr w:type="spellEnd"/>
      <w:r>
        <w:t xml:space="preserve"> must submit to the Office of Probation satisfactory evidence of completion the State Bar’s Ethics School and passage of the test given at the end of that session.  This requirement is separate from any Minimum Continuing Legal Education (</w:t>
      </w:r>
      <w:proofErr w:type="spellStart"/>
      <w:r>
        <w:t>MCLE</w:t>
      </w:r>
      <w:proofErr w:type="spellEnd"/>
      <w:r>
        <w:t xml:space="preserve">) requirement, and he shall not receive </w:t>
      </w:r>
      <w:proofErr w:type="spellStart"/>
      <w:r>
        <w:t>MCLE</w:t>
      </w:r>
      <w:proofErr w:type="spellEnd"/>
      <w:r>
        <w:t xml:space="preserve"> credit for attending Ethics School.  (Rules Proc. of State Bar, rule 3201.)</w:t>
      </w:r>
    </w:p>
    <w:p w:rsidR="00745AEB" w:rsidRDefault="00745AEB" w:rsidP="002268DD">
      <w:pPr>
        <w:pStyle w:val="ListParagraph"/>
        <w:spacing w:line="240" w:lineRule="auto"/>
        <w:contextualSpacing w:val="0"/>
      </w:pPr>
    </w:p>
    <w:p w:rsidR="00745AEB" w:rsidRDefault="00745AEB" w:rsidP="002268DD">
      <w:pPr>
        <w:pStyle w:val="ListParagraph"/>
        <w:numPr>
          <w:ilvl w:val="0"/>
          <w:numId w:val="21"/>
        </w:numPr>
        <w:spacing w:line="240" w:lineRule="auto"/>
        <w:ind w:left="720"/>
        <w:contextualSpacing w:val="0"/>
      </w:pPr>
      <w:r>
        <w:t xml:space="preserve">The period of probation will commence on the effective date of the Supreme Court order imposing discipline in this matter.  At the expiration of the period of probation, if </w:t>
      </w:r>
      <w:proofErr w:type="spellStart"/>
      <w:r>
        <w:t>Sprouls</w:t>
      </w:r>
      <w:proofErr w:type="spellEnd"/>
      <w:r>
        <w:t xml:space="preserve"> has complied with all c</w:t>
      </w:r>
      <w:r w:rsidR="002268DD">
        <w:t>onditions of probation, the one-</w:t>
      </w:r>
      <w:r>
        <w:t>year period of stayed suspension will be satisfied and that suspension will be terminated.</w:t>
      </w:r>
    </w:p>
    <w:p w:rsidR="00745AEB" w:rsidRDefault="00745AEB" w:rsidP="002268DD">
      <w:pPr>
        <w:pStyle w:val="ListParagraph"/>
        <w:spacing w:line="240" w:lineRule="auto"/>
      </w:pPr>
    </w:p>
    <w:p w:rsidR="000617D6" w:rsidRDefault="000617D6" w:rsidP="00367909">
      <w:pPr>
        <w:ind w:firstLine="720"/>
      </w:pPr>
      <w:r>
        <w:lastRenderedPageBreak/>
        <w:t xml:space="preserve">We also recommend that </w:t>
      </w:r>
      <w:proofErr w:type="spellStart"/>
      <w:r w:rsidR="00C50C74">
        <w:t>Sprouls</w:t>
      </w:r>
      <w:proofErr w:type="spellEnd"/>
      <w:r w:rsidR="00C50C74">
        <w:t xml:space="preserve"> be required to take and pass the Multistate Professional Responsibility administered by the National Conference of Bar Examiners within one year after the effective date of the Supreme Court order in this matter and to provide satisfactory proof of such passage to the </w:t>
      </w:r>
      <w:r w:rsidR="00367909">
        <w:t>Office of Probation within the same period.</w:t>
      </w:r>
    </w:p>
    <w:p w:rsidR="00955DBC" w:rsidRDefault="0085757C" w:rsidP="00955DBC">
      <w:pPr>
        <w:pStyle w:val="ListParagraph"/>
        <w:tabs>
          <w:tab w:val="left" w:pos="720"/>
        </w:tabs>
        <w:ind w:left="0" w:firstLine="720"/>
      </w:pPr>
      <w:r>
        <w:t>We also r</w:t>
      </w:r>
      <w:r w:rsidR="00955DBC">
        <w:t xml:space="preserve">ecommend that </w:t>
      </w:r>
      <w:proofErr w:type="spellStart"/>
      <w:r w:rsidR="00955DBC">
        <w:t>Sprouls</w:t>
      </w:r>
      <w:proofErr w:type="spellEnd"/>
      <w:r w:rsidR="00955DBC">
        <w:t xml:space="preserve"> be ordered to comply with rule 9.20 of the California Rules of Court, and to perform the acts specified in subdivisions (a) and (c) of that rule, within 30 and 40 days, respectively, from the effective date of the Supreme Court order.  Failure to do so may result in disbarment or suspension.</w:t>
      </w:r>
    </w:p>
    <w:p w:rsidR="00367909" w:rsidRDefault="00367909" w:rsidP="00367909">
      <w:pPr>
        <w:ind w:firstLine="720"/>
      </w:pPr>
      <w:r>
        <w:t>Finally, we recommend that costs be awarded to the State Bar in accordance with Business and Professions Code, section 6086.10, such costs being enforceable both as provided in section 6140.7 of that code and as a money judgment.</w:t>
      </w:r>
    </w:p>
    <w:p w:rsidR="00783AF1" w:rsidRDefault="007768C9" w:rsidP="00C11CC8">
      <w:r w:rsidRPr="007768C9">
        <w:tab/>
      </w:r>
      <w:r w:rsidRPr="007768C9">
        <w:tab/>
      </w:r>
      <w:r w:rsidRPr="007768C9">
        <w:tab/>
      </w:r>
      <w:r w:rsidRPr="007768C9">
        <w:tab/>
      </w:r>
      <w:r w:rsidRPr="007768C9">
        <w:tab/>
      </w:r>
      <w:r w:rsidRPr="007768C9">
        <w:tab/>
      </w:r>
      <w:r w:rsidRPr="007768C9">
        <w:tab/>
      </w:r>
      <w:bookmarkStart w:id="4" w:name="judge"/>
      <w:bookmarkEnd w:id="4"/>
      <w:r w:rsidR="00DA7D7D">
        <w:t>REMKE, P. J.</w:t>
      </w:r>
    </w:p>
    <w:p w:rsidR="000A21FD" w:rsidRDefault="000A21FD" w:rsidP="00C11CC8">
      <w:r>
        <w:t>We concur:</w:t>
      </w:r>
    </w:p>
    <w:p w:rsidR="007434A0" w:rsidRDefault="007434A0" w:rsidP="00C11CC8">
      <w:r>
        <w:t>EPSTEIN, J.</w:t>
      </w:r>
    </w:p>
    <w:p w:rsidR="000A21FD" w:rsidRDefault="007434A0" w:rsidP="00C11CC8">
      <w:r>
        <w:t>PURCELL, J.</w:t>
      </w:r>
    </w:p>
    <w:p w:rsidR="002268DD" w:rsidRPr="008A154E" w:rsidRDefault="002268DD" w:rsidP="00C11CC8"/>
    <w:sectPr w:rsidR="002268DD" w:rsidRPr="008A154E" w:rsidSect="00552DF1">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8A" w:rsidRDefault="005C408A" w:rsidP="00783AF1">
      <w:pPr>
        <w:spacing w:line="240" w:lineRule="auto"/>
      </w:pPr>
      <w:r>
        <w:separator/>
      </w:r>
    </w:p>
  </w:endnote>
  <w:endnote w:type="continuationSeparator" w:id="0">
    <w:p w:rsidR="005C408A" w:rsidRDefault="005C408A"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8A" w:rsidRDefault="005C408A" w:rsidP="0096281E">
    <w:pPr>
      <w:pStyle w:val="Footer"/>
      <w:spacing w:before="120"/>
      <w:jc w:val="center"/>
    </w:pPr>
    <w:r>
      <w:t>-</w:t>
    </w:r>
    <w:sdt>
      <w:sdtPr>
        <w:id w:val="9189844"/>
        <w:docPartObj>
          <w:docPartGallery w:val="Page Numbers (Bottom of Page)"/>
          <w:docPartUnique/>
        </w:docPartObj>
      </w:sdtPr>
      <w:sdtContent>
        <w:fldSimple w:instr=" PAGE   \* MERGEFORMAT ">
          <w:r w:rsidR="009466CC">
            <w:rPr>
              <w:noProof/>
            </w:rPr>
            <w:t>16</w:t>
          </w:r>
        </w:fldSimple>
      </w:sdtContent>
    </w:sdt>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8A" w:rsidRDefault="005C408A" w:rsidP="00783AF1">
      <w:pPr>
        <w:spacing w:line="240" w:lineRule="auto"/>
      </w:pPr>
      <w:r>
        <w:separator/>
      </w:r>
    </w:p>
  </w:footnote>
  <w:footnote w:type="continuationSeparator" w:id="0">
    <w:p w:rsidR="005C408A" w:rsidRDefault="005C408A" w:rsidP="00783AF1">
      <w:pPr>
        <w:spacing w:line="240" w:lineRule="auto"/>
      </w:pPr>
      <w:r>
        <w:continuationSeparator/>
      </w:r>
    </w:p>
  </w:footnote>
  <w:footnote w:type="continuationNotice" w:id="1">
    <w:p w:rsidR="005C408A" w:rsidRDefault="005C408A">
      <w:pPr>
        <w:spacing w:line="240" w:lineRule="auto"/>
      </w:pPr>
    </w:p>
  </w:footnote>
  <w:footnote w:id="2">
    <w:p w:rsidR="005C408A" w:rsidRDefault="005C408A" w:rsidP="003028D2">
      <w:pPr>
        <w:pStyle w:val="FootnoteText"/>
      </w:pPr>
      <w:r>
        <w:rPr>
          <w:rStyle w:val="FootnoteReference"/>
        </w:rPr>
        <w:footnoteRef/>
      </w:r>
      <w:r>
        <w:t xml:space="preserve"> Unless otherwise noted, all further references to “section(s)” are to the Business and Professions Code.</w:t>
      </w:r>
    </w:p>
  </w:footnote>
  <w:footnote w:id="3">
    <w:p w:rsidR="005C408A" w:rsidRDefault="005C408A" w:rsidP="003028D2">
      <w:pPr>
        <w:pStyle w:val="FootnoteText"/>
      </w:pPr>
      <w:r>
        <w:rPr>
          <w:rStyle w:val="FootnoteReference"/>
        </w:rPr>
        <w:footnoteRef/>
      </w:r>
      <w:r>
        <w:t xml:space="preserve"> Although the hearing judge concluded that there were 53 acts of misconduct, we assume this was a miscalculation.  (See footnote 4.)</w:t>
      </w:r>
    </w:p>
  </w:footnote>
  <w:footnote w:id="4">
    <w:p w:rsidR="005C408A" w:rsidRDefault="005C408A" w:rsidP="003028D2">
      <w:pPr>
        <w:pStyle w:val="FootnoteText"/>
      </w:pPr>
      <w:r>
        <w:rPr>
          <w:rStyle w:val="FootnoteReference"/>
        </w:rPr>
        <w:footnoteRef/>
      </w:r>
      <w:r>
        <w:t xml:space="preserve"> </w:t>
      </w:r>
      <w:r w:rsidRPr="00B41D84">
        <w:t xml:space="preserve">Unless otherwise noted, all further references to “rule(s)” are to the </w:t>
      </w:r>
      <w:r>
        <w:t xml:space="preserve">State Bar </w:t>
      </w:r>
      <w:r w:rsidRPr="00B41D84">
        <w:t>Rules of Profe</w:t>
      </w:r>
      <w:r>
        <w:t>ssional Conduct</w:t>
      </w:r>
      <w:r w:rsidRPr="00B41D84">
        <w:t>.</w:t>
      </w:r>
    </w:p>
  </w:footnote>
  <w:footnote w:id="5">
    <w:p w:rsidR="005C408A" w:rsidRPr="00D25D3F" w:rsidRDefault="005C408A" w:rsidP="00176B5E">
      <w:pPr>
        <w:spacing w:line="240" w:lineRule="auto"/>
        <w:ind w:firstLine="720"/>
        <w:rPr>
          <w:color w:val="000000"/>
          <w:spacing w:val="4"/>
        </w:rPr>
      </w:pPr>
      <w:r>
        <w:rPr>
          <w:rStyle w:val="FootnoteReference"/>
        </w:rPr>
        <w:footnoteRef/>
      </w:r>
      <w:r>
        <w:t xml:space="preserve"> The hearing department clearly found culpability in two cases (</w:t>
      </w:r>
      <w:r w:rsidRPr="00B75218">
        <w:rPr>
          <w:i/>
        </w:rPr>
        <w:t>Gu</w:t>
      </w:r>
      <w:r>
        <w:rPr>
          <w:i/>
        </w:rPr>
        <w:t>t</w:t>
      </w:r>
      <w:r w:rsidRPr="00B75218">
        <w:rPr>
          <w:i/>
        </w:rPr>
        <w:t>ierrez v. Ash</w:t>
      </w:r>
      <w:r>
        <w:rPr>
          <w:i/>
        </w:rPr>
        <w:t>c</w:t>
      </w:r>
      <w:r w:rsidRPr="00B75218">
        <w:rPr>
          <w:i/>
        </w:rPr>
        <w:t>roft</w:t>
      </w:r>
      <w:r>
        <w:t xml:space="preserve"> and </w:t>
      </w:r>
      <w:r w:rsidRPr="00B75218">
        <w:rPr>
          <w:i/>
        </w:rPr>
        <w:t>Garcia Lopez v. Ashcroft</w:t>
      </w:r>
      <w:r>
        <w:t>), but the State Bar argues that there were two additional cases with culpability (</w:t>
      </w:r>
      <w:proofErr w:type="spellStart"/>
      <w:r w:rsidRPr="00B75218">
        <w:rPr>
          <w:i/>
        </w:rPr>
        <w:t>Tulfo</w:t>
      </w:r>
      <w:proofErr w:type="spellEnd"/>
      <w:r w:rsidRPr="00B75218">
        <w:rPr>
          <w:i/>
        </w:rPr>
        <w:t xml:space="preserve"> v. INS</w:t>
      </w:r>
      <w:r>
        <w:t xml:space="preserve"> and </w:t>
      </w:r>
      <w:r w:rsidRPr="00B75218">
        <w:rPr>
          <w:i/>
        </w:rPr>
        <w:t>Torres Martinez v. Ashcroft</w:t>
      </w:r>
      <w:r>
        <w:t>).</w:t>
      </w:r>
      <w:r>
        <w:rPr>
          <w:color w:val="000000"/>
          <w:spacing w:val="4"/>
        </w:rPr>
        <w:t xml:space="preserve">  Since the record is unclear with respect to </w:t>
      </w:r>
      <w:proofErr w:type="spellStart"/>
      <w:r>
        <w:rPr>
          <w:i/>
          <w:color w:val="000000"/>
          <w:spacing w:val="4"/>
        </w:rPr>
        <w:t>Tulfo</w:t>
      </w:r>
      <w:proofErr w:type="spellEnd"/>
      <w:r>
        <w:rPr>
          <w:color w:val="000000"/>
          <w:spacing w:val="4"/>
        </w:rPr>
        <w:t xml:space="preserve"> and </w:t>
      </w:r>
      <w:r>
        <w:rPr>
          <w:i/>
          <w:color w:val="000000"/>
          <w:spacing w:val="4"/>
        </w:rPr>
        <w:t>Torres</w:t>
      </w:r>
      <w:r>
        <w:rPr>
          <w:color w:val="000000"/>
          <w:spacing w:val="4"/>
        </w:rPr>
        <w:t xml:space="preserve">, </w:t>
      </w:r>
      <w:r>
        <w:t xml:space="preserve">we find culpability in only two of the 11 cases listed in the </w:t>
      </w:r>
      <w:proofErr w:type="spellStart"/>
      <w:r>
        <w:t>OSC</w:t>
      </w:r>
      <w:proofErr w:type="spellEnd"/>
      <w:r>
        <w:t xml:space="preserve">.  Thus, we find a total of 51 acts of misconduct, not 53 acts as stated in the hearing department decision.  </w:t>
      </w:r>
    </w:p>
  </w:footnote>
  <w:footnote w:id="6">
    <w:p w:rsidR="005C408A" w:rsidRDefault="005C408A" w:rsidP="003028D2">
      <w:pPr>
        <w:pStyle w:val="FootnoteText"/>
      </w:pPr>
      <w:r>
        <w:rPr>
          <w:rStyle w:val="FootnoteReference"/>
        </w:rPr>
        <w:footnoteRef/>
      </w:r>
      <w:r>
        <w:t xml:space="preserve"> No evidence established whether the </w:t>
      </w:r>
      <w:proofErr w:type="spellStart"/>
      <w:r>
        <w:t>notario</w:t>
      </w:r>
      <w:proofErr w:type="spellEnd"/>
      <w:r>
        <w:t xml:space="preserve"> was an attorney or a notary public.</w:t>
      </w:r>
    </w:p>
  </w:footnote>
  <w:footnote w:id="7">
    <w:p w:rsidR="005C408A" w:rsidRDefault="005C408A" w:rsidP="003028D2">
      <w:pPr>
        <w:pStyle w:val="FootnoteText"/>
      </w:pPr>
      <w:r>
        <w:rPr>
          <w:rStyle w:val="FootnoteReference"/>
        </w:rPr>
        <w:footnoteRef/>
      </w:r>
      <w:r>
        <w:t xml:space="preserve"> All further references to standards are to this source.</w:t>
      </w:r>
    </w:p>
  </w:footnote>
  <w:footnote w:id="8">
    <w:p w:rsidR="005C408A" w:rsidRDefault="005C408A" w:rsidP="003028D2">
      <w:pPr>
        <w:pStyle w:val="FootnoteText"/>
      </w:pPr>
      <w:r>
        <w:rPr>
          <w:rStyle w:val="FootnoteReference"/>
        </w:rPr>
        <w:footnoteRef/>
      </w:r>
      <w:r>
        <w:t xml:space="preserve"> See </w:t>
      </w:r>
      <w:r>
        <w:rPr>
          <w:i/>
        </w:rPr>
        <w:t xml:space="preserve">Cannon v. State </w:t>
      </w:r>
      <w:r w:rsidRPr="00981371">
        <w:rPr>
          <w:i/>
        </w:rPr>
        <w:t>Bar</w:t>
      </w:r>
      <w:r>
        <w:t xml:space="preserve">, </w:t>
      </w:r>
      <w:r w:rsidRPr="00981371">
        <w:rPr>
          <w:i/>
        </w:rPr>
        <w:t>supra</w:t>
      </w:r>
      <w:r>
        <w:t xml:space="preserve">, 51 </w:t>
      </w:r>
      <w:proofErr w:type="spellStart"/>
      <w:r>
        <w:t>Cal.3d</w:t>
      </w:r>
      <w:proofErr w:type="spellEnd"/>
      <w:r>
        <w:t xml:space="preserve"> at p. 1115 [attorney disbarred for repeatedly refusing to communicate with clients, to perform legal services and to return unearned fees, evidencing multiple acts of serious misconduct, many of which involved moral turpitude, with only minimal mitigation for no prior discipline in six years of practice]; </w:t>
      </w:r>
      <w:r>
        <w:rPr>
          <w:i/>
        </w:rPr>
        <w:t xml:space="preserve">In the Matter of </w:t>
      </w:r>
      <w:proofErr w:type="spellStart"/>
      <w:r w:rsidRPr="006E740E">
        <w:rPr>
          <w:i/>
        </w:rPr>
        <w:t>Gadda</w:t>
      </w:r>
      <w:proofErr w:type="spellEnd"/>
      <w:r>
        <w:t xml:space="preserve">, </w:t>
      </w:r>
      <w:r w:rsidRPr="006E740E">
        <w:rPr>
          <w:i/>
        </w:rPr>
        <w:t>supra</w:t>
      </w:r>
      <w:r>
        <w:t xml:space="preserve">, 4 Cal. State Bar Ct. </w:t>
      </w:r>
      <w:proofErr w:type="spellStart"/>
      <w:r>
        <w:t>Rptr</w:t>
      </w:r>
      <w:proofErr w:type="spellEnd"/>
      <w:r>
        <w:t xml:space="preserve">. at pp. 444-445 [attorney with prior record disbarred based on grave misconduct in nine client matters over six-year period, resulting in five clients being deported in absentia]; </w:t>
      </w:r>
      <w:r>
        <w:rPr>
          <w:i/>
        </w:rPr>
        <w:t>In the</w:t>
      </w:r>
      <w:r>
        <w:t xml:space="preserve"> </w:t>
      </w:r>
      <w:r w:rsidRPr="00630EE3">
        <w:rPr>
          <w:i/>
        </w:rPr>
        <w:t xml:space="preserve">Matter of </w:t>
      </w:r>
      <w:proofErr w:type="spellStart"/>
      <w:r w:rsidRPr="00630EE3">
        <w:rPr>
          <w:i/>
        </w:rPr>
        <w:t>Valinoti</w:t>
      </w:r>
      <w:proofErr w:type="spellEnd"/>
      <w:r>
        <w:t xml:space="preserve">, </w:t>
      </w:r>
      <w:r w:rsidRPr="00FA499B">
        <w:rPr>
          <w:i/>
        </w:rPr>
        <w:t>supra</w:t>
      </w:r>
      <w:r>
        <w:t xml:space="preserve">, 4 Cal. State Bar Ct. </w:t>
      </w:r>
      <w:proofErr w:type="spellStart"/>
      <w:r>
        <w:t>Rptr</w:t>
      </w:r>
      <w:proofErr w:type="spellEnd"/>
      <w:r>
        <w:t>. 498 [three-year suspension for attorney’s misconduct in nine client matters and aiding unlicensed persons to practice immigration law, aggravated by substantial client harm and misrepresentation to immigration judge and State Bar, and failure to advise thousands of clients of his office address change or to safeguard their important papers].</w:t>
      </w:r>
    </w:p>
  </w:footnote>
  <w:footnote w:id="9">
    <w:p w:rsidR="005C408A" w:rsidRDefault="005C408A" w:rsidP="003028D2">
      <w:pPr>
        <w:pStyle w:val="FootnoteText"/>
      </w:pPr>
      <w:r>
        <w:rPr>
          <w:rStyle w:val="FootnoteReference"/>
        </w:rPr>
        <w:footnoteRef/>
      </w:r>
      <w:r>
        <w:t xml:space="preserve"> See </w:t>
      </w:r>
      <w:proofErr w:type="spellStart"/>
      <w:r w:rsidRPr="00045FEA">
        <w:rPr>
          <w:i/>
        </w:rPr>
        <w:t>Gadda</w:t>
      </w:r>
      <w:proofErr w:type="spellEnd"/>
      <w:r w:rsidRPr="00045FEA">
        <w:rPr>
          <w:i/>
        </w:rPr>
        <w:t xml:space="preserve"> v. State Bar</w:t>
      </w:r>
      <w:r>
        <w:t xml:space="preserve"> (1990) 50 </w:t>
      </w:r>
      <w:proofErr w:type="spellStart"/>
      <w:r>
        <w:t>Cal.3d</w:t>
      </w:r>
      <w:proofErr w:type="spellEnd"/>
      <w:r>
        <w:t xml:space="preserve"> 344 </w:t>
      </w:r>
      <w:r w:rsidRPr="00F03911">
        <w:t>[six-month suspension for immigration attorney who had been practicing for o</w:t>
      </w:r>
      <w:r>
        <w:t>nly five and one-half years when he</w:t>
      </w:r>
      <w:r w:rsidRPr="00F03911">
        <w:rPr>
          <w:color w:val="000000"/>
        </w:rPr>
        <w:t xml:space="preserve"> neglected </w:t>
      </w:r>
      <w:r>
        <w:rPr>
          <w:color w:val="000000"/>
        </w:rPr>
        <w:t xml:space="preserve">at least nine </w:t>
      </w:r>
      <w:r w:rsidRPr="00F03911">
        <w:rPr>
          <w:color w:val="000000"/>
        </w:rPr>
        <w:t>clients, instructed a client to lie to an American consul, failed to supervise an associate to whom he assigned a client matter, advertised falsely</w:t>
      </w:r>
      <w:r>
        <w:rPr>
          <w:color w:val="000000"/>
        </w:rPr>
        <w:t xml:space="preserve"> in over 500 letters, </w:t>
      </w:r>
      <w:r>
        <w:t xml:space="preserve">and repeated </w:t>
      </w:r>
      <w:r w:rsidRPr="00F03911">
        <w:t>deliberate misrepresentations</w:t>
      </w:r>
      <w:r>
        <w:t xml:space="preserve"> to clients</w:t>
      </w:r>
      <w:r w:rsidRPr="00F03911">
        <w:t>, mitigated only by his pro bono work and aggravated by his failure to recognize seriousness of</w:t>
      </w:r>
      <w:r>
        <w:t xml:space="preserve"> wrongdoing and accept responsibility]; </w:t>
      </w:r>
      <w:r>
        <w:rPr>
          <w:i/>
        </w:rPr>
        <w:t>In the Matter of Wolff</w:t>
      </w:r>
      <w:r>
        <w:t xml:space="preserve"> (Review Dept. 2006) 5 Cal. State Bar Ct. </w:t>
      </w:r>
      <w:proofErr w:type="spellStart"/>
      <w:r>
        <w:t>Rptr</w:t>
      </w:r>
      <w:proofErr w:type="spellEnd"/>
      <w:r>
        <w:t>. 1 [18-month suspension for attorney with 10 years of practice who refused to appear for 39 clients and abandoned over 300 matters, with mitigation for no prior record and delay in proceedings, and significant aggravation in her multiple acts, harm to administration of justice, and indifference and lack of remorse].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AF9"/>
    <w:multiLevelType w:val="hybridMultilevel"/>
    <w:tmpl w:val="5228258E"/>
    <w:lvl w:ilvl="0" w:tplc="13560DC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F521C6"/>
    <w:multiLevelType w:val="hybridMultilevel"/>
    <w:tmpl w:val="FDAC37E0"/>
    <w:lvl w:ilvl="0" w:tplc="B0006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03A71"/>
    <w:multiLevelType w:val="hybridMultilevel"/>
    <w:tmpl w:val="64B8590E"/>
    <w:lvl w:ilvl="0" w:tplc="E7288B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BB7579"/>
    <w:multiLevelType w:val="hybridMultilevel"/>
    <w:tmpl w:val="EC2A8986"/>
    <w:lvl w:ilvl="0" w:tplc="8AAC6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706386"/>
    <w:multiLevelType w:val="hybridMultilevel"/>
    <w:tmpl w:val="12B4C66E"/>
    <w:lvl w:ilvl="0" w:tplc="161473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D7FD7"/>
    <w:multiLevelType w:val="hybridMultilevel"/>
    <w:tmpl w:val="09382DA8"/>
    <w:lvl w:ilvl="0" w:tplc="22FEF6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373F8"/>
    <w:multiLevelType w:val="hybridMultilevel"/>
    <w:tmpl w:val="87C05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343ECB"/>
    <w:multiLevelType w:val="hybridMultilevel"/>
    <w:tmpl w:val="7F80E28A"/>
    <w:lvl w:ilvl="0" w:tplc="7122909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190B7E"/>
    <w:multiLevelType w:val="hybridMultilevel"/>
    <w:tmpl w:val="0006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F3746"/>
    <w:multiLevelType w:val="hybridMultilevel"/>
    <w:tmpl w:val="1908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F60DF"/>
    <w:multiLevelType w:val="hybridMultilevel"/>
    <w:tmpl w:val="7436DD70"/>
    <w:lvl w:ilvl="0" w:tplc="4AAC0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E46DE"/>
    <w:multiLevelType w:val="hybridMultilevel"/>
    <w:tmpl w:val="38AEEC9C"/>
    <w:lvl w:ilvl="0" w:tplc="5888B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6177E2"/>
    <w:multiLevelType w:val="hybridMultilevel"/>
    <w:tmpl w:val="9D50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146D6D"/>
    <w:multiLevelType w:val="hybridMultilevel"/>
    <w:tmpl w:val="F404EED6"/>
    <w:lvl w:ilvl="0" w:tplc="BE6CC5B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0D5ADC"/>
    <w:multiLevelType w:val="hybridMultilevel"/>
    <w:tmpl w:val="05C8100C"/>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E44F6"/>
    <w:multiLevelType w:val="hybridMultilevel"/>
    <w:tmpl w:val="07186CDA"/>
    <w:lvl w:ilvl="0" w:tplc="8040B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93410"/>
    <w:multiLevelType w:val="hybridMultilevel"/>
    <w:tmpl w:val="2314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C7395"/>
    <w:multiLevelType w:val="hybridMultilevel"/>
    <w:tmpl w:val="E0269188"/>
    <w:lvl w:ilvl="0" w:tplc="2736A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FD498E"/>
    <w:multiLevelType w:val="hybridMultilevel"/>
    <w:tmpl w:val="D51E7BDA"/>
    <w:lvl w:ilvl="0" w:tplc="FD3EF8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7C0C"/>
    <w:multiLevelType w:val="hybridMultilevel"/>
    <w:tmpl w:val="68A4DBC0"/>
    <w:lvl w:ilvl="0" w:tplc="00561986">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5CE6342"/>
    <w:multiLevelType w:val="hybridMultilevel"/>
    <w:tmpl w:val="4D80AA2A"/>
    <w:lvl w:ilvl="0" w:tplc="6A1AF6B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7CE1885"/>
    <w:multiLevelType w:val="hybridMultilevel"/>
    <w:tmpl w:val="AED4A870"/>
    <w:lvl w:ilvl="0" w:tplc="7618D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D62C52"/>
    <w:multiLevelType w:val="hybridMultilevel"/>
    <w:tmpl w:val="26C0FD92"/>
    <w:lvl w:ilvl="0" w:tplc="A60A4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5C7853"/>
    <w:multiLevelType w:val="hybridMultilevel"/>
    <w:tmpl w:val="23FCD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387B6B"/>
    <w:multiLevelType w:val="hybridMultilevel"/>
    <w:tmpl w:val="7C60E4AC"/>
    <w:lvl w:ilvl="0" w:tplc="CAD4DD12">
      <w:start w:val="2"/>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9C70A83"/>
    <w:multiLevelType w:val="hybridMultilevel"/>
    <w:tmpl w:val="F36AC3B0"/>
    <w:lvl w:ilvl="0" w:tplc="843A32D8">
      <w:start w:val="4"/>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A2B0709"/>
    <w:multiLevelType w:val="hybridMultilevel"/>
    <w:tmpl w:val="71704CA6"/>
    <w:lvl w:ilvl="0" w:tplc="CC6A99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C75049"/>
    <w:multiLevelType w:val="hybridMultilevel"/>
    <w:tmpl w:val="7248BC6C"/>
    <w:lvl w:ilvl="0" w:tplc="30E88CE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22"/>
  </w:num>
  <w:num w:numId="4">
    <w:abstractNumId w:val="10"/>
  </w:num>
  <w:num w:numId="5">
    <w:abstractNumId w:val="15"/>
  </w:num>
  <w:num w:numId="6">
    <w:abstractNumId w:val="21"/>
  </w:num>
  <w:num w:numId="7">
    <w:abstractNumId w:val="7"/>
  </w:num>
  <w:num w:numId="8">
    <w:abstractNumId w:val="9"/>
  </w:num>
  <w:num w:numId="9">
    <w:abstractNumId w:val="26"/>
  </w:num>
  <w:num w:numId="10">
    <w:abstractNumId w:val="17"/>
  </w:num>
  <w:num w:numId="11">
    <w:abstractNumId w:val="4"/>
  </w:num>
  <w:num w:numId="12">
    <w:abstractNumId w:val="6"/>
  </w:num>
  <w:num w:numId="13">
    <w:abstractNumId w:val="12"/>
  </w:num>
  <w:num w:numId="14">
    <w:abstractNumId w:val="14"/>
  </w:num>
  <w:num w:numId="15">
    <w:abstractNumId w:val="1"/>
  </w:num>
  <w:num w:numId="16">
    <w:abstractNumId w:val="27"/>
  </w:num>
  <w:num w:numId="17">
    <w:abstractNumId w:val="11"/>
  </w:num>
  <w:num w:numId="18">
    <w:abstractNumId w:val="16"/>
  </w:num>
  <w:num w:numId="19">
    <w:abstractNumId w:val="8"/>
  </w:num>
  <w:num w:numId="20">
    <w:abstractNumId w:val="18"/>
  </w:num>
  <w:num w:numId="21">
    <w:abstractNumId w:val="23"/>
  </w:num>
  <w:num w:numId="22">
    <w:abstractNumId w:val="2"/>
  </w:num>
  <w:num w:numId="23">
    <w:abstractNumId w:val="20"/>
  </w:num>
  <w:num w:numId="24">
    <w:abstractNumId w:val="0"/>
  </w:num>
  <w:num w:numId="25">
    <w:abstractNumId w:val="24"/>
  </w:num>
  <w:num w:numId="26">
    <w:abstractNumId w:val="25"/>
  </w:num>
  <w:num w:numId="27">
    <w:abstractNumId w:val="1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3F7216"/>
    <w:rsid w:val="00001B48"/>
    <w:rsid w:val="00003A91"/>
    <w:rsid w:val="00004CA9"/>
    <w:rsid w:val="00005EFD"/>
    <w:rsid w:val="000075E1"/>
    <w:rsid w:val="00014FD0"/>
    <w:rsid w:val="0002260C"/>
    <w:rsid w:val="000254C9"/>
    <w:rsid w:val="00025A0E"/>
    <w:rsid w:val="000304DE"/>
    <w:rsid w:val="00034039"/>
    <w:rsid w:val="00034ED2"/>
    <w:rsid w:val="000367FE"/>
    <w:rsid w:val="00036AD3"/>
    <w:rsid w:val="000429EE"/>
    <w:rsid w:val="00043BF5"/>
    <w:rsid w:val="000454AE"/>
    <w:rsid w:val="00045FEA"/>
    <w:rsid w:val="000471B4"/>
    <w:rsid w:val="00047925"/>
    <w:rsid w:val="0005756F"/>
    <w:rsid w:val="00061282"/>
    <w:rsid w:val="000617D6"/>
    <w:rsid w:val="000677E9"/>
    <w:rsid w:val="00080A12"/>
    <w:rsid w:val="00092D4D"/>
    <w:rsid w:val="000A21FD"/>
    <w:rsid w:val="000A349C"/>
    <w:rsid w:val="000A3B5B"/>
    <w:rsid w:val="000A4C10"/>
    <w:rsid w:val="000A780B"/>
    <w:rsid w:val="000A7C7E"/>
    <w:rsid w:val="000B5189"/>
    <w:rsid w:val="000B54F7"/>
    <w:rsid w:val="000B72DC"/>
    <w:rsid w:val="000B79EB"/>
    <w:rsid w:val="000B79ED"/>
    <w:rsid w:val="000B7A2D"/>
    <w:rsid w:val="000C0EC9"/>
    <w:rsid w:val="000C6B16"/>
    <w:rsid w:val="000C7742"/>
    <w:rsid w:val="000D0260"/>
    <w:rsid w:val="000D5ED1"/>
    <w:rsid w:val="000D5F2A"/>
    <w:rsid w:val="000D7D0E"/>
    <w:rsid w:val="000E6336"/>
    <w:rsid w:val="000F0094"/>
    <w:rsid w:val="000F0F74"/>
    <w:rsid w:val="000F2391"/>
    <w:rsid w:val="000F503B"/>
    <w:rsid w:val="001013D0"/>
    <w:rsid w:val="00101663"/>
    <w:rsid w:val="00102771"/>
    <w:rsid w:val="00110436"/>
    <w:rsid w:val="0012244E"/>
    <w:rsid w:val="00124C01"/>
    <w:rsid w:val="001269BC"/>
    <w:rsid w:val="0012794A"/>
    <w:rsid w:val="00131A2E"/>
    <w:rsid w:val="00135AE8"/>
    <w:rsid w:val="00137F97"/>
    <w:rsid w:val="001453FA"/>
    <w:rsid w:val="00147F72"/>
    <w:rsid w:val="00150826"/>
    <w:rsid w:val="00152ABB"/>
    <w:rsid w:val="001532E4"/>
    <w:rsid w:val="00153CB8"/>
    <w:rsid w:val="00175898"/>
    <w:rsid w:val="001763AF"/>
    <w:rsid w:val="00176B5E"/>
    <w:rsid w:val="0018793E"/>
    <w:rsid w:val="001879A8"/>
    <w:rsid w:val="001920E0"/>
    <w:rsid w:val="001969E8"/>
    <w:rsid w:val="00197E9F"/>
    <w:rsid w:val="001A08AD"/>
    <w:rsid w:val="001A138C"/>
    <w:rsid w:val="001A149C"/>
    <w:rsid w:val="001B4E2C"/>
    <w:rsid w:val="001C0300"/>
    <w:rsid w:val="001C3133"/>
    <w:rsid w:val="001C5319"/>
    <w:rsid w:val="001D2176"/>
    <w:rsid w:val="001E032D"/>
    <w:rsid w:val="001E0BF8"/>
    <w:rsid w:val="001E6F9A"/>
    <w:rsid w:val="001F258B"/>
    <w:rsid w:val="001F5709"/>
    <w:rsid w:val="00206B40"/>
    <w:rsid w:val="00207FCE"/>
    <w:rsid w:val="0021044C"/>
    <w:rsid w:val="00215606"/>
    <w:rsid w:val="0021672A"/>
    <w:rsid w:val="002257A8"/>
    <w:rsid w:val="002268DD"/>
    <w:rsid w:val="002272A4"/>
    <w:rsid w:val="00230961"/>
    <w:rsid w:val="00234312"/>
    <w:rsid w:val="002346B8"/>
    <w:rsid w:val="00234C6D"/>
    <w:rsid w:val="00235C9D"/>
    <w:rsid w:val="00237E64"/>
    <w:rsid w:val="00240DDB"/>
    <w:rsid w:val="002411A5"/>
    <w:rsid w:val="00250E20"/>
    <w:rsid w:val="00263AD1"/>
    <w:rsid w:val="00267A0A"/>
    <w:rsid w:val="00272D43"/>
    <w:rsid w:val="002822D5"/>
    <w:rsid w:val="002868DE"/>
    <w:rsid w:val="00290309"/>
    <w:rsid w:val="00291245"/>
    <w:rsid w:val="0029263C"/>
    <w:rsid w:val="002A17EE"/>
    <w:rsid w:val="002A25D7"/>
    <w:rsid w:val="002A6D58"/>
    <w:rsid w:val="002B3673"/>
    <w:rsid w:val="002B3DD5"/>
    <w:rsid w:val="002B3E86"/>
    <w:rsid w:val="002B67C0"/>
    <w:rsid w:val="002B7B0F"/>
    <w:rsid w:val="002C31F4"/>
    <w:rsid w:val="002C3942"/>
    <w:rsid w:val="002C5387"/>
    <w:rsid w:val="002D134D"/>
    <w:rsid w:val="002D1CE4"/>
    <w:rsid w:val="002D5CF4"/>
    <w:rsid w:val="002E7623"/>
    <w:rsid w:val="002F09DE"/>
    <w:rsid w:val="002F1290"/>
    <w:rsid w:val="002F18A5"/>
    <w:rsid w:val="002F4B4E"/>
    <w:rsid w:val="002F6574"/>
    <w:rsid w:val="003028D2"/>
    <w:rsid w:val="00303ED1"/>
    <w:rsid w:val="00306002"/>
    <w:rsid w:val="00306167"/>
    <w:rsid w:val="00307477"/>
    <w:rsid w:val="00311C8B"/>
    <w:rsid w:val="00313B44"/>
    <w:rsid w:val="003236B8"/>
    <w:rsid w:val="00325B75"/>
    <w:rsid w:val="00325E38"/>
    <w:rsid w:val="003260B3"/>
    <w:rsid w:val="003262CA"/>
    <w:rsid w:val="00334DA4"/>
    <w:rsid w:val="00335876"/>
    <w:rsid w:val="00337D14"/>
    <w:rsid w:val="0035252B"/>
    <w:rsid w:val="00354860"/>
    <w:rsid w:val="003561E5"/>
    <w:rsid w:val="00357393"/>
    <w:rsid w:val="003616D5"/>
    <w:rsid w:val="003651C6"/>
    <w:rsid w:val="00367909"/>
    <w:rsid w:val="00376EF8"/>
    <w:rsid w:val="0038373E"/>
    <w:rsid w:val="00384C44"/>
    <w:rsid w:val="00385081"/>
    <w:rsid w:val="0039094C"/>
    <w:rsid w:val="00391EF9"/>
    <w:rsid w:val="00393577"/>
    <w:rsid w:val="00394015"/>
    <w:rsid w:val="00394349"/>
    <w:rsid w:val="003B1DC7"/>
    <w:rsid w:val="003B46EE"/>
    <w:rsid w:val="003B62E3"/>
    <w:rsid w:val="003C0A7F"/>
    <w:rsid w:val="003C48AA"/>
    <w:rsid w:val="003D2716"/>
    <w:rsid w:val="003D2A12"/>
    <w:rsid w:val="003D42D2"/>
    <w:rsid w:val="003D474E"/>
    <w:rsid w:val="003D50E7"/>
    <w:rsid w:val="003D62DA"/>
    <w:rsid w:val="003D6DF1"/>
    <w:rsid w:val="003E4315"/>
    <w:rsid w:val="003E5B97"/>
    <w:rsid w:val="003F5499"/>
    <w:rsid w:val="003F7216"/>
    <w:rsid w:val="003F7E40"/>
    <w:rsid w:val="004048B2"/>
    <w:rsid w:val="0041429F"/>
    <w:rsid w:val="004156DA"/>
    <w:rsid w:val="00420925"/>
    <w:rsid w:val="00427155"/>
    <w:rsid w:val="004310E7"/>
    <w:rsid w:val="004318F4"/>
    <w:rsid w:val="00433CE7"/>
    <w:rsid w:val="00442EB8"/>
    <w:rsid w:val="004449B1"/>
    <w:rsid w:val="00446D3E"/>
    <w:rsid w:val="00447F14"/>
    <w:rsid w:val="00450663"/>
    <w:rsid w:val="00452A47"/>
    <w:rsid w:val="00452B3C"/>
    <w:rsid w:val="00456235"/>
    <w:rsid w:val="00461774"/>
    <w:rsid w:val="00462C08"/>
    <w:rsid w:val="0047374B"/>
    <w:rsid w:val="00481083"/>
    <w:rsid w:val="00482330"/>
    <w:rsid w:val="004927C6"/>
    <w:rsid w:val="00493307"/>
    <w:rsid w:val="004949CD"/>
    <w:rsid w:val="00495595"/>
    <w:rsid w:val="004978F6"/>
    <w:rsid w:val="00497A94"/>
    <w:rsid w:val="004A2241"/>
    <w:rsid w:val="004B1D9C"/>
    <w:rsid w:val="004B3CB3"/>
    <w:rsid w:val="004C2186"/>
    <w:rsid w:val="004D11FA"/>
    <w:rsid w:val="004D15F7"/>
    <w:rsid w:val="004D3279"/>
    <w:rsid w:val="004D4245"/>
    <w:rsid w:val="004D5A57"/>
    <w:rsid w:val="004E0843"/>
    <w:rsid w:val="004F3164"/>
    <w:rsid w:val="004F3226"/>
    <w:rsid w:val="004F3A28"/>
    <w:rsid w:val="00500E35"/>
    <w:rsid w:val="00500EAC"/>
    <w:rsid w:val="005038C3"/>
    <w:rsid w:val="00505128"/>
    <w:rsid w:val="00506358"/>
    <w:rsid w:val="00510A60"/>
    <w:rsid w:val="00513391"/>
    <w:rsid w:val="0051488B"/>
    <w:rsid w:val="00520B62"/>
    <w:rsid w:val="00524859"/>
    <w:rsid w:val="00525690"/>
    <w:rsid w:val="005264F8"/>
    <w:rsid w:val="00526CA5"/>
    <w:rsid w:val="00534A70"/>
    <w:rsid w:val="00541AE5"/>
    <w:rsid w:val="0055000B"/>
    <w:rsid w:val="00550DD8"/>
    <w:rsid w:val="0055108E"/>
    <w:rsid w:val="00552DF1"/>
    <w:rsid w:val="00553B4F"/>
    <w:rsid w:val="00555722"/>
    <w:rsid w:val="00557DF6"/>
    <w:rsid w:val="00560130"/>
    <w:rsid w:val="00566116"/>
    <w:rsid w:val="00571009"/>
    <w:rsid w:val="0057117C"/>
    <w:rsid w:val="0057246F"/>
    <w:rsid w:val="005767CC"/>
    <w:rsid w:val="00577C63"/>
    <w:rsid w:val="00582931"/>
    <w:rsid w:val="005904D4"/>
    <w:rsid w:val="0059156A"/>
    <w:rsid w:val="0059707B"/>
    <w:rsid w:val="0059728E"/>
    <w:rsid w:val="005B0977"/>
    <w:rsid w:val="005B09E9"/>
    <w:rsid w:val="005B2B76"/>
    <w:rsid w:val="005B44A6"/>
    <w:rsid w:val="005B564D"/>
    <w:rsid w:val="005C0B0A"/>
    <w:rsid w:val="005C1E2D"/>
    <w:rsid w:val="005C408A"/>
    <w:rsid w:val="005C509A"/>
    <w:rsid w:val="005D0487"/>
    <w:rsid w:val="005E293B"/>
    <w:rsid w:val="005F1A58"/>
    <w:rsid w:val="006017CF"/>
    <w:rsid w:val="00615397"/>
    <w:rsid w:val="00617C18"/>
    <w:rsid w:val="00620162"/>
    <w:rsid w:val="0062365D"/>
    <w:rsid w:val="00623DA8"/>
    <w:rsid w:val="00624BBC"/>
    <w:rsid w:val="00625AD5"/>
    <w:rsid w:val="00630EE3"/>
    <w:rsid w:val="00633990"/>
    <w:rsid w:val="00651541"/>
    <w:rsid w:val="0065334D"/>
    <w:rsid w:val="00653AEF"/>
    <w:rsid w:val="00661AFB"/>
    <w:rsid w:val="00663970"/>
    <w:rsid w:val="00671830"/>
    <w:rsid w:val="00675D91"/>
    <w:rsid w:val="00675E57"/>
    <w:rsid w:val="006813BC"/>
    <w:rsid w:val="00682AFF"/>
    <w:rsid w:val="00682B94"/>
    <w:rsid w:val="00691D9B"/>
    <w:rsid w:val="00695369"/>
    <w:rsid w:val="00696C43"/>
    <w:rsid w:val="006A0E36"/>
    <w:rsid w:val="006A23EB"/>
    <w:rsid w:val="006A3CC3"/>
    <w:rsid w:val="006A7F41"/>
    <w:rsid w:val="006B0E57"/>
    <w:rsid w:val="006B3AB6"/>
    <w:rsid w:val="006B5737"/>
    <w:rsid w:val="006C296F"/>
    <w:rsid w:val="006D2265"/>
    <w:rsid w:val="006D36CB"/>
    <w:rsid w:val="006D4781"/>
    <w:rsid w:val="006D649C"/>
    <w:rsid w:val="006E1EF4"/>
    <w:rsid w:val="006E44A9"/>
    <w:rsid w:val="006E4B27"/>
    <w:rsid w:val="006E55B2"/>
    <w:rsid w:val="006E6D13"/>
    <w:rsid w:val="006E740E"/>
    <w:rsid w:val="006F0D0C"/>
    <w:rsid w:val="006F7895"/>
    <w:rsid w:val="007051AD"/>
    <w:rsid w:val="00705320"/>
    <w:rsid w:val="007126CF"/>
    <w:rsid w:val="00717354"/>
    <w:rsid w:val="00724F7C"/>
    <w:rsid w:val="007434A0"/>
    <w:rsid w:val="00745AEB"/>
    <w:rsid w:val="00745E3B"/>
    <w:rsid w:val="007533D8"/>
    <w:rsid w:val="00753956"/>
    <w:rsid w:val="0075432A"/>
    <w:rsid w:val="007556D2"/>
    <w:rsid w:val="0075742E"/>
    <w:rsid w:val="00757CCD"/>
    <w:rsid w:val="00761C22"/>
    <w:rsid w:val="007623D7"/>
    <w:rsid w:val="00762D35"/>
    <w:rsid w:val="00765222"/>
    <w:rsid w:val="007705E6"/>
    <w:rsid w:val="007768C9"/>
    <w:rsid w:val="00783AF1"/>
    <w:rsid w:val="007870F1"/>
    <w:rsid w:val="00792FD9"/>
    <w:rsid w:val="007A2CB7"/>
    <w:rsid w:val="007A5353"/>
    <w:rsid w:val="007B1C94"/>
    <w:rsid w:val="007C033D"/>
    <w:rsid w:val="007C7600"/>
    <w:rsid w:val="007C773E"/>
    <w:rsid w:val="007D29C6"/>
    <w:rsid w:val="007D3DD6"/>
    <w:rsid w:val="007F251D"/>
    <w:rsid w:val="007F537A"/>
    <w:rsid w:val="0080351D"/>
    <w:rsid w:val="00803D57"/>
    <w:rsid w:val="00805E03"/>
    <w:rsid w:val="0080764F"/>
    <w:rsid w:val="008156A1"/>
    <w:rsid w:val="00816EA3"/>
    <w:rsid w:val="00820D3F"/>
    <w:rsid w:val="008250EA"/>
    <w:rsid w:val="00825592"/>
    <w:rsid w:val="00826745"/>
    <w:rsid w:val="00831D7E"/>
    <w:rsid w:val="00835B6F"/>
    <w:rsid w:val="00835F54"/>
    <w:rsid w:val="0083679A"/>
    <w:rsid w:val="00836E0B"/>
    <w:rsid w:val="00842EA7"/>
    <w:rsid w:val="008476B3"/>
    <w:rsid w:val="0085757C"/>
    <w:rsid w:val="00865152"/>
    <w:rsid w:val="0086771D"/>
    <w:rsid w:val="00870C8F"/>
    <w:rsid w:val="00872A9E"/>
    <w:rsid w:val="008730ED"/>
    <w:rsid w:val="008740EB"/>
    <w:rsid w:val="00876A96"/>
    <w:rsid w:val="0089035B"/>
    <w:rsid w:val="0089071D"/>
    <w:rsid w:val="00891253"/>
    <w:rsid w:val="0089240E"/>
    <w:rsid w:val="008966CD"/>
    <w:rsid w:val="008A154E"/>
    <w:rsid w:val="008A1CD9"/>
    <w:rsid w:val="008A7B39"/>
    <w:rsid w:val="008A7BF0"/>
    <w:rsid w:val="008B0169"/>
    <w:rsid w:val="008B0534"/>
    <w:rsid w:val="008B1231"/>
    <w:rsid w:val="008B35E2"/>
    <w:rsid w:val="008B3A29"/>
    <w:rsid w:val="008B55F6"/>
    <w:rsid w:val="008B708F"/>
    <w:rsid w:val="008C4BA9"/>
    <w:rsid w:val="008C51CE"/>
    <w:rsid w:val="008D46EE"/>
    <w:rsid w:val="008E30F9"/>
    <w:rsid w:val="008E3541"/>
    <w:rsid w:val="008E4725"/>
    <w:rsid w:val="008E7C53"/>
    <w:rsid w:val="008F0B72"/>
    <w:rsid w:val="008F248F"/>
    <w:rsid w:val="00900D2D"/>
    <w:rsid w:val="00902D02"/>
    <w:rsid w:val="00905770"/>
    <w:rsid w:val="0091654C"/>
    <w:rsid w:val="00916D16"/>
    <w:rsid w:val="0092010F"/>
    <w:rsid w:val="009216E0"/>
    <w:rsid w:val="00936F16"/>
    <w:rsid w:val="00943692"/>
    <w:rsid w:val="00944DB9"/>
    <w:rsid w:val="009466CC"/>
    <w:rsid w:val="00947B98"/>
    <w:rsid w:val="00947D29"/>
    <w:rsid w:val="00947D66"/>
    <w:rsid w:val="009522BD"/>
    <w:rsid w:val="00955DBC"/>
    <w:rsid w:val="0096281E"/>
    <w:rsid w:val="00967082"/>
    <w:rsid w:val="00970D4D"/>
    <w:rsid w:val="009720D7"/>
    <w:rsid w:val="00974E7F"/>
    <w:rsid w:val="0097622E"/>
    <w:rsid w:val="00981371"/>
    <w:rsid w:val="009831CE"/>
    <w:rsid w:val="009A2049"/>
    <w:rsid w:val="009A5AC9"/>
    <w:rsid w:val="009A5CCD"/>
    <w:rsid w:val="009B2081"/>
    <w:rsid w:val="009B2BFC"/>
    <w:rsid w:val="009C49AA"/>
    <w:rsid w:val="009D2965"/>
    <w:rsid w:val="009D44AC"/>
    <w:rsid w:val="009D7349"/>
    <w:rsid w:val="009D76C0"/>
    <w:rsid w:val="009E148A"/>
    <w:rsid w:val="009E3081"/>
    <w:rsid w:val="009F52A7"/>
    <w:rsid w:val="009F61DB"/>
    <w:rsid w:val="009F6B6C"/>
    <w:rsid w:val="00A0057D"/>
    <w:rsid w:val="00A0075E"/>
    <w:rsid w:val="00A0096B"/>
    <w:rsid w:val="00A05683"/>
    <w:rsid w:val="00A07497"/>
    <w:rsid w:val="00A10DA8"/>
    <w:rsid w:val="00A17BD6"/>
    <w:rsid w:val="00A4092D"/>
    <w:rsid w:val="00A41CFA"/>
    <w:rsid w:val="00A41F4E"/>
    <w:rsid w:val="00A47EC3"/>
    <w:rsid w:val="00A56D17"/>
    <w:rsid w:val="00A57C8F"/>
    <w:rsid w:val="00A65077"/>
    <w:rsid w:val="00A6771B"/>
    <w:rsid w:val="00A74484"/>
    <w:rsid w:val="00A82605"/>
    <w:rsid w:val="00A85916"/>
    <w:rsid w:val="00A85920"/>
    <w:rsid w:val="00A87718"/>
    <w:rsid w:val="00A944CB"/>
    <w:rsid w:val="00A9563E"/>
    <w:rsid w:val="00A97CBA"/>
    <w:rsid w:val="00AA270C"/>
    <w:rsid w:val="00AA4E94"/>
    <w:rsid w:val="00AB41A3"/>
    <w:rsid w:val="00AB6E6E"/>
    <w:rsid w:val="00AB72A6"/>
    <w:rsid w:val="00AB7523"/>
    <w:rsid w:val="00AC4938"/>
    <w:rsid w:val="00AC7B3F"/>
    <w:rsid w:val="00AD0CB1"/>
    <w:rsid w:val="00AD1DE4"/>
    <w:rsid w:val="00AD3D4A"/>
    <w:rsid w:val="00AD42F0"/>
    <w:rsid w:val="00AD54D7"/>
    <w:rsid w:val="00AD61B5"/>
    <w:rsid w:val="00AD7F32"/>
    <w:rsid w:val="00AD7FCD"/>
    <w:rsid w:val="00AE3BDB"/>
    <w:rsid w:val="00B0417E"/>
    <w:rsid w:val="00B057F0"/>
    <w:rsid w:val="00B05A26"/>
    <w:rsid w:val="00B06285"/>
    <w:rsid w:val="00B06B36"/>
    <w:rsid w:val="00B11A30"/>
    <w:rsid w:val="00B1288A"/>
    <w:rsid w:val="00B12B72"/>
    <w:rsid w:val="00B13620"/>
    <w:rsid w:val="00B17694"/>
    <w:rsid w:val="00B20581"/>
    <w:rsid w:val="00B21CAD"/>
    <w:rsid w:val="00B233B4"/>
    <w:rsid w:val="00B23A79"/>
    <w:rsid w:val="00B30341"/>
    <w:rsid w:val="00B30569"/>
    <w:rsid w:val="00B325DC"/>
    <w:rsid w:val="00B32B26"/>
    <w:rsid w:val="00B35B60"/>
    <w:rsid w:val="00B41D84"/>
    <w:rsid w:val="00B421AC"/>
    <w:rsid w:val="00B44C63"/>
    <w:rsid w:val="00B50FCA"/>
    <w:rsid w:val="00B52FDD"/>
    <w:rsid w:val="00B53B81"/>
    <w:rsid w:val="00B53E28"/>
    <w:rsid w:val="00B56D94"/>
    <w:rsid w:val="00B75218"/>
    <w:rsid w:val="00B809C4"/>
    <w:rsid w:val="00B80B9B"/>
    <w:rsid w:val="00B81DC5"/>
    <w:rsid w:val="00B9017D"/>
    <w:rsid w:val="00B92689"/>
    <w:rsid w:val="00BA1F62"/>
    <w:rsid w:val="00BA2C7D"/>
    <w:rsid w:val="00BB26AA"/>
    <w:rsid w:val="00BB7ABA"/>
    <w:rsid w:val="00BC216E"/>
    <w:rsid w:val="00BC6C6D"/>
    <w:rsid w:val="00BC7BF1"/>
    <w:rsid w:val="00BC7E7E"/>
    <w:rsid w:val="00BD61BB"/>
    <w:rsid w:val="00BD76BD"/>
    <w:rsid w:val="00BE2863"/>
    <w:rsid w:val="00BE2975"/>
    <w:rsid w:val="00BE348E"/>
    <w:rsid w:val="00BE487C"/>
    <w:rsid w:val="00BF057C"/>
    <w:rsid w:val="00BF7F30"/>
    <w:rsid w:val="00C000BB"/>
    <w:rsid w:val="00C01123"/>
    <w:rsid w:val="00C11CC8"/>
    <w:rsid w:val="00C17216"/>
    <w:rsid w:val="00C234B3"/>
    <w:rsid w:val="00C2402F"/>
    <w:rsid w:val="00C33B2D"/>
    <w:rsid w:val="00C43116"/>
    <w:rsid w:val="00C4380C"/>
    <w:rsid w:val="00C50C74"/>
    <w:rsid w:val="00C50EB3"/>
    <w:rsid w:val="00C52275"/>
    <w:rsid w:val="00C538EE"/>
    <w:rsid w:val="00C53C0E"/>
    <w:rsid w:val="00C6003B"/>
    <w:rsid w:val="00C614A8"/>
    <w:rsid w:val="00C65116"/>
    <w:rsid w:val="00C6698C"/>
    <w:rsid w:val="00C72AEB"/>
    <w:rsid w:val="00C746E6"/>
    <w:rsid w:val="00C759A0"/>
    <w:rsid w:val="00C87253"/>
    <w:rsid w:val="00C93CEC"/>
    <w:rsid w:val="00CA1790"/>
    <w:rsid w:val="00CA67C0"/>
    <w:rsid w:val="00CB53FA"/>
    <w:rsid w:val="00CB582A"/>
    <w:rsid w:val="00CB7F81"/>
    <w:rsid w:val="00CC3A64"/>
    <w:rsid w:val="00CD2B69"/>
    <w:rsid w:val="00CD3070"/>
    <w:rsid w:val="00CD7547"/>
    <w:rsid w:val="00CE147F"/>
    <w:rsid w:val="00CE5DEF"/>
    <w:rsid w:val="00CE6863"/>
    <w:rsid w:val="00CE7EAE"/>
    <w:rsid w:val="00CF0444"/>
    <w:rsid w:val="00CF63ED"/>
    <w:rsid w:val="00D02032"/>
    <w:rsid w:val="00D0272F"/>
    <w:rsid w:val="00D04BC7"/>
    <w:rsid w:val="00D079A5"/>
    <w:rsid w:val="00D11795"/>
    <w:rsid w:val="00D11E42"/>
    <w:rsid w:val="00D12A92"/>
    <w:rsid w:val="00D16863"/>
    <w:rsid w:val="00D1727D"/>
    <w:rsid w:val="00D25D3F"/>
    <w:rsid w:val="00D36BDC"/>
    <w:rsid w:val="00D370C0"/>
    <w:rsid w:val="00D405DD"/>
    <w:rsid w:val="00D429AF"/>
    <w:rsid w:val="00D467E2"/>
    <w:rsid w:val="00D5294E"/>
    <w:rsid w:val="00D55058"/>
    <w:rsid w:val="00D57AD0"/>
    <w:rsid w:val="00D61509"/>
    <w:rsid w:val="00D6764A"/>
    <w:rsid w:val="00D77DFC"/>
    <w:rsid w:val="00D84FBC"/>
    <w:rsid w:val="00D861F4"/>
    <w:rsid w:val="00D91225"/>
    <w:rsid w:val="00D91EA4"/>
    <w:rsid w:val="00DA1911"/>
    <w:rsid w:val="00DA7D7D"/>
    <w:rsid w:val="00DB152E"/>
    <w:rsid w:val="00DC0843"/>
    <w:rsid w:val="00DC0D07"/>
    <w:rsid w:val="00DF3920"/>
    <w:rsid w:val="00DF7137"/>
    <w:rsid w:val="00DF77BF"/>
    <w:rsid w:val="00DF7EE8"/>
    <w:rsid w:val="00E00508"/>
    <w:rsid w:val="00E031C5"/>
    <w:rsid w:val="00E11E59"/>
    <w:rsid w:val="00E12926"/>
    <w:rsid w:val="00E13DFC"/>
    <w:rsid w:val="00E205BB"/>
    <w:rsid w:val="00E20835"/>
    <w:rsid w:val="00E306CE"/>
    <w:rsid w:val="00E337DC"/>
    <w:rsid w:val="00E35613"/>
    <w:rsid w:val="00E36A09"/>
    <w:rsid w:val="00E47CEC"/>
    <w:rsid w:val="00E5581B"/>
    <w:rsid w:val="00E60664"/>
    <w:rsid w:val="00E6133F"/>
    <w:rsid w:val="00E63EC9"/>
    <w:rsid w:val="00E6547F"/>
    <w:rsid w:val="00E7539B"/>
    <w:rsid w:val="00E753C1"/>
    <w:rsid w:val="00E76E81"/>
    <w:rsid w:val="00E81D6C"/>
    <w:rsid w:val="00E8636A"/>
    <w:rsid w:val="00E90123"/>
    <w:rsid w:val="00EB0937"/>
    <w:rsid w:val="00EB0AE7"/>
    <w:rsid w:val="00EB5673"/>
    <w:rsid w:val="00EB58F5"/>
    <w:rsid w:val="00EC34EB"/>
    <w:rsid w:val="00EC4A1B"/>
    <w:rsid w:val="00EC6888"/>
    <w:rsid w:val="00EC7FE7"/>
    <w:rsid w:val="00ED5E5C"/>
    <w:rsid w:val="00ED65D8"/>
    <w:rsid w:val="00ED6946"/>
    <w:rsid w:val="00EE1C2A"/>
    <w:rsid w:val="00EE725B"/>
    <w:rsid w:val="00EF0CD2"/>
    <w:rsid w:val="00EF11EC"/>
    <w:rsid w:val="00EF554B"/>
    <w:rsid w:val="00EF5975"/>
    <w:rsid w:val="00EF6E91"/>
    <w:rsid w:val="00F00DD5"/>
    <w:rsid w:val="00F03911"/>
    <w:rsid w:val="00F22631"/>
    <w:rsid w:val="00F27854"/>
    <w:rsid w:val="00F30D61"/>
    <w:rsid w:val="00F32F9A"/>
    <w:rsid w:val="00F34EF4"/>
    <w:rsid w:val="00F36ED2"/>
    <w:rsid w:val="00F41B68"/>
    <w:rsid w:val="00F46008"/>
    <w:rsid w:val="00F462D8"/>
    <w:rsid w:val="00F46975"/>
    <w:rsid w:val="00F46D99"/>
    <w:rsid w:val="00F613FE"/>
    <w:rsid w:val="00F647E6"/>
    <w:rsid w:val="00F650E7"/>
    <w:rsid w:val="00F65C1D"/>
    <w:rsid w:val="00F67FAC"/>
    <w:rsid w:val="00F70EBE"/>
    <w:rsid w:val="00F81ADF"/>
    <w:rsid w:val="00F82090"/>
    <w:rsid w:val="00F8231A"/>
    <w:rsid w:val="00F8318A"/>
    <w:rsid w:val="00F93D16"/>
    <w:rsid w:val="00F94EBF"/>
    <w:rsid w:val="00F9562D"/>
    <w:rsid w:val="00F97029"/>
    <w:rsid w:val="00FA02E5"/>
    <w:rsid w:val="00FA25EF"/>
    <w:rsid w:val="00FA3A19"/>
    <w:rsid w:val="00FA4040"/>
    <w:rsid w:val="00FA499B"/>
    <w:rsid w:val="00FA5A46"/>
    <w:rsid w:val="00FB3516"/>
    <w:rsid w:val="00FC5D80"/>
    <w:rsid w:val="00FE1554"/>
    <w:rsid w:val="00FF1A73"/>
    <w:rsid w:val="00FF1E33"/>
    <w:rsid w:val="00FF232F"/>
    <w:rsid w:val="00FF31F8"/>
    <w:rsid w:val="00FF4BF6"/>
    <w:rsid w:val="00FF4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3028D2"/>
    <w:pPr>
      <w:keepLines/>
      <w:spacing w:after="120" w:line="240" w:lineRule="auto"/>
      <w:ind w:firstLine="720"/>
    </w:pPr>
  </w:style>
  <w:style w:type="character" w:customStyle="1" w:styleId="FootnoteTextChar">
    <w:name w:val="Footnote Text Char"/>
    <w:basedOn w:val="DefaultParagraphFont"/>
    <w:link w:val="FootnoteText"/>
    <w:rsid w:val="003028D2"/>
  </w:style>
  <w:style w:type="paragraph" w:customStyle="1" w:styleId="Footnote">
    <w:name w:val="Footnote"/>
    <w:basedOn w:val="Normal"/>
    <w:link w:val="FootnoteChar"/>
    <w:autoRedefine/>
    <w:qFormat/>
    <w:rsid w:val="00FF31F8"/>
    <w:pPr>
      <w:spacing w:after="120" w:line="240" w:lineRule="auto"/>
    </w:pPr>
    <w:rPr>
      <w:rFonts w:cstheme="minorBidi"/>
      <w:b/>
    </w:rPr>
  </w:style>
  <w:style w:type="character" w:customStyle="1" w:styleId="FootnoteChar">
    <w:name w:val="Footnote Char"/>
    <w:basedOn w:val="DefaultParagraphFont"/>
    <w:link w:val="Footnote"/>
    <w:rsid w:val="00FF31F8"/>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99"/>
    <w:qFormat/>
    <w:rsid w:val="00916D16"/>
    <w:pPr>
      <w:ind w:left="720"/>
      <w:contextualSpacing/>
    </w:pPr>
  </w:style>
  <w:style w:type="paragraph" w:styleId="BalloonText">
    <w:name w:val="Balloon Text"/>
    <w:basedOn w:val="Normal"/>
    <w:link w:val="BalloonTextChar"/>
    <w:uiPriority w:val="99"/>
    <w:semiHidden/>
    <w:unhideWhenUsed/>
    <w:rsid w:val="00FA25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EF"/>
    <w:rPr>
      <w:rFonts w:ascii="Tahoma" w:hAnsi="Tahoma" w:cs="Tahoma"/>
      <w:sz w:val="16"/>
      <w:szCs w:val="16"/>
    </w:rPr>
  </w:style>
  <w:style w:type="paragraph" w:customStyle="1" w:styleId="Level1">
    <w:name w:val="Level 1"/>
    <w:basedOn w:val="Normal"/>
    <w:uiPriority w:val="99"/>
    <w:rsid w:val="00025A0E"/>
    <w:pPr>
      <w:widowControl w:val="0"/>
      <w:autoSpaceDE w:val="0"/>
      <w:autoSpaceDN w:val="0"/>
      <w:adjustRightInd w:val="0"/>
      <w:spacing w:line="240" w:lineRule="auto"/>
      <w:ind w:left="720" w:hanging="720"/>
      <w:outlineLvl w:val="0"/>
    </w:pPr>
  </w:style>
  <w:style w:type="paragraph" w:styleId="BodyTextIndent2">
    <w:name w:val="Body Text Indent 2"/>
    <w:basedOn w:val="Normal"/>
    <w:link w:val="BodyTextIndent2Char"/>
    <w:rsid w:val="00745AEB"/>
    <w:pPr>
      <w:spacing w:line="240" w:lineRule="auto"/>
      <w:ind w:left="720"/>
    </w:pPr>
  </w:style>
  <w:style w:type="character" w:customStyle="1" w:styleId="BodyTextIndent2Char">
    <w:name w:val="Body Text Indent 2 Char"/>
    <w:basedOn w:val="DefaultParagraphFont"/>
    <w:link w:val="BodyTextIndent2"/>
    <w:rsid w:val="00745A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73EF-6592-4C89-BBFF-9D21A109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3</TotalTime>
  <Pages>16</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Ruiz</cp:lastModifiedBy>
  <cp:revision>3</cp:revision>
  <cp:lastPrinted>2010-08-13T22:57:00Z</cp:lastPrinted>
  <dcterms:created xsi:type="dcterms:W3CDTF">2010-08-11T23:10:00Z</dcterms:created>
  <dcterms:modified xsi:type="dcterms:W3CDTF">2010-08-13T22:57:00Z</dcterms:modified>
</cp:coreProperties>
</file>