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EC" w:rsidRDefault="001C22EC" w:rsidP="001C22EC">
      <w:pPr>
        <w:spacing w:line="235" w:lineRule="exact"/>
        <w:rPr>
          <w:rFonts w:ascii="Times New Roman" w:hAnsi="Times New Roman"/>
          <w:b/>
          <w:bCs/>
        </w:rPr>
      </w:pPr>
      <w:r>
        <w:rPr>
          <w:rFonts w:ascii="Times New Roman" w:hAnsi="Times New Roman"/>
          <w:b/>
          <w:bCs/>
        </w:rPr>
        <w:t>PUBLIC MATTER – NOT DESIGNATED FOR PUBLICATION</w:t>
      </w:r>
    </w:p>
    <w:p w:rsidR="00D43730" w:rsidRDefault="00D43730" w:rsidP="001C22EC">
      <w:pPr>
        <w:spacing w:line="235" w:lineRule="exact"/>
        <w:rPr>
          <w:rFonts w:ascii="Times New Roman" w:hAnsi="Times New Roman"/>
          <w:b/>
          <w:bCs/>
        </w:rPr>
      </w:pPr>
    </w:p>
    <w:p w:rsidR="00D43730" w:rsidRDefault="00D43730" w:rsidP="001C22EC">
      <w:pPr>
        <w:spacing w:line="235" w:lineRule="exact"/>
        <w:rPr>
          <w:rFonts w:ascii="Times New Roman" w:hAnsi="Times New Roman"/>
          <w:b/>
          <w:bCs/>
        </w:rPr>
      </w:pPr>
    </w:p>
    <w:p w:rsidR="008C023B" w:rsidRDefault="00E1119B" w:rsidP="001C22EC">
      <w:pPr>
        <w:spacing w:line="235" w:lineRule="exac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FILED MARCH 12, 2010</w:t>
      </w:r>
    </w:p>
    <w:p w:rsidR="00300B39" w:rsidRDefault="00E1119B" w:rsidP="001C22EC">
      <w:pPr>
        <w:spacing w:line="235" w:lineRule="exac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8C023B" w:rsidRDefault="008C023B" w:rsidP="001C22EC">
      <w:pPr>
        <w:spacing w:line="235" w:lineRule="exact"/>
        <w:rPr>
          <w:rFonts w:ascii="Times New Roman" w:hAnsi="Times New Roman"/>
          <w:b/>
          <w:bCs/>
        </w:rPr>
      </w:pPr>
    </w:p>
    <w:p w:rsidR="00D43730" w:rsidRDefault="00D43730" w:rsidP="001C22EC">
      <w:pPr>
        <w:spacing w:line="235" w:lineRule="exact"/>
        <w:rPr>
          <w:rFonts w:ascii="Times New Roman" w:hAnsi="Times New Roman"/>
          <w:b/>
          <w:bCs/>
        </w:rPr>
      </w:pPr>
    </w:p>
    <w:p w:rsidR="00D43730" w:rsidRDefault="00D43730" w:rsidP="001C22EC">
      <w:pPr>
        <w:spacing w:line="235" w:lineRule="exact"/>
        <w:rPr>
          <w:rFonts w:ascii="Times New Roman" w:hAnsi="Times New Roman"/>
          <w:b/>
          <w:bCs/>
        </w:rPr>
      </w:pPr>
    </w:p>
    <w:p w:rsidR="00D43730" w:rsidRDefault="00D43730" w:rsidP="008C023B">
      <w:pPr>
        <w:tabs>
          <w:tab w:val="center" w:pos="4680"/>
        </w:tabs>
        <w:spacing w:line="235" w:lineRule="exact"/>
        <w:jc w:val="center"/>
        <w:rPr>
          <w:rFonts w:ascii="Times New Roman" w:hAnsi="Times New Roman"/>
          <w:b/>
          <w:bCs/>
        </w:rPr>
      </w:pPr>
      <w:r>
        <w:rPr>
          <w:rFonts w:ascii="Times New Roman" w:hAnsi="Times New Roman"/>
          <w:b/>
          <w:bCs/>
        </w:rPr>
        <w:t>REVIEW DEPARTMENT OF THE STATE BAR COURT</w:t>
      </w:r>
    </w:p>
    <w:p w:rsidR="00D43730" w:rsidRDefault="00D43730" w:rsidP="00D43730">
      <w:pPr>
        <w:spacing w:line="235" w:lineRule="exact"/>
        <w:rPr>
          <w:rFonts w:ascii="Times New Roman" w:hAnsi="Times New Roman"/>
        </w:rPr>
      </w:pPr>
    </w:p>
    <w:p w:rsidR="00D43730" w:rsidRDefault="00D43730" w:rsidP="00D43730">
      <w:pPr>
        <w:spacing w:line="62" w:lineRule="exact"/>
        <w:rPr>
          <w:rFonts w:ascii="Times New Roman" w:hAnsi="Times New Roman"/>
        </w:rPr>
      </w:pPr>
    </w:p>
    <w:p w:rsidR="00D43730" w:rsidRDefault="00D43730" w:rsidP="00D43730">
      <w:pPr>
        <w:spacing w:line="235" w:lineRule="exact"/>
        <w:ind w:firstLine="7920"/>
        <w:rPr>
          <w:rFonts w:ascii="Times New Roman" w:hAnsi="Times New Roman"/>
        </w:rPr>
      </w:pPr>
    </w:p>
    <w:tbl>
      <w:tblPr>
        <w:tblW w:w="9144" w:type="dxa"/>
        <w:jc w:val="center"/>
        <w:tblInd w:w="216" w:type="dxa"/>
        <w:tblLayout w:type="fixed"/>
        <w:tblCellMar>
          <w:left w:w="0" w:type="dxa"/>
          <w:right w:w="0" w:type="dxa"/>
        </w:tblCellMar>
        <w:tblLook w:val="0000"/>
      </w:tblPr>
      <w:tblGrid>
        <w:gridCol w:w="4104"/>
        <w:gridCol w:w="774"/>
        <w:gridCol w:w="4266"/>
      </w:tblGrid>
      <w:tr w:rsidR="00D43730" w:rsidTr="009E7B6E">
        <w:trPr>
          <w:cantSplit/>
          <w:trHeight w:hRule="exact" w:val="535"/>
          <w:jc w:val="center"/>
        </w:trPr>
        <w:tc>
          <w:tcPr>
            <w:tcW w:w="4104" w:type="dxa"/>
            <w:vMerge w:val="restart"/>
          </w:tcPr>
          <w:p w:rsidR="00D43730" w:rsidRDefault="00D43730" w:rsidP="00D43730">
            <w:pPr>
              <w:spacing w:line="235" w:lineRule="exact"/>
              <w:rPr>
                <w:rFonts w:ascii="Times New Roman" w:hAnsi="Times New Roman"/>
              </w:rPr>
            </w:pPr>
            <w:r>
              <w:rPr>
                <w:rFonts w:ascii="Times New Roman" w:hAnsi="Times New Roman"/>
              </w:rPr>
              <w:t>In the Matter of</w:t>
            </w:r>
          </w:p>
          <w:p w:rsidR="00D43730" w:rsidRDefault="00D43730" w:rsidP="00D43730">
            <w:pPr>
              <w:spacing w:line="235" w:lineRule="exact"/>
              <w:rPr>
                <w:rFonts w:ascii="Times New Roman" w:hAnsi="Times New Roman"/>
              </w:rPr>
            </w:pPr>
          </w:p>
          <w:p w:rsidR="00D43730" w:rsidRDefault="00D43730" w:rsidP="00D43730">
            <w:pPr>
              <w:spacing w:line="235" w:lineRule="exact"/>
              <w:rPr>
                <w:rFonts w:ascii="Times New Roman" w:hAnsi="Times New Roman"/>
              </w:rPr>
            </w:pPr>
            <w:bookmarkStart w:id="0" w:name="Respondent"/>
            <w:bookmarkEnd w:id="0"/>
            <w:r>
              <w:rPr>
                <w:rFonts w:ascii="Times New Roman" w:hAnsi="Times New Roman"/>
                <w:b/>
                <w:bCs/>
              </w:rPr>
              <w:t>RICHARD JOHN PAPST</w:t>
            </w:r>
            <w:r w:rsidR="00174E6B">
              <w:rPr>
                <w:rFonts w:ascii="Times New Roman" w:hAnsi="Times New Roman"/>
                <w:b/>
                <w:bCs/>
              </w:rPr>
              <w:t>,</w:t>
            </w:r>
          </w:p>
          <w:p w:rsidR="00D43730" w:rsidRDefault="00D43730" w:rsidP="00D43730">
            <w:pPr>
              <w:spacing w:line="235" w:lineRule="exact"/>
              <w:rPr>
                <w:rFonts w:ascii="Times New Roman" w:hAnsi="Times New Roman"/>
              </w:rPr>
            </w:pPr>
          </w:p>
          <w:p w:rsidR="00D43730" w:rsidRDefault="00D43730" w:rsidP="00D43730">
            <w:pPr>
              <w:spacing w:line="235" w:lineRule="exact"/>
              <w:rPr>
                <w:rFonts w:ascii="Times New Roman" w:hAnsi="Times New Roman"/>
              </w:rPr>
            </w:pPr>
            <w:bookmarkStart w:id="1" w:name="Type"/>
            <w:bookmarkEnd w:id="1"/>
            <w:r>
              <w:rPr>
                <w:rFonts w:ascii="Times New Roman" w:hAnsi="Times New Roman"/>
              </w:rPr>
              <w:t>A Member of the State Bar.</w:t>
            </w:r>
          </w:p>
          <w:p w:rsidR="00D43730" w:rsidRDefault="00D43730" w:rsidP="00D43730">
            <w:pPr>
              <w:spacing w:line="235" w:lineRule="exact"/>
              <w:rPr>
                <w:rFonts w:ascii="Times New Roman" w:hAnsi="Times New Roman"/>
              </w:rPr>
            </w:pPr>
            <w:r>
              <w:rPr>
                <w:rFonts w:ascii="Times New Roman" w:hAnsi="Times New Roman"/>
              </w:rPr>
              <w:t>___________________________________</w:t>
            </w:r>
          </w:p>
        </w:tc>
        <w:tc>
          <w:tcPr>
            <w:tcW w:w="774" w:type="dxa"/>
            <w:vMerge w:val="restart"/>
          </w:tcPr>
          <w:p w:rsidR="00D43730" w:rsidRDefault="00D43730" w:rsidP="00D43730">
            <w:pPr>
              <w:spacing w:line="235" w:lineRule="exact"/>
              <w:rPr>
                <w:rFonts w:ascii="Times New Roman" w:hAnsi="Times New Roman"/>
              </w:rPr>
            </w:pPr>
            <w:r>
              <w:rPr>
                <w:rFonts w:ascii="Times New Roman" w:hAnsi="Times New Roman"/>
              </w:rPr>
              <w:t>)</w:t>
            </w:r>
          </w:p>
          <w:p w:rsidR="00D43730" w:rsidRDefault="00D43730" w:rsidP="00D43730">
            <w:pPr>
              <w:spacing w:line="235" w:lineRule="exact"/>
              <w:rPr>
                <w:rFonts w:ascii="Times New Roman" w:hAnsi="Times New Roman"/>
              </w:rPr>
            </w:pPr>
            <w:r>
              <w:rPr>
                <w:rFonts w:ascii="Times New Roman" w:hAnsi="Times New Roman"/>
              </w:rPr>
              <w:t>)</w:t>
            </w:r>
          </w:p>
          <w:p w:rsidR="00D43730" w:rsidRDefault="00D43730" w:rsidP="00D43730">
            <w:pPr>
              <w:spacing w:line="235" w:lineRule="exact"/>
              <w:rPr>
                <w:rFonts w:ascii="Times New Roman" w:hAnsi="Times New Roman"/>
              </w:rPr>
            </w:pPr>
            <w:r>
              <w:rPr>
                <w:rFonts w:ascii="Times New Roman" w:hAnsi="Times New Roman"/>
              </w:rPr>
              <w:t>)</w:t>
            </w:r>
          </w:p>
          <w:p w:rsidR="00D43730" w:rsidRDefault="00D43730" w:rsidP="00D43730">
            <w:pPr>
              <w:spacing w:line="235" w:lineRule="exact"/>
              <w:rPr>
                <w:rFonts w:ascii="Times New Roman" w:hAnsi="Times New Roman"/>
              </w:rPr>
            </w:pPr>
            <w:r>
              <w:rPr>
                <w:rFonts w:ascii="Times New Roman" w:hAnsi="Times New Roman"/>
              </w:rPr>
              <w:t>)</w:t>
            </w:r>
          </w:p>
          <w:p w:rsidR="00D43730" w:rsidRDefault="00D43730" w:rsidP="00D43730">
            <w:pPr>
              <w:spacing w:line="235" w:lineRule="exact"/>
              <w:rPr>
                <w:rFonts w:ascii="Times New Roman" w:hAnsi="Times New Roman"/>
              </w:rPr>
            </w:pPr>
            <w:r>
              <w:rPr>
                <w:rFonts w:ascii="Times New Roman" w:hAnsi="Times New Roman"/>
              </w:rPr>
              <w:t>)</w:t>
            </w:r>
          </w:p>
          <w:p w:rsidR="00D43730" w:rsidRDefault="00D43730" w:rsidP="00D43730">
            <w:pPr>
              <w:spacing w:line="235" w:lineRule="exact"/>
              <w:rPr>
                <w:rFonts w:ascii="Times New Roman" w:hAnsi="Times New Roman"/>
              </w:rPr>
            </w:pPr>
            <w:r>
              <w:rPr>
                <w:rFonts w:ascii="Times New Roman" w:hAnsi="Times New Roman"/>
              </w:rPr>
              <w:t>)</w:t>
            </w:r>
          </w:p>
        </w:tc>
        <w:tc>
          <w:tcPr>
            <w:tcW w:w="4266" w:type="dxa"/>
            <w:vMerge w:val="restart"/>
          </w:tcPr>
          <w:p w:rsidR="00D43730" w:rsidRDefault="00D43730" w:rsidP="00D43730">
            <w:pPr>
              <w:spacing w:line="235" w:lineRule="exact"/>
              <w:rPr>
                <w:rFonts w:ascii="Times New Roman" w:hAnsi="Times New Roman"/>
                <w:b/>
                <w:bCs/>
              </w:rPr>
            </w:pPr>
            <w:bookmarkStart w:id="2" w:name="Case"/>
            <w:bookmarkEnd w:id="2"/>
            <w:r>
              <w:rPr>
                <w:rFonts w:ascii="Times New Roman" w:hAnsi="Times New Roman"/>
                <w:b/>
                <w:bCs/>
              </w:rPr>
              <w:t>06-O-10328; 06-O-13892</w:t>
            </w:r>
          </w:p>
        </w:tc>
      </w:tr>
      <w:tr w:rsidR="00D43730" w:rsidTr="009E7B6E">
        <w:trPr>
          <w:cantSplit/>
          <w:trHeight w:hRule="exact" w:val="153"/>
          <w:jc w:val="center"/>
        </w:trPr>
        <w:tc>
          <w:tcPr>
            <w:tcW w:w="4104" w:type="dxa"/>
            <w:vMerge/>
          </w:tcPr>
          <w:p w:rsidR="00D43730" w:rsidRDefault="00D43730" w:rsidP="00D43730">
            <w:pPr>
              <w:spacing w:line="235" w:lineRule="exact"/>
              <w:rPr>
                <w:rFonts w:ascii="Times New Roman" w:hAnsi="Times New Roman"/>
              </w:rPr>
            </w:pPr>
          </w:p>
        </w:tc>
        <w:tc>
          <w:tcPr>
            <w:tcW w:w="774" w:type="dxa"/>
            <w:vMerge/>
          </w:tcPr>
          <w:p w:rsidR="00D43730" w:rsidRDefault="00D43730" w:rsidP="00D43730">
            <w:pPr>
              <w:spacing w:line="235" w:lineRule="exact"/>
              <w:rPr>
                <w:rFonts w:ascii="Times New Roman" w:hAnsi="Times New Roman"/>
              </w:rPr>
            </w:pPr>
          </w:p>
        </w:tc>
        <w:tc>
          <w:tcPr>
            <w:tcW w:w="4266" w:type="dxa"/>
            <w:vMerge/>
          </w:tcPr>
          <w:p w:rsidR="00D43730" w:rsidRDefault="00D43730" w:rsidP="00D43730">
            <w:pPr>
              <w:spacing w:line="235" w:lineRule="exact"/>
              <w:rPr>
                <w:rFonts w:ascii="Times New Roman" w:hAnsi="Times New Roman"/>
                <w:b/>
                <w:bCs/>
              </w:rPr>
            </w:pPr>
          </w:p>
        </w:tc>
      </w:tr>
      <w:tr w:rsidR="00D43730" w:rsidTr="009E7B6E">
        <w:trPr>
          <w:cantSplit/>
          <w:trHeight w:hRule="exact" w:val="720"/>
          <w:jc w:val="center"/>
        </w:trPr>
        <w:tc>
          <w:tcPr>
            <w:tcW w:w="4104" w:type="dxa"/>
            <w:vMerge/>
          </w:tcPr>
          <w:p w:rsidR="00D43730" w:rsidRDefault="00D43730" w:rsidP="00D43730">
            <w:pPr>
              <w:spacing w:line="235" w:lineRule="exact"/>
              <w:rPr>
                <w:rFonts w:ascii="Times New Roman" w:hAnsi="Times New Roman"/>
              </w:rPr>
            </w:pPr>
          </w:p>
        </w:tc>
        <w:tc>
          <w:tcPr>
            <w:tcW w:w="774" w:type="dxa"/>
            <w:vMerge/>
          </w:tcPr>
          <w:p w:rsidR="00D43730" w:rsidRDefault="00D43730" w:rsidP="00D43730">
            <w:pPr>
              <w:spacing w:line="235" w:lineRule="exact"/>
              <w:rPr>
                <w:rFonts w:ascii="Times New Roman" w:hAnsi="Times New Roman"/>
              </w:rPr>
            </w:pPr>
          </w:p>
        </w:tc>
        <w:tc>
          <w:tcPr>
            <w:tcW w:w="4266" w:type="dxa"/>
          </w:tcPr>
          <w:p w:rsidR="008C023B" w:rsidRDefault="008C023B" w:rsidP="00D43730">
            <w:pPr>
              <w:spacing w:line="235" w:lineRule="exact"/>
              <w:rPr>
                <w:rFonts w:ascii="Times New Roman" w:hAnsi="Times New Roman"/>
                <w:b/>
                <w:bCs/>
              </w:rPr>
            </w:pPr>
            <w:r>
              <w:rPr>
                <w:rFonts w:ascii="Times New Roman" w:hAnsi="Times New Roman"/>
                <w:b/>
                <w:bCs/>
              </w:rPr>
              <w:t xml:space="preserve">OPINION ON REVIEW AND ORDER </w:t>
            </w:r>
          </w:p>
          <w:p w:rsidR="00D43730" w:rsidRDefault="00D43730" w:rsidP="000A4BF3">
            <w:pPr>
              <w:spacing w:line="235" w:lineRule="exact"/>
              <w:rPr>
                <w:rFonts w:ascii="Times New Roman" w:hAnsi="Times New Roman"/>
                <w:b/>
                <w:bCs/>
              </w:rPr>
            </w:pPr>
          </w:p>
        </w:tc>
      </w:tr>
    </w:tbl>
    <w:p w:rsidR="00D43730" w:rsidRDefault="00D43730" w:rsidP="00D43730">
      <w:pPr>
        <w:rPr>
          <w:rFonts w:ascii="Times New Roman" w:hAnsi="Times New Roman"/>
        </w:rPr>
      </w:pPr>
    </w:p>
    <w:p w:rsidR="00D43730" w:rsidRDefault="00D43730" w:rsidP="00D43730">
      <w:pPr>
        <w:spacing w:line="480" w:lineRule="auto"/>
        <w:rPr>
          <w:rFonts w:ascii="Times New Roman" w:hAnsi="Times New Roman"/>
        </w:rPr>
      </w:pPr>
      <w:r>
        <w:rPr>
          <w:rFonts w:ascii="Times New Roman" w:hAnsi="Times New Roman"/>
        </w:rPr>
        <w:t>BY THE COURT</w:t>
      </w:r>
      <w:r w:rsidR="001333D5">
        <w:rPr>
          <w:rFonts w:ascii="Times New Roman" w:hAnsi="Times New Roman"/>
        </w:rPr>
        <w:t>:</w:t>
      </w:r>
      <w:r>
        <w:rPr>
          <w:rStyle w:val="FootnoteReference"/>
          <w:rFonts w:ascii="Times New Roman" w:hAnsi="Times New Roman"/>
        </w:rPr>
        <w:footnoteReference w:id="1"/>
      </w:r>
      <w:r>
        <w:rPr>
          <w:rFonts w:ascii="Times New Roman" w:hAnsi="Times New Roman"/>
        </w:rPr>
        <w:tab/>
      </w:r>
    </w:p>
    <w:p w:rsidR="00D43730" w:rsidRDefault="002D7FF2" w:rsidP="00D43730">
      <w:pPr>
        <w:spacing w:line="480" w:lineRule="auto"/>
        <w:ind w:firstLine="720"/>
        <w:rPr>
          <w:rFonts w:ascii="Times New Roman" w:hAnsi="Times New Roman"/>
        </w:rPr>
      </w:pPr>
      <w:r>
        <w:rPr>
          <w:rFonts w:ascii="Times New Roman" w:hAnsi="Times New Roman"/>
        </w:rPr>
        <w:t>Respondent, Richard John</w:t>
      </w:r>
      <w:r w:rsidR="00D43730">
        <w:rPr>
          <w:rFonts w:ascii="Times New Roman" w:hAnsi="Times New Roman"/>
        </w:rPr>
        <w:t xml:space="preserve"> Papst, appeals </w:t>
      </w:r>
      <w:r w:rsidR="001A73EA">
        <w:rPr>
          <w:rFonts w:ascii="Times New Roman" w:hAnsi="Times New Roman"/>
        </w:rPr>
        <w:t>the</w:t>
      </w:r>
      <w:r w:rsidR="00D43730">
        <w:rPr>
          <w:rFonts w:ascii="Times New Roman" w:hAnsi="Times New Roman"/>
        </w:rPr>
        <w:t xml:space="preserve"> </w:t>
      </w:r>
      <w:r w:rsidR="00EC3F28">
        <w:rPr>
          <w:rFonts w:ascii="Times New Roman" w:hAnsi="Times New Roman"/>
        </w:rPr>
        <w:t xml:space="preserve">recommendation of a </w:t>
      </w:r>
      <w:r w:rsidR="00D43730">
        <w:rPr>
          <w:rFonts w:ascii="Times New Roman" w:hAnsi="Times New Roman"/>
        </w:rPr>
        <w:t>hearing judge</w:t>
      </w:r>
      <w:r w:rsidR="00EC3F28">
        <w:rPr>
          <w:rFonts w:ascii="Times New Roman" w:hAnsi="Times New Roman"/>
        </w:rPr>
        <w:t xml:space="preserve"> </w:t>
      </w:r>
      <w:r w:rsidR="00D43730">
        <w:rPr>
          <w:rFonts w:ascii="Times New Roman" w:hAnsi="Times New Roman"/>
        </w:rPr>
        <w:t>that he be disbarred from the practice of law</w:t>
      </w:r>
      <w:r w:rsidR="004632F8">
        <w:rPr>
          <w:rFonts w:ascii="Times New Roman" w:hAnsi="Times New Roman"/>
        </w:rPr>
        <w:t xml:space="preserve"> for serious misconduct in two client matters</w:t>
      </w:r>
      <w:r w:rsidR="00D43730">
        <w:rPr>
          <w:rFonts w:ascii="Times New Roman" w:hAnsi="Times New Roman"/>
        </w:rPr>
        <w:t xml:space="preserve">.  </w:t>
      </w:r>
      <w:r w:rsidR="004632F8">
        <w:rPr>
          <w:rFonts w:ascii="Times New Roman" w:hAnsi="Times New Roman"/>
        </w:rPr>
        <w:t>In the first matter, t</w:t>
      </w:r>
      <w:r w:rsidR="00D43730">
        <w:rPr>
          <w:rFonts w:ascii="Times New Roman" w:hAnsi="Times New Roman"/>
        </w:rPr>
        <w:t xml:space="preserve">he </w:t>
      </w:r>
      <w:r w:rsidR="004632F8">
        <w:rPr>
          <w:rFonts w:ascii="Times New Roman" w:hAnsi="Times New Roman"/>
        </w:rPr>
        <w:t xml:space="preserve">hearing judge found that Papst acted incompetently when he delayed </w:t>
      </w:r>
      <w:r w:rsidR="00D43730">
        <w:rPr>
          <w:rFonts w:ascii="Times New Roman" w:hAnsi="Times New Roman"/>
        </w:rPr>
        <w:t>filing a client’s application for disability retirement benefits</w:t>
      </w:r>
      <w:r w:rsidR="004632F8" w:rsidRPr="004632F8">
        <w:rPr>
          <w:rFonts w:ascii="Times New Roman" w:hAnsi="Times New Roman"/>
        </w:rPr>
        <w:t xml:space="preserve"> </w:t>
      </w:r>
      <w:r w:rsidR="00C67B84">
        <w:rPr>
          <w:rFonts w:ascii="Times New Roman" w:hAnsi="Times New Roman"/>
        </w:rPr>
        <w:t xml:space="preserve">for three </w:t>
      </w:r>
      <w:r w:rsidR="003027EE">
        <w:rPr>
          <w:rFonts w:ascii="Times New Roman" w:hAnsi="Times New Roman"/>
        </w:rPr>
        <w:t xml:space="preserve">years and that his actions involved moral turpitude because he repeatedly </w:t>
      </w:r>
      <w:r w:rsidR="00910A83">
        <w:rPr>
          <w:rFonts w:ascii="Times New Roman" w:hAnsi="Times New Roman"/>
        </w:rPr>
        <w:t xml:space="preserve">lied to his </w:t>
      </w:r>
      <w:r w:rsidR="00D43730">
        <w:rPr>
          <w:rFonts w:ascii="Times New Roman" w:hAnsi="Times New Roman"/>
        </w:rPr>
        <w:t xml:space="preserve">client about </w:t>
      </w:r>
      <w:r w:rsidR="00A97651">
        <w:rPr>
          <w:rFonts w:ascii="Times New Roman" w:hAnsi="Times New Roman"/>
        </w:rPr>
        <w:t>the status</w:t>
      </w:r>
      <w:r w:rsidR="00D43730">
        <w:rPr>
          <w:rFonts w:ascii="Times New Roman" w:hAnsi="Times New Roman"/>
        </w:rPr>
        <w:t xml:space="preserve"> of </w:t>
      </w:r>
      <w:r w:rsidR="00EC3F28">
        <w:rPr>
          <w:rFonts w:ascii="Times New Roman" w:hAnsi="Times New Roman"/>
        </w:rPr>
        <w:t>her</w:t>
      </w:r>
      <w:r w:rsidR="001A0E47">
        <w:rPr>
          <w:rFonts w:ascii="Times New Roman" w:hAnsi="Times New Roman"/>
        </w:rPr>
        <w:t xml:space="preserve"> disability</w:t>
      </w:r>
      <w:r w:rsidR="00EC3F28">
        <w:rPr>
          <w:rFonts w:ascii="Times New Roman" w:hAnsi="Times New Roman"/>
        </w:rPr>
        <w:t xml:space="preserve"> case</w:t>
      </w:r>
      <w:r w:rsidR="00D43730">
        <w:rPr>
          <w:rFonts w:ascii="Times New Roman" w:hAnsi="Times New Roman"/>
        </w:rPr>
        <w:t xml:space="preserve">.  </w:t>
      </w:r>
      <w:r w:rsidR="003027EE">
        <w:rPr>
          <w:rFonts w:ascii="Times New Roman" w:hAnsi="Times New Roman"/>
        </w:rPr>
        <w:t>Papst</w:t>
      </w:r>
      <w:r w:rsidR="00D43730">
        <w:rPr>
          <w:rFonts w:ascii="Times New Roman" w:hAnsi="Times New Roman"/>
        </w:rPr>
        <w:t xml:space="preserve"> also co</w:t>
      </w:r>
      <w:r w:rsidR="00A97651">
        <w:rPr>
          <w:rFonts w:ascii="Times New Roman" w:hAnsi="Times New Roman"/>
        </w:rPr>
        <w:t>m</w:t>
      </w:r>
      <w:r w:rsidR="00D43730">
        <w:rPr>
          <w:rFonts w:ascii="Times New Roman" w:hAnsi="Times New Roman"/>
        </w:rPr>
        <w:t>mingled funds</w:t>
      </w:r>
      <w:r w:rsidR="001A0E47">
        <w:rPr>
          <w:rFonts w:ascii="Times New Roman" w:hAnsi="Times New Roman"/>
        </w:rPr>
        <w:t>.</w:t>
      </w:r>
      <w:r w:rsidR="00D43730">
        <w:rPr>
          <w:rFonts w:ascii="Times New Roman" w:hAnsi="Times New Roman"/>
        </w:rPr>
        <w:t xml:space="preserve">  </w:t>
      </w:r>
      <w:r w:rsidR="001A0E47">
        <w:rPr>
          <w:rFonts w:ascii="Times New Roman" w:hAnsi="Times New Roman"/>
        </w:rPr>
        <w:t>In the</w:t>
      </w:r>
      <w:r w:rsidR="00D43730">
        <w:rPr>
          <w:rFonts w:ascii="Times New Roman" w:hAnsi="Times New Roman"/>
        </w:rPr>
        <w:t xml:space="preserve"> second matter, the hearing judge found Papst</w:t>
      </w:r>
      <w:r w:rsidR="00B2055A">
        <w:rPr>
          <w:rFonts w:ascii="Times New Roman" w:hAnsi="Times New Roman"/>
        </w:rPr>
        <w:t xml:space="preserve"> culpable of </w:t>
      </w:r>
      <w:r w:rsidR="00D43730">
        <w:rPr>
          <w:rFonts w:ascii="Times New Roman" w:hAnsi="Times New Roman"/>
        </w:rPr>
        <w:t>misappropriat</w:t>
      </w:r>
      <w:r w:rsidR="009473A8">
        <w:rPr>
          <w:rFonts w:ascii="Times New Roman" w:hAnsi="Times New Roman"/>
        </w:rPr>
        <w:t>ion involving moral turpitude because he withdrew</w:t>
      </w:r>
      <w:r w:rsidR="009473A8" w:rsidRPr="009473A8">
        <w:rPr>
          <w:rFonts w:ascii="Times New Roman" w:hAnsi="Times New Roman"/>
        </w:rPr>
        <w:t xml:space="preserve"> </w:t>
      </w:r>
      <w:r w:rsidR="007D22A2">
        <w:rPr>
          <w:rFonts w:ascii="Times New Roman" w:hAnsi="Times New Roman"/>
        </w:rPr>
        <w:t xml:space="preserve">more than $125,000 </w:t>
      </w:r>
      <w:r w:rsidR="0062441E">
        <w:rPr>
          <w:rFonts w:ascii="Times New Roman" w:hAnsi="Times New Roman"/>
        </w:rPr>
        <w:t xml:space="preserve">from his client trust account </w:t>
      </w:r>
      <w:r w:rsidR="00281B0B">
        <w:rPr>
          <w:rFonts w:ascii="Times New Roman" w:hAnsi="Times New Roman"/>
        </w:rPr>
        <w:t>(</w:t>
      </w:r>
      <w:r w:rsidR="00E909E7">
        <w:t>CTA</w:t>
      </w:r>
      <w:r w:rsidR="00281B0B">
        <w:t>)</w:t>
      </w:r>
      <w:r w:rsidR="00E909E7">
        <w:t xml:space="preserve"> </w:t>
      </w:r>
      <w:r w:rsidR="0062441E">
        <w:rPr>
          <w:rFonts w:ascii="Times New Roman" w:hAnsi="Times New Roman"/>
        </w:rPr>
        <w:t xml:space="preserve">that </w:t>
      </w:r>
      <w:r w:rsidR="009473A8">
        <w:rPr>
          <w:rFonts w:ascii="Times New Roman" w:hAnsi="Times New Roman"/>
        </w:rPr>
        <w:t>belong</w:t>
      </w:r>
      <w:r w:rsidR="0062441E">
        <w:rPr>
          <w:rFonts w:ascii="Times New Roman" w:hAnsi="Times New Roman"/>
        </w:rPr>
        <w:t>ed</w:t>
      </w:r>
      <w:r w:rsidR="009473A8">
        <w:rPr>
          <w:rFonts w:ascii="Times New Roman" w:hAnsi="Times New Roman"/>
        </w:rPr>
        <w:t xml:space="preserve"> to</w:t>
      </w:r>
      <w:r w:rsidR="00D43730">
        <w:rPr>
          <w:rFonts w:ascii="Times New Roman" w:hAnsi="Times New Roman"/>
        </w:rPr>
        <w:t xml:space="preserve"> several clients in order to pay another client</w:t>
      </w:r>
      <w:r w:rsidR="001A0E47">
        <w:rPr>
          <w:rFonts w:ascii="Times New Roman" w:hAnsi="Times New Roman"/>
        </w:rPr>
        <w:t>,</w:t>
      </w:r>
      <w:r w:rsidR="00B2055A">
        <w:rPr>
          <w:rFonts w:ascii="Times New Roman" w:hAnsi="Times New Roman"/>
        </w:rPr>
        <w:t xml:space="preserve"> and </w:t>
      </w:r>
      <w:r w:rsidR="009473A8">
        <w:rPr>
          <w:rFonts w:ascii="Times New Roman" w:hAnsi="Times New Roman"/>
        </w:rPr>
        <w:t xml:space="preserve">then </w:t>
      </w:r>
      <w:r w:rsidR="00B2055A">
        <w:rPr>
          <w:rFonts w:ascii="Times New Roman" w:hAnsi="Times New Roman"/>
        </w:rPr>
        <w:t>creat</w:t>
      </w:r>
      <w:r w:rsidR="009473A8">
        <w:rPr>
          <w:rFonts w:ascii="Times New Roman" w:hAnsi="Times New Roman"/>
        </w:rPr>
        <w:t>ed</w:t>
      </w:r>
      <w:r w:rsidR="00B2055A">
        <w:rPr>
          <w:rFonts w:ascii="Times New Roman" w:hAnsi="Times New Roman"/>
        </w:rPr>
        <w:t xml:space="preserve"> </w:t>
      </w:r>
      <w:r w:rsidR="001A0E47">
        <w:rPr>
          <w:rFonts w:ascii="Times New Roman" w:hAnsi="Times New Roman"/>
        </w:rPr>
        <w:t xml:space="preserve">and submitted to the State Bar </w:t>
      </w:r>
      <w:r w:rsidR="001333D5">
        <w:rPr>
          <w:rFonts w:ascii="Times New Roman" w:hAnsi="Times New Roman"/>
        </w:rPr>
        <w:t>false</w:t>
      </w:r>
      <w:r w:rsidR="00B2055A">
        <w:rPr>
          <w:rFonts w:ascii="Times New Roman" w:hAnsi="Times New Roman"/>
        </w:rPr>
        <w:t xml:space="preserve"> financial records to cover</w:t>
      </w:r>
      <w:r w:rsidR="00281B0B">
        <w:rPr>
          <w:rFonts w:ascii="Times New Roman" w:hAnsi="Times New Roman"/>
        </w:rPr>
        <w:t xml:space="preserve"> </w:t>
      </w:r>
      <w:r w:rsidR="00B2055A">
        <w:rPr>
          <w:rFonts w:ascii="Times New Roman" w:hAnsi="Times New Roman"/>
        </w:rPr>
        <w:t>up his misconduct.</w:t>
      </w:r>
      <w:r w:rsidR="00D43730">
        <w:rPr>
          <w:rFonts w:ascii="Times New Roman" w:hAnsi="Times New Roman"/>
        </w:rPr>
        <w:t xml:space="preserve">    </w:t>
      </w:r>
    </w:p>
    <w:p w:rsidR="00D43730" w:rsidRDefault="00D43730" w:rsidP="00D43730">
      <w:pPr>
        <w:spacing w:line="480" w:lineRule="auto"/>
        <w:ind w:firstLine="720"/>
        <w:rPr>
          <w:rFonts w:ascii="Times New Roman" w:hAnsi="Times New Roman"/>
        </w:rPr>
      </w:pPr>
      <w:r>
        <w:rPr>
          <w:rFonts w:ascii="Times New Roman" w:hAnsi="Times New Roman"/>
        </w:rPr>
        <w:t xml:space="preserve">Papst asserts that disbarment is unwarranted in view of his </w:t>
      </w:r>
      <w:r w:rsidR="006F0822">
        <w:rPr>
          <w:rFonts w:ascii="Times New Roman" w:hAnsi="Times New Roman"/>
        </w:rPr>
        <w:t xml:space="preserve">25 </w:t>
      </w:r>
      <w:r>
        <w:rPr>
          <w:rFonts w:ascii="Times New Roman" w:hAnsi="Times New Roman"/>
        </w:rPr>
        <w:t>years of</w:t>
      </w:r>
      <w:r w:rsidR="004D0B5F">
        <w:rPr>
          <w:rFonts w:ascii="Times New Roman" w:hAnsi="Times New Roman"/>
        </w:rPr>
        <w:t xml:space="preserve"> discipline-free</w:t>
      </w:r>
      <w:r>
        <w:rPr>
          <w:rFonts w:ascii="Times New Roman" w:hAnsi="Times New Roman"/>
        </w:rPr>
        <w:t xml:space="preserve"> practice</w:t>
      </w:r>
      <w:r w:rsidR="004D0B5F">
        <w:rPr>
          <w:rFonts w:ascii="Times New Roman" w:hAnsi="Times New Roman"/>
        </w:rPr>
        <w:t>, a</w:t>
      </w:r>
      <w:r w:rsidR="00910A83">
        <w:rPr>
          <w:rFonts w:ascii="Times New Roman" w:hAnsi="Times New Roman"/>
        </w:rPr>
        <w:t xml:space="preserve">nd </w:t>
      </w:r>
      <w:r w:rsidR="00075A09">
        <w:rPr>
          <w:rFonts w:ascii="Times New Roman" w:hAnsi="Times New Roman"/>
        </w:rPr>
        <w:t xml:space="preserve">he </w:t>
      </w:r>
      <w:r>
        <w:rPr>
          <w:rFonts w:ascii="Times New Roman" w:hAnsi="Times New Roman"/>
        </w:rPr>
        <w:t>asks that we impose a one</w:t>
      </w:r>
      <w:r w:rsidR="000C1065">
        <w:rPr>
          <w:rFonts w:ascii="Times New Roman" w:hAnsi="Times New Roman"/>
        </w:rPr>
        <w:t>-</w:t>
      </w:r>
      <w:r>
        <w:rPr>
          <w:rFonts w:ascii="Times New Roman" w:hAnsi="Times New Roman"/>
        </w:rPr>
        <w:t>year actual suspension</w:t>
      </w:r>
      <w:r w:rsidR="000C1065">
        <w:rPr>
          <w:rFonts w:ascii="Times New Roman" w:hAnsi="Times New Roman"/>
        </w:rPr>
        <w:t>.</w:t>
      </w:r>
      <w:r>
        <w:rPr>
          <w:rFonts w:ascii="Times New Roman" w:hAnsi="Times New Roman"/>
        </w:rPr>
        <w:t xml:space="preserve"> </w:t>
      </w:r>
      <w:r w:rsidR="000C1065">
        <w:rPr>
          <w:rFonts w:ascii="Times New Roman" w:hAnsi="Times New Roman"/>
        </w:rPr>
        <w:t xml:space="preserve"> H</w:t>
      </w:r>
      <w:r>
        <w:rPr>
          <w:rFonts w:ascii="Times New Roman" w:hAnsi="Times New Roman"/>
        </w:rPr>
        <w:t xml:space="preserve">e maintains that </w:t>
      </w:r>
      <w:r w:rsidR="00281B0B">
        <w:rPr>
          <w:rFonts w:ascii="Times New Roman" w:hAnsi="Times New Roman"/>
        </w:rPr>
        <w:t>his</w:t>
      </w:r>
      <w:r w:rsidR="000A0357">
        <w:rPr>
          <w:rFonts w:ascii="Times New Roman" w:hAnsi="Times New Roman"/>
        </w:rPr>
        <w:t xml:space="preserve"> delay</w:t>
      </w:r>
      <w:r w:rsidR="0020443A">
        <w:rPr>
          <w:rFonts w:ascii="Times New Roman" w:hAnsi="Times New Roman"/>
        </w:rPr>
        <w:t xml:space="preserve"> in filing the disability application</w:t>
      </w:r>
      <w:r w:rsidR="000A0357">
        <w:rPr>
          <w:rFonts w:ascii="Times New Roman" w:hAnsi="Times New Roman"/>
        </w:rPr>
        <w:t xml:space="preserve"> did not harm his client and that </w:t>
      </w:r>
      <w:r>
        <w:rPr>
          <w:rFonts w:ascii="Times New Roman" w:hAnsi="Times New Roman"/>
        </w:rPr>
        <w:t>his mis</w:t>
      </w:r>
      <w:r w:rsidR="000A0357">
        <w:rPr>
          <w:rFonts w:ascii="Times New Roman" w:hAnsi="Times New Roman"/>
        </w:rPr>
        <w:t xml:space="preserve">appropriations and commingling </w:t>
      </w:r>
      <w:r>
        <w:rPr>
          <w:rFonts w:ascii="Times New Roman" w:hAnsi="Times New Roman"/>
        </w:rPr>
        <w:t xml:space="preserve">“can be attributed to nothing other than his inattention </w:t>
      </w:r>
      <w:r>
        <w:rPr>
          <w:rFonts w:ascii="Times New Roman" w:hAnsi="Times New Roman"/>
        </w:rPr>
        <w:lastRenderedPageBreak/>
        <w:t xml:space="preserve">and sloppiness in client trust account record-keeping and control.”  We disagree with his assessment.  </w:t>
      </w:r>
      <w:r w:rsidR="00670509">
        <w:rPr>
          <w:rFonts w:ascii="Times New Roman" w:hAnsi="Times New Roman"/>
        </w:rPr>
        <w:t>Papst’s</w:t>
      </w:r>
      <w:r>
        <w:rPr>
          <w:rFonts w:ascii="Times New Roman" w:hAnsi="Times New Roman"/>
        </w:rPr>
        <w:t xml:space="preserve"> </w:t>
      </w:r>
      <w:r w:rsidR="000C1065">
        <w:rPr>
          <w:rFonts w:ascii="Times New Roman" w:hAnsi="Times New Roman"/>
        </w:rPr>
        <w:t>misconduct</w:t>
      </w:r>
      <w:r w:rsidR="00670509">
        <w:rPr>
          <w:rFonts w:ascii="Times New Roman" w:hAnsi="Times New Roman"/>
        </w:rPr>
        <w:t>, which</w:t>
      </w:r>
      <w:r w:rsidR="00670509" w:rsidRPr="00670509">
        <w:rPr>
          <w:rFonts w:ascii="Times New Roman" w:hAnsi="Times New Roman"/>
        </w:rPr>
        <w:t xml:space="preserve"> </w:t>
      </w:r>
      <w:r w:rsidR="00670509">
        <w:rPr>
          <w:rFonts w:ascii="Times New Roman" w:hAnsi="Times New Roman"/>
        </w:rPr>
        <w:t>occurred over a five</w:t>
      </w:r>
      <w:r w:rsidR="001333D5">
        <w:rPr>
          <w:rFonts w:ascii="Times New Roman" w:hAnsi="Times New Roman"/>
        </w:rPr>
        <w:t>-</w:t>
      </w:r>
      <w:r w:rsidR="00670509">
        <w:rPr>
          <w:rFonts w:ascii="Times New Roman" w:hAnsi="Times New Roman"/>
        </w:rPr>
        <w:t xml:space="preserve">year period, </w:t>
      </w:r>
      <w:r>
        <w:rPr>
          <w:rFonts w:ascii="Times New Roman" w:hAnsi="Times New Roman"/>
        </w:rPr>
        <w:t>involve</w:t>
      </w:r>
      <w:r w:rsidR="00670509">
        <w:rPr>
          <w:rFonts w:ascii="Times New Roman" w:hAnsi="Times New Roman"/>
        </w:rPr>
        <w:t xml:space="preserve">d deceit of his clients and the State Bar, incompetence, and the intentional misappropriation </w:t>
      </w:r>
      <w:r w:rsidR="001333D5">
        <w:rPr>
          <w:rFonts w:ascii="Times New Roman" w:hAnsi="Times New Roman"/>
        </w:rPr>
        <w:t xml:space="preserve">of </w:t>
      </w:r>
      <w:r w:rsidR="00670509">
        <w:rPr>
          <w:rFonts w:ascii="Times New Roman" w:hAnsi="Times New Roman"/>
        </w:rPr>
        <w:t>more than $125,000.</w:t>
      </w:r>
      <w:r w:rsidR="00670509" w:rsidRPr="0062441E">
        <w:rPr>
          <w:rFonts w:ascii="Times New Roman" w:hAnsi="Times New Roman"/>
        </w:rPr>
        <w:t xml:space="preserve"> </w:t>
      </w:r>
      <w:r w:rsidR="00670509">
        <w:rPr>
          <w:rFonts w:ascii="Times New Roman" w:hAnsi="Times New Roman"/>
        </w:rPr>
        <w:t xml:space="preserve">  </w:t>
      </w:r>
      <w:r>
        <w:rPr>
          <w:rFonts w:ascii="Times New Roman" w:hAnsi="Times New Roman"/>
        </w:rPr>
        <w:t xml:space="preserve">  </w:t>
      </w:r>
    </w:p>
    <w:p w:rsidR="001C22EC" w:rsidRDefault="00D43730" w:rsidP="000865F1">
      <w:pPr>
        <w:spacing w:line="480" w:lineRule="auto"/>
        <w:ind w:firstLine="720"/>
        <w:rPr>
          <w:rFonts w:ascii="Times New Roman" w:hAnsi="Times New Roman"/>
        </w:rPr>
      </w:pPr>
      <w:r>
        <w:rPr>
          <w:rFonts w:ascii="Times New Roman" w:hAnsi="Times New Roman"/>
        </w:rPr>
        <w:t>Having independently reviewed the record (</w:t>
      </w:r>
      <w:r>
        <w:rPr>
          <w:rFonts w:ascii="Times New Roman" w:hAnsi="Times New Roman"/>
          <w:i/>
          <w:iCs/>
          <w:szCs w:val="24"/>
        </w:rPr>
        <w:t>In re Morse</w:t>
      </w:r>
      <w:r>
        <w:rPr>
          <w:rFonts w:ascii="Times New Roman" w:hAnsi="Times New Roman"/>
          <w:szCs w:val="24"/>
        </w:rPr>
        <w:t xml:space="preserve"> (1995) 11 Cal.4th 184, 207</w:t>
      </w:r>
      <w:r w:rsidR="00670509">
        <w:rPr>
          <w:rFonts w:ascii="Times New Roman" w:hAnsi="Times New Roman"/>
          <w:szCs w:val="24"/>
        </w:rPr>
        <w:t xml:space="preserve">), </w:t>
      </w:r>
      <w:r>
        <w:rPr>
          <w:rFonts w:ascii="Times New Roman" w:hAnsi="Times New Roman"/>
        </w:rPr>
        <w:t xml:space="preserve">we </w:t>
      </w:r>
      <w:r w:rsidR="004D0B5F">
        <w:rPr>
          <w:rFonts w:ascii="Times New Roman" w:hAnsi="Times New Roman"/>
        </w:rPr>
        <w:t xml:space="preserve">conclude that </w:t>
      </w:r>
      <w:r>
        <w:rPr>
          <w:rFonts w:ascii="Times New Roman" w:hAnsi="Times New Roman"/>
        </w:rPr>
        <w:t xml:space="preserve">the hearing judge’s findings of fact and legal conclusions </w:t>
      </w:r>
      <w:r w:rsidR="004D0B5F">
        <w:rPr>
          <w:rFonts w:ascii="Times New Roman" w:hAnsi="Times New Roman"/>
        </w:rPr>
        <w:t>are supported by clear and convincing evidence.  Accordingly</w:t>
      </w:r>
      <w:r w:rsidR="006F0822">
        <w:rPr>
          <w:rFonts w:ascii="Times New Roman" w:hAnsi="Times New Roman"/>
        </w:rPr>
        <w:t>,</w:t>
      </w:r>
      <w:r w:rsidR="004D0B5F">
        <w:rPr>
          <w:rFonts w:ascii="Times New Roman" w:hAnsi="Times New Roman"/>
        </w:rPr>
        <w:t xml:space="preserve"> we</w:t>
      </w:r>
      <w:r>
        <w:rPr>
          <w:rFonts w:ascii="Times New Roman" w:hAnsi="Times New Roman"/>
        </w:rPr>
        <w:t xml:space="preserve"> adopt hi</w:t>
      </w:r>
      <w:r w:rsidR="00670509">
        <w:rPr>
          <w:rFonts w:ascii="Times New Roman" w:hAnsi="Times New Roman"/>
        </w:rPr>
        <w:t xml:space="preserve">s disbarment </w:t>
      </w:r>
      <w:r>
        <w:rPr>
          <w:rFonts w:ascii="Times New Roman" w:hAnsi="Times New Roman"/>
        </w:rPr>
        <w:t xml:space="preserve">recommendation </w:t>
      </w:r>
      <w:r w:rsidR="00670509">
        <w:rPr>
          <w:rFonts w:ascii="Times New Roman" w:hAnsi="Times New Roman"/>
        </w:rPr>
        <w:t xml:space="preserve">as essential </w:t>
      </w:r>
      <w:r w:rsidR="009B0881">
        <w:rPr>
          <w:rFonts w:ascii="Times New Roman" w:hAnsi="Times New Roman"/>
        </w:rPr>
        <w:t>for</w:t>
      </w:r>
      <w:r w:rsidR="00670509">
        <w:rPr>
          <w:rFonts w:ascii="Times New Roman" w:hAnsi="Times New Roman"/>
        </w:rPr>
        <w:t xml:space="preserve"> </w:t>
      </w:r>
      <w:r>
        <w:rPr>
          <w:rFonts w:ascii="Times New Roman" w:hAnsi="Times New Roman"/>
        </w:rPr>
        <w:t xml:space="preserve">the protection of the public, the courts and the profession.   </w:t>
      </w:r>
    </w:p>
    <w:p w:rsidR="001C22EC" w:rsidRPr="007E3649" w:rsidRDefault="007E3649" w:rsidP="007E3649">
      <w:pPr>
        <w:spacing w:line="480" w:lineRule="auto"/>
        <w:jc w:val="center"/>
        <w:rPr>
          <w:rFonts w:ascii="Times New Roman" w:hAnsi="Times New Roman"/>
        </w:rPr>
      </w:pPr>
      <w:r>
        <w:rPr>
          <w:rFonts w:ascii="Times New Roman" w:hAnsi="Times New Roman"/>
          <w:b/>
        </w:rPr>
        <w:t xml:space="preserve">I.  </w:t>
      </w:r>
      <w:r w:rsidR="00D52FA4" w:rsidRPr="007E3649">
        <w:rPr>
          <w:rFonts w:ascii="Times New Roman" w:hAnsi="Times New Roman"/>
          <w:b/>
        </w:rPr>
        <w:t>FINDINGS OF FACT AND CONCLUSIONS OF LAW</w:t>
      </w:r>
    </w:p>
    <w:p w:rsidR="00FA743A" w:rsidRDefault="0058445A" w:rsidP="00FA743A">
      <w:pPr>
        <w:spacing w:line="480" w:lineRule="auto"/>
        <w:ind w:firstLine="720"/>
      </w:pPr>
      <w:r>
        <w:rPr>
          <w:rFonts w:ascii="Times New Roman" w:hAnsi="Times New Roman"/>
        </w:rPr>
        <w:t>Set forth below are</w:t>
      </w:r>
      <w:r w:rsidR="0023365F">
        <w:rPr>
          <w:rFonts w:ascii="Times New Roman" w:hAnsi="Times New Roman"/>
        </w:rPr>
        <w:t xml:space="preserve"> the hearing judge’s key factual and legal findings</w:t>
      </w:r>
      <w:r w:rsidR="007B7A34">
        <w:rPr>
          <w:rFonts w:ascii="Times New Roman" w:hAnsi="Times New Roman"/>
        </w:rPr>
        <w:t>.</w:t>
      </w:r>
      <w:r w:rsidR="00D31379">
        <w:rPr>
          <w:rFonts w:ascii="Times New Roman" w:hAnsi="Times New Roman"/>
        </w:rPr>
        <w:t xml:space="preserve">  We note that</w:t>
      </w:r>
      <w:r w:rsidR="003A5075">
        <w:rPr>
          <w:rFonts w:ascii="Times New Roman" w:hAnsi="Times New Roman"/>
        </w:rPr>
        <w:t>,</w:t>
      </w:r>
      <w:r w:rsidR="003A5075" w:rsidRPr="003A5075">
        <w:rPr>
          <w:bCs/>
        </w:rPr>
        <w:t xml:space="preserve"> </w:t>
      </w:r>
      <w:r w:rsidR="003A5075">
        <w:rPr>
          <w:bCs/>
        </w:rPr>
        <w:t>after observing Papst’s demeanor at trial,</w:t>
      </w:r>
      <w:r w:rsidR="00D31379">
        <w:rPr>
          <w:rFonts w:ascii="Times New Roman" w:hAnsi="Times New Roman"/>
        </w:rPr>
        <w:t xml:space="preserve"> </w:t>
      </w:r>
      <w:r w:rsidR="00D31379">
        <w:rPr>
          <w:bCs/>
        </w:rPr>
        <w:t xml:space="preserve">the hearing judge found </w:t>
      </w:r>
      <w:r w:rsidR="00C3540B">
        <w:rPr>
          <w:bCs/>
        </w:rPr>
        <w:t xml:space="preserve">that </w:t>
      </w:r>
      <w:r w:rsidR="00D31379">
        <w:rPr>
          <w:bCs/>
        </w:rPr>
        <w:t>he repeatedly made knowingly false statements.  We agree with this finding based upon the dearth of evidence to support Papst’s testimony and the substantial evidence to impeach it.</w:t>
      </w:r>
    </w:p>
    <w:p w:rsidR="00C4598A" w:rsidRPr="007E3649" w:rsidRDefault="007E3649" w:rsidP="007E3649">
      <w:pPr>
        <w:spacing w:line="480" w:lineRule="auto"/>
        <w:rPr>
          <w:rFonts w:ascii="Times New Roman" w:hAnsi="Times New Roman"/>
        </w:rPr>
      </w:pPr>
      <w:r>
        <w:rPr>
          <w:rFonts w:ascii="Times New Roman" w:hAnsi="Times New Roman"/>
          <w:b/>
        </w:rPr>
        <w:t>A.</w:t>
      </w:r>
      <w:r>
        <w:rPr>
          <w:rFonts w:ascii="Times New Roman" w:hAnsi="Times New Roman"/>
          <w:b/>
        </w:rPr>
        <w:tab/>
      </w:r>
      <w:r w:rsidR="00CB5F41" w:rsidRPr="007E3649">
        <w:rPr>
          <w:rFonts w:ascii="Times New Roman" w:hAnsi="Times New Roman"/>
          <w:b/>
        </w:rPr>
        <w:t>ROSANNE PARKS MATTER</w:t>
      </w:r>
      <w:r w:rsidR="00CB5F41" w:rsidRPr="007E3649">
        <w:rPr>
          <w:rFonts w:ascii="Times New Roman" w:hAnsi="Times New Roman"/>
        </w:rPr>
        <w:t xml:space="preserve"> </w:t>
      </w:r>
      <w:r w:rsidR="00C4598A" w:rsidRPr="007E3649">
        <w:rPr>
          <w:rFonts w:ascii="Times New Roman" w:hAnsi="Times New Roman"/>
          <w:b/>
        </w:rPr>
        <w:t>(</w:t>
      </w:r>
      <w:r w:rsidR="00C4598A" w:rsidRPr="007E3649">
        <w:rPr>
          <w:b/>
        </w:rPr>
        <w:t>Case No. 06-O-10328)</w:t>
      </w:r>
    </w:p>
    <w:p w:rsidR="00B36805" w:rsidRDefault="00B36805" w:rsidP="00B36805">
      <w:pPr>
        <w:pStyle w:val="Level1"/>
        <w:spacing w:line="480" w:lineRule="auto"/>
        <w:ind w:left="0" w:firstLine="720"/>
        <w:outlineLvl w:val="0"/>
      </w:pPr>
      <w:r>
        <w:t xml:space="preserve">On May 22, 2002, Rosanne Parks </w:t>
      </w:r>
      <w:r w:rsidR="00941D93">
        <w:t xml:space="preserve">retained </w:t>
      </w:r>
      <w:r w:rsidR="00EA2ED5">
        <w:t>Papst</w:t>
      </w:r>
      <w:r w:rsidR="00941D93">
        <w:t xml:space="preserve"> t</w:t>
      </w:r>
      <w:r>
        <w:t>o represent her in a disability retirement benefit</w:t>
      </w:r>
      <w:r w:rsidR="000C6FA3">
        <w:t xml:space="preserve"> claim</w:t>
      </w:r>
      <w:r>
        <w:t xml:space="preserve"> against the Kern County Retirement Board (the Board).  At the</w:t>
      </w:r>
      <w:r w:rsidR="00941D93">
        <w:t xml:space="preserve"> time</w:t>
      </w:r>
      <w:r>
        <w:t xml:space="preserve">, Parks was still </w:t>
      </w:r>
      <w:r w:rsidR="0031165A">
        <w:t>a clerk/typist</w:t>
      </w:r>
      <w:r w:rsidR="00DD7100">
        <w:t xml:space="preserve"> for Kern County where she had worked for almost 27 years,</w:t>
      </w:r>
      <w:r>
        <w:t xml:space="preserve"> but she anticipated that </w:t>
      </w:r>
      <w:r w:rsidR="000C6FA3">
        <w:t>she</w:t>
      </w:r>
      <w:r>
        <w:t xml:space="preserve"> </w:t>
      </w:r>
      <w:r w:rsidR="00941D93">
        <w:t xml:space="preserve">would </w:t>
      </w:r>
      <w:r w:rsidR="00182E3A">
        <w:t xml:space="preserve">soon </w:t>
      </w:r>
      <w:r w:rsidR="000C6FA3">
        <w:t>need</w:t>
      </w:r>
      <w:r>
        <w:t xml:space="preserve"> to </w:t>
      </w:r>
      <w:r w:rsidR="00182E3A">
        <w:t>apply for</w:t>
      </w:r>
      <w:r>
        <w:t xml:space="preserve"> disability retirement</w:t>
      </w:r>
      <w:r w:rsidR="00330CB3">
        <w:t xml:space="preserve"> benefits</w:t>
      </w:r>
      <w:r w:rsidR="00941D93">
        <w:t xml:space="preserve">.  </w:t>
      </w:r>
      <w:r w:rsidR="00182E3A">
        <w:t>She</w:t>
      </w:r>
      <w:r w:rsidR="00893982">
        <w:t xml:space="preserve"> paid </w:t>
      </w:r>
      <w:r w:rsidR="00EA2ED5">
        <w:t>Papst</w:t>
      </w:r>
      <w:r w:rsidR="00893982">
        <w:t xml:space="preserve"> $3,500, after signing </w:t>
      </w:r>
      <w:r>
        <w:t xml:space="preserve">a fee agreement </w:t>
      </w:r>
      <w:r w:rsidR="00941D93">
        <w:t xml:space="preserve">providing that </w:t>
      </w:r>
      <w:r w:rsidR="005B58CE">
        <w:t>he</w:t>
      </w:r>
      <w:r w:rsidR="00941D93">
        <w:t xml:space="preserve"> would receive a “</w:t>
      </w:r>
      <w:r>
        <w:t>flat rate of $3,500.00</w:t>
      </w:r>
      <w:r w:rsidR="00941D93">
        <w:t xml:space="preserve">” </w:t>
      </w:r>
      <w:r w:rsidR="00182E3A">
        <w:t>that</w:t>
      </w:r>
      <w:r w:rsidR="00941D93">
        <w:t xml:space="preserve"> was “</w:t>
      </w:r>
      <w:r>
        <w:t>inclusive of all legal services</w:t>
      </w:r>
      <w:r w:rsidR="00E153F9">
        <w:t xml:space="preserve">” </w:t>
      </w:r>
      <w:r w:rsidR="000C6FA3">
        <w:t>f</w:t>
      </w:r>
      <w:r w:rsidR="00106DF1">
        <w:t>or</w:t>
      </w:r>
      <w:r w:rsidR="002D3A5C">
        <w:t xml:space="preserve"> </w:t>
      </w:r>
      <w:r w:rsidR="000C6FA3">
        <w:t xml:space="preserve">him to represent </w:t>
      </w:r>
      <w:r w:rsidR="002D3A5C">
        <w:t>her</w:t>
      </w:r>
      <w:r w:rsidR="00E153F9">
        <w:t xml:space="preserve"> </w:t>
      </w:r>
      <w:r w:rsidR="002D3A5C">
        <w:t xml:space="preserve">before the Board.  </w:t>
      </w:r>
      <w:r w:rsidR="00EA2ED5">
        <w:t>Papst</w:t>
      </w:r>
      <w:r w:rsidR="00893982">
        <w:t xml:space="preserve"> </w:t>
      </w:r>
      <w:r>
        <w:t xml:space="preserve">deposited Parks’ check into his </w:t>
      </w:r>
      <w:r w:rsidRPr="00664B83">
        <w:t xml:space="preserve">general </w:t>
      </w:r>
      <w:r w:rsidR="003A5075" w:rsidRPr="002A0588">
        <w:t>business</w:t>
      </w:r>
      <w:r w:rsidR="002A0588">
        <w:t xml:space="preserve"> </w:t>
      </w:r>
      <w:r>
        <w:t>account</w:t>
      </w:r>
      <w:r w:rsidR="0031165A">
        <w:t xml:space="preserve"> </w:t>
      </w:r>
      <w:r w:rsidR="0031165A" w:rsidRPr="00D35BB4">
        <w:t>at the San Joaquin Bank</w:t>
      </w:r>
      <w:r w:rsidR="004B01D5">
        <w:t xml:space="preserve">, where he also maintained </w:t>
      </w:r>
      <w:r w:rsidR="00C3540B">
        <w:t>his</w:t>
      </w:r>
      <w:r w:rsidR="00566EBF">
        <w:t xml:space="preserve"> </w:t>
      </w:r>
      <w:r w:rsidR="004B01D5">
        <w:t>CTA.</w:t>
      </w:r>
    </w:p>
    <w:p w:rsidR="00B36805" w:rsidRDefault="00B36805" w:rsidP="00B36805">
      <w:pPr>
        <w:pStyle w:val="Level1"/>
        <w:spacing w:line="480" w:lineRule="auto"/>
        <w:ind w:left="0" w:firstLine="720"/>
        <w:outlineLvl w:val="0"/>
      </w:pPr>
      <w:r>
        <w:t xml:space="preserve">The next month, in June 2002, Parks notified </w:t>
      </w:r>
      <w:r w:rsidR="00EA2ED5">
        <w:t>Papst</w:t>
      </w:r>
      <w:r>
        <w:t xml:space="preserve"> that she </w:t>
      </w:r>
      <w:r w:rsidR="00106DF1">
        <w:t>could no</w:t>
      </w:r>
      <w:r w:rsidR="005B58CE">
        <w:t xml:space="preserve"> longer</w:t>
      </w:r>
      <w:r w:rsidR="00976A68">
        <w:t xml:space="preserve"> work and she </w:t>
      </w:r>
      <w:r>
        <w:t xml:space="preserve">instructed </w:t>
      </w:r>
      <w:r w:rsidR="00976A68">
        <w:t>him</w:t>
      </w:r>
      <w:r>
        <w:t xml:space="preserve"> to </w:t>
      </w:r>
      <w:r w:rsidR="0032388E">
        <w:t>file</w:t>
      </w:r>
      <w:r>
        <w:t xml:space="preserve"> her disability retirement application</w:t>
      </w:r>
      <w:r w:rsidR="0032388E">
        <w:t xml:space="preserve">, which </w:t>
      </w:r>
      <w:r w:rsidR="005B58CE">
        <w:t>he</w:t>
      </w:r>
      <w:r w:rsidR="0032388E">
        <w:t xml:space="preserve"> agreed to do.  </w:t>
      </w:r>
      <w:r>
        <w:lastRenderedPageBreak/>
        <w:t>Several months later,</w:t>
      </w:r>
      <w:r w:rsidR="00106DF1">
        <w:t xml:space="preserve"> </w:t>
      </w:r>
      <w:r>
        <w:t xml:space="preserve">Parks contacted </w:t>
      </w:r>
      <w:r w:rsidR="00EA2ED5">
        <w:t>Papst</w:t>
      </w:r>
      <w:r w:rsidR="00D55871">
        <w:t>,</w:t>
      </w:r>
      <w:r>
        <w:t xml:space="preserve"> </w:t>
      </w:r>
      <w:r w:rsidR="005B58CE">
        <w:t>who</w:t>
      </w:r>
      <w:r>
        <w:t xml:space="preserve"> told her that he was working on </w:t>
      </w:r>
      <w:r w:rsidR="006932C4">
        <w:t>the application</w:t>
      </w:r>
      <w:r w:rsidR="003A5075">
        <w:t xml:space="preserve"> but had not yet filed it</w:t>
      </w:r>
      <w:r>
        <w:t xml:space="preserve">.  He also </w:t>
      </w:r>
      <w:r w:rsidR="00F354D2">
        <w:t>informed</w:t>
      </w:r>
      <w:r>
        <w:t xml:space="preserve"> </w:t>
      </w:r>
      <w:r w:rsidR="006932C4">
        <w:t xml:space="preserve">Parks </w:t>
      </w:r>
      <w:r>
        <w:t xml:space="preserve">that he had </w:t>
      </w:r>
      <w:r w:rsidR="006932C4">
        <w:t xml:space="preserve">not received from </w:t>
      </w:r>
      <w:r>
        <w:t xml:space="preserve">her physician, Dr. Matuk, </w:t>
      </w:r>
      <w:r w:rsidR="006932C4">
        <w:t>an Attending Physician Statement (APS), which was necessary to complete her</w:t>
      </w:r>
      <w:r>
        <w:t xml:space="preserve"> application</w:t>
      </w:r>
      <w:r w:rsidR="006932C4">
        <w:t xml:space="preserve">.  </w:t>
      </w:r>
      <w:r>
        <w:t>Parks went to Dr. Matuk’s office</w:t>
      </w:r>
      <w:r w:rsidR="0032388E">
        <w:t xml:space="preserve"> in November 2002</w:t>
      </w:r>
      <w:r w:rsidR="006932C4">
        <w:t xml:space="preserve">, </w:t>
      </w:r>
      <w:r w:rsidR="000C6FA3">
        <w:t xml:space="preserve">and the doctor </w:t>
      </w:r>
      <w:r w:rsidR="0032388E">
        <w:t>complete</w:t>
      </w:r>
      <w:r w:rsidR="00422EEF">
        <w:t>d</w:t>
      </w:r>
      <w:r w:rsidR="0032388E">
        <w:t xml:space="preserve"> and sign</w:t>
      </w:r>
      <w:r w:rsidR="00422EEF">
        <w:t>ed</w:t>
      </w:r>
      <w:r w:rsidR="0032388E">
        <w:t xml:space="preserve"> the</w:t>
      </w:r>
      <w:r>
        <w:t xml:space="preserve"> APS form</w:t>
      </w:r>
      <w:r w:rsidR="00422EEF">
        <w:t xml:space="preserve"> in </w:t>
      </w:r>
      <w:r w:rsidR="000C6FA3">
        <w:t>her</w:t>
      </w:r>
      <w:r w:rsidR="00422EEF">
        <w:t xml:space="preserve"> presence, indicating that </w:t>
      </w:r>
      <w:r w:rsidR="006932C4">
        <w:t>she</w:t>
      </w:r>
      <w:r w:rsidR="00422EEF">
        <w:t xml:space="preserve"> was “permanently incapacitated from the performance of [her] duties.”</w:t>
      </w:r>
      <w:r w:rsidR="006A181C">
        <w:rPr>
          <w:rStyle w:val="FootnoteReference"/>
        </w:rPr>
        <w:footnoteReference w:id="2"/>
      </w:r>
      <w:r w:rsidR="00422EEF">
        <w:t xml:space="preserve">  </w:t>
      </w:r>
      <w:r w:rsidR="000C6FA3">
        <w:t>The doctor then</w:t>
      </w:r>
      <w:r w:rsidR="00182E3A">
        <w:t xml:space="preserve"> </w:t>
      </w:r>
      <w:r w:rsidR="0032388E">
        <w:t xml:space="preserve">sent the form </w:t>
      </w:r>
      <w:r>
        <w:t xml:space="preserve">to </w:t>
      </w:r>
      <w:r w:rsidR="00EA2ED5">
        <w:t>Papst</w:t>
      </w:r>
      <w:r>
        <w:t xml:space="preserve"> for </w:t>
      </w:r>
      <w:r w:rsidR="00182E3A">
        <w:t>trans</w:t>
      </w:r>
      <w:r>
        <w:t xml:space="preserve">mittal to the Board.  </w:t>
      </w:r>
    </w:p>
    <w:p w:rsidR="00EF57D4" w:rsidRDefault="00B36805" w:rsidP="00EF57D4">
      <w:pPr>
        <w:pStyle w:val="Level1"/>
        <w:spacing w:line="480" w:lineRule="auto"/>
        <w:ind w:left="0" w:firstLine="720"/>
        <w:outlineLvl w:val="0"/>
      </w:pPr>
      <w:r>
        <w:t xml:space="preserve">In December 2002, Parks </w:t>
      </w:r>
      <w:r w:rsidR="00547B77">
        <w:t xml:space="preserve">met with </w:t>
      </w:r>
      <w:r w:rsidR="00EA2ED5">
        <w:t>Papst</w:t>
      </w:r>
      <w:r w:rsidR="00547B77">
        <w:t xml:space="preserve">, </w:t>
      </w:r>
      <w:r w:rsidR="00182E3A">
        <w:t>who</w:t>
      </w:r>
      <w:r w:rsidR="00811A77">
        <w:t xml:space="preserve"> t</w:t>
      </w:r>
      <w:r>
        <w:t xml:space="preserve">old her that he </w:t>
      </w:r>
      <w:r w:rsidR="0008778E">
        <w:t>would</w:t>
      </w:r>
      <w:r>
        <w:t xml:space="preserve"> </w:t>
      </w:r>
      <w:r w:rsidR="00210668">
        <w:t>file her</w:t>
      </w:r>
      <w:r>
        <w:t xml:space="preserve"> application </w:t>
      </w:r>
      <w:r w:rsidR="00F354D2">
        <w:t>in</w:t>
      </w:r>
      <w:r w:rsidR="00210668">
        <w:t xml:space="preserve"> </w:t>
      </w:r>
      <w:r>
        <w:t xml:space="preserve">January </w:t>
      </w:r>
      <w:r w:rsidR="00210668">
        <w:t>because changes in the law</w:t>
      </w:r>
      <w:r w:rsidR="00F354D2">
        <w:t xml:space="preserve"> that would become </w:t>
      </w:r>
      <w:r w:rsidR="00210668">
        <w:t xml:space="preserve">effective </w:t>
      </w:r>
      <w:r w:rsidR="00F354D2">
        <w:t>in</w:t>
      </w:r>
      <w:r w:rsidR="00210668">
        <w:t xml:space="preserve"> 2003</w:t>
      </w:r>
      <w:r w:rsidR="00F354D2">
        <w:t xml:space="preserve"> were</w:t>
      </w:r>
      <w:r w:rsidR="00210668">
        <w:t xml:space="preserve"> more favorable to her</w:t>
      </w:r>
      <w:r>
        <w:t>.</w:t>
      </w:r>
      <w:r w:rsidR="0032388E">
        <w:t xml:space="preserve">  </w:t>
      </w:r>
      <w:r w:rsidR="00210668">
        <w:t xml:space="preserve">In September </w:t>
      </w:r>
      <w:r w:rsidR="006C1926">
        <w:t>2003</w:t>
      </w:r>
      <w:r w:rsidR="00F354D2">
        <w:t>,</w:t>
      </w:r>
      <w:r>
        <w:t xml:space="preserve"> </w:t>
      </w:r>
      <w:r w:rsidR="00F700A4">
        <w:t>Parks</w:t>
      </w:r>
      <w:r w:rsidR="00645F26">
        <w:t xml:space="preserve"> again spoke with Papst by phone and he </w:t>
      </w:r>
      <w:r w:rsidR="00F354D2">
        <w:t>notified</w:t>
      </w:r>
      <w:r w:rsidR="00F700A4">
        <w:t xml:space="preserve"> </w:t>
      </w:r>
      <w:r>
        <w:t xml:space="preserve">her </w:t>
      </w:r>
      <w:r w:rsidR="00645F26">
        <w:t xml:space="preserve">that her </w:t>
      </w:r>
      <w:r>
        <w:t>appli</w:t>
      </w:r>
      <w:r w:rsidR="00F700A4">
        <w:t>cation had been denied</w:t>
      </w:r>
      <w:r w:rsidR="00645F26">
        <w:t>.  He further advised that he would appeal the matter to the Board</w:t>
      </w:r>
      <w:r w:rsidR="008600BF">
        <w:t xml:space="preserve">.  </w:t>
      </w:r>
      <w:r w:rsidR="00007858">
        <w:t>Between 2004 and 2005</w:t>
      </w:r>
      <w:r w:rsidR="00E64790">
        <w:t>,</w:t>
      </w:r>
      <w:r w:rsidR="00007858">
        <w:t xml:space="preserve"> </w:t>
      </w:r>
      <w:r w:rsidR="00811A77">
        <w:t xml:space="preserve">Parks repeatedly called </w:t>
      </w:r>
      <w:r w:rsidR="00EA2ED5">
        <w:t>Papst</w:t>
      </w:r>
      <w:r w:rsidR="00007858">
        <w:t xml:space="preserve"> to ask </w:t>
      </w:r>
      <w:r w:rsidR="00811A77">
        <w:t>about her</w:t>
      </w:r>
      <w:r w:rsidR="0008778E">
        <w:t xml:space="preserve"> </w:t>
      </w:r>
      <w:r w:rsidR="00AD5C9D">
        <w:t>appeal</w:t>
      </w:r>
      <w:r w:rsidR="0008778E">
        <w:t xml:space="preserve">.  Often </w:t>
      </w:r>
      <w:r w:rsidR="000C6FA3">
        <w:t>he</w:t>
      </w:r>
      <w:r w:rsidR="0008778E">
        <w:t xml:space="preserve"> would not return her calls, but when he did, </w:t>
      </w:r>
      <w:r w:rsidR="00811A77">
        <w:t>he</w:t>
      </w:r>
      <w:r w:rsidR="00007858">
        <w:t xml:space="preserve"> </w:t>
      </w:r>
      <w:r w:rsidR="000C6FA3">
        <w:t>informed</w:t>
      </w:r>
      <w:r w:rsidR="0008778E">
        <w:t xml:space="preserve"> her that </w:t>
      </w:r>
      <w:r w:rsidR="00673B8F">
        <w:t xml:space="preserve">several hearings on </w:t>
      </w:r>
      <w:r w:rsidR="0046297D">
        <w:t xml:space="preserve">her </w:t>
      </w:r>
      <w:r w:rsidR="00B33C07">
        <w:t>appeal</w:t>
      </w:r>
      <w:r w:rsidR="00673B8F">
        <w:t xml:space="preserve"> had been </w:t>
      </w:r>
      <w:r w:rsidR="000065D8">
        <w:t>delayed</w:t>
      </w:r>
      <w:r w:rsidR="00673B8F">
        <w:t xml:space="preserve"> and that </w:t>
      </w:r>
      <w:r w:rsidR="00F354D2">
        <w:t xml:space="preserve">the process </w:t>
      </w:r>
      <w:r w:rsidR="008600BF">
        <w:t xml:space="preserve">was </w:t>
      </w:r>
      <w:r w:rsidR="00F354D2">
        <w:t>slow</w:t>
      </w:r>
      <w:r w:rsidR="008600BF">
        <w:t xml:space="preserve"> due to a </w:t>
      </w:r>
      <w:r w:rsidR="00673B8F">
        <w:t xml:space="preserve">large </w:t>
      </w:r>
      <w:r w:rsidR="008600BF">
        <w:t xml:space="preserve">backlog.  </w:t>
      </w:r>
      <w:r w:rsidR="0008778E">
        <w:t>I</w:t>
      </w:r>
      <w:r w:rsidR="00EF57D4">
        <w:t xml:space="preserve">n early August 2005, </w:t>
      </w:r>
      <w:r w:rsidR="00EA2ED5">
        <w:t>Papst</w:t>
      </w:r>
      <w:r w:rsidR="00EF57D4">
        <w:t xml:space="preserve"> </w:t>
      </w:r>
      <w:r w:rsidR="00B33C07">
        <w:t>told</w:t>
      </w:r>
      <w:r w:rsidR="00EF57D4">
        <w:t xml:space="preserve"> Parks that her </w:t>
      </w:r>
      <w:r w:rsidR="00B33C07">
        <w:t xml:space="preserve">appeal was successful and that her </w:t>
      </w:r>
      <w:r w:rsidR="00EF57D4">
        <w:t>application had been approved</w:t>
      </w:r>
      <w:r w:rsidR="00BD2E40">
        <w:t xml:space="preserve">.  </w:t>
      </w:r>
      <w:r w:rsidR="0008778E">
        <w:t xml:space="preserve">None of </w:t>
      </w:r>
      <w:r w:rsidR="000C6FA3">
        <w:t xml:space="preserve">Papst’s statements </w:t>
      </w:r>
      <w:r w:rsidR="007111AE">
        <w:t xml:space="preserve">about the filing of her application or the appeal of the denial of her application </w:t>
      </w:r>
      <w:r w:rsidR="007D22A2">
        <w:t>were</w:t>
      </w:r>
      <w:r w:rsidR="0008778E">
        <w:t xml:space="preserve"> true</w:t>
      </w:r>
      <w:r w:rsidR="007111AE">
        <w:t>.  In</w:t>
      </w:r>
      <w:r w:rsidR="0008778E">
        <w:t xml:space="preserve"> fact</w:t>
      </w:r>
      <w:r w:rsidR="00E64790">
        <w:t>,</w:t>
      </w:r>
      <w:r w:rsidR="0008778E">
        <w:t xml:space="preserve"> </w:t>
      </w:r>
      <w:r w:rsidR="00C737D1">
        <w:t xml:space="preserve">Papst </w:t>
      </w:r>
      <w:r w:rsidR="0008778E" w:rsidRPr="00AD5C9D">
        <w:t xml:space="preserve">did not </w:t>
      </w:r>
      <w:r w:rsidR="002D52D9">
        <w:t xml:space="preserve">file </w:t>
      </w:r>
      <w:r w:rsidR="0008778E" w:rsidRPr="00AD5C9D">
        <w:t>he</w:t>
      </w:r>
      <w:r w:rsidR="002D52D9">
        <w:t>r</w:t>
      </w:r>
      <w:r w:rsidR="0008778E" w:rsidRPr="00AD5C9D">
        <w:t xml:space="preserve"> application until</w:t>
      </w:r>
      <w:r w:rsidR="0008778E" w:rsidRPr="00007858">
        <w:rPr>
          <w:i/>
        </w:rPr>
        <w:t xml:space="preserve"> </w:t>
      </w:r>
      <w:r w:rsidR="0008778E" w:rsidRPr="009E7B6E">
        <w:rPr>
          <w:i/>
        </w:rPr>
        <w:t>September 14,</w:t>
      </w:r>
      <w:r w:rsidR="0008778E" w:rsidRPr="00007858">
        <w:rPr>
          <w:i/>
        </w:rPr>
        <w:t xml:space="preserve"> </w:t>
      </w:r>
      <w:r w:rsidR="0008778E" w:rsidRPr="009E7B6E">
        <w:rPr>
          <w:i/>
        </w:rPr>
        <w:t>2005</w:t>
      </w:r>
      <w:r w:rsidR="00B33C07" w:rsidRPr="009E7B6E">
        <w:t>,</w:t>
      </w:r>
      <w:r w:rsidR="00B33C07">
        <w:t xml:space="preserve"> and at the time of the trial in the instant matter, Parks</w:t>
      </w:r>
      <w:r w:rsidR="00E909E7">
        <w:t xml:space="preserve"> still</w:t>
      </w:r>
      <w:r w:rsidR="00B33C07">
        <w:t xml:space="preserve"> had not received any disability </w:t>
      </w:r>
      <w:r w:rsidR="006A4563">
        <w:t xml:space="preserve">retirement </w:t>
      </w:r>
      <w:r w:rsidR="00B33C07">
        <w:t>benefits</w:t>
      </w:r>
      <w:r w:rsidR="0008778E" w:rsidRPr="00007858">
        <w:rPr>
          <w:i/>
        </w:rPr>
        <w:t>.</w:t>
      </w:r>
      <w:r w:rsidR="0008778E">
        <w:t xml:space="preserve">  </w:t>
      </w:r>
    </w:p>
    <w:p w:rsidR="00B36805" w:rsidRDefault="00B33C07" w:rsidP="00EA487F">
      <w:pPr>
        <w:pStyle w:val="Level1"/>
        <w:spacing w:line="480" w:lineRule="auto"/>
        <w:ind w:left="0" w:firstLine="720"/>
        <w:outlineLvl w:val="0"/>
      </w:pPr>
      <w:r>
        <w:t xml:space="preserve">During the time when </w:t>
      </w:r>
      <w:r w:rsidR="002C031C">
        <w:t>Parks</w:t>
      </w:r>
      <w:r>
        <w:t xml:space="preserve"> was represented by Papst, she </w:t>
      </w:r>
      <w:r w:rsidR="002C031C">
        <w:t xml:space="preserve">exhausted her deferred compensation </w:t>
      </w:r>
      <w:r w:rsidR="00D70001">
        <w:t>a</w:t>
      </w:r>
      <w:r w:rsidR="002C031C">
        <w:t>nd</w:t>
      </w:r>
      <w:r w:rsidR="002C031C" w:rsidRPr="002C031C">
        <w:t xml:space="preserve"> </w:t>
      </w:r>
      <w:r w:rsidR="002C031C">
        <w:t>depende</w:t>
      </w:r>
      <w:r w:rsidR="000C6FA3">
        <w:t>d</w:t>
      </w:r>
      <w:r w:rsidR="002C031C">
        <w:t xml:space="preserve"> on her mother for financial assistance</w:t>
      </w:r>
      <w:r w:rsidR="00E64790">
        <w:t xml:space="preserve">. </w:t>
      </w:r>
      <w:r w:rsidR="00AD5C9D">
        <w:t xml:space="preserve"> </w:t>
      </w:r>
      <w:r w:rsidR="00E64790">
        <w:t>O</w:t>
      </w:r>
      <w:r w:rsidR="00B36805">
        <w:t xml:space="preserve">n November 7, 2005, </w:t>
      </w:r>
      <w:r w:rsidR="00E64790">
        <w:lastRenderedPageBreak/>
        <w:t>she</w:t>
      </w:r>
      <w:r w:rsidR="00B36805">
        <w:t xml:space="preserve"> went to </w:t>
      </w:r>
      <w:r w:rsidR="00EA2ED5">
        <w:t>Papst</w:t>
      </w:r>
      <w:r w:rsidR="00B36805">
        <w:t>’s office to complain</w:t>
      </w:r>
      <w:r w:rsidR="00850068">
        <w:t xml:space="preserve">.  </w:t>
      </w:r>
      <w:r w:rsidR="000065D8">
        <w:t xml:space="preserve">To alleviate </w:t>
      </w:r>
      <w:r w:rsidR="00501D1C">
        <w:t>her frustration with him</w:t>
      </w:r>
      <w:r w:rsidR="00FD3F47">
        <w:t xml:space="preserve">, </w:t>
      </w:r>
      <w:r w:rsidR="00EA2ED5">
        <w:t>Papst</w:t>
      </w:r>
      <w:r w:rsidR="00B36805">
        <w:t xml:space="preserve"> </w:t>
      </w:r>
      <w:r w:rsidR="00AD5C9D">
        <w:t>prepared</w:t>
      </w:r>
      <w:r w:rsidR="00B36805">
        <w:t xml:space="preserve"> a </w:t>
      </w:r>
      <w:r w:rsidR="00FD3F47">
        <w:t>p</w:t>
      </w:r>
      <w:r w:rsidR="00B36805">
        <w:t xml:space="preserve">etition for </w:t>
      </w:r>
      <w:r w:rsidR="00FD3F47">
        <w:t>w</w:t>
      </w:r>
      <w:r w:rsidR="00B36805">
        <w:t xml:space="preserve">rit of </w:t>
      </w:r>
      <w:r w:rsidR="00FD3F47">
        <w:t>m</w:t>
      </w:r>
      <w:r w:rsidR="00B36805">
        <w:t>andate</w:t>
      </w:r>
      <w:r w:rsidR="00EA487F" w:rsidRPr="00EA487F">
        <w:t xml:space="preserve"> </w:t>
      </w:r>
      <w:r w:rsidR="00EA487F">
        <w:t xml:space="preserve">asking the </w:t>
      </w:r>
      <w:r w:rsidR="00AD5C9D">
        <w:t xml:space="preserve">Kern County </w:t>
      </w:r>
      <w:r w:rsidR="00EA487F">
        <w:t>Superior Court to compel the Board to award benefits to Parks</w:t>
      </w:r>
      <w:r w:rsidR="00AD5C9D">
        <w:t xml:space="preserve">.  In the petition, Papst </w:t>
      </w:r>
      <w:r w:rsidR="00E36414">
        <w:t>stated</w:t>
      </w:r>
      <w:r w:rsidR="00AD5C9D">
        <w:t xml:space="preserve"> that </w:t>
      </w:r>
      <w:r w:rsidR="00AB504A">
        <w:t>Pa</w:t>
      </w:r>
      <w:r w:rsidR="00FD3F47">
        <w:t xml:space="preserve">rks’ application had been filed in </w:t>
      </w:r>
      <w:r w:rsidR="00B36805" w:rsidRPr="00AB504A">
        <w:t>January 2003</w:t>
      </w:r>
      <w:r w:rsidR="00AB504A">
        <w:t xml:space="preserve">, and that </w:t>
      </w:r>
      <w:r w:rsidR="00E64790">
        <w:t>he</w:t>
      </w:r>
      <w:r w:rsidR="00FD3F47">
        <w:t xml:space="preserve"> had</w:t>
      </w:r>
      <w:r w:rsidR="00B36805">
        <w:t xml:space="preserve"> “been informed, orally, that the Board has approved her application for service-connected disability benefits, retroactive to the date of Petitioner’s application for service-connected disability retirement benefits and in a defined and certain amount.”  </w:t>
      </w:r>
      <w:r w:rsidR="00501D1C">
        <w:t>H</w:t>
      </w:r>
      <w:r w:rsidR="00954350">
        <w:t>e</w:t>
      </w:r>
      <w:r w:rsidR="00B36805">
        <w:t xml:space="preserve"> </w:t>
      </w:r>
      <w:r w:rsidR="00501D1C">
        <w:t>had</w:t>
      </w:r>
      <w:r w:rsidR="00B36805">
        <w:t xml:space="preserve"> </w:t>
      </w:r>
      <w:r w:rsidR="00EA487F">
        <w:t xml:space="preserve">Parks </w:t>
      </w:r>
      <w:r w:rsidR="00B36805">
        <w:t xml:space="preserve">sign a verification </w:t>
      </w:r>
      <w:r w:rsidR="000065D8">
        <w:t>of</w:t>
      </w:r>
      <w:r w:rsidR="00EA487F">
        <w:t xml:space="preserve"> the petition</w:t>
      </w:r>
      <w:r w:rsidR="00954350">
        <w:t xml:space="preserve">, under penalty of perjury, </w:t>
      </w:r>
      <w:r w:rsidR="00AB504A">
        <w:t xml:space="preserve">attesting </w:t>
      </w:r>
      <w:r w:rsidR="00954350">
        <w:t>to the truth of the</w:t>
      </w:r>
      <w:r w:rsidR="00E64790">
        <w:t>se</w:t>
      </w:r>
      <w:r w:rsidR="00954350">
        <w:t xml:space="preserve"> </w:t>
      </w:r>
      <w:r w:rsidR="00CA7620">
        <w:t>statements</w:t>
      </w:r>
      <w:r w:rsidR="00501D1C">
        <w:t xml:space="preserve"> even though Papst knew the</w:t>
      </w:r>
      <w:r w:rsidR="00CA7620">
        <w:t xml:space="preserve">y were </w:t>
      </w:r>
      <w:r w:rsidR="00D0237C">
        <w:t>untrue.</w:t>
      </w:r>
      <w:r w:rsidR="00CA7620">
        <w:t xml:space="preserve">  </w:t>
      </w:r>
      <w:r w:rsidR="00501D1C">
        <w:t xml:space="preserve">(Parks </w:t>
      </w:r>
      <w:r w:rsidR="00EA487F">
        <w:t>believed the</w:t>
      </w:r>
      <w:r w:rsidR="00954350">
        <w:t>m</w:t>
      </w:r>
      <w:r w:rsidR="00EA487F">
        <w:t xml:space="preserve"> </w:t>
      </w:r>
      <w:r w:rsidR="00954350">
        <w:t>to be</w:t>
      </w:r>
      <w:r w:rsidR="00EA487F">
        <w:t xml:space="preserve"> true.</w:t>
      </w:r>
      <w:r w:rsidR="00501D1C">
        <w:t>)</w:t>
      </w:r>
      <w:r w:rsidR="00EA487F">
        <w:t xml:space="preserve">  </w:t>
      </w:r>
      <w:r w:rsidR="00EA2ED5">
        <w:t>Papst</w:t>
      </w:r>
      <w:r w:rsidR="00EA487F">
        <w:t xml:space="preserve"> </w:t>
      </w:r>
      <w:r w:rsidR="00B36805">
        <w:t xml:space="preserve">told her that the petition </w:t>
      </w:r>
      <w:r w:rsidR="009E68EF">
        <w:t>f</w:t>
      </w:r>
      <w:r w:rsidR="00850068">
        <w:t>o</w:t>
      </w:r>
      <w:r w:rsidR="009E68EF">
        <w:t xml:space="preserve">r writ of mandate </w:t>
      </w:r>
      <w:r w:rsidR="00B36805">
        <w:t xml:space="preserve">would promptly </w:t>
      </w:r>
      <w:r w:rsidR="00E64790">
        <w:t xml:space="preserve">be </w:t>
      </w:r>
      <w:r w:rsidR="00B36805">
        <w:t>filed with the Superior Court</w:t>
      </w:r>
      <w:r w:rsidR="00EA487F">
        <w:t xml:space="preserve">, but he </w:t>
      </w:r>
      <w:r w:rsidR="00B36805">
        <w:t xml:space="preserve">never </w:t>
      </w:r>
      <w:r w:rsidR="00954350">
        <w:t>filed it.</w:t>
      </w:r>
      <w:r w:rsidR="00B36805">
        <w:t xml:space="preserve">  </w:t>
      </w:r>
    </w:p>
    <w:p w:rsidR="00850068" w:rsidRDefault="00BD2E40" w:rsidP="00B36805">
      <w:pPr>
        <w:pStyle w:val="Level1"/>
        <w:spacing w:line="480" w:lineRule="auto"/>
        <w:ind w:left="0" w:firstLine="720"/>
        <w:outlineLvl w:val="0"/>
      </w:pPr>
      <w:r>
        <w:t>In November 2005</w:t>
      </w:r>
      <w:r w:rsidR="00B36805">
        <w:t xml:space="preserve">, Parks contacted the Board’s office </w:t>
      </w:r>
      <w:r>
        <w:t>about the status of</w:t>
      </w:r>
      <w:r w:rsidR="00B36805">
        <w:t xml:space="preserve"> her application</w:t>
      </w:r>
      <w:r>
        <w:t xml:space="preserve">, only to </w:t>
      </w:r>
      <w:r w:rsidR="00E64790">
        <w:t>discover</w:t>
      </w:r>
      <w:r>
        <w:t xml:space="preserve"> that it</w:t>
      </w:r>
      <w:r w:rsidR="00B36805">
        <w:t xml:space="preserve"> had never been approved by the Board</w:t>
      </w:r>
      <w:r w:rsidR="00E64790">
        <w:t>.  A</w:t>
      </w:r>
      <w:r w:rsidR="00B36805">
        <w:t xml:space="preserve">s a result, she sent </w:t>
      </w:r>
      <w:r w:rsidR="00EA2ED5">
        <w:t>Papst</w:t>
      </w:r>
      <w:r w:rsidR="00B36805">
        <w:t xml:space="preserve"> a letter </w:t>
      </w:r>
      <w:r>
        <w:t xml:space="preserve">on December 2, 2005, </w:t>
      </w:r>
      <w:r w:rsidR="00B36805">
        <w:t xml:space="preserve">terminating his services and requesting a full refund of </w:t>
      </w:r>
      <w:r>
        <w:t xml:space="preserve">the $3,500 fee, which </w:t>
      </w:r>
      <w:r w:rsidR="00EA2ED5">
        <w:t>Papst</w:t>
      </w:r>
      <w:r w:rsidR="00B36805">
        <w:t xml:space="preserve"> </w:t>
      </w:r>
      <w:r w:rsidR="009E68EF">
        <w:t>paid</w:t>
      </w:r>
      <w:r>
        <w:t xml:space="preserve"> in January, 2006.</w:t>
      </w:r>
      <w:r w:rsidR="00850068">
        <w:t xml:space="preserve"> </w:t>
      </w:r>
      <w:r>
        <w:t xml:space="preserve"> The refund was paid by a check drawn against his </w:t>
      </w:r>
      <w:r w:rsidR="0047419B">
        <w:t>CTA</w:t>
      </w:r>
      <w:r>
        <w:t xml:space="preserve">, </w:t>
      </w:r>
      <w:r w:rsidR="00AB504A">
        <w:t xml:space="preserve">even though </w:t>
      </w:r>
      <w:r w:rsidR="00EA2ED5">
        <w:t>Papst</w:t>
      </w:r>
      <w:r>
        <w:t xml:space="preserve"> </w:t>
      </w:r>
      <w:r w:rsidR="00B36805">
        <w:t xml:space="preserve">never held </w:t>
      </w:r>
      <w:r>
        <w:t>Parks’</w:t>
      </w:r>
      <w:r w:rsidR="00B36805">
        <w:t xml:space="preserve"> fee</w:t>
      </w:r>
      <w:r>
        <w:t xml:space="preserve"> i</w:t>
      </w:r>
      <w:r w:rsidR="00B36805">
        <w:t xml:space="preserve">n </w:t>
      </w:r>
      <w:r w:rsidR="00E64790">
        <w:t>that</w:t>
      </w:r>
      <w:r w:rsidR="00B36805">
        <w:t xml:space="preserve"> account</w:t>
      </w:r>
      <w:r w:rsidR="003C501F">
        <w:t xml:space="preserve">.  </w:t>
      </w:r>
      <w:r w:rsidR="00B36805">
        <w:t xml:space="preserve">The money in </w:t>
      </w:r>
      <w:r w:rsidR="003C501F">
        <w:t xml:space="preserve">the CTA </w:t>
      </w:r>
      <w:r w:rsidR="000065D8">
        <w:t>came</w:t>
      </w:r>
      <w:r w:rsidR="003C501F">
        <w:t xml:space="preserve"> </w:t>
      </w:r>
      <w:r w:rsidR="00A05A18">
        <w:t xml:space="preserve">from </w:t>
      </w:r>
      <w:r w:rsidR="00B36805">
        <w:t>fee</w:t>
      </w:r>
      <w:r w:rsidR="00A05A18">
        <w:t>s</w:t>
      </w:r>
      <w:r w:rsidR="00E64790">
        <w:t xml:space="preserve"> </w:t>
      </w:r>
      <w:r w:rsidR="00B36805">
        <w:t xml:space="preserve">that </w:t>
      </w:r>
      <w:r w:rsidR="00EA2ED5">
        <w:t>Papst</w:t>
      </w:r>
      <w:r w:rsidR="00B36805">
        <w:t xml:space="preserve"> had</w:t>
      </w:r>
      <w:r w:rsidR="00A05A18">
        <w:t xml:space="preserve"> earned </w:t>
      </w:r>
      <w:r w:rsidR="000065D8">
        <w:t xml:space="preserve">from another client </w:t>
      </w:r>
      <w:r w:rsidR="00A05A18">
        <w:t>and</w:t>
      </w:r>
      <w:r w:rsidR="00B36805">
        <w:t xml:space="preserve"> </w:t>
      </w:r>
      <w:r w:rsidR="00A505D2">
        <w:t>left</w:t>
      </w:r>
      <w:r w:rsidR="00B36805">
        <w:t xml:space="preserve"> in the </w:t>
      </w:r>
      <w:r w:rsidR="003C501F">
        <w:t>account</w:t>
      </w:r>
      <w:r w:rsidR="00B36805">
        <w:t xml:space="preserve"> since the beginning of 2005.  </w:t>
      </w:r>
    </w:p>
    <w:p w:rsidR="00766144" w:rsidRPr="007E3649" w:rsidRDefault="00766144" w:rsidP="003C501F">
      <w:pPr>
        <w:pStyle w:val="Header"/>
        <w:tabs>
          <w:tab w:val="clear" w:pos="4320"/>
          <w:tab w:val="clear" w:pos="8640"/>
        </w:tabs>
        <w:spacing w:line="480" w:lineRule="auto"/>
        <w:ind w:firstLine="720"/>
        <w:rPr>
          <w:b/>
          <w:bCs/>
        </w:rPr>
      </w:pPr>
      <w:r w:rsidRPr="007E3649">
        <w:rPr>
          <w:b/>
          <w:bCs/>
        </w:rPr>
        <w:t>Count 1 – Rule 3-110(A) (Fai</w:t>
      </w:r>
      <w:r w:rsidR="00C67B84">
        <w:rPr>
          <w:b/>
          <w:bCs/>
        </w:rPr>
        <w:t>lure to Perform with Competence</w:t>
      </w:r>
      <w:r w:rsidRPr="007E3649">
        <w:rPr>
          <w:b/>
          <w:bCs/>
        </w:rPr>
        <w:t>)</w:t>
      </w:r>
    </w:p>
    <w:p w:rsidR="00ED45C7" w:rsidRPr="002D52D9" w:rsidRDefault="00A05A18" w:rsidP="003C501F">
      <w:pPr>
        <w:pStyle w:val="Header"/>
        <w:tabs>
          <w:tab w:val="clear" w:pos="4320"/>
          <w:tab w:val="clear" w:pos="8640"/>
        </w:tabs>
        <w:spacing w:line="480" w:lineRule="auto"/>
        <w:ind w:firstLine="720"/>
        <w:rPr>
          <w:bCs/>
        </w:rPr>
      </w:pPr>
      <w:r>
        <w:t xml:space="preserve">The State Bar alleged in Count 1 that Papst failed to represent </w:t>
      </w:r>
      <w:r w:rsidR="00ED45C7">
        <w:t xml:space="preserve">Parks </w:t>
      </w:r>
      <w:r>
        <w:t>with competence</w:t>
      </w:r>
      <w:r w:rsidR="00FA116B">
        <w:t>,</w:t>
      </w:r>
      <w:r w:rsidR="004A569A">
        <w:t xml:space="preserve"> in </w:t>
      </w:r>
      <w:r w:rsidR="004A569A" w:rsidRPr="00AD3426">
        <w:t>violat</w:t>
      </w:r>
      <w:r w:rsidR="004A569A">
        <w:t xml:space="preserve">ion of </w:t>
      </w:r>
      <w:r w:rsidR="00C67B84">
        <w:t>rule 3-11</w:t>
      </w:r>
      <w:r w:rsidR="004A569A" w:rsidRPr="00AD3426">
        <w:t>0(A) of the Rules of Professional Conduct.</w:t>
      </w:r>
      <w:r w:rsidR="004A569A" w:rsidRPr="00AD3426">
        <w:rPr>
          <w:rStyle w:val="FootnoteReference"/>
        </w:rPr>
        <w:footnoteReference w:id="3"/>
      </w:r>
      <w:r w:rsidR="004A569A">
        <w:t xml:space="preserve">  Although Parks </w:t>
      </w:r>
      <w:r w:rsidR="00ED45C7">
        <w:t>instructed Papst to file her application for disability retirement benefits in June 2002</w:t>
      </w:r>
      <w:r w:rsidR="004A569A">
        <w:t xml:space="preserve">, he did not do so until </w:t>
      </w:r>
      <w:r w:rsidR="004A569A" w:rsidRPr="00ED45C7">
        <w:t>September 14, 2005</w:t>
      </w:r>
      <w:r w:rsidR="00BE4C0A">
        <w:t xml:space="preserve">.  </w:t>
      </w:r>
      <w:r w:rsidR="00CB68B1">
        <w:t>We agree with the hearing judge that t</w:t>
      </w:r>
      <w:r w:rsidR="00BE4C0A">
        <w:t>h</w:t>
      </w:r>
      <w:r w:rsidR="004A569A">
        <w:t xml:space="preserve">is </w:t>
      </w:r>
      <w:r w:rsidR="00893DFC" w:rsidRPr="002D52D9">
        <w:t>excessive</w:t>
      </w:r>
      <w:r w:rsidR="00893DFC">
        <w:t xml:space="preserve"> </w:t>
      </w:r>
      <w:r w:rsidR="004A569A">
        <w:t>d</w:t>
      </w:r>
      <w:r w:rsidR="00BE4C0A">
        <w:t>elay</w:t>
      </w:r>
      <w:r w:rsidR="002D52D9">
        <w:t xml:space="preserve"> of three years constitutes a </w:t>
      </w:r>
      <w:r w:rsidR="003C501F" w:rsidRPr="00AD3426">
        <w:t xml:space="preserve">willful </w:t>
      </w:r>
      <w:r w:rsidR="00E70457" w:rsidRPr="00AD3426">
        <w:t>violat</w:t>
      </w:r>
      <w:r w:rsidR="000D5415">
        <w:t>i</w:t>
      </w:r>
      <w:r w:rsidR="002D52D9">
        <w:t>o</w:t>
      </w:r>
      <w:r w:rsidR="004A569A">
        <w:t xml:space="preserve">n </w:t>
      </w:r>
      <w:r w:rsidR="000D5415">
        <w:t xml:space="preserve">of </w:t>
      </w:r>
      <w:r w:rsidR="00E70457" w:rsidRPr="00AD3426">
        <w:t>rule 3-1</w:t>
      </w:r>
      <w:r w:rsidR="00C67B84">
        <w:t>1</w:t>
      </w:r>
      <w:r w:rsidR="00E70457" w:rsidRPr="00AD3426">
        <w:t>0(A)</w:t>
      </w:r>
      <w:r w:rsidR="004A569A">
        <w:t xml:space="preserve">.  </w:t>
      </w:r>
      <w:r w:rsidR="001E4B9E">
        <w:t>(</w:t>
      </w:r>
      <w:r w:rsidR="001E4B9E">
        <w:rPr>
          <w:i/>
          <w:iCs/>
        </w:rPr>
        <w:t xml:space="preserve">In the Matter </w:t>
      </w:r>
      <w:r w:rsidR="001E4B9E">
        <w:rPr>
          <w:i/>
          <w:iCs/>
        </w:rPr>
        <w:lastRenderedPageBreak/>
        <w:t>of Klein</w:t>
      </w:r>
      <w:r w:rsidR="001E4B9E">
        <w:t xml:space="preserve"> (Review Dept. 1994) 3 Cal. State Bar Ct. Rptr. 1, 7 [delay of six months in filing bankruptcy petition is reckless failure to perform]; </w:t>
      </w:r>
      <w:r w:rsidR="001E4B9E">
        <w:rPr>
          <w:i/>
          <w:iCs/>
        </w:rPr>
        <w:t>In the Matter of Bach</w:t>
      </w:r>
      <w:r w:rsidR="001E4B9E">
        <w:t xml:space="preserve"> (Review Dept. 1991) 1 Cal. State Bar Ct. Rptr. 631, 641-642 [delay of over two months in obtaining temporary restraining order to protect client from harassing phone calls </w:t>
      </w:r>
      <w:r w:rsidR="007D22A2">
        <w:t>was</w:t>
      </w:r>
      <w:r w:rsidR="001E4B9E">
        <w:t xml:space="preserve"> reckless failure to perform].)</w:t>
      </w:r>
    </w:p>
    <w:p w:rsidR="00925C37" w:rsidRPr="007E3649" w:rsidRDefault="00925C37" w:rsidP="00925C37">
      <w:pPr>
        <w:pStyle w:val="Header"/>
        <w:tabs>
          <w:tab w:val="clear" w:pos="4320"/>
          <w:tab w:val="clear" w:pos="8640"/>
        </w:tabs>
        <w:spacing w:line="480" w:lineRule="auto"/>
        <w:ind w:firstLine="720"/>
        <w:rPr>
          <w:b/>
          <w:bCs/>
        </w:rPr>
      </w:pPr>
      <w:r w:rsidRPr="007E3649">
        <w:rPr>
          <w:b/>
          <w:bCs/>
        </w:rPr>
        <w:t>Count 2 – Rule 4-100(A) (Commingling)</w:t>
      </w:r>
    </w:p>
    <w:p w:rsidR="003A3C69" w:rsidRDefault="00E31E0E" w:rsidP="00E70457">
      <w:pPr>
        <w:spacing w:line="480" w:lineRule="auto"/>
        <w:ind w:firstLine="720"/>
      </w:pPr>
      <w:r>
        <w:t xml:space="preserve">The State Bar alleged in Count 2 that Papst </w:t>
      </w:r>
      <w:r w:rsidRPr="00AD3426">
        <w:t>com</w:t>
      </w:r>
      <w:r>
        <w:t>m</w:t>
      </w:r>
      <w:r w:rsidRPr="00AD3426">
        <w:t>ingl</w:t>
      </w:r>
      <w:r>
        <w:t>ed</w:t>
      </w:r>
      <w:r w:rsidRPr="00AD3426">
        <w:t xml:space="preserve"> funds in violation of rule 4-100(A</w:t>
      </w:r>
      <w:r>
        <w:t xml:space="preserve">) because </w:t>
      </w:r>
      <w:r w:rsidR="004565B1">
        <w:t>he</w:t>
      </w:r>
      <w:r>
        <w:t xml:space="preserve"> </w:t>
      </w:r>
      <w:r w:rsidR="00B07C6A">
        <w:t>reimbursed Parks with funds from his CTA</w:t>
      </w:r>
      <w:r>
        <w:t xml:space="preserve"> </w:t>
      </w:r>
      <w:r w:rsidR="000065D8">
        <w:t>that</w:t>
      </w:r>
      <w:r>
        <w:t xml:space="preserve"> were </w:t>
      </w:r>
      <w:r w:rsidR="00B07C6A">
        <w:t xml:space="preserve">earned fees </w:t>
      </w:r>
      <w:r>
        <w:t xml:space="preserve">he had received </w:t>
      </w:r>
      <w:r w:rsidR="00B07C6A">
        <w:t xml:space="preserve">from </w:t>
      </w:r>
      <w:r w:rsidR="00D0237C">
        <w:t>an</w:t>
      </w:r>
      <w:r w:rsidR="00B07C6A">
        <w:t>other client.</w:t>
      </w:r>
      <w:r w:rsidR="005D2B7E">
        <w:t xml:space="preserve">  (No</w:t>
      </w:r>
      <w:r w:rsidR="000065D8">
        <w:t>ne of</w:t>
      </w:r>
      <w:r w:rsidR="00566EBF">
        <w:t xml:space="preserve"> </w:t>
      </w:r>
      <w:r w:rsidR="005D2B7E">
        <w:t>Parks</w:t>
      </w:r>
      <w:r w:rsidR="000065D8">
        <w:t xml:space="preserve">’ </w:t>
      </w:r>
      <w:r w:rsidR="00D0237C">
        <w:t>fee</w:t>
      </w:r>
      <w:r w:rsidR="000065D8">
        <w:t xml:space="preserve"> was</w:t>
      </w:r>
      <w:r w:rsidR="00566EBF">
        <w:t xml:space="preserve"> </w:t>
      </w:r>
      <w:r w:rsidR="005D2B7E">
        <w:t xml:space="preserve">deposited in the CTA.)  </w:t>
      </w:r>
      <w:r>
        <w:t>R</w:t>
      </w:r>
      <w:r w:rsidRPr="00AD3426">
        <w:t>ule 4-100(A)</w:t>
      </w:r>
      <w:r w:rsidR="00C67B84">
        <w:t>(2)</w:t>
      </w:r>
      <w:r>
        <w:t xml:space="preserve"> </w:t>
      </w:r>
      <w:r w:rsidR="00AD3426">
        <w:rPr>
          <w:bCs/>
        </w:rPr>
        <w:t>requires that earned fees “must be withdrawn at the earliest reasonable time after the member’s interest in that portion becomes fixed”</w:t>
      </w:r>
      <w:r w:rsidR="005D2B7E">
        <w:rPr>
          <w:bCs/>
        </w:rPr>
        <w:t xml:space="preserve"> and the f</w:t>
      </w:r>
      <w:r w:rsidR="00AD3426">
        <w:rPr>
          <w:bCs/>
        </w:rPr>
        <w:t xml:space="preserve">ailure to timely withdraw earned fees from a </w:t>
      </w:r>
      <w:r w:rsidR="00E00E64">
        <w:rPr>
          <w:bCs/>
        </w:rPr>
        <w:t>CTA</w:t>
      </w:r>
      <w:r w:rsidR="00AD3426">
        <w:rPr>
          <w:bCs/>
        </w:rPr>
        <w:t xml:space="preserve"> constitutes grounds for discipline. </w:t>
      </w:r>
      <w:r w:rsidR="00AD3426" w:rsidRPr="00766353">
        <w:rPr>
          <w:bCs/>
        </w:rPr>
        <w:t xml:space="preserve">(See, e.g., </w:t>
      </w:r>
      <w:r w:rsidR="00AD3426" w:rsidRPr="00766353">
        <w:rPr>
          <w:i/>
        </w:rPr>
        <w:t>Arm v. State Bar</w:t>
      </w:r>
      <w:r w:rsidR="00AD3426" w:rsidRPr="00766353">
        <w:t xml:space="preserve"> (1990) 50 Cal.3d 763, 776-777; </w:t>
      </w:r>
      <w:r w:rsidR="00AD3426" w:rsidRPr="00B676DF">
        <w:rPr>
          <w:i/>
        </w:rPr>
        <w:t>Silver v. State Bar</w:t>
      </w:r>
      <w:r w:rsidR="00AD3426">
        <w:t xml:space="preserve"> (1974) 13 Cal.3d 134, 145, fn. 7 [maintenance of “buffer” funds in </w:t>
      </w:r>
      <w:r w:rsidR="00E00E64">
        <w:t>CTA</w:t>
      </w:r>
      <w:r w:rsidR="00AD3426">
        <w:t xml:space="preserve"> to prevent checks being returned for insufficient funds constituted prohibited commingling].)</w:t>
      </w:r>
      <w:r w:rsidR="005D2B7E">
        <w:t xml:space="preserve">  We therefore find Papst culpable </w:t>
      </w:r>
      <w:r w:rsidR="000065D8">
        <w:t xml:space="preserve">of commingling </w:t>
      </w:r>
      <w:r w:rsidR="005D2B7E">
        <w:t xml:space="preserve">as charged in Count 2.  </w:t>
      </w:r>
      <w:r w:rsidR="00AD3426">
        <w:t xml:space="preserve"> </w:t>
      </w:r>
    </w:p>
    <w:p w:rsidR="00925C37" w:rsidRPr="00CB5F41" w:rsidRDefault="00925C37" w:rsidP="00E70457">
      <w:pPr>
        <w:spacing w:line="480" w:lineRule="auto"/>
        <w:ind w:firstLine="720"/>
      </w:pPr>
      <w:r w:rsidRPr="00CB5F41">
        <w:rPr>
          <w:b/>
          <w:bCs/>
        </w:rPr>
        <w:t xml:space="preserve">Count </w:t>
      </w:r>
      <w:r w:rsidR="005A3A13" w:rsidRPr="00CB5F41">
        <w:rPr>
          <w:b/>
          <w:bCs/>
        </w:rPr>
        <w:t>3</w:t>
      </w:r>
      <w:r w:rsidRPr="00CB5F41">
        <w:rPr>
          <w:b/>
          <w:bCs/>
        </w:rPr>
        <w:t xml:space="preserve"> – Section 6106 </w:t>
      </w:r>
      <w:r w:rsidR="005A3A13" w:rsidRPr="00CB5F41">
        <w:rPr>
          <w:b/>
          <w:bCs/>
        </w:rPr>
        <w:t>(</w:t>
      </w:r>
      <w:r w:rsidRPr="00CB5F41">
        <w:rPr>
          <w:b/>
          <w:bCs/>
        </w:rPr>
        <w:t>Moral Turpitude</w:t>
      </w:r>
      <w:r w:rsidR="005A3A13" w:rsidRPr="00CB5F41">
        <w:rPr>
          <w:b/>
          <w:bCs/>
        </w:rPr>
        <w:t>)</w:t>
      </w:r>
      <w:r w:rsidRPr="00CB5F41">
        <w:t xml:space="preserve"> </w:t>
      </w:r>
    </w:p>
    <w:p w:rsidR="00E70457" w:rsidRDefault="00F50738" w:rsidP="00E70457">
      <w:pPr>
        <w:spacing w:line="480" w:lineRule="auto"/>
        <w:ind w:firstLine="720"/>
      </w:pPr>
      <w:r>
        <w:t>The State B</w:t>
      </w:r>
      <w:r w:rsidR="00F74D26">
        <w:t xml:space="preserve">ar alleged in Count 3 that Papst </w:t>
      </w:r>
      <w:r w:rsidR="00F74D26" w:rsidRPr="00C87DB4">
        <w:t>committed acts of moral turpitude</w:t>
      </w:r>
      <w:r w:rsidR="00735CBB">
        <w:t xml:space="preserve">, thereby violating </w:t>
      </w:r>
      <w:r w:rsidR="00F74D26" w:rsidRPr="00C87DB4">
        <w:t>Business and Professions Code section 6106</w:t>
      </w:r>
      <w:r>
        <w:t>,</w:t>
      </w:r>
      <w:r w:rsidR="00F74D26" w:rsidRPr="00C87DB4">
        <w:rPr>
          <w:rStyle w:val="FootnoteReference"/>
        </w:rPr>
        <w:footnoteReference w:id="4"/>
      </w:r>
      <w:r w:rsidR="00F74D26" w:rsidRPr="00C87DB4">
        <w:t xml:space="preserve"> </w:t>
      </w:r>
      <w:r w:rsidR="00F74D26">
        <w:t xml:space="preserve">because he </w:t>
      </w:r>
      <w:r w:rsidR="004B1527" w:rsidRPr="002D52D9">
        <w:t>drafted a petition for writ of mandate containing knowingly false statements</w:t>
      </w:r>
      <w:r w:rsidR="004B1527">
        <w:t xml:space="preserve"> in order to cover up his misconduct</w:t>
      </w:r>
      <w:r w:rsidR="007D22A2">
        <w:t>,</w:t>
      </w:r>
      <w:r w:rsidR="004B1527">
        <w:t xml:space="preserve"> and he </w:t>
      </w:r>
      <w:r w:rsidR="00AD1FAE">
        <w:t xml:space="preserve">repeatedly </w:t>
      </w:r>
      <w:r w:rsidR="00735CBB">
        <w:t xml:space="preserve">lied to </w:t>
      </w:r>
      <w:r w:rsidR="00AD1FAE">
        <w:t>Parks</w:t>
      </w:r>
      <w:r w:rsidR="000065D8">
        <w:t xml:space="preserve"> for more than three years</w:t>
      </w:r>
      <w:r w:rsidR="00AD1FAE">
        <w:t xml:space="preserve"> about the status of her </w:t>
      </w:r>
      <w:r w:rsidR="004B1527">
        <w:t xml:space="preserve">disability </w:t>
      </w:r>
      <w:r w:rsidR="00F74D26">
        <w:t xml:space="preserve">case. </w:t>
      </w:r>
      <w:r w:rsidR="004B1527">
        <w:t xml:space="preserve"> </w:t>
      </w:r>
      <w:r w:rsidR="00D52FA4" w:rsidRPr="00C87DB4">
        <w:t xml:space="preserve">As the hearing judge correctly </w:t>
      </w:r>
      <w:r w:rsidR="00045894">
        <w:t>observed</w:t>
      </w:r>
      <w:r w:rsidR="00D52FA4" w:rsidRPr="00C87DB4">
        <w:t>:</w:t>
      </w:r>
      <w:r w:rsidR="00D52FA4">
        <w:t xml:space="preserve">  “If this statute means anything, it means that an attorney may not intentionally lie to a client about the status of that client’s </w:t>
      </w:r>
      <w:r w:rsidR="00D52FA4">
        <w:lastRenderedPageBreak/>
        <w:t>matter.</w:t>
      </w:r>
      <w:r w:rsidR="000D2FC0">
        <w:t>”</w:t>
      </w:r>
      <w:r w:rsidR="00F74D26">
        <w:t xml:space="preserve">  We </w:t>
      </w:r>
      <w:r w:rsidR="00735CBB">
        <w:t xml:space="preserve">agree with the hearing judge </w:t>
      </w:r>
      <w:r w:rsidR="004B1527">
        <w:t xml:space="preserve">who found </w:t>
      </w:r>
      <w:r w:rsidR="00735CBB">
        <w:t>that th</w:t>
      </w:r>
      <w:r w:rsidR="004B1527">
        <w:t>ese actions</w:t>
      </w:r>
      <w:r w:rsidR="00735CBB">
        <w:t xml:space="preserve"> constitute </w:t>
      </w:r>
      <w:r w:rsidR="00834076">
        <w:t>moral turpitude</w:t>
      </w:r>
      <w:r w:rsidR="00735CBB">
        <w:t xml:space="preserve"> in v</w:t>
      </w:r>
      <w:r w:rsidR="00F74D26">
        <w:t>iol</w:t>
      </w:r>
      <w:r w:rsidR="00735CBB">
        <w:t xml:space="preserve">ation of </w:t>
      </w:r>
      <w:r w:rsidR="00F74D26" w:rsidRPr="00C87DB4">
        <w:t>section 6106</w:t>
      </w:r>
      <w:r w:rsidR="00834076">
        <w:t>.</w:t>
      </w:r>
      <w:r w:rsidR="00F74D26">
        <w:t xml:space="preserve"> </w:t>
      </w:r>
      <w:r w:rsidR="007949A3">
        <w:t xml:space="preserve">  </w:t>
      </w:r>
    </w:p>
    <w:p w:rsidR="004C43B7" w:rsidRDefault="00CB5F41" w:rsidP="00CB5F41">
      <w:pPr>
        <w:spacing w:line="480" w:lineRule="auto"/>
      </w:pPr>
      <w:r>
        <w:rPr>
          <w:rFonts w:ascii="Times New Roman" w:hAnsi="Times New Roman"/>
          <w:b/>
        </w:rPr>
        <w:t>B.</w:t>
      </w:r>
      <w:r>
        <w:rPr>
          <w:rFonts w:ascii="Times New Roman" w:hAnsi="Times New Roman"/>
          <w:b/>
        </w:rPr>
        <w:tab/>
      </w:r>
      <w:r w:rsidR="004C43B7" w:rsidRPr="00CB5F41">
        <w:rPr>
          <w:rFonts w:ascii="Times New Roman" w:hAnsi="Times New Roman"/>
          <w:b/>
        </w:rPr>
        <w:t xml:space="preserve">IMC </w:t>
      </w:r>
      <w:r w:rsidRPr="00CB5F41">
        <w:rPr>
          <w:rFonts w:ascii="Times New Roman" w:hAnsi="Times New Roman"/>
          <w:b/>
        </w:rPr>
        <w:t xml:space="preserve">DEVELOPMENT, INC. MATTER </w:t>
      </w:r>
      <w:r w:rsidR="004C43B7" w:rsidRPr="00CB5F41">
        <w:rPr>
          <w:b/>
        </w:rPr>
        <w:t>(Case No. 06-O-13892)</w:t>
      </w:r>
    </w:p>
    <w:p w:rsidR="004070A5" w:rsidRDefault="004070A5" w:rsidP="004070A5">
      <w:pPr>
        <w:pStyle w:val="Level1"/>
        <w:spacing w:line="480" w:lineRule="auto"/>
        <w:ind w:left="0" w:firstLine="720"/>
        <w:outlineLvl w:val="0"/>
      </w:pPr>
      <w:r>
        <w:t>Sometime prior to May 26, 2006, Papst settled a matter for $170,238.68 for his client, IMC Development, Inc., (“IMC”).  Although none of the settlement funds had been paid</w:t>
      </w:r>
      <w:r w:rsidRPr="00084E90">
        <w:t xml:space="preserve"> </w:t>
      </w:r>
      <w:r>
        <w:t xml:space="preserve">as of May 26, 2006, Papst wrote three checks from his CTA on that date totaling $165,238.68, payable to IMC.  The first check for $25,545.30 equaled the total amount that Papst had deposited in the CTA the day before </w:t>
      </w:r>
      <w:r w:rsidRPr="00084E90">
        <w:t>on behalf of three other clients</w:t>
      </w:r>
      <w:r>
        <w:t>.  IMC cashed this check, which cleared on June 6, 2006.  The second check to IMC for $59,693.38 was returned for insufficient funds (NSF) because the balance in the CTA was only $738.76 when it was presented for payment.  The third check to IMC for $80,000, also written on May 26, 2006, was returned by the bank for NSF.  Papst knew that none of the funds in his CTA belonged to IMC, but he testified that he issued the checks to IMC because “they needed the money to make payroll and other things for the company</w:t>
      </w:r>
      <w:r w:rsidR="00624662">
        <w:t>.</w:t>
      </w:r>
      <w:r>
        <w:t xml:space="preserve">”  </w:t>
      </w:r>
    </w:p>
    <w:p w:rsidR="004070A5" w:rsidRDefault="004070A5" w:rsidP="004070A5">
      <w:pPr>
        <w:spacing w:line="480" w:lineRule="auto"/>
        <w:ind w:firstLine="720"/>
      </w:pPr>
      <w:r>
        <w:t xml:space="preserve">Between May 31, 2006 and June 6, 2006, Papst deposited the following sums into his CTA: $14,330 from his and his wife’s personal checking accounts; $638, which he received on behalf of a client </w:t>
      </w:r>
      <w:r w:rsidR="00D950D0">
        <w:t xml:space="preserve">not </w:t>
      </w:r>
      <w:r>
        <w:t xml:space="preserve">related to IMC; and $49,661, representing a settlement for yet another client unrelated to IMC.  On June 8, 2006, Papst wire-transferred $39,693.38 from his CTA to a related company of IMC.  None of the funds belonged to IMC.  </w:t>
      </w:r>
    </w:p>
    <w:p w:rsidR="00FB74DA" w:rsidRDefault="004070A5" w:rsidP="004070A5">
      <w:pPr>
        <w:pStyle w:val="Level1"/>
        <w:spacing w:line="480" w:lineRule="auto"/>
        <w:ind w:left="0" w:firstLine="720"/>
        <w:outlineLvl w:val="0"/>
      </w:pPr>
      <w:r>
        <w:t>The next day, on June 9, 2006, Papst deposited two more checks</w:t>
      </w:r>
      <w:r w:rsidRPr="000C7CC2">
        <w:t xml:space="preserve"> </w:t>
      </w:r>
      <w:r>
        <w:t>into his CTA, one for $60,000 and the other for $80,000.  These funds belonged to Papst’s client, George Prince, and were to be held in trust for his benefit.  Four days later, on June 13, 20096, Papst wire transferred an additional $40,306.62 from his CTA to IMC.  The IMC settlement funds still had not been delivered to Papst by June 13, 2006.  At the hearing below,</w:t>
      </w:r>
      <w:r w:rsidRPr="000669F5">
        <w:t xml:space="preserve"> </w:t>
      </w:r>
      <w:r>
        <w:t xml:space="preserve">Papst was </w:t>
      </w:r>
      <w:r>
        <w:lastRenderedPageBreak/>
        <w:t>unable to state when the IMC funds ultimately were received and into which account they were deposited.</w:t>
      </w:r>
      <w:r w:rsidR="00CC1DD0">
        <w:t xml:space="preserve"> </w:t>
      </w:r>
    </w:p>
    <w:p w:rsidR="00B36805" w:rsidRDefault="007755CD" w:rsidP="00B36805">
      <w:pPr>
        <w:spacing w:line="480" w:lineRule="auto"/>
        <w:ind w:firstLine="720"/>
      </w:pPr>
      <w:r>
        <w:t>When t</w:t>
      </w:r>
      <w:r w:rsidR="00B36805">
        <w:t xml:space="preserve">he bank notified both </w:t>
      </w:r>
      <w:r w:rsidR="00EA2ED5">
        <w:t>Papst</w:t>
      </w:r>
      <w:r w:rsidR="00B36805">
        <w:t xml:space="preserve"> and the State Bar</w:t>
      </w:r>
      <w:r w:rsidR="000E1BCF">
        <w:t xml:space="preserve"> about the bounced checks, t</w:t>
      </w:r>
      <w:r w:rsidR="00B36805">
        <w:t xml:space="preserve">he State Bar sought an explanation </w:t>
      </w:r>
      <w:r w:rsidR="000E1BCF">
        <w:t xml:space="preserve">from </w:t>
      </w:r>
      <w:r>
        <w:t>him</w:t>
      </w:r>
      <w:r w:rsidR="000E1BCF">
        <w:t xml:space="preserve"> on </w:t>
      </w:r>
      <w:r w:rsidR="00B36805">
        <w:t>July 10, 2006.</w:t>
      </w:r>
      <w:r w:rsidR="00FF752F">
        <w:t xml:space="preserve">  </w:t>
      </w:r>
      <w:r w:rsidR="00EA2ED5">
        <w:t>Papst</w:t>
      </w:r>
      <w:r w:rsidR="00B36805">
        <w:t xml:space="preserve"> replied on July 17, 2006</w:t>
      </w:r>
      <w:r w:rsidR="00FF752F">
        <w:t xml:space="preserve">, stating that the reason for the </w:t>
      </w:r>
      <w:r w:rsidR="00B30643">
        <w:t xml:space="preserve">NSF </w:t>
      </w:r>
      <w:r w:rsidR="00FF752F">
        <w:t>checks was that</w:t>
      </w:r>
      <w:r w:rsidR="00B36805">
        <w:t xml:space="preserve"> </w:t>
      </w:r>
      <w:r w:rsidR="000E1BCF">
        <w:t>when he signed them</w:t>
      </w:r>
      <w:r w:rsidR="00B36805">
        <w:t xml:space="preserve">, “we had just received a partial payment on the settlement, and were expecting the remainder within the next week to ten days.”  He </w:t>
      </w:r>
      <w:r w:rsidR="00FF752F">
        <w:t xml:space="preserve">further explained </w:t>
      </w:r>
      <w:r w:rsidR="00B36805">
        <w:t xml:space="preserve">that the balance of the settlement funds “arrived and </w:t>
      </w:r>
      <w:r w:rsidR="00FF752F">
        <w:t>were deposited on June 9, 2006”</w:t>
      </w:r>
      <w:r w:rsidR="00B36805">
        <w:t xml:space="preserve"> and that the payments made to IMC were from </w:t>
      </w:r>
      <w:r w:rsidR="00FF752F">
        <w:t>the</w:t>
      </w:r>
      <w:r w:rsidR="00B36805">
        <w:t xml:space="preserve"> IMC settlement proceeds.  </w:t>
      </w:r>
      <w:r w:rsidR="007F0CCC">
        <w:t>T</w:t>
      </w:r>
      <w:r w:rsidR="00FF752F">
        <w:t>hese statements were false</w:t>
      </w:r>
      <w:r w:rsidR="00211D38">
        <w:t xml:space="preserve">.  </w:t>
      </w:r>
      <w:r w:rsidR="00FF752F">
        <w:t xml:space="preserve">  </w:t>
      </w:r>
    </w:p>
    <w:p w:rsidR="00AA0CC2" w:rsidRDefault="00211D38" w:rsidP="00B36805">
      <w:pPr>
        <w:spacing w:line="480" w:lineRule="auto"/>
        <w:ind w:firstLine="720"/>
      </w:pPr>
      <w:r>
        <w:t>R</w:t>
      </w:r>
      <w:r w:rsidR="00B36805">
        <w:t xml:space="preserve">esponding to a follow-up inquiry from the State Bar, </w:t>
      </w:r>
      <w:r w:rsidR="00EA2ED5">
        <w:t>Papst</w:t>
      </w:r>
      <w:r>
        <w:t xml:space="preserve"> </w:t>
      </w:r>
      <w:r w:rsidR="00270AA3">
        <w:t>provided</w:t>
      </w:r>
      <w:r>
        <w:t xml:space="preserve"> financial records </w:t>
      </w:r>
      <w:r w:rsidR="007755CD">
        <w:t>that</w:t>
      </w:r>
      <w:r w:rsidR="002C5DAD">
        <w:t xml:space="preserve"> </w:t>
      </w:r>
      <w:r w:rsidR="00066ECF">
        <w:t xml:space="preserve">he </w:t>
      </w:r>
      <w:r w:rsidR="007755CD">
        <w:t>claimed</w:t>
      </w:r>
      <w:r w:rsidR="00066ECF">
        <w:t xml:space="preserve"> </w:t>
      </w:r>
      <w:r w:rsidR="002C5DAD">
        <w:t>were made contemporaneously with the various financial transactions in question</w:t>
      </w:r>
      <w:r w:rsidR="007755CD">
        <w:t xml:space="preserve">.  </w:t>
      </w:r>
      <w:r w:rsidR="00520922">
        <w:t>Papst testified that</w:t>
      </w:r>
      <w:r w:rsidR="00270AA3">
        <w:t>,</w:t>
      </w:r>
      <w:r w:rsidR="00520922">
        <w:t xml:space="preserve"> in fact</w:t>
      </w:r>
      <w:r w:rsidR="00270AA3">
        <w:t>,</w:t>
      </w:r>
      <w:r w:rsidR="002C5DAD">
        <w:t xml:space="preserve"> </w:t>
      </w:r>
      <w:r w:rsidR="001172B4">
        <w:t xml:space="preserve">he </w:t>
      </w:r>
      <w:r w:rsidR="00066ECF">
        <w:t>created</w:t>
      </w:r>
      <w:r>
        <w:t xml:space="preserve"> </w:t>
      </w:r>
      <w:r w:rsidR="00520922">
        <w:t xml:space="preserve">the financial records </w:t>
      </w:r>
      <w:r w:rsidR="002D52D9">
        <w:t>at a later date</w:t>
      </w:r>
      <w:r w:rsidR="00520922">
        <w:t>, using false information, in an effort to cover up his misconduct.</w:t>
      </w:r>
      <w:r w:rsidR="00520922">
        <w:rPr>
          <w:rStyle w:val="FootnoteReference"/>
        </w:rPr>
        <w:footnoteReference w:id="5"/>
      </w:r>
      <w:r w:rsidR="001172B4">
        <w:t xml:space="preserve"> </w:t>
      </w:r>
      <w:r w:rsidR="00520922">
        <w:t xml:space="preserve"> </w:t>
      </w:r>
      <w:r w:rsidR="00270AA3">
        <w:t>He</w:t>
      </w:r>
      <w:r w:rsidR="00015F11">
        <w:t xml:space="preserve"> continued to </w:t>
      </w:r>
      <w:r w:rsidR="00066ECF">
        <w:t>submit false documents to the State Bar</w:t>
      </w:r>
      <w:r w:rsidR="00015F11">
        <w:t xml:space="preserve"> as late as May </w:t>
      </w:r>
      <w:r w:rsidR="00B36805">
        <w:t>2007</w:t>
      </w:r>
      <w:r w:rsidR="00015F11">
        <w:t xml:space="preserve">, when </w:t>
      </w:r>
      <w:r w:rsidR="00A856C6">
        <w:t xml:space="preserve">he </w:t>
      </w:r>
      <w:r w:rsidR="007755CD">
        <w:t>provided</w:t>
      </w:r>
      <w:r w:rsidR="00A856C6">
        <w:t xml:space="preserve"> “modified” financial </w:t>
      </w:r>
      <w:r w:rsidR="00CE30E2">
        <w:t>records</w:t>
      </w:r>
      <w:r w:rsidR="00A856C6">
        <w:t xml:space="preserve"> that again </w:t>
      </w:r>
      <w:r w:rsidR="00066ECF">
        <w:t xml:space="preserve">misstated </w:t>
      </w:r>
      <w:r w:rsidR="00A856C6">
        <w:t>the source</w:t>
      </w:r>
      <w:r w:rsidR="001172B4">
        <w:t>s</w:t>
      </w:r>
      <w:r w:rsidR="00A856C6">
        <w:t xml:space="preserve"> of the payments to IMC.  </w:t>
      </w:r>
    </w:p>
    <w:p w:rsidR="00766144" w:rsidRPr="00CB5F41" w:rsidRDefault="00766144" w:rsidP="00B36805">
      <w:pPr>
        <w:spacing w:line="480" w:lineRule="auto"/>
        <w:ind w:firstLine="720"/>
        <w:rPr>
          <w:b/>
          <w:bCs/>
        </w:rPr>
      </w:pPr>
      <w:r w:rsidRPr="00CB5F41">
        <w:rPr>
          <w:b/>
          <w:bCs/>
        </w:rPr>
        <w:t>Count 4 – Rule 4-100</w:t>
      </w:r>
      <w:r w:rsidR="000E1BCF">
        <w:rPr>
          <w:b/>
          <w:bCs/>
        </w:rPr>
        <w:t xml:space="preserve">(A) </w:t>
      </w:r>
      <w:r w:rsidRPr="00CB5F41">
        <w:rPr>
          <w:b/>
          <w:bCs/>
        </w:rPr>
        <w:t xml:space="preserve"> (Failure to Maintain Client Funds/Commingling) </w:t>
      </w:r>
    </w:p>
    <w:p w:rsidR="00D87313" w:rsidRDefault="00DB0079" w:rsidP="00D87313">
      <w:pPr>
        <w:spacing w:line="480" w:lineRule="auto"/>
        <w:ind w:firstLine="720"/>
      </w:pPr>
      <w:r w:rsidRPr="000E0AA3">
        <w:t>P</w:t>
      </w:r>
      <w:r w:rsidR="00EC56A1" w:rsidRPr="000E0AA3">
        <w:t>apst</w:t>
      </w:r>
      <w:r w:rsidR="00BC1640">
        <w:t xml:space="preserve"> was charged </w:t>
      </w:r>
      <w:r w:rsidR="00316C9B">
        <w:t xml:space="preserve">in Count 4 </w:t>
      </w:r>
      <w:r w:rsidR="00BC1640">
        <w:t xml:space="preserve">with </w:t>
      </w:r>
      <w:r w:rsidR="00EC56A1" w:rsidRPr="000E0AA3">
        <w:t>violating</w:t>
      </w:r>
      <w:r w:rsidRPr="000E0AA3">
        <w:t xml:space="preserve"> </w:t>
      </w:r>
      <w:r w:rsidR="00EC56A1" w:rsidRPr="000E0AA3">
        <w:t>rule 4-100(A)</w:t>
      </w:r>
      <w:r w:rsidRPr="000E0AA3">
        <w:t xml:space="preserve"> </w:t>
      </w:r>
      <w:r w:rsidR="002B7A4A">
        <w:t>for com</w:t>
      </w:r>
      <w:r w:rsidR="00D950D0">
        <w:t>m</w:t>
      </w:r>
      <w:r w:rsidR="002B7A4A">
        <w:t>ingling his and his wife’s personal funds in his CTA, for writing checks to IMC when the</w:t>
      </w:r>
      <w:r w:rsidR="00D950D0">
        <w:t xml:space="preserve"> trust account held</w:t>
      </w:r>
      <w:r w:rsidR="002B7A4A">
        <w:t xml:space="preserve"> insufficient funds and for </w:t>
      </w:r>
      <w:r w:rsidR="00C04B37">
        <w:t>misappropriating</w:t>
      </w:r>
      <w:r w:rsidR="002B7A4A">
        <w:t xml:space="preserve"> m</w:t>
      </w:r>
      <w:r w:rsidR="00C04B37">
        <w:t>o</w:t>
      </w:r>
      <w:r w:rsidR="002B7A4A">
        <w:t>re tha</w:t>
      </w:r>
      <w:r w:rsidR="00D950D0">
        <w:t>n</w:t>
      </w:r>
      <w:r w:rsidR="002B7A4A">
        <w:t xml:space="preserve"> $165,000 from other clients to pay IMC</w:t>
      </w:r>
      <w:r w:rsidR="00C04B37">
        <w:t xml:space="preserve">.  </w:t>
      </w:r>
      <w:r w:rsidR="000E0AA3">
        <w:t xml:space="preserve">The hearing judge correctly found that </w:t>
      </w:r>
      <w:r w:rsidR="00EA2ED5">
        <w:t>Papst</w:t>
      </w:r>
      <w:r w:rsidR="002E6A15">
        <w:t xml:space="preserve"> was not culpable of violati</w:t>
      </w:r>
      <w:r w:rsidR="00C04B37">
        <w:t xml:space="preserve">ng </w:t>
      </w:r>
      <w:r w:rsidR="002E6A15">
        <w:t>rule 4-100(A) by reason of his</w:t>
      </w:r>
      <w:r w:rsidR="00E26124">
        <w:t xml:space="preserve"> deposit of personal funds into the CTA</w:t>
      </w:r>
      <w:r w:rsidR="00766144">
        <w:t xml:space="preserve"> to cover the IMC checks</w:t>
      </w:r>
      <w:r w:rsidR="002E6A15">
        <w:t xml:space="preserve">.  </w:t>
      </w:r>
      <w:r w:rsidR="00624B61" w:rsidRPr="004F6D7A">
        <w:t>(</w:t>
      </w:r>
      <w:r w:rsidR="00624B61" w:rsidRPr="004F6D7A">
        <w:rPr>
          <w:i/>
        </w:rPr>
        <w:t>Guzzetta v. State Bar</w:t>
      </w:r>
      <w:r w:rsidR="007755CD">
        <w:t xml:space="preserve"> (1987)</w:t>
      </w:r>
      <w:r w:rsidR="00624B61" w:rsidRPr="004F6D7A">
        <w:t xml:space="preserve"> </w:t>
      </w:r>
      <w:r w:rsidR="00624B61">
        <w:t xml:space="preserve">43 Cal.3d </w:t>
      </w:r>
      <w:r w:rsidR="007755CD">
        <w:t>962,</w:t>
      </w:r>
      <w:r w:rsidR="00624B61" w:rsidRPr="004F6D7A">
        <w:t xml:space="preserve"> 978-979</w:t>
      </w:r>
      <w:r w:rsidR="00624B61">
        <w:t xml:space="preserve"> </w:t>
      </w:r>
      <w:r w:rsidR="00E26124">
        <w:t>[</w:t>
      </w:r>
      <w:r w:rsidR="00B36805" w:rsidRPr="004F6D7A">
        <w:t>attorney’s deposit</w:t>
      </w:r>
      <w:r w:rsidR="00E26124">
        <w:t xml:space="preserve"> of</w:t>
      </w:r>
      <w:r w:rsidR="00B36805" w:rsidRPr="004F6D7A">
        <w:t xml:space="preserve"> </w:t>
      </w:r>
      <w:r w:rsidR="00B36805">
        <w:t xml:space="preserve">personal funds </w:t>
      </w:r>
      <w:r w:rsidR="00B36805">
        <w:lastRenderedPageBreak/>
        <w:t xml:space="preserve">into </w:t>
      </w:r>
      <w:r w:rsidR="00E26124">
        <w:t>CTA</w:t>
      </w:r>
      <w:r w:rsidR="00B36805">
        <w:t xml:space="preserve"> for purpose of </w:t>
      </w:r>
      <w:r w:rsidR="00B36805" w:rsidRPr="004F6D7A">
        <w:t>replenish</w:t>
      </w:r>
      <w:r w:rsidR="00B36805">
        <w:t>ing</w:t>
      </w:r>
      <w:r w:rsidR="00E26124">
        <w:t xml:space="preserve"> </w:t>
      </w:r>
      <w:r w:rsidR="00B36805" w:rsidRPr="004F6D7A">
        <w:t>funds previo</w:t>
      </w:r>
      <w:r w:rsidR="00B36805">
        <w:t>usly improperly withdrawn</w:t>
      </w:r>
      <w:r w:rsidR="00766144">
        <w:t xml:space="preserve"> is</w:t>
      </w:r>
      <w:r w:rsidR="00B36805">
        <w:t xml:space="preserve"> </w:t>
      </w:r>
      <w:r w:rsidR="00B36805" w:rsidRPr="004F6D7A">
        <w:t xml:space="preserve">not </w:t>
      </w:r>
      <w:r w:rsidR="00766144">
        <w:t>commingling in violation of rule]</w:t>
      </w:r>
      <w:r w:rsidR="002E6A15">
        <w:t>.)</w:t>
      </w:r>
      <w:r w:rsidR="001172B4">
        <w:t xml:space="preserve">  </w:t>
      </w:r>
      <w:r w:rsidR="00C04B37">
        <w:t>The remaining</w:t>
      </w:r>
      <w:r w:rsidR="001172B4">
        <w:t xml:space="preserve"> allegations</w:t>
      </w:r>
      <w:r w:rsidR="00C04B37">
        <w:t xml:space="preserve"> in Count 4</w:t>
      </w:r>
      <w:r w:rsidR="001172B4">
        <w:t xml:space="preserve"> are duplicative </w:t>
      </w:r>
      <w:r w:rsidR="00C04B37">
        <w:t xml:space="preserve">of the misconduct alleged in Counts 5 and 6, </w:t>
      </w:r>
      <w:r w:rsidR="001172B4">
        <w:t xml:space="preserve">which involve the more serious charge of moral turpitude.  </w:t>
      </w:r>
      <w:r w:rsidR="00316C9B">
        <w:t xml:space="preserve">We therefore dismiss </w:t>
      </w:r>
      <w:r w:rsidR="001172B4">
        <w:t>Count 4</w:t>
      </w:r>
      <w:r w:rsidR="00316C9B">
        <w:t xml:space="preserve"> with prejudice.  </w:t>
      </w:r>
    </w:p>
    <w:p w:rsidR="00B36805" w:rsidRPr="00CB5F41" w:rsidRDefault="00B36805" w:rsidP="00D87313">
      <w:pPr>
        <w:pStyle w:val="Header"/>
        <w:tabs>
          <w:tab w:val="clear" w:pos="4320"/>
          <w:tab w:val="clear" w:pos="8640"/>
        </w:tabs>
        <w:spacing w:line="480" w:lineRule="auto"/>
        <w:ind w:firstLine="720"/>
        <w:rPr>
          <w:bCs/>
        </w:rPr>
      </w:pPr>
      <w:r w:rsidRPr="00CB5F41">
        <w:rPr>
          <w:b/>
          <w:bCs/>
        </w:rPr>
        <w:t xml:space="preserve">Count 5 – Section 6106 </w:t>
      </w:r>
      <w:r w:rsidR="00D87313" w:rsidRPr="00CB5F41">
        <w:rPr>
          <w:b/>
          <w:bCs/>
        </w:rPr>
        <w:t>(</w:t>
      </w:r>
      <w:r w:rsidR="00685D8C">
        <w:rPr>
          <w:b/>
          <w:bCs/>
        </w:rPr>
        <w:t>Moral Turpitude/</w:t>
      </w:r>
      <w:r w:rsidRPr="00CB5F41">
        <w:rPr>
          <w:b/>
          <w:bCs/>
        </w:rPr>
        <w:t>NSF Checks</w:t>
      </w:r>
      <w:r w:rsidR="00D87313" w:rsidRPr="00CB5F41">
        <w:rPr>
          <w:b/>
          <w:bCs/>
        </w:rPr>
        <w:t>)</w:t>
      </w:r>
    </w:p>
    <w:p w:rsidR="002E6A15" w:rsidRPr="00053575" w:rsidRDefault="00316C9B" w:rsidP="00B36805">
      <w:pPr>
        <w:pStyle w:val="Header"/>
        <w:tabs>
          <w:tab w:val="clear" w:pos="4320"/>
          <w:tab w:val="clear" w:pos="8640"/>
        </w:tabs>
        <w:spacing w:line="480" w:lineRule="auto"/>
        <w:ind w:firstLine="720"/>
        <w:rPr>
          <w:bCs/>
        </w:rPr>
      </w:pPr>
      <w:r>
        <w:rPr>
          <w:bCs/>
        </w:rPr>
        <w:t xml:space="preserve">The State Bar alleged that </w:t>
      </w:r>
      <w:r w:rsidR="00EA2ED5">
        <w:rPr>
          <w:bCs/>
        </w:rPr>
        <w:t>Papst</w:t>
      </w:r>
      <w:r>
        <w:rPr>
          <w:bCs/>
        </w:rPr>
        <w:t xml:space="preserve"> committed acts of moral turpitude when he</w:t>
      </w:r>
      <w:r w:rsidR="00B36805">
        <w:rPr>
          <w:bCs/>
        </w:rPr>
        <w:t xml:space="preserve"> </w:t>
      </w:r>
      <w:r w:rsidR="007F0CCC">
        <w:rPr>
          <w:bCs/>
        </w:rPr>
        <w:t xml:space="preserve">issued </w:t>
      </w:r>
      <w:r w:rsidR="00A474FB">
        <w:rPr>
          <w:bCs/>
        </w:rPr>
        <w:t xml:space="preserve">two </w:t>
      </w:r>
      <w:r w:rsidR="00B36805">
        <w:rPr>
          <w:bCs/>
        </w:rPr>
        <w:t>checks</w:t>
      </w:r>
      <w:r w:rsidR="007F0CCC">
        <w:rPr>
          <w:bCs/>
        </w:rPr>
        <w:t xml:space="preserve"> to IMC</w:t>
      </w:r>
      <w:r w:rsidR="00D87313">
        <w:rPr>
          <w:bCs/>
        </w:rPr>
        <w:t xml:space="preserve"> drawn</w:t>
      </w:r>
      <w:r w:rsidR="00B36805">
        <w:rPr>
          <w:bCs/>
        </w:rPr>
        <w:t xml:space="preserve"> on his</w:t>
      </w:r>
      <w:r w:rsidR="00D87313">
        <w:rPr>
          <w:bCs/>
        </w:rPr>
        <w:t xml:space="preserve"> CTA </w:t>
      </w:r>
      <w:r>
        <w:rPr>
          <w:bCs/>
        </w:rPr>
        <w:t xml:space="preserve">knowing </w:t>
      </w:r>
      <w:r w:rsidR="00A474FB">
        <w:rPr>
          <w:bCs/>
        </w:rPr>
        <w:t>th</w:t>
      </w:r>
      <w:r w:rsidR="002D52D9">
        <w:rPr>
          <w:bCs/>
        </w:rPr>
        <w:t>ere were in</w:t>
      </w:r>
      <w:r w:rsidR="00A474FB">
        <w:rPr>
          <w:bCs/>
        </w:rPr>
        <w:t>sufficient funds to cover those checks.</w:t>
      </w:r>
      <w:r w:rsidR="001B2254">
        <w:rPr>
          <w:bCs/>
        </w:rPr>
        <w:t xml:space="preserve">  Papst testified that he told IMC to hold the two checks for a couple of days before depositing them, but t</w:t>
      </w:r>
      <w:r w:rsidR="00D87313">
        <w:rPr>
          <w:bCs/>
        </w:rPr>
        <w:t xml:space="preserve">he hearing judge </w:t>
      </w:r>
      <w:r w:rsidR="002E6A15">
        <w:rPr>
          <w:bCs/>
        </w:rPr>
        <w:t>reject</w:t>
      </w:r>
      <w:r w:rsidR="001B2254">
        <w:rPr>
          <w:bCs/>
        </w:rPr>
        <w:t>ed</w:t>
      </w:r>
      <w:r w:rsidR="002E6A15">
        <w:rPr>
          <w:bCs/>
        </w:rPr>
        <w:t xml:space="preserve"> </w:t>
      </w:r>
      <w:r w:rsidR="00EA2ED5">
        <w:rPr>
          <w:bCs/>
        </w:rPr>
        <w:t>Papst</w:t>
      </w:r>
      <w:r w:rsidR="00D87313">
        <w:rPr>
          <w:bCs/>
        </w:rPr>
        <w:t xml:space="preserve">’s </w:t>
      </w:r>
      <w:r w:rsidR="00B36805">
        <w:rPr>
          <w:bCs/>
        </w:rPr>
        <w:t>testi</w:t>
      </w:r>
      <w:r w:rsidR="00D87313">
        <w:rPr>
          <w:bCs/>
        </w:rPr>
        <w:t xml:space="preserve">mony </w:t>
      </w:r>
      <w:r w:rsidR="002E6A15">
        <w:rPr>
          <w:bCs/>
        </w:rPr>
        <w:t xml:space="preserve">as </w:t>
      </w:r>
      <w:r w:rsidR="00A474FB">
        <w:rPr>
          <w:bCs/>
        </w:rPr>
        <w:t>not credible</w:t>
      </w:r>
      <w:r w:rsidR="001B2254">
        <w:rPr>
          <w:bCs/>
        </w:rPr>
        <w:t xml:space="preserve">.  </w:t>
      </w:r>
      <w:r w:rsidR="005A7309">
        <w:rPr>
          <w:bCs/>
        </w:rPr>
        <w:t xml:space="preserve">We give great weight to the hearing judge’s determination.  </w:t>
      </w:r>
      <w:r w:rsidR="00D87313">
        <w:rPr>
          <w:bCs/>
        </w:rPr>
        <w:t xml:space="preserve">Furthermore, </w:t>
      </w:r>
      <w:r w:rsidR="007755CD">
        <w:rPr>
          <w:bCs/>
        </w:rPr>
        <w:t>Papst provided</w:t>
      </w:r>
      <w:r w:rsidR="001B2254">
        <w:rPr>
          <w:bCs/>
        </w:rPr>
        <w:t xml:space="preserve"> no evidence that </w:t>
      </w:r>
      <w:r w:rsidR="007755CD">
        <w:rPr>
          <w:bCs/>
        </w:rPr>
        <w:t>he</w:t>
      </w:r>
      <w:r w:rsidR="00D87313">
        <w:rPr>
          <w:bCs/>
        </w:rPr>
        <w:t xml:space="preserve"> </w:t>
      </w:r>
      <w:r w:rsidR="006175DD">
        <w:rPr>
          <w:bCs/>
        </w:rPr>
        <w:t xml:space="preserve">did </w:t>
      </w:r>
      <w:r w:rsidR="001B2254">
        <w:rPr>
          <w:bCs/>
        </w:rPr>
        <w:t>anyt</w:t>
      </w:r>
      <w:r w:rsidR="006175DD">
        <w:rPr>
          <w:bCs/>
        </w:rPr>
        <w:t xml:space="preserve">hing to ensure that IMC would not </w:t>
      </w:r>
      <w:r w:rsidR="00B36805">
        <w:rPr>
          <w:bCs/>
        </w:rPr>
        <w:t>negotia</w:t>
      </w:r>
      <w:r w:rsidR="006175DD">
        <w:rPr>
          <w:bCs/>
        </w:rPr>
        <w:t>te the checks, which</w:t>
      </w:r>
      <w:r w:rsidR="00270AA3">
        <w:rPr>
          <w:bCs/>
        </w:rPr>
        <w:t>,</w:t>
      </w:r>
      <w:r w:rsidR="006175DD">
        <w:rPr>
          <w:bCs/>
        </w:rPr>
        <w:t xml:space="preserve"> in fact</w:t>
      </w:r>
      <w:r w:rsidR="007445A7">
        <w:rPr>
          <w:bCs/>
        </w:rPr>
        <w:t>,</w:t>
      </w:r>
      <w:r w:rsidR="006175DD">
        <w:rPr>
          <w:bCs/>
        </w:rPr>
        <w:t xml:space="preserve"> </w:t>
      </w:r>
      <w:r w:rsidR="00DD0F9B">
        <w:rPr>
          <w:bCs/>
        </w:rPr>
        <w:t>i</w:t>
      </w:r>
      <w:r w:rsidR="006175DD">
        <w:rPr>
          <w:bCs/>
        </w:rPr>
        <w:t xml:space="preserve">t proceeded to do.  His conduct </w:t>
      </w:r>
      <w:r w:rsidR="00D7332A">
        <w:rPr>
          <w:bCs/>
        </w:rPr>
        <w:t xml:space="preserve">in writing the NSF checks </w:t>
      </w:r>
      <w:r w:rsidR="006175DD">
        <w:rPr>
          <w:bCs/>
        </w:rPr>
        <w:t>was at</w:t>
      </w:r>
      <w:r w:rsidR="00991D28">
        <w:rPr>
          <w:bCs/>
        </w:rPr>
        <w:t xml:space="preserve"> best </w:t>
      </w:r>
      <w:r w:rsidR="006175DD">
        <w:rPr>
          <w:bCs/>
        </w:rPr>
        <w:t>grossly negligent</w:t>
      </w:r>
      <w:r w:rsidR="00991D28">
        <w:rPr>
          <w:bCs/>
        </w:rPr>
        <w:t xml:space="preserve"> and at worst intentional</w:t>
      </w:r>
      <w:r w:rsidR="006175DD">
        <w:rPr>
          <w:bCs/>
        </w:rPr>
        <w:t xml:space="preserve">, </w:t>
      </w:r>
      <w:r w:rsidR="00D7332A">
        <w:rPr>
          <w:bCs/>
        </w:rPr>
        <w:t xml:space="preserve">either of </w:t>
      </w:r>
      <w:r w:rsidR="006175DD">
        <w:rPr>
          <w:bCs/>
        </w:rPr>
        <w:t>which establ</w:t>
      </w:r>
      <w:r w:rsidR="007755CD">
        <w:rPr>
          <w:bCs/>
        </w:rPr>
        <w:t>i</w:t>
      </w:r>
      <w:r w:rsidR="006175DD">
        <w:rPr>
          <w:bCs/>
        </w:rPr>
        <w:t>sh</w:t>
      </w:r>
      <w:r w:rsidR="001B2254">
        <w:rPr>
          <w:bCs/>
        </w:rPr>
        <w:t>es</w:t>
      </w:r>
      <w:r w:rsidR="002D52D9">
        <w:rPr>
          <w:bCs/>
        </w:rPr>
        <w:t xml:space="preserve"> moral turpitude.  (</w:t>
      </w:r>
      <w:r w:rsidR="002D52D9">
        <w:rPr>
          <w:bCs/>
          <w:i/>
        </w:rPr>
        <w:t>In the Matter of Conner</w:t>
      </w:r>
      <w:r w:rsidR="002D52D9">
        <w:rPr>
          <w:bCs/>
        </w:rPr>
        <w:t xml:space="preserve"> (Review Dept. 2008) 5 Cal. State Bar Ct. Rptr 93, 100.)  </w:t>
      </w:r>
    </w:p>
    <w:p w:rsidR="00B36805" w:rsidRPr="00CB5F41" w:rsidRDefault="00B36805" w:rsidP="006175DD">
      <w:pPr>
        <w:pStyle w:val="Header"/>
        <w:tabs>
          <w:tab w:val="clear" w:pos="4320"/>
          <w:tab w:val="clear" w:pos="8640"/>
        </w:tabs>
        <w:ind w:firstLine="720"/>
        <w:rPr>
          <w:b/>
          <w:bCs/>
        </w:rPr>
      </w:pPr>
      <w:r w:rsidRPr="00CB5F41">
        <w:rPr>
          <w:b/>
          <w:bCs/>
        </w:rPr>
        <w:t xml:space="preserve">Count 6 – </w:t>
      </w:r>
      <w:r w:rsidR="00685D8C">
        <w:rPr>
          <w:b/>
          <w:bCs/>
        </w:rPr>
        <w:t>Section 6106 [Moral Turpitude/</w:t>
      </w:r>
      <w:r w:rsidRPr="00CB5F41">
        <w:rPr>
          <w:b/>
          <w:bCs/>
        </w:rPr>
        <w:t>Misappropriation]</w:t>
      </w:r>
    </w:p>
    <w:p w:rsidR="00B36805" w:rsidRPr="00170DAA" w:rsidRDefault="00B36805" w:rsidP="00B36805">
      <w:pPr>
        <w:pStyle w:val="Header"/>
        <w:tabs>
          <w:tab w:val="clear" w:pos="4320"/>
          <w:tab w:val="clear" w:pos="8640"/>
        </w:tabs>
        <w:ind w:left="1440" w:firstLine="720"/>
      </w:pPr>
    </w:p>
    <w:p w:rsidR="00B36805" w:rsidRDefault="001B2254" w:rsidP="00B36805">
      <w:pPr>
        <w:pStyle w:val="Header"/>
        <w:tabs>
          <w:tab w:val="clear" w:pos="4320"/>
          <w:tab w:val="clear" w:pos="8640"/>
        </w:tabs>
        <w:spacing w:line="480" w:lineRule="auto"/>
        <w:ind w:firstLine="720"/>
      </w:pPr>
      <w:r>
        <w:t xml:space="preserve">The State Bar alleged that </w:t>
      </w:r>
      <w:r w:rsidR="00EA2ED5">
        <w:t>Papst</w:t>
      </w:r>
      <w:r>
        <w:t xml:space="preserve"> committed additional acts of moral turpitude </w:t>
      </w:r>
      <w:r w:rsidR="00025A9D">
        <w:t xml:space="preserve">in violation of section 6106 </w:t>
      </w:r>
      <w:r>
        <w:t xml:space="preserve">when he </w:t>
      </w:r>
      <w:r w:rsidR="00F552C1">
        <w:t xml:space="preserve">transferred </w:t>
      </w:r>
      <w:r w:rsidR="004565B1">
        <w:t xml:space="preserve">to IMC </w:t>
      </w:r>
      <w:r w:rsidR="00223BB7">
        <w:t xml:space="preserve">funds </w:t>
      </w:r>
      <w:r w:rsidR="00142212">
        <w:t>from</w:t>
      </w:r>
      <w:r w:rsidR="00223BB7">
        <w:t xml:space="preserve"> </w:t>
      </w:r>
      <w:r w:rsidR="00270AA3">
        <w:t xml:space="preserve">his CTA </w:t>
      </w:r>
      <w:r w:rsidR="00B31DAD">
        <w:t xml:space="preserve">that belonged to </w:t>
      </w:r>
      <w:r w:rsidR="00F552C1">
        <w:t xml:space="preserve">other </w:t>
      </w:r>
      <w:r w:rsidR="00B36805">
        <w:t xml:space="preserve">clients </w:t>
      </w:r>
      <w:r w:rsidR="00B31DAD">
        <w:t xml:space="preserve">without their </w:t>
      </w:r>
      <w:r>
        <w:t>authorization</w:t>
      </w:r>
      <w:r w:rsidR="00F552C1">
        <w:t xml:space="preserve">.  </w:t>
      </w:r>
      <w:r w:rsidR="00223BB7">
        <w:t>Even though his misappropriation of</w:t>
      </w:r>
      <w:r w:rsidR="006F612D">
        <w:t xml:space="preserve"> his</w:t>
      </w:r>
      <w:r w:rsidR="00223BB7">
        <w:t xml:space="preserve"> clients’ funds held in </w:t>
      </w:r>
      <w:r w:rsidR="006F612D">
        <w:t>the CTA</w:t>
      </w:r>
      <w:r w:rsidR="00223BB7">
        <w:t xml:space="preserve"> exceeded $165,000, </w:t>
      </w:r>
      <w:r w:rsidR="00EA2ED5">
        <w:t>Papst</w:t>
      </w:r>
      <w:r w:rsidR="002A4C40">
        <w:t xml:space="preserve"> argu</w:t>
      </w:r>
      <w:r w:rsidR="003E51D8">
        <w:t>es that he is not culpable of moral turpitude because the diversion of the</w:t>
      </w:r>
      <w:r w:rsidR="00223BB7">
        <w:t>se</w:t>
      </w:r>
      <w:r w:rsidR="003E51D8">
        <w:t xml:space="preserve"> funds was </w:t>
      </w:r>
      <w:r w:rsidR="007445A7">
        <w:t xml:space="preserve">intended </w:t>
      </w:r>
      <w:r w:rsidR="002A4C40">
        <w:t xml:space="preserve">to help a client in need of the money.  </w:t>
      </w:r>
      <w:r w:rsidR="00F552C1">
        <w:t xml:space="preserve">Papst clearly does not understand his fiduciary duties, which he owed </w:t>
      </w:r>
      <w:r w:rsidR="00270AA3">
        <w:t>not just to IMC</w:t>
      </w:r>
      <w:r w:rsidR="00A4542E">
        <w:t>,</w:t>
      </w:r>
      <w:r w:rsidR="00270AA3">
        <w:t xml:space="preserve"> but </w:t>
      </w:r>
      <w:r w:rsidR="00F552C1">
        <w:t>to all of his clients.</w:t>
      </w:r>
      <w:r w:rsidR="00A4542E">
        <w:t xml:space="preserve">  Taking money from one client to pay another is still theft.</w:t>
      </w:r>
      <w:r w:rsidR="00EA48AF">
        <w:t xml:space="preserve">  We thus </w:t>
      </w:r>
      <w:r w:rsidR="00F552C1">
        <w:t>agree with the hearing judge that</w:t>
      </w:r>
      <w:r w:rsidR="00B31DAD">
        <w:t xml:space="preserve"> </w:t>
      </w:r>
      <w:r w:rsidR="00EA48AF">
        <w:t xml:space="preserve">Papst </w:t>
      </w:r>
      <w:r w:rsidR="00B31DAD">
        <w:t xml:space="preserve">is culpable of </w:t>
      </w:r>
      <w:r w:rsidR="00B36805">
        <w:t xml:space="preserve">moral turpitude </w:t>
      </w:r>
      <w:r w:rsidR="00025A9D">
        <w:t xml:space="preserve">as charged in </w:t>
      </w:r>
      <w:r w:rsidR="00025A9D">
        <w:lastRenderedPageBreak/>
        <w:t xml:space="preserve">Count 6.  </w:t>
      </w:r>
      <w:r w:rsidR="002A4C40">
        <w:t>(</w:t>
      </w:r>
      <w:r w:rsidR="00B36805" w:rsidRPr="00ED43FA">
        <w:rPr>
          <w:i/>
        </w:rPr>
        <w:t>Codiga v. State Bar</w:t>
      </w:r>
      <w:r w:rsidR="00B36805" w:rsidRPr="00ED43FA">
        <w:t xml:space="preserve"> (1978) 20 Cal.3d 788, 793 [moral turpitude </w:t>
      </w:r>
      <w:r w:rsidR="002A4C40">
        <w:t xml:space="preserve">established </w:t>
      </w:r>
      <w:r w:rsidR="00B36805" w:rsidRPr="00ED43FA">
        <w:t xml:space="preserve">without regard to </w:t>
      </w:r>
      <w:r w:rsidR="00B36805">
        <w:t>motive or personal gain]</w:t>
      </w:r>
      <w:r w:rsidR="002A4C40">
        <w:t>.)</w:t>
      </w:r>
      <w:r>
        <w:t xml:space="preserve">  </w:t>
      </w:r>
      <w:r w:rsidR="002A4C40">
        <w:t xml:space="preserve"> </w:t>
      </w:r>
    </w:p>
    <w:p w:rsidR="00B36805" w:rsidRPr="00CB5F41" w:rsidRDefault="00B36805" w:rsidP="002A4C40">
      <w:pPr>
        <w:pStyle w:val="Header"/>
        <w:tabs>
          <w:tab w:val="clear" w:pos="4320"/>
          <w:tab w:val="clear" w:pos="8640"/>
        </w:tabs>
        <w:spacing w:line="480" w:lineRule="auto"/>
        <w:ind w:firstLine="720"/>
        <w:rPr>
          <w:b/>
          <w:bCs/>
        </w:rPr>
      </w:pPr>
      <w:r w:rsidRPr="00CB5F41">
        <w:rPr>
          <w:b/>
          <w:bCs/>
        </w:rPr>
        <w:t xml:space="preserve">Count 7 </w:t>
      </w:r>
      <w:r w:rsidR="00685D8C">
        <w:rPr>
          <w:b/>
          <w:bCs/>
        </w:rPr>
        <w:t>– Section 6106 [Moral Turpitude/M</w:t>
      </w:r>
      <w:r w:rsidRPr="00CB5F41">
        <w:rPr>
          <w:b/>
          <w:bCs/>
        </w:rPr>
        <w:t>isrepresentation]</w:t>
      </w:r>
    </w:p>
    <w:p w:rsidR="00910A83" w:rsidRDefault="00F06C4C" w:rsidP="00C5644B">
      <w:pPr>
        <w:spacing w:line="480" w:lineRule="auto"/>
        <w:ind w:firstLine="720"/>
      </w:pPr>
      <w:r>
        <w:rPr>
          <w:bCs/>
        </w:rPr>
        <w:t xml:space="preserve">The State Bar alleged </w:t>
      </w:r>
      <w:r w:rsidR="006F612D">
        <w:rPr>
          <w:bCs/>
        </w:rPr>
        <w:t>additional</w:t>
      </w:r>
      <w:r>
        <w:rPr>
          <w:bCs/>
        </w:rPr>
        <w:t xml:space="preserve"> acts of moral turpitude by reason of </w:t>
      </w:r>
      <w:r w:rsidR="00067955">
        <w:rPr>
          <w:bCs/>
        </w:rPr>
        <w:t xml:space="preserve">Papst’s </w:t>
      </w:r>
      <w:r w:rsidR="00B126FD">
        <w:rPr>
          <w:bCs/>
        </w:rPr>
        <w:t>prolonged</w:t>
      </w:r>
      <w:r w:rsidR="00B36805">
        <w:rPr>
          <w:bCs/>
        </w:rPr>
        <w:t xml:space="preserve"> period</w:t>
      </w:r>
      <w:r w:rsidR="00B126FD">
        <w:rPr>
          <w:bCs/>
        </w:rPr>
        <w:t xml:space="preserve"> of </w:t>
      </w:r>
      <w:r w:rsidR="006F612D">
        <w:rPr>
          <w:bCs/>
        </w:rPr>
        <w:t>deception to</w:t>
      </w:r>
      <w:r w:rsidR="00554E34">
        <w:rPr>
          <w:bCs/>
        </w:rPr>
        <w:t xml:space="preserve"> </w:t>
      </w:r>
      <w:r w:rsidR="00B126FD">
        <w:rPr>
          <w:bCs/>
        </w:rPr>
        <w:t xml:space="preserve">the State Bar during </w:t>
      </w:r>
      <w:r w:rsidR="00351894">
        <w:rPr>
          <w:bCs/>
        </w:rPr>
        <w:t>its</w:t>
      </w:r>
      <w:r w:rsidR="00B126FD">
        <w:rPr>
          <w:bCs/>
        </w:rPr>
        <w:t xml:space="preserve"> investigation.  </w:t>
      </w:r>
      <w:r w:rsidR="00067955">
        <w:rPr>
          <w:bCs/>
        </w:rPr>
        <w:t>He</w:t>
      </w:r>
      <w:r w:rsidR="00B36805">
        <w:rPr>
          <w:bCs/>
        </w:rPr>
        <w:t xml:space="preserve"> repeatedly made false statements</w:t>
      </w:r>
      <w:r w:rsidR="00AA5E4F">
        <w:rPr>
          <w:bCs/>
        </w:rPr>
        <w:t xml:space="preserve"> and produced sham financial records</w:t>
      </w:r>
      <w:r w:rsidR="00B126FD">
        <w:rPr>
          <w:bCs/>
        </w:rPr>
        <w:t xml:space="preserve"> in response to inquiries</w:t>
      </w:r>
      <w:r w:rsidR="004628B4">
        <w:rPr>
          <w:bCs/>
        </w:rPr>
        <w:t xml:space="preserve"> by</w:t>
      </w:r>
      <w:r w:rsidR="00B126FD">
        <w:rPr>
          <w:bCs/>
        </w:rPr>
        <w:t xml:space="preserve"> the Bar</w:t>
      </w:r>
      <w:r w:rsidR="00B36805">
        <w:rPr>
          <w:bCs/>
        </w:rPr>
        <w:t xml:space="preserve">.  </w:t>
      </w:r>
      <w:r w:rsidR="00270AA3">
        <w:rPr>
          <w:bCs/>
        </w:rPr>
        <w:t xml:space="preserve">   </w:t>
      </w:r>
      <w:r w:rsidR="004628B4">
        <w:t>“</w:t>
      </w:r>
      <w:r w:rsidR="00270AA3">
        <w:t xml:space="preserve"> </w:t>
      </w:r>
      <w:r w:rsidR="004628B4">
        <w:t>‘</w:t>
      </w:r>
      <w:r w:rsidR="00641826">
        <w:t>[D]</w:t>
      </w:r>
      <w:r w:rsidR="004628B4">
        <w:t xml:space="preserve">eception of the State Bar may constitute an even </w:t>
      </w:r>
      <w:r w:rsidR="004628B4" w:rsidRPr="00C67B84">
        <w:rPr>
          <w:i/>
        </w:rPr>
        <w:t>more serious offense</w:t>
      </w:r>
      <w:r w:rsidR="004628B4">
        <w:t xml:space="preserve"> than the conduct being investigated.’ </w:t>
      </w:r>
      <w:r w:rsidR="00270AA3">
        <w:t>[</w:t>
      </w:r>
      <w:r w:rsidR="007E09BF">
        <w:t>Citation.</w:t>
      </w:r>
      <w:r w:rsidR="00270AA3">
        <w:t>]</w:t>
      </w:r>
      <w:r w:rsidR="007E09BF">
        <w:t xml:space="preserve">”  </w:t>
      </w:r>
      <w:r w:rsidR="00641826">
        <w:t>(</w:t>
      </w:r>
      <w:r w:rsidR="00641826">
        <w:rPr>
          <w:i/>
        </w:rPr>
        <w:t>In the Matter of Dahlz</w:t>
      </w:r>
      <w:r w:rsidR="00641826">
        <w:t xml:space="preserve"> (Review Dept. 2001) 4 Cal. State Bar Ct. Rptr. 269, 282.)</w:t>
      </w:r>
      <w:r>
        <w:t xml:space="preserve"> </w:t>
      </w:r>
      <w:r w:rsidR="00DD0F9B">
        <w:t xml:space="preserve"> </w:t>
      </w:r>
      <w:r>
        <w:t xml:space="preserve">We find Papst culpable as charged in Count 7 of acts of moral turpitude.  </w:t>
      </w:r>
    </w:p>
    <w:p w:rsidR="00020C69" w:rsidRDefault="00C67B84" w:rsidP="00CB5F41">
      <w:pPr>
        <w:pStyle w:val="Header"/>
        <w:tabs>
          <w:tab w:val="clear" w:pos="4320"/>
          <w:tab w:val="clear" w:pos="8640"/>
        </w:tabs>
        <w:spacing w:line="480" w:lineRule="auto"/>
        <w:ind w:left="360"/>
        <w:jc w:val="center"/>
        <w:rPr>
          <w:b/>
        </w:rPr>
      </w:pPr>
      <w:r>
        <w:rPr>
          <w:b/>
        </w:rPr>
        <w:t>II</w:t>
      </w:r>
      <w:r w:rsidR="00CB5F41">
        <w:rPr>
          <w:b/>
        </w:rPr>
        <w:t xml:space="preserve">.  </w:t>
      </w:r>
      <w:r w:rsidR="0058543D">
        <w:rPr>
          <w:b/>
        </w:rPr>
        <w:t xml:space="preserve">DISCIPLINE </w:t>
      </w:r>
      <w:r w:rsidR="00020C69">
        <w:rPr>
          <w:b/>
        </w:rPr>
        <w:t>DISCUSSION</w:t>
      </w:r>
    </w:p>
    <w:p w:rsidR="00B46CBE" w:rsidRPr="005B3B36" w:rsidRDefault="00CB5F41" w:rsidP="00B46CBE">
      <w:pPr>
        <w:spacing w:line="480" w:lineRule="auto"/>
        <w:rPr>
          <w:b/>
        </w:rPr>
      </w:pPr>
      <w:bookmarkStart w:id="3" w:name="Starthere"/>
      <w:bookmarkEnd w:id="3"/>
      <w:r>
        <w:rPr>
          <w:b/>
        </w:rPr>
        <w:t>A.</w:t>
      </w:r>
      <w:r>
        <w:rPr>
          <w:b/>
        </w:rPr>
        <w:tab/>
      </w:r>
      <w:r w:rsidR="00685D8C" w:rsidRPr="005B3B36">
        <w:rPr>
          <w:b/>
        </w:rPr>
        <w:t>AGGRAVATION</w:t>
      </w:r>
    </w:p>
    <w:p w:rsidR="002D52D9" w:rsidRDefault="00B46CBE" w:rsidP="003F32BB">
      <w:pPr>
        <w:pStyle w:val="BodyTextIndent"/>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decimal" w:pos="0"/>
          <w:tab w:val="decimal" w:pos="1350"/>
        </w:tabs>
        <w:ind w:firstLine="720"/>
      </w:pPr>
      <w:r>
        <w:tab/>
      </w:r>
      <w:r w:rsidR="00F7583D">
        <w:t xml:space="preserve">The hearing judge found </w:t>
      </w:r>
      <w:r>
        <w:t>four factors in aggravation</w:t>
      </w:r>
      <w:r w:rsidR="00F7583D">
        <w:t xml:space="preserve"> and we agree</w:t>
      </w:r>
      <w:r>
        <w:t xml:space="preserve">.  First, </w:t>
      </w:r>
      <w:r w:rsidR="004219EF">
        <w:t>Papst</w:t>
      </w:r>
      <w:r>
        <w:t xml:space="preserve"> committed multiple acts of misconduct.  (Std. 1.2(b)(ii).)</w:t>
      </w:r>
      <w:r w:rsidR="00C67B84">
        <w:rPr>
          <w:rStyle w:val="FootnoteReference"/>
        </w:rPr>
        <w:footnoteReference w:id="6"/>
      </w:r>
      <w:r>
        <w:t xml:space="preserve">  Second,</w:t>
      </w:r>
      <w:r w:rsidR="004219EF">
        <w:t xml:space="preserve"> he</w:t>
      </w:r>
      <w:r>
        <w:t xml:space="preserve"> </w:t>
      </w:r>
      <w:r w:rsidR="004219EF">
        <w:t>significantly harmed Parks</w:t>
      </w:r>
      <w:r w:rsidR="006E6F85">
        <w:t xml:space="preserve">.  (Std. 1.2(b)(iv).)  </w:t>
      </w:r>
      <w:r w:rsidR="00E976A7">
        <w:t xml:space="preserve">Parks hired Papst because she needed his representation for “something that had to do with </w:t>
      </w:r>
      <w:r w:rsidR="00270AA3">
        <w:t>[her]</w:t>
      </w:r>
      <w:r w:rsidR="00E976A7">
        <w:t xml:space="preserve"> welfare and well being and </w:t>
      </w:r>
      <w:r w:rsidR="00270AA3">
        <w:t>[her]</w:t>
      </w:r>
      <w:r w:rsidR="00E976A7">
        <w:t xml:space="preserve"> future.”  Yet </w:t>
      </w:r>
      <w:r w:rsidR="00AA5E4F">
        <w:t>Papst’s</w:t>
      </w:r>
      <w:r w:rsidR="006E6F85">
        <w:t xml:space="preserve"> </w:t>
      </w:r>
      <w:r w:rsidR="00F7583D">
        <w:t xml:space="preserve">unreasonable three-year </w:t>
      </w:r>
      <w:r w:rsidR="006E6F85">
        <w:t xml:space="preserve">delay in </w:t>
      </w:r>
      <w:r w:rsidR="004219EF">
        <w:t xml:space="preserve">filing </w:t>
      </w:r>
      <w:r w:rsidR="00F7583D">
        <w:t>Parks’</w:t>
      </w:r>
      <w:r w:rsidR="004219EF">
        <w:t xml:space="preserve"> application </w:t>
      </w:r>
      <w:r w:rsidR="006E6F85">
        <w:t xml:space="preserve">caused </w:t>
      </w:r>
      <w:r w:rsidR="00F7583D">
        <w:t>her</w:t>
      </w:r>
      <w:r w:rsidR="00E976A7">
        <w:t xml:space="preserve"> </w:t>
      </w:r>
      <w:r w:rsidR="006E6F85">
        <w:t xml:space="preserve">to deplete her deferred compensation savings and to </w:t>
      </w:r>
      <w:r w:rsidR="004219EF">
        <w:t>depend on her mother for support</w:t>
      </w:r>
      <w:r w:rsidR="006E6F85">
        <w:t xml:space="preserve"> merely to “survive</w:t>
      </w:r>
      <w:r w:rsidR="004219EF">
        <w:t>.</w:t>
      </w:r>
      <w:r w:rsidR="006E6F85">
        <w:t>”</w:t>
      </w:r>
      <w:r w:rsidR="004219EF">
        <w:t xml:space="preserve">  </w:t>
      </w:r>
      <w:r w:rsidR="008311AC">
        <w:t xml:space="preserve">The State Bar argues that </w:t>
      </w:r>
      <w:r w:rsidR="007E0AC9">
        <w:t xml:space="preserve">Papst caused </w:t>
      </w:r>
      <w:r w:rsidR="008311AC">
        <w:t xml:space="preserve">additional harm to those clients whose funds were used to pay IMC, </w:t>
      </w:r>
      <w:r w:rsidR="00313FF8">
        <w:t xml:space="preserve">but it failed to provide evidence that they had not been </w:t>
      </w:r>
      <w:r w:rsidR="008311AC">
        <w:t>re</w:t>
      </w:r>
      <w:r w:rsidR="00351D12">
        <w:t>paid</w:t>
      </w:r>
      <w:r w:rsidR="008311AC">
        <w:t xml:space="preserve">.  </w:t>
      </w:r>
      <w:r w:rsidR="004219EF">
        <w:t>Third</w:t>
      </w:r>
      <w:r w:rsidR="008311AC">
        <w:t>,</w:t>
      </w:r>
      <w:r w:rsidR="004219EF">
        <w:t xml:space="preserve"> </w:t>
      </w:r>
      <w:r w:rsidR="00006921">
        <w:t xml:space="preserve">Papst lacked candor because he was untruthful during trial.  (Std. 1.2(b)(vi).)  </w:t>
      </w:r>
      <w:r w:rsidR="007E0AC9">
        <w:t>In his decision, t</w:t>
      </w:r>
      <w:r w:rsidR="008311AC">
        <w:t>he hearing judge detail</w:t>
      </w:r>
      <w:r w:rsidR="007E0AC9">
        <w:t>ed</w:t>
      </w:r>
      <w:r w:rsidR="008311AC">
        <w:t xml:space="preserve"> the specific incidents of dishonesty in Papst’s testimony</w:t>
      </w:r>
      <w:r w:rsidR="00F7583D">
        <w:t xml:space="preserve">, which we adopt.  </w:t>
      </w:r>
      <w:r w:rsidR="008311AC">
        <w:lastRenderedPageBreak/>
        <w:t xml:space="preserve">Fourth, </w:t>
      </w:r>
      <w:r w:rsidR="00142212">
        <w:t>Papst</w:t>
      </w:r>
      <w:r>
        <w:t xml:space="preserve"> fail</w:t>
      </w:r>
      <w:r w:rsidR="00006921">
        <w:t xml:space="preserve">s to understand the serious nature of his misconduct or </w:t>
      </w:r>
      <w:r>
        <w:t xml:space="preserve">to accept responsibility for his actions.  (Std. 1.2(b)(v).)  </w:t>
      </w:r>
      <w:r w:rsidR="00006921">
        <w:t>As the hearing judge noted,</w:t>
      </w:r>
      <w:r w:rsidR="003F32BB">
        <w:t xml:space="preserve"> while Papst was </w:t>
      </w:r>
      <w:r w:rsidR="00AA5E4F">
        <w:t>misleading</w:t>
      </w:r>
      <w:r w:rsidR="003F32BB">
        <w:t xml:space="preserve"> the State Bar</w:t>
      </w:r>
      <w:r w:rsidR="00AA5E4F">
        <w:t xml:space="preserve"> in its</w:t>
      </w:r>
      <w:r w:rsidR="003F32BB">
        <w:t xml:space="preserve"> investigation of the Parks matter, he was </w:t>
      </w:r>
      <w:r w:rsidR="00AA5E4F">
        <w:t xml:space="preserve">also </w:t>
      </w:r>
      <w:r w:rsidR="003F32BB">
        <w:t xml:space="preserve">actively misappropriating funds from other clients’ accounts.  </w:t>
      </w:r>
      <w:r w:rsidR="00CF5F37">
        <w:t xml:space="preserve">Moreover, </w:t>
      </w:r>
      <w:r w:rsidR="00AA5E4F">
        <w:t>despite being</w:t>
      </w:r>
      <w:r w:rsidR="009B3AC5">
        <w:t xml:space="preserve"> </w:t>
      </w:r>
      <w:r w:rsidR="00CF5F37">
        <w:t>charged with</w:t>
      </w:r>
      <w:r w:rsidR="009B3AC5">
        <w:t xml:space="preserve"> issuing NSF checks in May 2006, he issued yet another </w:t>
      </w:r>
      <w:r w:rsidR="002D52D9">
        <w:t>NSF check</w:t>
      </w:r>
      <w:r w:rsidR="009B3AC5">
        <w:t xml:space="preserve"> in </w:t>
      </w:r>
      <w:r w:rsidR="00CF5F37">
        <w:t>December</w:t>
      </w:r>
      <w:r w:rsidR="009B3AC5">
        <w:t xml:space="preserve"> 2007 in the</w:t>
      </w:r>
      <w:r w:rsidR="00CA6BA5">
        <w:t xml:space="preserve"> amount of $103,000. </w:t>
      </w:r>
      <w:r w:rsidR="008A76CD">
        <w:t xml:space="preserve"> </w:t>
      </w:r>
      <w:r w:rsidR="007D22A2">
        <w:t>We find</w:t>
      </w:r>
      <w:r w:rsidR="00A4542E">
        <w:t xml:space="preserve"> </w:t>
      </w:r>
      <w:r w:rsidR="00435921">
        <w:t xml:space="preserve">Papst’s propensity to </w:t>
      </w:r>
      <w:r w:rsidR="00A4542E">
        <w:t>commit fraud</w:t>
      </w:r>
      <w:r w:rsidR="00435921">
        <w:t xml:space="preserve"> to avoid </w:t>
      </w:r>
      <w:r w:rsidR="00E41693">
        <w:t>responsibility</w:t>
      </w:r>
      <w:r w:rsidR="00435921">
        <w:t xml:space="preserve"> for his misconduct</w:t>
      </w:r>
      <w:r w:rsidR="008A76CD">
        <w:t xml:space="preserve"> </w:t>
      </w:r>
      <w:r w:rsidR="007D22A2">
        <w:t>to be</w:t>
      </w:r>
      <w:r w:rsidR="008A76CD">
        <w:t xml:space="preserve"> reprehe</w:t>
      </w:r>
      <w:r w:rsidR="00AA5E4F">
        <w:t>n</w:t>
      </w:r>
      <w:r w:rsidR="008A76CD">
        <w:t>sible</w:t>
      </w:r>
      <w:r w:rsidR="002D52D9">
        <w:t xml:space="preserve">.  </w:t>
      </w:r>
    </w:p>
    <w:p w:rsidR="00B46CBE" w:rsidRPr="005B3B36" w:rsidRDefault="00685D8C" w:rsidP="00B46CBE">
      <w:pPr>
        <w:spacing w:line="480" w:lineRule="auto"/>
        <w:rPr>
          <w:b/>
        </w:rPr>
      </w:pPr>
      <w:r>
        <w:rPr>
          <w:b/>
        </w:rPr>
        <w:t>B.</w:t>
      </w:r>
      <w:r>
        <w:rPr>
          <w:b/>
        </w:rPr>
        <w:tab/>
      </w:r>
      <w:r w:rsidRPr="005B3B36">
        <w:rPr>
          <w:b/>
        </w:rPr>
        <w:t>MITIGATION</w:t>
      </w:r>
    </w:p>
    <w:p w:rsidR="00B46CBE" w:rsidRDefault="00B46CBE" w:rsidP="008A76CD">
      <w:pPr>
        <w:spacing w:line="480" w:lineRule="auto"/>
      </w:pPr>
      <w:r>
        <w:tab/>
      </w:r>
      <w:r w:rsidR="002E2483">
        <w:t>We find only one factor in mitigation</w:t>
      </w:r>
      <w:r w:rsidR="00270AA3">
        <w:t>,</w:t>
      </w:r>
      <w:r w:rsidR="002E2483">
        <w:t xml:space="preserve"> although the hearing judge found three.  </w:t>
      </w:r>
      <w:r w:rsidR="00E41693">
        <w:t xml:space="preserve">Papst </w:t>
      </w:r>
      <w:r w:rsidR="008A76CD">
        <w:t xml:space="preserve">is entitled to significant weight in mitigation </w:t>
      </w:r>
      <w:r w:rsidR="00313FF8">
        <w:t xml:space="preserve">for </w:t>
      </w:r>
      <w:r w:rsidR="008D52D0">
        <w:t xml:space="preserve">nearly 25 years </w:t>
      </w:r>
      <w:r w:rsidR="008A76CD">
        <w:t>of discipline-free practice</w:t>
      </w:r>
      <w:r w:rsidR="00313FF8">
        <w:t xml:space="preserve"> </w:t>
      </w:r>
      <w:r w:rsidR="00E41693">
        <w:t xml:space="preserve">prior </w:t>
      </w:r>
      <w:r w:rsidR="008D52D0">
        <w:t>to the commencement of the misconduct</w:t>
      </w:r>
      <w:r w:rsidR="00351D12">
        <w:t xml:space="preserve"> cited here</w:t>
      </w:r>
      <w:r w:rsidR="00E41693">
        <w:t xml:space="preserve">.  </w:t>
      </w:r>
      <w:r w:rsidR="008D52D0">
        <w:t>(Std. 1.2(e)(i)</w:t>
      </w:r>
      <w:r w:rsidR="008A76CD">
        <w:t xml:space="preserve">; </w:t>
      </w:r>
      <w:r>
        <w:rPr>
          <w:i/>
        </w:rPr>
        <w:t>In the Matter of Riordan</w:t>
      </w:r>
      <w:r>
        <w:t xml:space="preserve"> (Review Dept. 2007) 5 Cal. State Bar Ct. Rptr. 41, 49 [more than 17 years of practice with no prior record of discipl</w:t>
      </w:r>
      <w:r w:rsidR="00C67B84">
        <w:t xml:space="preserve">ine is “significant mitigating </w:t>
      </w:r>
      <w:r>
        <w:t>factor”].)</w:t>
      </w:r>
      <w:r w:rsidR="00313FF8">
        <w:t xml:space="preserve">  </w:t>
      </w:r>
      <w:r w:rsidR="002E2483">
        <w:t>However, w</w:t>
      </w:r>
      <w:r w:rsidR="008D52D0">
        <w:t xml:space="preserve">e </w:t>
      </w:r>
      <w:r w:rsidR="002E2483">
        <w:t>do not</w:t>
      </w:r>
      <w:r w:rsidR="008D52D0">
        <w:t xml:space="preserve"> adopt the hearing judge’s </w:t>
      </w:r>
      <w:r w:rsidR="00351D12">
        <w:t xml:space="preserve">mitigation </w:t>
      </w:r>
      <w:r w:rsidR="008D52D0">
        <w:t>finding</w:t>
      </w:r>
      <w:r w:rsidR="00E7376E">
        <w:t xml:space="preserve"> </w:t>
      </w:r>
      <w:r w:rsidR="00351D12">
        <w:t>for Papst’s</w:t>
      </w:r>
      <w:r w:rsidR="008D52D0">
        <w:t xml:space="preserve"> cooperation </w:t>
      </w:r>
      <w:r w:rsidR="00E7376E">
        <w:t xml:space="preserve">in entering into an extensive stipulation of facts.  </w:t>
      </w:r>
      <w:r w:rsidR="002E2483">
        <w:t>While t</w:t>
      </w:r>
      <w:r w:rsidR="00E7376E">
        <w:t xml:space="preserve">his </w:t>
      </w:r>
      <w:r w:rsidR="00351D12">
        <w:t>undoubtedly</w:t>
      </w:r>
      <w:r w:rsidR="00E7376E">
        <w:t xml:space="preserve"> assisted the State Bar in its preparation of trial,</w:t>
      </w:r>
      <w:r w:rsidR="002E2483">
        <w:t xml:space="preserve"> it is</w:t>
      </w:r>
      <w:r w:rsidR="00E7376E">
        <w:t xml:space="preserve"> more than offset by Papst’s </w:t>
      </w:r>
      <w:r w:rsidR="00865123">
        <w:t>misleading</w:t>
      </w:r>
      <w:r w:rsidR="00E7376E">
        <w:t xml:space="preserve"> statements</w:t>
      </w:r>
      <w:r w:rsidR="00313FF8">
        <w:t xml:space="preserve"> and </w:t>
      </w:r>
      <w:r w:rsidR="00AA5E4F">
        <w:t xml:space="preserve">false </w:t>
      </w:r>
      <w:r w:rsidR="00313FF8">
        <w:t>evidence submitted</w:t>
      </w:r>
      <w:r w:rsidR="00E7376E">
        <w:t xml:space="preserve"> during the investigation of this matter.  We also </w:t>
      </w:r>
      <w:r w:rsidR="00351D12">
        <w:t>do not</w:t>
      </w:r>
      <w:r w:rsidR="00E7376E">
        <w:t xml:space="preserve"> accept Papst’s </w:t>
      </w:r>
      <w:r w:rsidR="008A76CD">
        <w:t xml:space="preserve">argument for mitigation credit </w:t>
      </w:r>
      <w:r w:rsidR="00E6402C">
        <w:t>claiming</w:t>
      </w:r>
      <w:r w:rsidR="008A76CD">
        <w:t xml:space="preserve"> </w:t>
      </w:r>
      <w:r w:rsidR="00351D12">
        <w:t xml:space="preserve">he </w:t>
      </w:r>
      <w:r w:rsidR="00974884">
        <w:t xml:space="preserve">did not </w:t>
      </w:r>
      <w:r w:rsidR="00351D12">
        <w:t>harm</w:t>
      </w:r>
      <w:r w:rsidR="00974884">
        <w:t xml:space="preserve"> any</w:t>
      </w:r>
      <w:r w:rsidR="00351D12">
        <w:t xml:space="preserve"> </w:t>
      </w:r>
      <w:r w:rsidR="00E7376E">
        <w:t>client</w:t>
      </w:r>
      <w:r w:rsidR="00351D12">
        <w:t>s</w:t>
      </w:r>
      <w:r w:rsidR="00974884">
        <w:t xml:space="preserve"> since</w:t>
      </w:r>
      <w:r w:rsidR="002E2483">
        <w:t xml:space="preserve">, as previously discussed, Parks was </w:t>
      </w:r>
      <w:r w:rsidR="007D22A2">
        <w:t xml:space="preserve">significantly </w:t>
      </w:r>
      <w:r w:rsidR="002E2483">
        <w:t>harmed</w:t>
      </w:r>
      <w:r w:rsidR="00B37BE8">
        <w:t>.  Moreover</w:t>
      </w:r>
      <w:r w:rsidR="00C56BEE">
        <w:t>,</w:t>
      </w:r>
      <w:r w:rsidR="00B37BE8">
        <w:t xml:space="preserve"> </w:t>
      </w:r>
      <w:r w:rsidR="00E7376E">
        <w:t xml:space="preserve">Papst failed to </w:t>
      </w:r>
      <w:r w:rsidR="008A76CD">
        <w:t>establish</w:t>
      </w:r>
      <w:r w:rsidR="00E7376E">
        <w:t xml:space="preserve"> that </w:t>
      </w:r>
      <w:r w:rsidR="00B37BE8">
        <w:t>client</w:t>
      </w:r>
      <w:r w:rsidR="00E7376E">
        <w:t xml:space="preserve"> funds were returned to th</w:t>
      </w:r>
      <w:r w:rsidR="00351D12">
        <w:t>e rightful owners</w:t>
      </w:r>
      <w:r w:rsidR="00974884">
        <w:t xml:space="preserve">. </w:t>
      </w:r>
    </w:p>
    <w:p w:rsidR="00B46CBE" w:rsidRPr="005B3B36" w:rsidRDefault="00685D8C" w:rsidP="00B46CBE">
      <w:pPr>
        <w:spacing w:line="480" w:lineRule="auto"/>
        <w:rPr>
          <w:b/>
        </w:rPr>
      </w:pPr>
      <w:r>
        <w:rPr>
          <w:b/>
        </w:rPr>
        <w:t>C.</w:t>
      </w:r>
      <w:r>
        <w:rPr>
          <w:b/>
        </w:rPr>
        <w:tab/>
      </w:r>
      <w:r w:rsidRPr="005B3B36">
        <w:rPr>
          <w:b/>
        </w:rPr>
        <w:t>LEVEL OF DISCIPLINE</w:t>
      </w:r>
    </w:p>
    <w:p w:rsidR="00897693" w:rsidRDefault="00B46CBE" w:rsidP="00897693">
      <w:pPr>
        <w:spacing w:line="480" w:lineRule="auto"/>
        <w:ind w:firstLine="720"/>
      </w:pPr>
      <w:r w:rsidRPr="00FE35D3">
        <w:t xml:space="preserve">We start with the standards in determining the appropriate discipline to recommend.  Guided by standard 1.6(a), we consider the most severe discipline provided by the various standards applicable to the misconduct.  Standard 2.3 provides for actual suspension or </w:t>
      </w:r>
      <w:r w:rsidRPr="00FE35D3">
        <w:lastRenderedPageBreak/>
        <w:t>disbarment for an act of moral t</w:t>
      </w:r>
      <w:r>
        <w:t xml:space="preserve">urpitude, while </w:t>
      </w:r>
      <w:r w:rsidRPr="00FE35D3">
        <w:t>standard 2.2(a)</w:t>
      </w:r>
      <w:r w:rsidR="00897693" w:rsidRPr="00897693">
        <w:t xml:space="preserve"> </w:t>
      </w:r>
      <w:r w:rsidR="00897693">
        <w:t xml:space="preserve">states: “Culpability of a member of wilful misappropriation of entrusted funds or property shall result in disbarment.  Only if the amount of funds or property misappropriated is insignificantly small or if the most compelling mitigating circumstances clearly predominate, shall disbarment not be imposed.  In those latter cases, the discipline shall not be less than a one-year actual suspension, irrespective of mitigating circumstances.”  </w:t>
      </w:r>
    </w:p>
    <w:p w:rsidR="00681534" w:rsidRDefault="00B46CBE" w:rsidP="00C924FA">
      <w:pPr>
        <w:spacing w:line="480" w:lineRule="auto"/>
      </w:pPr>
      <w:r>
        <w:tab/>
      </w:r>
      <w:r w:rsidR="008F4358">
        <w:t>N</w:t>
      </w:r>
      <w:r>
        <w:t xml:space="preserve">either of the exceptions </w:t>
      </w:r>
      <w:r w:rsidR="001A05B0">
        <w:t xml:space="preserve">to disbarment </w:t>
      </w:r>
      <w:r>
        <w:t xml:space="preserve">in standard 2.2(a) applies in this case.  </w:t>
      </w:r>
      <w:r w:rsidR="00755B7A">
        <w:t>Papst</w:t>
      </w:r>
      <w:r>
        <w:t xml:space="preserve"> </w:t>
      </w:r>
      <w:r w:rsidR="008F4358">
        <w:t xml:space="preserve">knowingly </w:t>
      </w:r>
      <w:r>
        <w:t xml:space="preserve">misappropriated </w:t>
      </w:r>
      <w:r w:rsidR="00351D12">
        <w:rPr>
          <w:rFonts w:ascii="Times New Roman" w:hAnsi="Times New Roman"/>
        </w:rPr>
        <w:t>a significant amount</w:t>
      </w:r>
      <w:r w:rsidR="001A05B0">
        <w:rPr>
          <w:rFonts w:ascii="Times New Roman" w:hAnsi="Times New Roman"/>
        </w:rPr>
        <w:t xml:space="preserve"> of money </w:t>
      </w:r>
      <w:r w:rsidR="00755B7A">
        <w:rPr>
          <w:rFonts w:ascii="Times New Roman" w:hAnsi="Times New Roman"/>
        </w:rPr>
        <w:t>from several clients</w:t>
      </w:r>
      <w:r w:rsidR="00BF24CB">
        <w:rPr>
          <w:rFonts w:ascii="Times New Roman" w:hAnsi="Times New Roman"/>
        </w:rPr>
        <w:t>.</w:t>
      </w:r>
      <w:r w:rsidR="00BF24CB">
        <w:t xml:space="preserve">  The seriousness of his misconduct, which occurred over a prolonged time period, is of paramount concern, and </w:t>
      </w:r>
      <w:r w:rsidR="00AA5E4F">
        <w:t>his</w:t>
      </w:r>
      <w:r w:rsidR="00093C6E">
        <w:t xml:space="preserve"> </w:t>
      </w:r>
      <w:r w:rsidR="00246632">
        <w:t>mitigation</w:t>
      </w:r>
      <w:r w:rsidR="00093C6E">
        <w:t xml:space="preserve"> evidence</w:t>
      </w:r>
      <w:r w:rsidR="00246632">
        <w:t xml:space="preserve"> is </w:t>
      </w:r>
      <w:r w:rsidR="00093C6E">
        <w:t>neither</w:t>
      </w:r>
      <w:r w:rsidR="00246632">
        <w:t xml:space="preserve"> </w:t>
      </w:r>
      <w:r w:rsidR="00A4542E">
        <w:t>compelling,</w:t>
      </w:r>
      <w:r w:rsidR="00093C6E">
        <w:t xml:space="preserve"> nor does </w:t>
      </w:r>
      <w:r w:rsidR="00FC05D5">
        <w:t xml:space="preserve">it </w:t>
      </w:r>
      <w:r w:rsidR="00093C6E">
        <w:t xml:space="preserve">clearly predominate.  Indeed, </w:t>
      </w:r>
      <w:r>
        <w:t>his multiple circumstances in aggravation</w:t>
      </w:r>
      <w:r w:rsidR="00246632">
        <w:t xml:space="preserve"> </w:t>
      </w:r>
      <w:r w:rsidR="00755B7A">
        <w:t xml:space="preserve">greatly </w:t>
      </w:r>
      <w:r>
        <w:t xml:space="preserve">outweigh </w:t>
      </w:r>
      <w:r w:rsidR="00BF24CB">
        <w:t>his single factor in</w:t>
      </w:r>
      <w:r>
        <w:t xml:space="preserve"> </w:t>
      </w:r>
      <w:r w:rsidR="00755B7A">
        <w:t>mitigation</w:t>
      </w:r>
      <w:r>
        <w:t xml:space="preserve">.  </w:t>
      </w:r>
      <w:r w:rsidR="00C924FA">
        <w:t xml:space="preserve">Under these circumstances, </w:t>
      </w:r>
      <w:r>
        <w:t>we find no compelling reason to depart from the application of</w:t>
      </w:r>
      <w:r w:rsidR="00C924FA">
        <w:t xml:space="preserve"> disbarment as provided in</w:t>
      </w:r>
      <w:r>
        <w:t xml:space="preserve"> standard 2.2(a).</w:t>
      </w:r>
      <w:r w:rsidR="00C924FA">
        <w:t xml:space="preserve">  (</w:t>
      </w:r>
      <w:r w:rsidR="00C924FA">
        <w:rPr>
          <w:i/>
        </w:rPr>
        <w:t>In the Matter of Van Sickle</w:t>
      </w:r>
      <w:r w:rsidR="00C924FA">
        <w:t xml:space="preserve"> (Review Dept. 2006) 4 Cal. State Bar Ct. Rptr. 980, 994</w:t>
      </w:r>
      <w:r w:rsidR="00402529">
        <w:t>.</w:t>
      </w:r>
      <w:r w:rsidR="00C924FA">
        <w:t>)</w:t>
      </w:r>
      <w:r w:rsidR="00402529">
        <w:t xml:space="preserve"> </w:t>
      </w:r>
      <w:r w:rsidR="00681534">
        <w:t xml:space="preserve"> </w:t>
      </w:r>
    </w:p>
    <w:p w:rsidR="00402529" w:rsidRDefault="00681534" w:rsidP="00C924FA">
      <w:pPr>
        <w:spacing w:line="480" w:lineRule="auto"/>
      </w:pPr>
      <w:r>
        <w:tab/>
      </w:r>
      <w:r w:rsidRPr="007D0C6C">
        <w:t>Finally, comparable case law</w:t>
      </w:r>
      <w:r>
        <w:t xml:space="preserve"> </w:t>
      </w:r>
      <w:r w:rsidR="00BF24CB">
        <w:t>supports our disbarment recommendation.</w:t>
      </w:r>
      <w:r w:rsidR="002A6B9A">
        <w:t xml:space="preserve">  </w:t>
      </w:r>
      <w:r w:rsidRPr="007D0C6C">
        <w:t>(</w:t>
      </w:r>
      <w:r>
        <w:rPr>
          <w:i/>
        </w:rPr>
        <w:t>Kennedy v. State Bar</w:t>
      </w:r>
      <w:r>
        <w:t xml:space="preserve"> (1989) 48 Cal.3d 610 [disbarment for misappropriation in excess of $10,000 from multiple clients and failure to return files with no prior</w:t>
      </w:r>
      <w:r w:rsidR="00142212">
        <w:t xml:space="preserve"> </w:t>
      </w:r>
      <w:r w:rsidR="009E7B6E">
        <w:t xml:space="preserve">misconduct </w:t>
      </w:r>
      <w:r>
        <w:t xml:space="preserve">in </w:t>
      </w:r>
      <w:r w:rsidR="009E7B6E">
        <w:t>eight</w:t>
      </w:r>
      <w:r>
        <w:t xml:space="preserve"> years]; </w:t>
      </w:r>
      <w:r>
        <w:rPr>
          <w:i/>
        </w:rPr>
        <w:t>Kel</w:t>
      </w:r>
      <w:r w:rsidR="00055473">
        <w:rPr>
          <w:i/>
        </w:rPr>
        <w:t>l</w:t>
      </w:r>
      <w:r>
        <w:rPr>
          <w:i/>
        </w:rPr>
        <w:t>y</w:t>
      </w:r>
      <w:r w:rsidR="00055473">
        <w:rPr>
          <w:i/>
        </w:rPr>
        <w:t xml:space="preserve"> v. State Bar</w:t>
      </w:r>
      <w:r>
        <w:t xml:space="preserve"> (1988) 45 Cal.3d 649 [disbarment for misappropriation of $20,000 and failure to account</w:t>
      </w:r>
      <w:r w:rsidR="00BF24CB">
        <w:t xml:space="preserve"> with no prior</w:t>
      </w:r>
      <w:r w:rsidR="00142212">
        <w:t xml:space="preserve"> discipline</w:t>
      </w:r>
      <w:r w:rsidR="00BF24CB">
        <w:t xml:space="preserve"> in seven years].)</w:t>
      </w:r>
      <w:r w:rsidR="00846050">
        <w:t xml:space="preserve">  Although this is Papst’s first disciplinary proceeding, “[i]t is clear that disbarment is not reserved just for attorneys with prior disciplinary records.  </w:t>
      </w:r>
      <w:r w:rsidR="009A43CB">
        <w:t>[</w:t>
      </w:r>
      <w:r w:rsidR="00846050">
        <w:t>Citations omitted.</w:t>
      </w:r>
      <w:r w:rsidR="009A43CB">
        <w:t>]</w:t>
      </w:r>
      <w:r w:rsidR="00846050">
        <w:t>”  (</w:t>
      </w:r>
      <w:r w:rsidR="00846050">
        <w:rPr>
          <w:i/>
        </w:rPr>
        <w:t xml:space="preserve">In the Matter of Wyshak </w:t>
      </w:r>
      <w:r w:rsidR="00846050">
        <w:t xml:space="preserve">(Review Dept. 1999) 4 Cal State Bar Ct. Rptr. 70, 83.)  We find here, as we did in the </w:t>
      </w:r>
      <w:r w:rsidR="00846050" w:rsidRPr="00575D9A">
        <w:rPr>
          <w:i/>
        </w:rPr>
        <w:t>Wyshak</w:t>
      </w:r>
      <w:r w:rsidR="00846050">
        <w:rPr>
          <w:i/>
        </w:rPr>
        <w:t xml:space="preserve"> </w:t>
      </w:r>
      <w:r w:rsidR="00846050">
        <w:t xml:space="preserve">case, that “[a] most significant factor . . . is respondent’s complete lack of insight, recognition, or remorse for any of his wrongdoing.  To the present time, he accepts no responsibility for what happened </w:t>
      </w:r>
      <w:r w:rsidR="00846050">
        <w:lastRenderedPageBreak/>
        <w:t>and only seeks to blame others.”  (</w:t>
      </w:r>
      <w:r w:rsidR="00846050">
        <w:rPr>
          <w:i/>
        </w:rPr>
        <w:t>Ibid</w:t>
      </w:r>
      <w:r w:rsidR="00055473">
        <w:rPr>
          <w:i/>
        </w:rPr>
        <w:t>.</w:t>
      </w:r>
      <w:r w:rsidR="00846050">
        <w:t xml:space="preserve">; accord, </w:t>
      </w:r>
      <w:r w:rsidR="00846050" w:rsidRPr="00322F2F">
        <w:rPr>
          <w:i/>
        </w:rPr>
        <w:t>Weber v. State Bar</w:t>
      </w:r>
      <w:r w:rsidR="00846050">
        <w:t xml:space="preserve"> (1988) 47 Cal.3d 492, 508 [despite absence of prior disciplinary record, disbarment appropriate where attorney committed serious misconduct </w:t>
      </w:r>
      <w:r w:rsidR="00055473">
        <w:t xml:space="preserve">including misappropriation, </w:t>
      </w:r>
      <w:r w:rsidR="00846050">
        <w:t>exhibited complete failure to appreciate gravity of misconduct, expressed no remorse, denied all responsibility for any wrongdoing, and demonstrated continuing contempt for disciplinary proceedings].</w:t>
      </w:r>
    </w:p>
    <w:p w:rsidR="00B46CBE" w:rsidRPr="00BC7192" w:rsidRDefault="00B46CBE" w:rsidP="00B46CBE">
      <w:pPr>
        <w:spacing w:line="480" w:lineRule="auto"/>
        <w:jc w:val="center"/>
        <w:rPr>
          <w:b/>
        </w:rPr>
      </w:pPr>
      <w:r w:rsidRPr="00BC7192">
        <w:rPr>
          <w:b/>
        </w:rPr>
        <w:t>I</w:t>
      </w:r>
      <w:r w:rsidR="00055473">
        <w:rPr>
          <w:b/>
        </w:rPr>
        <w:t>II</w:t>
      </w:r>
      <w:r w:rsidRPr="00BC7192">
        <w:rPr>
          <w:b/>
        </w:rPr>
        <w:t>.  RECOMMENDATION</w:t>
      </w:r>
      <w:r w:rsidR="001023F3">
        <w:rPr>
          <w:b/>
        </w:rPr>
        <w:t xml:space="preserve"> </w:t>
      </w:r>
    </w:p>
    <w:p w:rsidR="00B46CBE" w:rsidRPr="007E78B4" w:rsidRDefault="00B46CBE" w:rsidP="00B46CBE">
      <w:pPr>
        <w:spacing w:line="480" w:lineRule="auto"/>
        <w:rPr>
          <w:highlight w:val="yellow"/>
        </w:rPr>
      </w:pPr>
      <w:r>
        <w:tab/>
        <w:t xml:space="preserve">For the foregoing reasons, we recommend that </w:t>
      </w:r>
      <w:r w:rsidR="00055473">
        <w:t>Richard John</w:t>
      </w:r>
      <w:r>
        <w:t xml:space="preserve"> </w:t>
      </w:r>
      <w:r w:rsidR="00755B7A">
        <w:t>Papst</w:t>
      </w:r>
      <w:r>
        <w:t xml:space="preserve"> be disbarred and his name </w:t>
      </w:r>
      <w:r w:rsidRPr="007E78B4">
        <w:t>be stricken from the roll of attorneys.</w:t>
      </w:r>
    </w:p>
    <w:p w:rsidR="00B46CBE" w:rsidRDefault="00B46CBE" w:rsidP="00A47C70">
      <w:pPr>
        <w:spacing w:line="480" w:lineRule="auto"/>
        <w:ind w:firstLine="720"/>
      </w:pPr>
      <w:r>
        <w:t xml:space="preserve">We further recommend that </w:t>
      </w:r>
      <w:r w:rsidR="00897693">
        <w:t>Richard J.</w:t>
      </w:r>
      <w:r w:rsidR="00A0721C">
        <w:t xml:space="preserve"> </w:t>
      </w:r>
      <w:r w:rsidR="00755B7A">
        <w:t>Papst</w:t>
      </w:r>
      <w:r>
        <w:t xml:space="preserve"> be required to comply with rule 9.20 of the California Rules of Court and </w:t>
      </w:r>
      <w:r w:rsidR="00CC332E">
        <w:t xml:space="preserve">to </w:t>
      </w:r>
      <w:r>
        <w:t>perform the acts specified in subdivisions (a) and (c) of that rule, within 30 and 40 calendar days, respectively, after the effective date of the Supreme Court order herein.</w:t>
      </w:r>
    </w:p>
    <w:p w:rsidR="00B46CBE" w:rsidRDefault="00B46CBE" w:rsidP="00B46CBE">
      <w:pPr>
        <w:spacing w:line="480" w:lineRule="auto"/>
      </w:pPr>
      <w:r>
        <w:tab/>
        <w:t>We further recommend that costs be awarded to the State Bar in accordance with Business and Professions Code section 6086.10, such costs being enforceable both as provided in Business and Professions Code section 6140.7 and as a money judgment.</w:t>
      </w:r>
    </w:p>
    <w:p w:rsidR="001023F3" w:rsidRDefault="001023F3" w:rsidP="00B46CBE">
      <w:pPr>
        <w:spacing w:line="480" w:lineRule="auto"/>
      </w:pPr>
      <w:r>
        <w:tab/>
      </w:r>
      <w:r>
        <w:tab/>
      </w:r>
      <w:r>
        <w:tab/>
      </w:r>
      <w:r>
        <w:tab/>
      </w:r>
      <w:r>
        <w:tab/>
      </w:r>
      <w:r w:rsidR="00055473" w:rsidRPr="00055473">
        <w:rPr>
          <w:b/>
        </w:rPr>
        <w:t>IV</w:t>
      </w:r>
      <w:r w:rsidRPr="001023F3">
        <w:rPr>
          <w:b/>
        </w:rPr>
        <w:t>.</w:t>
      </w:r>
      <w:r>
        <w:t xml:space="preserve">  </w:t>
      </w:r>
      <w:r>
        <w:rPr>
          <w:b/>
        </w:rPr>
        <w:t>ORDER</w:t>
      </w:r>
    </w:p>
    <w:p w:rsidR="00B46CBE" w:rsidRDefault="00B46CBE" w:rsidP="00B46CBE">
      <w:pPr>
        <w:spacing w:line="480" w:lineRule="auto"/>
      </w:pPr>
      <w:r>
        <w:tab/>
        <w:t xml:space="preserve">The order of the hearing judge below that </w:t>
      </w:r>
      <w:r w:rsidR="00055473">
        <w:t>Richard John</w:t>
      </w:r>
      <w:r w:rsidR="00A0721C">
        <w:t xml:space="preserve"> </w:t>
      </w:r>
      <w:r w:rsidR="00755B7A">
        <w:t>Papst</w:t>
      </w:r>
      <w:r>
        <w:t xml:space="preserve"> be enrolled as an inactive member of the State Bar pursuant to Business and Professions Code section 6007, subdivision (c)(4), shall continue in effect pending the consideration and decision of the Supreme Court on this recommendation.</w:t>
      </w:r>
    </w:p>
    <w:p w:rsidR="00D079F2" w:rsidRDefault="00D079F2" w:rsidP="00A47C70">
      <w:r>
        <w:tab/>
      </w:r>
    </w:p>
    <w:p w:rsidR="00435921" w:rsidRDefault="00435921" w:rsidP="00435921">
      <w:pPr>
        <w:spacing w:line="480" w:lineRule="auto"/>
      </w:pPr>
    </w:p>
    <w:sectPr w:rsidR="00435921" w:rsidSect="001A7CD1">
      <w:footerReference w:type="even" r:id="rId8"/>
      <w:footerReference w:type="default" r:id="rId9"/>
      <w:pgSz w:w="12240" w:h="15840" w:code="1"/>
      <w:pgMar w:top="1440" w:right="1440" w:bottom="864" w:left="1440" w:header="720" w:footer="576" w:gutter="4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A2" w:rsidRDefault="007D22A2" w:rsidP="001C22EC">
      <w:r>
        <w:separator/>
      </w:r>
    </w:p>
  </w:endnote>
  <w:endnote w:type="continuationSeparator" w:id="0">
    <w:p w:rsidR="007D22A2" w:rsidRDefault="007D22A2" w:rsidP="001C2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A2" w:rsidRDefault="005960F8">
    <w:pPr>
      <w:pStyle w:val="Footer"/>
      <w:framePr w:wrap="around" w:vAnchor="text" w:hAnchor="margin" w:xAlign="center" w:y="1"/>
      <w:rPr>
        <w:rStyle w:val="PageNumber"/>
      </w:rPr>
    </w:pPr>
    <w:r>
      <w:rPr>
        <w:rStyle w:val="PageNumber"/>
      </w:rPr>
      <w:fldChar w:fldCharType="begin"/>
    </w:r>
    <w:r w:rsidR="007D22A2">
      <w:rPr>
        <w:rStyle w:val="PageNumber"/>
      </w:rPr>
      <w:instrText xml:space="preserve">PAGE  </w:instrText>
    </w:r>
    <w:r>
      <w:rPr>
        <w:rStyle w:val="PageNumber"/>
      </w:rPr>
      <w:fldChar w:fldCharType="end"/>
    </w:r>
  </w:p>
  <w:p w:rsidR="007D22A2" w:rsidRDefault="007D2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A2" w:rsidRDefault="005960F8" w:rsidP="007E3649">
    <w:pPr>
      <w:pStyle w:val="Footer"/>
      <w:framePr w:wrap="around" w:vAnchor="text" w:hAnchor="margin" w:xAlign="center" w:y="1"/>
      <w:spacing w:before="120"/>
      <w:rPr>
        <w:rStyle w:val="PageNumber"/>
      </w:rPr>
    </w:pPr>
    <w:r>
      <w:rPr>
        <w:rStyle w:val="PageNumber"/>
      </w:rPr>
      <w:fldChar w:fldCharType="begin"/>
    </w:r>
    <w:r w:rsidR="007D22A2">
      <w:rPr>
        <w:rStyle w:val="PageNumber"/>
      </w:rPr>
      <w:instrText xml:space="preserve">PAGE  </w:instrText>
    </w:r>
    <w:r>
      <w:rPr>
        <w:rStyle w:val="PageNumber"/>
      </w:rPr>
      <w:fldChar w:fldCharType="separate"/>
    </w:r>
    <w:r w:rsidR="00B844CA">
      <w:rPr>
        <w:rStyle w:val="PageNumber"/>
        <w:noProof/>
      </w:rPr>
      <w:t>12</w:t>
    </w:r>
    <w:r>
      <w:rPr>
        <w:rStyle w:val="PageNumber"/>
      </w:rPr>
      <w:fldChar w:fldCharType="end"/>
    </w:r>
  </w:p>
  <w:p w:rsidR="007D22A2" w:rsidRDefault="007D22A2" w:rsidP="007E3649">
    <w:pPr>
      <w:pStyle w:val="Foote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A2" w:rsidRDefault="007D22A2" w:rsidP="001C22EC">
      <w:r>
        <w:separator/>
      </w:r>
    </w:p>
  </w:footnote>
  <w:footnote w:type="continuationSeparator" w:id="0">
    <w:p w:rsidR="007D22A2" w:rsidRDefault="007D22A2" w:rsidP="001C22EC">
      <w:r>
        <w:continuationSeparator/>
      </w:r>
    </w:p>
  </w:footnote>
  <w:footnote w:id="1">
    <w:p w:rsidR="007D22A2" w:rsidRDefault="007D22A2" w:rsidP="00D43730">
      <w:pPr>
        <w:pStyle w:val="FootnoteText"/>
        <w:ind w:left="720"/>
      </w:pPr>
      <w:r>
        <w:rPr>
          <w:rStyle w:val="FootnoteReference"/>
        </w:rPr>
        <w:footnoteRef/>
      </w:r>
      <w:r>
        <w:t>Before Remke, P. J., Epstein, J., and Purcell, J.</w:t>
      </w:r>
    </w:p>
    <w:p w:rsidR="007D22A2" w:rsidRDefault="007D22A2" w:rsidP="00D43730">
      <w:pPr>
        <w:pStyle w:val="FootnoteText"/>
        <w:ind w:left="720"/>
      </w:pPr>
    </w:p>
  </w:footnote>
  <w:footnote w:id="2">
    <w:p w:rsidR="007D22A2" w:rsidRDefault="007D22A2" w:rsidP="006D3566">
      <w:pPr>
        <w:pStyle w:val="FootnoteText"/>
        <w:ind w:firstLine="720"/>
      </w:pPr>
      <w:r>
        <w:rPr>
          <w:rStyle w:val="FootnoteReference"/>
        </w:rPr>
        <w:footnoteRef/>
      </w:r>
      <w:r>
        <w:t xml:space="preserve">The doctor also stated on the APS form that it was “not known at this time” if Parks’ disability was temporary.  Papst maintained throughout these proceedings that this statement caused his delay in filing the application, yet he offered no explanation for failing to take affirmative steps to clarify the information.  As Parks testified;  “If [Papst] felt he needed further information, he could always contact the doctor. . . .”  </w:t>
      </w:r>
    </w:p>
    <w:p w:rsidR="007D22A2" w:rsidRDefault="007D22A2" w:rsidP="006D3566">
      <w:pPr>
        <w:pStyle w:val="FootnoteText"/>
        <w:ind w:firstLine="720"/>
      </w:pPr>
    </w:p>
  </w:footnote>
  <w:footnote w:id="3">
    <w:p w:rsidR="007D22A2" w:rsidRDefault="007D22A2" w:rsidP="004A569A">
      <w:pPr>
        <w:pStyle w:val="FootnoteText"/>
        <w:ind w:firstLine="720"/>
      </w:pPr>
      <w:r>
        <w:rPr>
          <w:rStyle w:val="FootnoteReference"/>
        </w:rPr>
        <w:footnoteRef/>
      </w:r>
      <w:r>
        <w:t>Unless otherwise noted, all future references to rule(s) are to the State Bar Rules of Professional Conduct.</w:t>
      </w:r>
    </w:p>
  </w:footnote>
  <w:footnote w:id="4">
    <w:p w:rsidR="007D22A2" w:rsidRDefault="007D22A2" w:rsidP="00F74D26">
      <w:pPr>
        <w:pStyle w:val="FootnoteText"/>
        <w:ind w:firstLine="720"/>
      </w:pPr>
      <w:r>
        <w:rPr>
          <w:rStyle w:val="FootnoteReference"/>
        </w:rPr>
        <w:footnoteRef/>
      </w:r>
      <w:r>
        <w:t>Unless otherwise noted, all future references to section(s) are to the Business and Professions Code.</w:t>
      </w:r>
    </w:p>
  </w:footnote>
  <w:footnote w:id="5">
    <w:p w:rsidR="007D22A2" w:rsidRDefault="007D22A2" w:rsidP="00505FE7">
      <w:pPr>
        <w:pStyle w:val="FootnoteText"/>
        <w:ind w:firstLine="720"/>
      </w:pPr>
      <w:r>
        <w:rPr>
          <w:rStyle w:val="FootnoteReference"/>
        </w:rPr>
        <w:footnoteRef/>
      </w:r>
      <w:r>
        <w:t xml:space="preserve"> The financial records misstated the dates and sources of monies received and paid out to IMC, mislabeled monies received for the benefit of other clients, and included sham entries.</w:t>
      </w:r>
    </w:p>
  </w:footnote>
  <w:footnote w:id="6">
    <w:p w:rsidR="007D22A2" w:rsidRDefault="007D22A2" w:rsidP="00C67B84">
      <w:pPr>
        <w:pStyle w:val="FootnoteText"/>
        <w:ind w:firstLine="720"/>
      </w:pPr>
      <w:r>
        <w:rPr>
          <w:rStyle w:val="FootnoteReference"/>
        </w:rPr>
        <w:footnoteRef/>
      </w:r>
      <w:r>
        <w:t>Unless otherwise noted, all further references to standard(s) are to the Rules of Procedure of the State Bar, title IV, Standards for Attorney Sanctions for Professional Misconduct.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4203C4"/>
    <w:multiLevelType w:val="hybridMultilevel"/>
    <w:tmpl w:val="27DCA4BC"/>
    <w:lvl w:ilvl="0" w:tplc="6D96916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0548A"/>
    <w:multiLevelType w:val="hybridMultilevel"/>
    <w:tmpl w:val="5AEEC512"/>
    <w:lvl w:ilvl="0" w:tplc="ED00B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25E"/>
    <w:multiLevelType w:val="hybridMultilevel"/>
    <w:tmpl w:val="CE1EE3A2"/>
    <w:lvl w:ilvl="0" w:tplc="6CE4D26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46AD0"/>
    <w:multiLevelType w:val="hybridMultilevel"/>
    <w:tmpl w:val="A402489E"/>
    <w:lvl w:ilvl="0" w:tplc="AE184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06DDC"/>
    <w:multiLevelType w:val="hybridMultilevel"/>
    <w:tmpl w:val="802ED3E2"/>
    <w:lvl w:ilvl="0" w:tplc="1DC457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D60F9"/>
    <w:multiLevelType w:val="hybridMultilevel"/>
    <w:tmpl w:val="AA6C9576"/>
    <w:lvl w:ilvl="0" w:tplc="1F2A11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082E44"/>
    <w:multiLevelType w:val="hybridMultilevel"/>
    <w:tmpl w:val="1EC4AB70"/>
    <w:lvl w:ilvl="0" w:tplc="796ED2B8">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A7653"/>
    <w:multiLevelType w:val="hybridMultilevel"/>
    <w:tmpl w:val="49CC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E0C194B"/>
    <w:multiLevelType w:val="hybridMultilevel"/>
    <w:tmpl w:val="378077F8"/>
    <w:lvl w:ilvl="0" w:tplc="862831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9"/>
  </w:num>
  <w:num w:numId="5">
    <w:abstractNumId w:val="13"/>
  </w:num>
  <w:num w:numId="6">
    <w:abstractNumId w:val="11"/>
  </w:num>
  <w:num w:numId="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0"/>
  </w:num>
  <w:num w:numId="9">
    <w:abstractNumId w:val="4"/>
  </w:num>
  <w:num w:numId="10">
    <w:abstractNumId w:val="5"/>
  </w:num>
  <w:num w:numId="11">
    <w:abstractNumId w:val="7"/>
  </w:num>
  <w:num w:numId="12">
    <w:abstractNumId w:val="3"/>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941FF1"/>
    <w:rsid w:val="000065D8"/>
    <w:rsid w:val="00006921"/>
    <w:rsid w:val="00007858"/>
    <w:rsid w:val="00011B06"/>
    <w:rsid w:val="00015F11"/>
    <w:rsid w:val="0001703C"/>
    <w:rsid w:val="00020C69"/>
    <w:rsid w:val="00025A9D"/>
    <w:rsid w:val="00030D85"/>
    <w:rsid w:val="00034C32"/>
    <w:rsid w:val="000360C7"/>
    <w:rsid w:val="00045894"/>
    <w:rsid w:val="00047551"/>
    <w:rsid w:val="0005008A"/>
    <w:rsid w:val="0005292E"/>
    <w:rsid w:val="00055473"/>
    <w:rsid w:val="0006102D"/>
    <w:rsid w:val="00066ECF"/>
    <w:rsid w:val="00067955"/>
    <w:rsid w:val="00070893"/>
    <w:rsid w:val="00075A09"/>
    <w:rsid w:val="000775AC"/>
    <w:rsid w:val="00084E90"/>
    <w:rsid w:val="000856C4"/>
    <w:rsid w:val="000865F1"/>
    <w:rsid w:val="00086780"/>
    <w:rsid w:val="0008778E"/>
    <w:rsid w:val="00093C6E"/>
    <w:rsid w:val="000A0357"/>
    <w:rsid w:val="000A4BF3"/>
    <w:rsid w:val="000B6537"/>
    <w:rsid w:val="000C1065"/>
    <w:rsid w:val="000C6FA3"/>
    <w:rsid w:val="000C7CC2"/>
    <w:rsid w:val="000D2FC0"/>
    <w:rsid w:val="000D5415"/>
    <w:rsid w:val="000E0AA3"/>
    <w:rsid w:val="000E1BCF"/>
    <w:rsid w:val="000F0CB3"/>
    <w:rsid w:val="000F264D"/>
    <w:rsid w:val="001023F3"/>
    <w:rsid w:val="00105239"/>
    <w:rsid w:val="00106DF1"/>
    <w:rsid w:val="001172B4"/>
    <w:rsid w:val="00124EEB"/>
    <w:rsid w:val="00127EDC"/>
    <w:rsid w:val="001333D5"/>
    <w:rsid w:val="001412D9"/>
    <w:rsid w:val="0014202B"/>
    <w:rsid w:val="00142212"/>
    <w:rsid w:val="0014526B"/>
    <w:rsid w:val="00165CA2"/>
    <w:rsid w:val="00174E6B"/>
    <w:rsid w:val="001760C6"/>
    <w:rsid w:val="00182C3B"/>
    <w:rsid w:val="00182E3A"/>
    <w:rsid w:val="00193E3E"/>
    <w:rsid w:val="001962EC"/>
    <w:rsid w:val="001A05B0"/>
    <w:rsid w:val="001A0E47"/>
    <w:rsid w:val="001A73EA"/>
    <w:rsid w:val="001A7CD1"/>
    <w:rsid w:val="001B2254"/>
    <w:rsid w:val="001C1CF5"/>
    <w:rsid w:val="001C22EC"/>
    <w:rsid w:val="001D51A3"/>
    <w:rsid w:val="001E4B9E"/>
    <w:rsid w:val="001F257A"/>
    <w:rsid w:val="001F6FE8"/>
    <w:rsid w:val="0020443A"/>
    <w:rsid w:val="00210668"/>
    <w:rsid w:val="00211D38"/>
    <w:rsid w:val="00223BB7"/>
    <w:rsid w:val="00231653"/>
    <w:rsid w:val="0023365F"/>
    <w:rsid w:val="0023573B"/>
    <w:rsid w:val="00246632"/>
    <w:rsid w:val="00246D5B"/>
    <w:rsid w:val="00247CCE"/>
    <w:rsid w:val="00252B37"/>
    <w:rsid w:val="002535E7"/>
    <w:rsid w:val="00270AA3"/>
    <w:rsid w:val="002734C6"/>
    <w:rsid w:val="00281B0B"/>
    <w:rsid w:val="00283932"/>
    <w:rsid w:val="00286BFA"/>
    <w:rsid w:val="002A0588"/>
    <w:rsid w:val="002A48A2"/>
    <w:rsid w:val="002A4C40"/>
    <w:rsid w:val="002A6B9A"/>
    <w:rsid w:val="002B2FE4"/>
    <w:rsid w:val="002B7A4A"/>
    <w:rsid w:val="002C01E3"/>
    <w:rsid w:val="002C031C"/>
    <w:rsid w:val="002C5DAD"/>
    <w:rsid w:val="002D3A5C"/>
    <w:rsid w:val="002D52D9"/>
    <w:rsid w:val="002D7FF2"/>
    <w:rsid w:val="002E2483"/>
    <w:rsid w:val="002E4E17"/>
    <w:rsid w:val="002E6A15"/>
    <w:rsid w:val="002E7589"/>
    <w:rsid w:val="00300B39"/>
    <w:rsid w:val="003027EE"/>
    <w:rsid w:val="0031165A"/>
    <w:rsid w:val="00313FF8"/>
    <w:rsid w:val="00314E85"/>
    <w:rsid w:val="00316C9B"/>
    <w:rsid w:val="0032388E"/>
    <w:rsid w:val="00330CB3"/>
    <w:rsid w:val="00342E9D"/>
    <w:rsid w:val="00343B14"/>
    <w:rsid w:val="00351894"/>
    <w:rsid w:val="00351D12"/>
    <w:rsid w:val="00361F3E"/>
    <w:rsid w:val="00373E46"/>
    <w:rsid w:val="00381889"/>
    <w:rsid w:val="00381DD4"/>
    <w:rsid w:val="003820D6"/>
    <w:rsid w:val="003A3C69"/>
    <w:rsid w:val="003A5075"/>
    <w:rsid w:val="003C0A85"/>
    <w:rsid w:val="003C3EC9"/>
    <w:rsid w:val="003C501F"/>
    <w:rsid w:val="003D71B5"/>
    <w:rsid w:val="003E51D8"/>
    <w:rsid w:val="003E637B"/>
    <w:rsid w:val="003F2666"/>
    <w:rsid w:val="003F32BB"/>
    <w:rsid w:val="00402529"/>
    <w:rsid w:val="004070A5"/>
    <w:rsid w:val="00414472"/>
    <w:rsid w:val="004201C7"/>
    <w:rsid w:val="004219EF"/>
    <w:rsid w:val="00422EEF"/>
    <w:rsid w:val="004251C4"/>
    <w:rsid w:val="00435921"/>
    <w:rsid w:val="004565B1"/>
    <w:rsid w:val="004608DE"/>
    <w:rsid w:val="004628B4"/>
    <w:rsid w:val="0046297D"/>
    <w:rsid w:val="004632F8"/>
    <w:rsid w:val="0047419B"/>
    <w:rsid w:val="00477BB6"/>
    <w:rsid w:val="00484F08"/>
    <w:rsid w:val="00485859"/>
    <w:rsid w:val="00492B32"/>
    <w:rsid w:val="00494B97"/>
    <w:rsid w:val="0049666A"/>
    <w:rsid w:val="004A14BB"/>
    <w:rsid w:val="004A569A"/>
    <w:rsid w:val="004B01D5"/>
    <w:rsid w:val="004B1527"/>
    <w:rsid w:val="004B5D81"/>
    <w:rsid w:val="004C1EB6"/>
    <w:rsid w:val="004C43B7"/>
    <w:rsid w:val="004C655E"/>
    <w:rsid w:val="004D0B5F"/>
    <w:rsid w:val="004D7A1B"/>
    <w:rsid w:val="004E34DF"/>
    <w:rsid w:val="004E57E0"/>
    <w:rsid w:val="004E5D53"/>
    <w:rsid w:val="00501D1C"/>
    <w:rsid w:val="0050468A"/>
    <w:rsid w:val="00505FE7"/>
    <w:rsid w:val="00507956"/>
    <w:rsid w:val="00515A00"/>
    <w:rsid w:val="00520922"/>
    <w:rsid w:val="00530720"/>
    <w:rsid w:val="00546932"/>
    <w:rsid w:val="00547B77"/>
    <w:rsid w:val="00554E34"/>
    <w:rsid w:val="00566EBF"/>
    <w:rsid w:val="0058445A"/>
    <w:rsid w:val="0058543D"/>
    <w:rsid w:val="00591EC4"/>
    <w:rsid w:val="005960F8"/>
    <w:rsid w:val="005A2184"/>
    <w:rsid w:val="005A3A13"/>
    <w:rsid w:val="005A48AA"/>
    <w:rsid w:val="005A4E13"/>
    <w:rsid w:val="005A61BF"/>
    <w:rsid w:val="005A7309"/>
    <w:rsid w:val="005B2312"/>
    <w:rsid w:val="005B58CE"/>
    <w:rsid w:val="005C516C"/>
    <w:rsid w:val="005C6D11"/>
    <w:rsid w:val="005C6DD8"/>
    <w:rsid w:val="005D2B7E"/>
    <w:rsid w:val="005D3DB4"/>
    <w:rsid w:val="005E7834"/>
    <w:rsid w:val="005F6EA8"/>
    <w:rsid w:val="006003C4"/>
    <w:rsid w:val="006013E0"/>
    <w:rsid w:val="00616602"/>
    <w:rsid w:val="006175DD"/>
    <w:rsid w:val="00622BA3"/>
    <w:rsid w:val="0062441E"/>
    <w:rsid w:val="00624662"/>
    <w:rsid w:val="00624B61"/>
    <w:rsid w:val="00631023"/>
    <w:rsid w:val="00633157"/>
    <w:rsid w:val="00636952"/>
    <w:rsid w:val="00641826"/>
    <w:rsid w:val="006442E9"/>
    <w:rsid w:val="00645F26"/>
    <w:rsid w:val="00652ECE"/>
    <w:rsid w:val="0066692A"/>
    <w:rsid w:val="00670509"/>
    <w:rsid w:val="00673B8F"/>
    <w:rsid w:val="00681534"/>
    <w:rsid w:val="00685D8C"/>
    <w:rsid w:val="00692386"/>
    <w:rsid w:val="006932C4"/>
    <w:rsid w:val="006A181C"/>
    <w:rsid w:val="006A4563"/>
    <w:rsid w:val="006C1926"/>
    <w:rsid w:val="006C66C3"/>
    <w:rsid w:val="006D3566"/>
    <w:rsid w:val="006E55D0"/>
    <w:rsid w:val="006E6F85"/>
    <w:rsid w:val="006F0822"/>
    <w:rsid w:val="006F612D"/>
    <w:rsid w:val="0070625D"/>
    <w:rsid w:val="007111AE"/>
    <w:rsid w:val="007156C9"/>
    <w:rsid w:val="00722203"/>
    <w:rsid w:val="00730C82"/>
    <w:rsid w:val="00735CBB"/>
    <w:rsid w:val="00740C60"/>
    <w:rsid w:val="007445A7"/>
    <w:rsid w:val="00755B7A"/>
    <w:rsid w:val="00766144"/>
    <w:rsid w:val="00772A57"/>
    <w:rsid w:val="00774BA5"/>
    <w:rsid w:val="00775140"/>
    <w:rsid w:val="007755CD"/>
    <w:rsid w:val="00776067"/>
    <w:rsid w:val="00781515"/>
    <w:rsid w:val="007853DB"/>
    <w:rsid w:val="00794736"/>
    <w:rsid w:val="007949A3"/>
    <w:rsid w:val="007A3D28"/>
    <w:rsid w:val="007A5ABB"/>
    <w:rsid w:val="007B4380"/>
    <w:rsid w:val="007B648D"/>
    <w:rsid w:val="007B7A34"/>
    <w:rsid w:val="007C24DE"/>
    <w:rsid w:val="007D22A2"/>
    <w:rsid w:val="007E09BF"/>
    <w:rsid w:val="007E0AC9"/>
    <w:rsid w:val="007E3649"/>
    <w:rsid w:val="007E6E63"/>
    <w:rsid w:val="007E78B4"/>
    <w:rsid w:val="007F0CCC"/>
    <w:rsid w:val="00805276"/>
    <w:rsid w:val="00811A77"/>
    <w:rsid w:val="008154E2"/>
    <w:rsid w:val="008311AC"/>
    <w:rsid w:val="00834076"/>
    <w:rsid w:val="00846050"/>
    <w:rsid w:val="00850068"/>
    <w:rsid w:val="008600BF"/>
    <w:rsid w:val="00860D5D"/>
    <w:rsid w:val="00861D50"/>
    <w:rsid w:val="00865123"/>
    <w:rsid w:val="00881551"/>
    <w:rsid w:val="0088454C"/>
    <w:rsid w:val="00884567"/>
    <w:rsid w:val="00893982"/>
    <w:rsid w:val="00893DFC"/>
    <w:rsid w:val="00897693"/>
    <w:rsid w:val="008A4B0D"/>
    <w:rsid w:val="008A76CD"/>
    <w:rsid w:val="008C023B"/>
    <w:rsid w:val="008D52D0"/>
    <w:rsid w:val="008E1550"/>
    <w:rsid w:val="008F4358"/>
    <w:rsid w:val="008F7BD3"/>
    <w:rsid w:val="00910A83"/>
    <w:rsid w:val="009113D8"/>
    <w:rsid w:val="00911C31"/>
    <w:rsid w:val="00925C37"/>
    <w:rsid w:val="00937D19"/>
    <w:rsid w:val="00941D93"/>
    <w:rsid w:val="00941FF1"/>
    <w:rsid w:val="009473A8"/>
    <w:rsid w:val="00950690"/>
    <w:rsid w:val="00952FDF"/>
    <w:rsid w:val="00954320"/>
    <w:rsid w:val="00954350"/>
    <w:rsid w:val="00954A92"/>
    <w:rsid w:val="00974884"/>
    <w:rsid w:val="00976A68"/>
    <w:rsid w:val="00980072"/>
    <w:rsid w:val="00991D28"/>
    <w:rsid w:val="00992401"/>
    <w:rsid w:val="0099555F"/>
    <w:rsid w:val="009A0FD4"/>
    <w:rsid w:val="009A43CB"/>
    <w:rsid w:val="009B0881"/>
    <w:rsid w:val="009B3212"/>
    <w:rsid w:val="009B3AC5"/>
    <w:rsid w:val="009C242F"/>
    <w:rsid w:val="009E68EF"/>
    <w:rsid w:val="009E7B6E"/>
    <w:rsid w:val="009F1665"/>
    <w:rsid w:val="009F7654"/>
    <w:rsid w:val="00A05A18"/>
    <w:rsid w:val="00A0721C"/>
    <w:rsid w:val="00A1208C"/>
    <w:rsid w:val="00A20194"/>
    <w:rsid w:val="00A40322"/>
    <w:rsid w:val="00A42415"/>
    <w:rsid w:val="00A4542E"/>
    <w:rsid w:val="00A474FB"/>
    <w:rsid w:val="00A47C70"/>
    <w:rsid w:val="00A505D2"/>
    <w:rsid w:val="00A75470"/>
    <w:rsid w:val="00A7760C"/>
    <w:rsid w:val="00A856C6"/>
    <w:rsid w:val="00A8621A"/>
    <w:rsid w:val="00A868EE"/>
    <w:rsid w:val="00A97651"/>
    <w:rsid w:val="00AA0CC2"/>
    <w:rsid w:val="00AA5E19"/>
    <w:rsid w:val="00AA5E4F"/>
    <w:rsid w:val="00AB504A"/>
    <w:rsid w:val="00AB5CCD"/>
    <w:rsid w:val="00AD1FAE"/>
    <w:rsid w:val="00AD3426"/>
    <w:rsid w:val="00AD5C9D"/>
    <w:rsid w:val="00AD6026"/>
    <w:rsid w:val="00AD636D"/>
    <w:rsid w:val="00AE777B"/>
    <w:rsid w:val="00AF55A6"/>
    <w:rsid w:val="00AF74FB"/>
    <w:rsid w:val="00B03CF1"/>
    <w:rsid w:val="00B04216"/>
    <w:rsid w:val="00B07C6A"/>
    <w:rsid w:val="00B126FD"/>
    <w:rsid w:val="00B2055A"/>
    <w:rsid w:val="00B30643"/>
    <w:rsid w:val="00B31DAD"/>
    <w:rsid w:val="00B33C07"/>
    <w:rsid w:val="00B36805"/>
    <w:rsid w:val="00B37BE8"/>
    <w:rsid w:val="00B46CBE"/>
    <w:rsid w:val="00B56419"/>
    <w:rsid w:val="00B62511"/>
    <w:rsid w:val="00B844CA"/>
    <w:rsid w:val="00B965B8"/>
    <w:rsid w:val="00B97EDE"/>
    <w:rsid w:val="00BA5A52"/>
    <w:rsid w:val="00BC1640"/>
    <w:rsid w:val="00BC2A7F"/>
    <w:rsid w:val="00BD2E40"/>
    <w:rsid w:val="00BE4C0A"/>
    <w:rsid w:val="00BE685F"/>
    <w:rsid w:val="00BF24CB"/>
    <w:rsid w:val="00BF2E1B"/>
    <w:rsid w:val="00BF6234"/>
    <w:rsid w:val="00C04B37"/>
    <w:rsid w:val="00C17159"/>
    <w:rsid w:val="00C27EE4"/>
    <w:rsid w:val="00C3540B"/>
    <w:rsid w:val="00C37D98"/>
    <w:rsid w:val="00C4598A"/>
    <w:rsid w:val="00C5644B"/>
    <w:rsid w:val="00C5690A"/>
    <w:rsid w:val="00C56BEE"/>
    <w:rsid w:val="00C6284A"/>
    <w:rsid w:val="00C679FF"/>
    <w:rsid w:val="00C67B84"/>
    <w:rsid w:val="00C70429"/>
    <w:rsid w:val="00C737D1"/>
    <w:rsid w:val="00C87DB4"/>
    <w:rsid w:val="00C924FA"/>
    <w:rsid w:val="00CA1868"/>
    <w:rsid w:val="00CA6BA5"/>
    <w:rsid w:val="00CA7620"/>
    <w:rsid w:val="00CB3582"/>
    <w:rsid w:val="00CB5F41"/>
    <w:rsid w:val="00CB68B1"/>
    <w:rsid w:val="00CC100C"/>
    <w:rsid w:val="00CC1DD0"/>
    <w:rsid w:val="00CC332E"/>
    <w:rsid w:val="00CE30E2"/>
    <w:rsid w:val="00CE3C5D"/>
    <w:rsid w:val="00CE4FDC"/>
    <w:rsid w:val="00CF08D6"/>
    <w:rsid w:val="00CF5F37"/>
    <w:rsid w:val="00D0237C"/>
    <w:rsid w:val="00D079F2"/>
    <w:rsid w:val="00D20F13"/>
    <w:rsid w:val="00D31379"/>
    <w:rsid w:val="00D32497"/>
    <w:rsid w:val="00D35BB4"/>
    <w:rsid w:val="00D43730"/>
    <w:rsid w:val="00D5126C"/>
    <w:rsid w:val="00D52FA4"/>
    <w:rsid w:val="00D55871"/>
    <w:rsid w:val="00D65E75"/>
    <w:rsid w:val="00D70001"/>
    <w:rsid w:val="00D7332A"/>
    <w:rsid w:val="00D82DF0"/>
    <w:rsid w:val="00D87313"/>
    <w:rsid w:val="00D950D0"/>
    <w:rsid w:val="00DA3191"/>
    <w:rsid w:val="00DB0079"/>
    <w:rsid w:val="00DB1904"/>
    <w:rsid w:val="00DB3867"/>
    <w:rsid w:val="00DB3CD0"/>
    <w:rsid w:val="00DB7280"/>
    <w:rsid w:val="00DC60D5"/>
    <w:rsid w:val="00DD0F9B"/>
    <w:rsid w:val="00DD4EA0"/>
    <w:rsid w:val="00DD7100"/>
    <w:rsid w:val="00E00E64"/>
    <w:rsid w:val="00E1119B"/>
    <w:rsid w:val="00E12744"/>
    <w:rsid w:val="00E153F9"/>
    <w:rsid w:val="00E26124"/>
    <w:rsid w:val="00E31E0E"/>
    <w:rsid w:val="00E34D4B"/>
    <w:rsid w:val="00E36414"/>
    <w:rsid w:val="00E41693"/>
    <w:rsid w:val="00E568C8"/>
    <w:rsid w:val="00E57B28"/>
    <w:rsid w:val="00E6154C"/>
    <w:rsid w:val="00E630CF"/>
    <w:rsid w:val="00E6402C"/>
    <w:rsid w:val="00E64790"/>
    <w:rsid w:val="00E70457"/>
    <w:rsid w:val="00E7376E"/>
    <w:rsid w:val="00E909E7"/>
    <w:rsid w:val="00E925DE"/>
    <w:rsid w:val="00E93E47"/>
    <w:rsid w:val="00E976A7"/>
    <w:rsid w:val="00EA2ED5"/>
    <w:rsid w:val="00EA487F"/>
    <w:rsid w:val="00EA48AF"/>
    <w:rsid w:val="00EC3F28"/>
    <w:rsid w:val="00EC532F"/>
    <w:rsid w:val="00EC56A1"/>
    <w:rsid w:val="00EC5A1E"/>
    <w:rsid w:val="00EC6CDA"/>
    <w:rsid w:val="00EC74AB"/>
    <w:rsid w:val="00ED3730"/>
    <w:rsid w:val="00ED45C7"/>
    <w:rsid w:val="00EE6523"/>
    <w:rsid w:val="00EF57D4"/>
    <w:rsid w:val="00EF6B98"/>
    <w:rsid w:val="00F06C4C"/>
    <w:rsid w:val="00F13555"/>
    <w:rsid w:val="00F15E23"/>
    <w:rsid w:val="00F354D2"/>
    <w:rsid w:val="00F43F5A"/>
    <w:rsid w:val="00F50738"/>
    <w:rsid w:val="00F552C1"/>
    <w:rsid w:val="00F700A4"/>
    <w:rsid w:val="00F74830"/>
    <w:rsid w:val="00F74D26"/>
    <w:rsid w:val="00F7583D"/>
    <w:rsid w:val="00FA116B"/>
    <w:rsid w:val="00FA743A"/>
    <w:rsid w:val="00FB6218"/>
    <w:rsid w:val="00FB74DA"/>
    <w:rsid w:val="00FC05D5"/>
    <w:rsid w:val="00FD3F47"/>
    <w:rsid w:val="00FF7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C"/>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6003C4"/>
    <w:pPr>
      <w:keepNext/>
      <w:spacing w:line="480" w:lineRule="auto"/>
      <w:jc w:val="center"/>
      <w:outlineLvl w:val="0"/>
    </w:pPr>
    <w:rPr>
      <w:rFonts w:ascii="Times New Roman" w:hAnsi="Times New Roman"/>
      <w:b/>
      <w:bCs/>
      <w:szCs w:val="24"/>
    </w:rPr>
  </w:style>
  <w:style w:type="paragraph" w:styleId="Heading2">
    <w:name w:val="heading 2"/>
    <w:basedOn w:val="Normal"/>
    <w:next w:val="Normal"/>
    <w:link w:val="Heading2Char"/>
    <w:qFormat/>
    <w:rsid w:val="006003C4"/>
    <w:pPr>
      <w:keepNext/>
      <w:spacing w:line="480" w:lineRule="auto"/>
      <w:outlineLvl w:val="1"/>
    </w:pPr>
    <w:rPr>
      <w:rFonts w:ascii="Times New Roman" w:hAnsi="Times New Roman"/>
      <w:b/>
      <w:bCs/>
      <w:szCs w:val="24"/>
    </w:rPr>
  </w:style>
  <w:style w:type="paragraph" w:styleId="Heading7">
    <w:name w:val="heading 7"/>
    <w:basedOn w:val="Normal"/>
    <w:next w:val="Normal"/>
    <w:link w:val="Heading7Char"/>
    <w:uiPriority w:val="9"/>
    <w:semiHidden/>
    <w:unhideWhenUsed/>
    <w:qFormat/>
    <w:rsid w:val="006003C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1C22EC"/>
    <w:rPr>
      <w:position w:val="6"/>
      <w:sz w:val="16"/>
      <w:szCs w:val="16"/>
    </w:rPr>
  </w:style>
  <w:style w:type="paragraph" w:styleId="FootnoteText">
    <w:name w:val="footnote text"/>
    <w:basedOn w:val="Normal"/>
    <w:link w:val="FootnoteTextChar"/>
    <w:semiHidden/>
    <w:rsid w:val="001C22EC"/>
    <w:rPr>
      <w:rFonts w:ascii="Times New Roman" w:hAnsi="Times New Roman"/>
    </w:rPr>
  </w:style>
  <w:style w:type="character" w:customStyle="1" w:styleId="FootnoteTextChar">
    <w:name w:val="Footnote Text Char"/>
    <w:basedOn w:val="DefaultParagraphFont"/>
    <w:link w:val="FootnoteText"/>
    <w:semiHidden/>
    <w:rsid w:val="001C22EC"/>
    <w:rPr>
      <w:rFonts w:ascii="Times New Roman" w:eastAsia="Times New Roman" w:hAnsi="Times New Roman" w:cs="Times New Roman"/>
      <w:sz w:val="24"/>
      <w:szCs w:val="20"/>
    </w:rPr>
  </w:style>
  <w:style w:type="paragraph" w:styleId="Footer">
    <w:name w:val="footer"/>
    <w:basedOn w:val="Normal"/>
    <w:link w:val="FooterChar"/>
    <w:semiHidden/>
    <w:rsid w:val="001C22EC"/>
    <w:pPr>
      <w:tabs>
        <w:tab w:val="center" w:pos="4320"/>
        <w:tab w:val="right" w:pos="8640"/>
      </w:tabs>
    </w:pPr>
  </w:style>
  <w:style w:type="character" w:customStyle="1" w:styleId="FooterChar">
    <w:name w:val="Footer Char"/>
    <w:basedOn w:val="DefaultParagraphFont"/>
    <w:link w:val="Footer"/>
    <w:semiHidden/>
    <w:rsid w:val="001C22EC"/>
    <w:rPr>
      <w:rFonts w:ascii="Times" w:eastAsia="Times New Roman" w:hAnsi="Times" w:cs="Times New Roman"/>
      <w:sz w:val="24"/>
      <w:szCs w:val="20"/>
    </w:rPr>
  </w:style>
  <w:style w:type="character" w:styleId="PageNumber">
    <w:name w:val="page number"/>
    <w:basedOn w:val="DefaultParagraphFont"/>
    <w:semiHidden/>
    <w:rsid w:val="001C22EC"/>
  </w:style>
  <w:style w:type="paragraph" w:styleId="ListParagraph">
    <w:name w:val="List Paragraph"/>
    <w:basedOn w:val="Normal"/>
    <w:uiPriority w:val="34"/>
    <w:qFormat/>
    <w:rsid w:val="00F74830"/>
    <w:pPr>
      <w:ind w:left="720"/>
      <w:contextualSpacing/>
    </w:pPr>
  </w:style>
  <w:style w:type="character" w:customStyle="1" w:styleId="Heading1Char">
    <w:name w:val="Heading 1 Char"/>
    <w:basedOn w:val="DefaultParagraphFont"/>
    <w:link w:val="Heading1"/>
    <w:rsid w:val="006003C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03C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6003C4"/>
    <w:rPr>
      <w:rFonts w:ascii="Calibri" w:eastAsia="Times New Roman" w:hAnsi="Calibri" w:cs="Times New Roman"/>
      <w:sz w:val="24"/>
      <w:szCs w:val="24"/>
    </w:rPr>
  </w:style>
  <w:style w:type="paragraph" w:customStyle="1" w:styleId="Style1">
    <w:name w:val="Style1"/>
    <w:basedOn w:val="Normal"/>
    <w:rsid w:val="006003C4"/>
    <w:pPr>
      <w:spacing w:before="28"/>
      <w:ind w:right="90"/>
    </w:pPr>
    <w:rPr>
      <w:rFonts w:ascii="Times New Roman" w:hAnsi="Times New Roman"/>
      <w:sz w:val="19"/>
      <w:szCs w:val="19"/>
    </w:rPr>
  </w:style>
  <w:style w:type="paragraph" w:styleId="Header">
    <w:name w:val="header"/>
    <w:basedOn w:val="Normal"/>
    <w:link w:val="HeaderChar"/>
    <w:semiHidden/>
    <w:rsid w:val="006003C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semiHidden/>
    <w:rsid w:val="006003C4"/>
    <w:rPr>
      <w:rFonts w:ascii="Times New Roman" w:eastAsia="Times New Roman" w:hAnsi="Times New Roman" w:cs="Times New Roman"/>
      <w:sz w:val="24"/>
      <w:szCs w:val="24"/>
    </w:rPr>
  </w:style>
  <w:style w:type="paragraph" w:styleId="BlockText">
    <w:name w:val="Block Text"/>
    <w:basedOn w:val="Normal"/>
    <w:semiHidden/>
    <w:rsid w:val="006003C4"/>
    <w:pPr>
      <w:ind w:left="720" w:right="720" w:firstLine="720"/>
      <w:jc w:val="both"/>
    </w:pPr>
    <w:rPr>
      <w:rFonts w:ascii="Times New Roman" w:hAnsi="Times New Roman"/>
      <w:szCs w:val="24"/>
    </w:rPr>
  </w:style>
  <w:style w:type="paragraph" w:styleId="BodyText">
    <w:name w:val="Body Text"/>
    <w:basedOn w:val="Normal"/>
    <w:link w:val="BodyTextChar"/>
    <w:semiHidden/>
    <w:rsid w:val="006003C4"/>
    <w:pPr>
      <w:spacing w:line="480" w:lineRule="auto"/>
      <w:jc w:val="both"/>
    </w:pPr>
    <w:rPr>
      <w:rFonts w:ascii="Times New Roman" w:hAnsi="Times New Roman"/>
      <w:szCs w:val="24"/>
    </w:rPr>
  </w:style>
  <w:style w:type="character" w:customStyle="1" w:styleId="BodyTextChar">
    <w:name w:val="Body Text Char"/>
    <w:basedOn w:val="DefaultParagraphFont"/>
    <w:link w:val="BodyText"/>
    <w:semiHidden/>
    <w:rsid w:val="006003C4"/>
    <w:rPr>
      <w:rFonts w:ascii="Times New Roman" w:eastAsia="Times New Roman" w:hAnsi="Times New Roman" w:cs="Times New Roman"/>
      <w:sz w:val="24"/>
      <w:szCs w:val="24"/>
    </w:rPr>
  </w:style>
  <w:style w:type="paragraph" w:customStyle="1" w:styleId="Level1">
    <w:name w:val="Level 1"/>
    <w:uiPriority w:val="99"/>
    <w:rsid w:val="006003C4"/>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6003C4"/>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Pr>
      <w:rFonts w:ascii="Times New Roman" w:hAnsi="Times New Roman"/>
      <w:szCs w:val="24"/>
    </w:rPr>
  </w:style>
  <w:style w:type="character" w:customStyle="1" w:styleId="BodyTextIndentChar">
    <w:name w:val="Body Text Indent Char"/>
    <w:basedOn w:val="DefaultParagraphFont"/>
    <w:link w:val="BodyTextIndent"/>
    <w:semiHidden/>
    <w:rsid w:val="006003C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003C4"/>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rPr>
      <w:rFonts w:ascii="Times New Roman" w:hAnsi="Times New Roman"/>
      <w:szCs w:val="24"/>
    </w:rPr>
  </w:style>
  <w:style w:type="character" w:customStyle="1" w:styleId="BodyTextIndent2Char">
    <w:name w:val="Body Text Indent 2 Char"/>
    <w:basedOn w:val="DefaultParagraphFont"/>
    <w:link w:val="BodyTextIndent2"/>
    <w:semiHidden/>
    <w:rsid w:val="006003C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003C4"/>
    <w:pPr>
      <w:spacing w:line="480" w:lineRule="auto"/>
      <w:ind w:firstLine="720"/>
      <w:jc w:val="both"/>
    </w:pPr>
    <w:rPr>
      <w:rFonts w:ascii="Times New Roman" w:hAnsi="Times New Roman"/>
      <w:szCs w:val="24"/>
    </w:rPr>
  </w:style>
  <w:style w:type="character" w:customStyle="1" w:styleId="BodyTextIndent3Char">
    <w:name w:val="Body Text Indent 3 Char"/>
    <w:basedOn w:val="DefaultParagraphFont"/>
    <w:link w:val="BodyTextIndent3"/>
    <w:semiHidden/>
    <w:rsid w:val="006003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3C4"/>
    <w:rPr>
      <w:rFonts w:ascii="Tahoma" w:hAnsi="Tahoma" w:cs="Tahoma"/>
      <w:sz w:val="16"/>
      <w:szCs w:val="16"/>
    </w:rPr>
  </w:style>
  <w:style w:type="character" w:customStyle="1" w:styleId="BalloonTextChar">
    <w:name w:val="Balloon Text Char"/>
    <w:basedOn w:val="DefaultParagraphFont"/>
    <w:link w:val="BalloonText"/>
    <w:uiPriority w:val="99"/>
    <w:semiHidden/>
    <w:rsid w:val="006003C4"/>
    <w:rPr>
      <w:rFonts w:ascii="Tahoma" w:eastAsia="Times New Roman" w:hAnsi="Tahoma" w:cs="Tahoma"/>
      <w:sz w:val="16"/>
      <w:szCs w:val="16"/>
    </w:rPr>
  </w:style>
  <w:style w:type="character" w:styleId="Hyperlink">
    <w:name w:val="Hyperlink"/>
    <w:basedOn w:val="DefaultParagraphFont"/>
    <w:uiPriority w:val="99"/>
    <w:semiHidden/>
    <w:unhideWhenUsed/>
    <w:rsid w:val="006003C4"/>
    <w:rPr>
      <w:color w:val="0000FF"/>
      <w:u w:val="single"/>
    </w:rPr>
  </w:style>
  <w:style w:type="character" w:customStyle="1" w:styleId="pmterms21">
    <w:name w:val="pmterms21"/>
    <w:basedOn w:val="DefaultParagraphFont"/>
    <w:rsid w:val="006003C4"/>
    <w:rPr>
      <w:b/>
      <w:bCs/>
      <w:i w:val="0"/>
      <w:iCs w:val="0"/>
      <w:color w:val="000000"/>
    </w:rPr>
  </w:style>
  <w:style w:type="character" w:customStyle="1" w:styleId="pmterms31">
    <w:name w:val="pmterms31"/>
    <w:basedOn w:val="DefaultParagraphFont"/>
    <w:rsid w:val="006003C4"/>
    <w:rPr>
      <w:b/>
      <w:bCs/>
      <w:i w:val="0"/>
      <w:iCs w:val="0"/>
      <w:color w:val="000000"/>
    </w:rPr>
  </w:style>
  <w:style w:type="character" w:customStyle="1" w:styleId="pmterms11">
    <w:name w:val="pmterms11"/>
    <w:basedOn w:val="DefaultParagraphFont"/>
    <w:rsid w:val="006003C4"/>
    <w:rPr>
      <w:b/>
      <w:bCs/>
      <w:i w:val="0"/>
      <w:iCs w:val="0"/>
      <w:color w:val="000000"/>
    </w:rPr>
  </w:style>
</w:styles>
</file>

<file path=word/webSettings.xml><?xml version="1.0" encoding="utf-8"?>
<w:webSettings xmlns:r="http://schemas.openxmlformats.org/officeDocument/2006/relationships" xmlns:w="http://schemas.openxmlformats.org/wordprocessingml/2006/main">
  <w:divs>
    <w:div w:id="11785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FDAA-2399-4318-BEC0-70C6B2D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Epstein</dc:creator>
  <cp:keywords/>
  <dc:description/>
  <cp:lastModifiedBy>Mina Ruiz</cp:lastModifiedBy>
  <cp:revision>2</cp:revision>
  <cp:lastPrinted>2010-03-11T17:58:00Z</cp:lastPrinted>
  <dcterms:created xsi:type="dcterms:W3CDTF">2010-03-15T21:36:00Z</dcterms:created>
  <dcterms:modified xsi:type="dcterms:W3CDTF">2010-03-15T21:36:00Z</dcterms:modified>
</cp:coreProperties>
</file>