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43" w:rsidRDefault="003C3943">
      <w:pPr>
        <w:spacing w:line="235" w:lineRule="exact"/>
        <w:rPr>
          <w:rFonts w:cs="Times New Roman"/>
          <w:b/>
          <w:bCs/>
        </w:rPr>
      </w:pPr>
      <w:r>
        <w:rPr>
          <w:rFonts w:cs="Times New Roman"/>
          <w:b/>
          <w:bCs/>
          <w:lang w:val="en-CA"/>
        </w:rPr>
        <w:t>PUBLIC MATTER – NOT DESIGNATED FOR PUBLICATION</w:t>
      </w:r>
    </w:p>
    <w:p w:rsidR="003C3943" w:rsidRDefault="003C3943">
      <w:pPr>
        <w:spacing w:line="235" w:lineRule="exact"/>
        <w:rPr>
          <w:rFonts w:cs="Times New Roman"/>
          <w:b/>
          <w:bCs/>
        </w:rPr>
      </w:pPr>
    </w:p>
    <w:p w:rsidR="003C3943" w:rsidRDefault="003C3943">
      <w:pPr>
        <w:spacing w:line="235" w:lineRule="exact"/>
        <w:rPr>
          <w:rFonts w:cs="Times New Roman"/>
          <w:b/>
          <w:bCs/>
        </w:rPr>
      </w:pPr>
    </w:p>
    <w:p w:rsidR="003C3943" w:rsidRDefault="009C1075">
      <w:pPr>
        <w:spacing w:line="235" w:lineRule="exact"/>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Filed April 24, 2009</w:t>
      </w:r>
    </w:p>
    <w:p w:rsidR="003C3943" w:rsidRDefault="003C3943">
      <w:pPr>
        <w:spacing w:line="235" w:lineRule="exact"/>
        <w:rPr>
          <w:rFonts w:cs="Times New Roman"/>
          <w:b/>
          <w:bCs/>
        </w:rPr>
      </w:pPr>
    </w:p>
    <w:p w:rsidR="00766F86" w:rsidRDefault="00766F86">
      <w:pPr>
        <w:spacing w:line="235" w:lineRule="exact"/>
        <w:rPr>
          <w:rFonts w:cs="Times New Roman"/>
          <w:b/>
          <w:bCs/>
        </w:rPr>
      </w:pPr>
    </w:p>
    <w:p w:rsidR="003C3943" w:rsidRDefault="003C3943">
      <w:pPr>
        <w:spacing w:line="235" w:lineRule="exact"/>
        <w:rPr>
          <w:rFonts w:cs="Times New Roman"/>
          <w:b/>
          <w:bCs/>
        </w:rPr>
      </w:pPr>
    </w:p>
    <w:p w:rsidR="003C3943" w:rsidRDefault="003C3943">
      <w:pPr>
        <w:spacing w:line="235" w:lineRule="exact"/>
        <w:rPr>
          <w:rFonts w:cs="Times New Roman"/>
          <w:b/>
          <w:bCs/>
        </w:rPr>
      </w:pPr>
    </w:p>
    <w:p w:rsidR="003C3943" w:rsidRDefault="003C3943">
      <w:pPr>
        <w:spacing w:line="235" w:lineRule="exact"/>
        <w:jc w:val="center"/>
        <w:rPr>
          <w:rFonts w:cs="Times New Roman"/>
          <w:b/>
          <w:bCs/>
        </w:rPr>
      </w:pPr>
      <w:r>
        <w:rPr>
          <w:rFonts w:cs="Times New Roman"/>
          <w:b/>
          <w:bCs/>
        </w:rPr>
        <w:t>REVIEW DEPARTMENT OF THE STATE BAR COURT</w:t>
      </w:r>
    </w:p>
    <w:p w:rsidR="003C3943" w:rsidRDefault="003C3943">
      <w:pPr>
        <w:spacing w:line="235" w:lineRule="exact"/>
        <w:rPr>
          <w:rFonts w:cs="Times New Roman"/>
        </w:rPr>
      </w:pPr>
    </w:p>
    <w:p w:rsidR="003C3943" w:rsidRDefault="003C3943">
      <w:pPr>
        <w:spacing w:line="62" w:lineRule="exact"/>
        <w:rPr>
          <w:rFonts w:cs="Times New Roman"/>
        </w:rPr>
      </w:pPr>
    </w:p>
    <w:p w:rsidR="003C3943" w:rsidRDefault="003C3943">
      <w:pPr>
        <w:spacing w:line="235" w:lineRule="exact"/>
        <w:rPr>
          <w:rFonts w:cs="Times New Roman"/>
        </w:rPr>
      </w:pPr>
    </w:p>
    <w:tbl>
      <w:tblPr>
        <w:tblW w:w="9360" w:type="dxa"/>
        <w:tblInd w:w="2" w:type="dxa"/>
        <w:tblLayout w:type="fixed"/>
        <w:tblCellMar>
          <w:left w:w="0" w:type="dxa"/>
          <w:right w:w="0" w:type="dxa"/>
        </w:tblCellMar>
        <w:tblLook w:val="0000"/>
      </w:tblPr>
      <w:tblGrid>
        <w:gridCol w:w="4320"/>
        <w:gridCol w:w="1072"/>
        <w:gridCol w:w="3968"/>
      </w:tblGrid>
      <w:tr w:rsidR="003C3943">
        <w:trPr>
          <w:cantSplit/>
          <w:trHeight w:val="535"/>
        </w:trPr>
        <w:tc>
          <w:tcPr>
            <w:tcW w:w="4320" w:type="dxa"/>
            <w:vMerge w:val="restart"/>
            <w:tcBorders>
              <w:top w:val="nil"/>
              <w:left w:val="nil"/>
              <w:bottom w:val="single" w:sz="6" w:space="0" w:color="000000"/>
              <w:right w:val="nil"/>
            </w:tcBorders>
          </w:tcPr>
          <w:p w:rsidR="003C3943" w:rsidRDefault="003C3943">
            <w:pPr>
              <w:spacing w:before="30" w:line="235" w:lineRule="exact"/>
              <w:rPr>
                <w:rFonts w:cs="Times New Roman"/>
              </w:rPr>
            </w:pPr>
            <w:r>
              <w:rPr>
                <w:rFonts w:cs="Times New Roman"/>
              </w:rPr>
              <w:t>In the Matter of</w:t>
            </w:r>
          </w:p>
          <w:p w:rsidR="003C3943" w:rsidRDefault="003C3943">
            <w:pPr>
              <w:spacing w:line="235" w:lineRule="exact"/>
              <w:rPr>
                <w:rFonts w:cs="Times New Roman"/>
              </w:rPr>
            </w:pPr>
          </w:p>
          <w:p w:rsidR="003C3943" w:rsidRDefault="003C3943">
            <w:pPr>
              <w:spacing w:line="235" w:lineRule="exact"/>
              <w:rPr>
                <w:rFonts w:cs="Times New Roman"/>
                <w:b/>
                <w:bCs/>
              </w:rPr>
            </w:pPr>
            <w:bookmarkStart w:id="0" w:name="respondent"/>
            <w:bookmarkEnd w:id="0"/>
            <w:r>
              <w:rPr>
                <w:rFonts w:cs="Times New Roman"/>
                <w:b/>
                <w:bCs/>
              </w:rPr>
              <w:t>KURT KEVIN ROBINSON</w:t>
            </w:r>
          </w:p>
          <w:p w:rsidR="003C3943" w:rsidRDefault="003C3943">
            <w:pPr>
              <w:spacing w:line="235" w:lineRule="exact"/>
              <w:rPr>
                <w:rFonts w:cs="Times New Roman"/>
              </w:rPr>
            </w:pPr>
          </w:p>
          <w:p w:rsidR="003C3943" w:rsidRDefault="003C3943">
            <w:pPr>
              <w:spacing w:line="235" w:lineRule="exact"/>
              <w:rPr>
                <w:rFonts w:cs="Times New Roman"/>
              </w:rPr>
            </w:pPr>
            <w:bookmarkStart w:id="1" w:name="type"/>
            <w:bookmarkEnd w:id="1"/>
            <w:r>
              <w:rPr>
                <w:rFonts w:cs="Times New Roman"/>
              </w:rPr>
              <w:t>A Member of the State Bar.</w:t>
            </w:r>
          </w:p>
        </w:tc>
        <w:tc>
          <w:tcPr>
            <w:tcW w:w="1072" w:type="dxa"/>
            <w:vMerge w:val="restart"/>
            <w:tcBorders>
              <w:top w:val="nil"/>
              <w:left w:val="nil"/>
              <w:bottom w:val="nil"/>
              <w:right w:val="nil"/>
            </w:tcBorders>
          </w:tcPr>
          <w:p w:rsidR="003C3943" w:rsidRDefault="003C3943">
            <w:pPr>
              <w:spacing w:before="30" w:line="235" w:lineRule="exact"/>
              <w:rPr>
                <w:rFonts w:cs="Times New Roman"/>
              </w:rPr>
            </w:pPr>
            <w:r>
              <w:rPr>
                <w:rFonts w:cs="Times New Roman"/>
              </w:rPr>
              <w:t>)</w:t>
            </w:r>
          </w:p>
          <w:p w:rsidR="003C3943" w:rsidRDefault="003C3943">
            <w:pPr>
              <w:spacing w:line="235" w:lineRule="exact"/>
              <w:rPr>
                <w:rFonts w:cs="Times New Roman"/>
              </w:rPr>
            </w:pPr>
            <w:r>
              <w:rPr>
                <w:rFonts w:cs="Times New Roman"/>
              </w:rPr>
              <w:t>)</w:t>
            </w:r>
          </w:p>
          <w:p w:rsidR="003C3943" w:rsidRDefault="003C3943">
            <w:pPr>
              <w:spacing w:line="235" w:lineRule="exact"/>
              <w:rPr>
                <w:rFonts w:cs="Times New Roman"/>
              </w:rPr>
            </w:pPr>
            <w:r>
              <w:rPr>
                <w:rFonts w:cs="Times New Roman"/>
              </w:rPr>
              <w:t>)</w:t>
            </w:r>
          </w:p>
          <w:p w:rsidR="003C3943" w:rsidRDefault="003C3943">
            <w:pPr>
              <w:spacing w:line="235" w:lineRule="exact"/>
              <w:rPr>
                <w:rFonts w:cs="Times New Roman"/>
              </w:rPr>
            </w:pPr>
            <w:r>
              <w:rPr>
                <w:rFonts w:cs="Times New Roman"/>
              </w:rPr>
              <w:t>)</w:t>
            </w:r>
          </w:p>
          <w:p w:rsidR="003C3943" w:rsidRDefault="003C3943">
            <w:pPr>
              <w:spacing w:line="235" w:lineRule="exact"/>
              <w:rPr>
                <w:rFonts w:cs="Times New Roman"/>
              </w:rPr>
            </w:pPr>
            <w:r>
              <w:rPr>
                <w:rFonts w:cs="Times New Roman"/>
              </w:rPr>
              <w:t>)</w:t>
            </w:r>
          </w:p>
          <w:p w:rsidR="003C3943" w:rsidRDefault="003C3943" w:rsidP="00397905">
            <w:pPr>
              <w:spacing w:line="235" w:lineRule="exact"/>
              <w:rPr>
                <w:rFonts w:cs="Times New Roman"/>
              </w:rPr>
            </w:pPr>
            <w:r>
              <w:rPr>
                <w:rFonts w:cs="Times New Roman"/>
              </w:rPr>
              <w:t>)</w:t>
            </w:r>
          </w:p>
        </w:tc>
        <w:tc>
          <w:tcPr>
            <w:tcW w:w="3968" w:type="dxa"/>
            <w:vMerge w:val="restart"/>
            <w:tcBorders>
              <w:top w:val="nil"/>
              <w:left w:val="nil"/>
              <w:bottom w:val="nil"/>
              <w:right w:val="nil"/>
            </w:tcBorders>
          </w:tcPr>
          <w:p w:rsidR="003C3943" w:rsidRDefault="003C3943">
            <w:pPr>
              <w:spacing w:before="30" w:line="235" w:lineRule="exact"/>
              <w:rPr>
                <w:rFonts w:cs="Times New Roman"/>
                <w:b/>
                <w:bCs/>
              </w:rPr>
            </w:pPr>
            <w:bookmarkStart w:id="2" w:name="caseno"/>
            <w:bookmarkEnd w:id="2"/>
            <w:r>
              <w:rPr>
                <w:rFonts w:cs="Times New Roman"/>
                <w:b/>
                <w:bCs/>
              </w:rPr>
              <w:t>06-O-11510</w:t>
            </w:r>
          </w:p>
        </w:tc>
      </w:tr>
      <w:tr w:rsidR="003C3943" w:rsidTr="002B6D5E">
        <w:trPr>
          <w:cantSplit/>
          <w:trHeight w:val="265"/>
        </w:trPr>
        <w:tc>
          <w:tcPr>
            <w:tcW w:w="4320" w:type="dxa"/>
            <w:vMerge/>
            <w:tcBorders>
              <w:top w:val="nil"/>
              <w:left w:val="nil"/>
              <w:bottom w:val="single" w:sz="6" w:space="0" w:color="000000"/>
              <w:right w:val="nil"/>
            </w:tcBorders>
          </w:tcPr>
          <w:p w:rsidR="003C3943" w:rsidRDefault="003C3943">
            <w:pPr>
              <w:spacing w:before="30" w:line="235" w:lineRule="exact"/>
              <w:rPr>
                <w:rFonts w:cs="Times New Roman"/>
              </w:rPr>
            </w:pPr>
          </w:p>
        </w:tc>
        <w:tc>
          <w:tcPr>
            <w:tcW w:w="1072" w:type="dxa"/>
            <w:vMerge/>
            <w:tcBorders>
              <w:top w:val="nil"/>
              <w:left w:val="nil"/>
              <w:bottom w:val="nil"/>
              <w:right w:val="nil"/>
            </w:tcBorders>
          </w:tcPr>
          <w:p w:rsidR="003C3943" w:rsidRDefault="003C3943">
            <w:pPr>
              <w:spacing w:before="30" w:line="235" w:lineRule="exact"/>
              <w:rPr>
                <w:rFonts w:cs="Times New Roman"/>
              </w:rPr>
            </w:pPr>
          </w:p>
        </w:tc>
        <w:tc>
          <w:tcPr>
            <w:tcW w:w="3968" w:type="dxa"/>
            <w:vMerge/>
            <w:tcBorders>
              <w:top w:val="nil"/>
              <w:left w:val="nil"/>
              <w:bottom w:val="nil"/>
              <w:right w:val="nil"/>
            </w:tcBorders>
          </w:tcPr>
          <w:p w:rsidR="003C3943" w:rsidRDefault="003C3943">
            <w:pPr>
              <w:spacing w:before="30" w:line="235" w:lineRule="exact"/>
              <w:rPr>
                <w:rFonts w:cs="Times New Roman"/>
              </w:rPr>
            </w:pPr>
          </w:p>
        </w:tc>
      </w:tr>
      <w:tr w:rsidR="003C3943" w:rsidTr="00397905">
        <w:trPr>
          <w:cantSplit/>
          <w:trHeight w:val="552"/>
        </w:trPr>
        <w:tc>
          <w:tcPr>
            <w:tcW w:w="4320" w:type="dxa"/>
            <w:vMerge/>
            <w:tcBorders>
              <w:top w:val="nil"/>
              <w:left w:val="nil"/>
              <w:bottom w:val="single" w:sz="6" w:space="0" w:color="000000"/>
              <w:right w:val="nil"/>
            </w:tcBorders>
          </w:tcPr>
          <w:p w:rsidR="003C3943" w:rsidRDefault="003C3943">
            <w:pPr>
              <w:spacing w:before="30" w:line="235" w:lineRule="exact"/>
              <w:rPr>
                <w:rFonts w:cs="Times New Roman"/>
              </w:rPr>
            </w:pPr>
          </w:p>
        </w:tc>
        <w:tc>
          <w:tcPr>
            <w:tcW w:w="1072" w:type="dxa"/>
            <w:vMerge/>
            <w:tcBorders>
              <w:top w:val="nil"/>
              <w:left w:val="nil"/>
              <w:bottom w:val="nil"/>
              <w:right w:val="nil"/>
            </w:tcBorders>
          </w:tcPr>
          <w:p w:rsidR="003C3943" w:rsidRDefault="003C3943">
            <w:pPr>
              <w:spacing w:before="30" w:line="235" w:lineRule="exact"/>
              <w:rPr>
                <w:rFonts w:cs="Times New Roman"/>
              </w:rPr>
            </w:pPr>
          </w:p>
        </w:tc>
        <w:tc>
          <w:tcPr>
            <w:tcW w:w="3968" w:type="dxa"/>
            <w:tcBorders>
              <w:top w:val="nil"/>
              <w:left w:val="nil"/>
              <w:bottom w:val="nil"/>
              <w:right w:val="nil"/>
            </w:tcBorders>
          </w:tcPr>
          <w:p w:rsidR="003C3943" w:rsidRDefault="003C3943">
            <w:pPr>
              <w:pStyle w:val="Heading1"/>
              <w:rPr>
                <w:rFonts w:cs="Times New Roman"/>
              </w:rPr>
            </w:pPr>
            <w:r>
              <w:rPr>
                <w:rFonts w:cs="Times New Roman"/>
              </w:rPr>
              <w:t>OPINION ON REVIEW</w:t>
            </w:r>
          </w:p>
          <w:p w:rsidR="003C3943" w:rsidRDefault="003C3943" w:rsidP="00FE60C2">
            <w:pPr>
              <w:rPr>
                <w:rFonts w:cs="Times New Roman"/>
                <w:b/>
                <w:bCs/>
              </w:rPr>
            </w:pPr>
          </w:p>
        </w:tc>
      </w:tr>
    </w:tbl>
    <w:p w:rsidR="003C3943" w:rsidRDefault="003C3943">
      <w:pPr>
        <w:spacing w:line="235" w:lineRule="exact"/>
        <w:rPr>
          <w:rFonts w:cs="Times New Roman"/>
        </w:rPr>
      </w:pPr>
    </w:p>
    <w:p w:rsidR="00766F86" w:rsidRDefault="00766F86">
      <w:pPr>
        <w:spacing w:line="235" w:lineRule="exact"/>
        <w:rPr>
          <w:rFonts w:cs="Times New Roman"/>
        </w:rPr>
      </w:pPr>
    </w:p>
    <w:p w:rsidR="003C3943" w:rsidRDefault="007F71F2" w:rsidP="007F71F2">
      <w:pPr>
        <w:pStyle w:val="Heading2"/>
        <w:spacing w:line="480" w:lineRule="auto"/>
        <w:rPr>
          <w:rFonts w:cs="Times New Roman"/>
        </w:rPr>
      </w:pPr>
      <w:r>
        <w:rPr>
          <w:rFonts w:cs="Times New Roman"/>
        </w:rPr>
        <w:t xml:space="preserve">I.  </w:t>
      </w:r>
      <w:r w:rsidR="003C3943">
        <w:rPr>
          <w:rFonts w:cs="Times New Roman"/>
        </w:rPr>
        <w:t>SUMMARY</w:t>
      </w:r>
    </w:p>
    <w:p w:rsidR="007653DC" w:rsidRDefault="003E7807">
      <w:pPr>
        <w:spacing w:line="480" w:lineRule="auto"/>
        <w:ind w:firstLine="720"/>
        <w:rPr>
          <w:rFonts w:cs="Times New Roman"/>
        </w:rPr>
      </w:pPr>
      <w:r>
        <w:rPr>
          <w:rFonts w:cs="Times New Roman"/>
        </w:rPr>
        <w:t>T</w:t>
      </w:r>
      <w:r w:rsidR="003C3943">
        <w:rPr>
          <w:rFonts w:cs="Times New Roman"/>
        </w:rPr>
        <w:t>he State Bar Office of Chief Trial Counsel (State Bar) has charged that respondent</w:t>
      </w:r>
      <w:r>
        <w:rPr>
          <w:rFonts w:cs="Times New Roman"/>
        </w:rPr>
        <w:t xml:space="preserve"> Kurt Kevin Robinson</w:t>
      </w:r>
      <w:r w:rsidR="003C3943">
        <w:rPr>
          <w:rFonts w:cs="Times New Roman"/>
        </w:rPr>
        <w:t xml:space="preserve"> violated the Rules of Professional Conduct</w:t>
      </w:r>
      <w:r w:rsidR="003C3943">
        <w:rPr>
          <w:rStyle w:val="FootnoteReference"/>
        </w:rPr>
        <w:footnoteReference w:id="1"/>
      </w:r>
      <w:r w:rsidR="003C3943">
        <w:rPr>
          <w:rFonts w:cs="Times New Roman"/>
        </w:rPr>
        <w:t xml:space="preserve"> by incompetently performing legal services on behalf of two clients, a</w:t>
      </w:r>
      <w:r w:rsidR="007F71F2">
        <w:rPr>
          <w:rFonts w:cs="Times New Roman"/>
        </w:rPr>
        <w:t>nd failing to provide one of tho</w:t>
      </w:r>
      <w:r w:rsidR="003C3943">
        <w:rPr>
          <w:rFonts w:cs="Times New Roman"/>
        </w:rPr>
        <w:t xml:space="preserve">se clients with an accounting of legal services.  </w:t>
      </w:r>
      <w:r w:rsidR="004D603F">
        <w:rPr>
          <w:rFonts w:cs="Times New Roman"/>
        </w:rPr>
        <w:t xml:space="preserve">Respondent has been disciplined twice </w:t>
      </w:r>
      <w:r w:rsidR="00A9788E">
        <w:rPr>
          <w:rFonts w:cs="Times New Roman"/>
        </w:rPr>
        <w:t>in the past</w:t>
      </w:r>
      <w:r>
        <w:rPr>
          <w:rFonts w:cs="Times New Roman"/>
        </w:rPr>
        <w:t xml:space="preserve"> but </w:t>
      </w:r>
      <w:r w:rsidR="004D603F">
        <w:rPr>
          <w:rFonts w:cs="Times New Roman"/>
        </w:rPr>
        <w:t>has never been suspended</w:t>
      </w:r>
      <w:r w:rsidR="00FE60C2">
        <w:rPr>
          <w:rFonts w:cs="Times New Roman"/>
        </w:rPr>
        <w:t xml:space="preserve"> from the practice of law</w:t>
      </w:r>
      <w:r w:rsidR="004D603F">
        <w:rPr>
          <w:rFonts w:cs="Times New Roman"/>
        </w:rPr>
        <w:t xml:space="preserve">.  </w:t>
      </w:r>
      <w:r w:rsidR="003C3943">
        <w:rPr>
          <w:rFonts w:cs="Times New Roman"/>
        </w:rPr>
        <w:t xml:space="preserve">The hearing judge found respondent culpable of all three counts of alleged misconduct, and recommended </w:t>
      </w:r>
      <w:r w:rsidR="002B6D5E">
        <w:rPr>
          <w:rFonts w:cs="Times New Roman"/>
        </w:rPr>
        <w:t xml:space="preserve">that </w:t>
      </w:r>
      <w:r w:rsidR="00D40E3F">
        <w:rPr>
          <w:rFonts w:cs="Times New Roman"/>
        </w:rPr>
        <w:t>he</w:t>
      </w:r>
      <w:r w:rsidR="002B6D5E">
        <w:rPr>
          <w:rFonts w:cs="Times New Roman"/>
        </w:rPr>
        <w:t xml:space="preserve"> receive a </w:t>
      </w:r>
      <w:r w:rsidR="003C3943">
        <w:rPr>
          <w:rFonts w:cs="Times New Roman"/>
        </w:rPr>
        <w:t xml:space="preserve">four-year </w:t>
      </w:r>
      <w:r w:rsidR="00FE60C2">
        <w:rPr>
          <w:rFonts w:cs="Times New Roman"/>
        </w:rPr>
        <w:t xml:space="preserve">stayed </w:t>
      </w:r>
      <w:r w:rsidR="003C3943">
        <w:rPr>
          <w:rFonts w:cs="Times New Roman"/>
        </w:rPr>
        <w:t>suspension</w:t>
      </w:r>
      <w:r w:rsidR="00FE60C2">
        <w:rPr>
          <w:rFonts w:cs="Times New Roman"/>
        </w:rPr>
        <w:t xml:space="preserve"> and </w:t>
      </w:r>
      <w:r w:rsidR="002B6D5E">
        <w:rPr>
          <w:rFonts w:cs="Times New Roman"/>
        </w:rPr>
        <w:t xml:space="preserve">four years’ </w:t>
      </w:r>
      <w:r w:rsidR="007653DC">
        <w:rPr>
          <w:rFonts w:cs="Times New Roman"/>
        </w:rPr>
        <w:t>p</w:t>
      </w:r>
      <w:r w:rsidR="003C3943">
        <w:rPr>
          <w:rFonts w:cs="Times New Roman"/>
        </w:rPr>
        <w:t>robation</w:t>
      </w:r>
      <w:r w:rsidR="002B6D5E">
        <w:rPr>
          <w:rFonts w:cs="Times New Roman"/>
        </w:rPr>
        <w:t>, subject to conditions including restitution and suspension from the practice of law for the first two years of probation</w:t>
      </w:r>
      <w:r w:rsidR="003C3943">
        <w:rPr>
          <w:rFonts w:cs="Times New Roman"/>
        </w:rPr>
        <w:t xml:space="preserve">.  </w:t>
      </w:r>
    </w:p>
    <w:p w:rsidR="003E7807" w:rsidRDefault="003E7807">
      <w:pPr>
        <w:spacing w:line="480" w:lineRule="auto"/>
        <w:ind w:firstLine="720"/>
        <w:rPr>
          <w:rFonts w:cs="Times New Roman"/>
        </w:rPr>
      </w:pPr>
      <w:r>
        <w:rPr>
          <w:rFonts w:cs="Times New Roman"/>
        </w:rPr>
        <w:t xml:space="preserve">On </w:t>
      </w:r>
      <w:r w:rsidR="007F3266">
        <w:rPr>
          <w:rFonts w:cs="Times New Roman"/>
        </w:rPr>
        <w:t xml:space="preserve">our </w:t>
      </w:r>
      <w:r>
        <w:rPr>
          <w:rFonts w:cs="Times New Roman"/>
        </w:rPr>
        <w:t>independent review, w</w:t>
      </w:r>
      <w:r w:rsidR="003C3943">
        <w:rPr>
          <w:rFonts w:cs="Times New Roman"/>
        </w:rPr>
        <w:t xml:space="preserve">e find respondent </w:t>
      </w:r>
      <w:r>
        <w:rPr>
          <w:rFonts w:cs="Times New Roman"/>
        </w:rPr>
        <w:t>culpable of one count of failing</w:t>
      </w:r>
      <w:r w:rsidR="003C3943">
        <w:rPr>
          <w:rFonts w:cs="Times New Roman"/>
        </w:rPr>
        <w:t xml:space="preserve"> to provide an accounting </w:t>
      </w:r>
      <w:r w:rsidR="00BC203F">
        <w:rPr>
          <w:rFonts w:cs="Times New Roman"/>
        </w:rPr>
        <w:t xml:space="preserve">in one client matter </w:t>
      </w:r>
      <w:r w:rsidR="003C3943">
        <w:rPr>
          <w:rFonts w:cs="Times New Roman"/>
        </w:rPr>
        <w:t>and one count of fail</w:t>
      </w:r>
      <w:r>
        <w:rPr>
          <w:rFonts w:cs="Times New Roman"/>
        </w:rPr>
        <w:t>ing</w:t>
      </w:r>
      <w:r w:rsidR="003C3943">
        <w:rPr>
          <w:rFonts w:cs="Times New Roman"/>
        </w:rPr>
        <w:t xml:space="preserve"> to perform </w:t>
      </w:r>
      <w:r w:rsidR="0054490D">
        <w:rPr>
          <w:rFonts w:cs="Times New Roman"/>
        </w:rPr>
        <w:t>competently</w:t>
      </w:r>
      <w:r w:rsidR="00BC203F">
        <w:rPr>
          <w:rFonts w:cs="Times New Roman"/>
        </w:rPr>
        <w:t xml:space="preserve"> in another</w:t>
      </w:r>
      <w:r w:rsidR="003C3943">
        <w:rPr>
          <w:rFonts w:cs="Times New Roman"/>
        </w:rPr>
        <w:t>.  We</w:t>
      </w:r>
      <w:r>
        <w:rPr>
          <w:rFonts w:cs="Times New Roman"/>
        </w:rPr>
        <w:t xml:space="preserve"> give significant weight to mitigation evidence that respondent suffered </w:t>
      </w:r>
      <w:r w:rsidR="007653DC">
        <w:rPr>
          <w:rFonts w:cs="Times New Roman"/>
        </w:rPr>
        <w:t xml:space="preserve">with </w:t>
      </w:r>
      <w:r>
        <w:rPr>
          <w:rFonts w:cs="Times New Roman"/>
        </w:rPr>
        <w:t>serious kidney disease during the time of his misconduct.  Therefore, although we f</w:t>
      </w:r>
      <w:r w:rsidR="007653DC">
        <w:rPr>
          <w:rFonts w:cs="Times New Roman"/>
        </w:rPr>
        <w:t>ind</w:t>
      </w:r>
      <w:r w:rsidR="00A9788E">
        <w:rPr>
          <w:rFonts w:cs="Times New Roman"/>
        </w:rPr>
        <w:t xml:space="preserve"> respondent culpable of </w:t>
      </w:r>
      <w:r>
        <w:rPr>
          <w:rFonts w:cs="Times New Roman"/>
        </w:rPr>
        <w:t xml:space="preserve">only two of the three charges where the hearing judge found culpability, we adopt the </w:t>
      </w:r>
      <w:r w:rsidR="007653DC">
        <w:rPr>
          <w:rFonts w:cs="Times New Roman"/>
        </w:rPr>
        <w:t xml:space="preserve">recommended </w:t>
      </w:r>
      <w:r>
        <w:rPr>
          <w:rFonts w:cs="Times New Roman"/>
        </w:rPr>
        <w:t>discipline with minor modifications to restitution and the terms of probation.</w:t>
      </w:r>
    </w:p>
    <w:p w:rsidR="003C3943" w:rsidRDefault="00E64940">
      <w:pPr>
        <w:pStyle w:val="Heading2"/>
        <w:spacing w:line="480" w:lineRule="auto"/>
        <w:rPr>
          <w:rFonts w:cs="Times New Roman"/>
        </w:rPr>
      </w:pPr>
      <w:r>
        <w:rPr>
          <w:rFonts w:cs="Times New Roman"/>
        </w:rPr>
        <w:lastRenderedPageBreak/>
        <w:t xml:space="preserve">II.  </w:t>
      </w:r>
      <w:r w:rsidR="003C3943">
        <w:rPr>
          <w:rFonts w:cs="Times New Roman"/>
        </w:rPr>
        <w:t>BACKGROUND</w:t>
      </w:r>
    </w:p>
    <w:p w:rsidR="003C3943" w:rsidRDefault="003C3943">
      <w:pPr>
        <w:spacing w:line="480" w:lineRule="auto"/>
        <w:rPr>
          <w:rFonts w:cs="Times New Roman"/>
        </w:rPr>
      </w:pPr>
      <w:r>
        <w:rPr>
          <w:rFonts w:cs="Times New Roman"/>
        </w:rPr>
        <w:tab/>
        <w:t xml:space="preserve">Respondent </w:t>
      </w:r>
      <w:r w:rsidR="003E7807">
        <w:rPr>
          <w:rFonts w:cs="Times New Roman"/>
        </w:rPr>
        <w:t xml:space="preserve">has been licensed to practice law in California for over 25 years.  He </w:t>
      </w:r>
      <w:r>
        <w:rPr>
          <w:rFonts w:cs="Times New Roman"/>
        </w:rPr>
        <w:t xml:space="preserve">was admitted to practice </w:t>
      </w:r>
      <w:r w:rsidR="003C0002">
        <w:rPr>
          <w:rFonts w:cs="Times New Roman"/>
        </w:rPr>
        <w:t>o</w:t>
      </w:r>
      <w:r>
        <w:rPr>
          <w:rFonts w:cs="Times New Roman"/>
        </w:rPr>
        <w:t>n June 3, 1983</w:t>
      </w:r>
      <w:r w:rsidR="00E64940">
        <w:rPr>
          <w:rFonts w:cs="Times New Roman"/>
        </w:rPr>
        <w:t>, and</w:t>
      </w:r>
      <w:r w:rsidR="003E7807">
        <w:rPr>
          <w:rFonts w:cs="Times New Roman"/>
        </w:rPr>
        <w:t xml:space="preserve"> has two prior records of discipline for failing to meet statutory deadlines in </w:t>
      </w:r>
      <w:r>
        <w:rPr>
          <w:rFonts w:cs="Times New Roman"/>
        </w:rPr>
        <w:t xml:space="preserve">separate cases in 1993 and in 1995.  </w:t>
      </w:r>
    </w:p>
    <w:p w:rsidR="00E64940" w:rsidRDefault="00E64940" w:rsidP="00E64940">
      <w:pPr>
        <w:spacing w:line="480" w:lineRule="auto"/>
        <w:ind w:firstLine="720"/>
        <w:rPr>
          <w:rFonts w:cs="Times New Roman"/>
        </w:rPr>
      </w:pPr>
      <w:r>
        <w:rPr>
          <w:rFonts w:cs="Times New Roman"/>
        </w:rPr>
        <w:t>T</w:t>
      </w:r>
      <w:r w:rsidR="003C3943">
        <w:rPr>
          <w:rFonts w:cs="Times New Roman"/>
        </w:rPr>
        <w:t xml:space="preserve">he State Bar filed </w:t>
      </w:r>
      <w:r w:rsidR="00341A15">
        <w:rPr>
          <w:rFonts w:cs="Times New Roman"/>
        </w:rPr>
        <w:t>a</w:t>
      </w:r>
      <w:r w:rsidR="003C3943">
        <w:rPr>
          <w:rFonts w:cs="Times New Roman"/>
        </w:rPr>
        <w:t xml:space="preserve"> notice of disciplinary charges (NDC) alleging respondent violated the rules during his representation of Victor Velasquez (</w:t>
      </w:r>
      <w:r w:rsidR="003C3943" w:rsidRPr="003C0002">
        <w:rPr>
          <w:rFonts w:cs="Times New Roman"/>
        </w:rPr>
        <w:t>Velasquez</w:t>
      </w:r>
      <w:r w:rsidR="003C3943">
        <w:rPr>
          <w:rFonts w:cs="Times New Roman"/>
        </w:rPr>
        <w:t xml:space="preserve"> matter) and Raul Vasquez (</w:t>
      </w:r>
      <w:r w:rsidR="003C3943" w:rsidRPr="003C0002">
        <w:rPr>
          <w:rFonts w:cs="Times New Roman"/>
        </w:rPr>
        <w:t>Vasquez</w:t>
      </w:r>
      <w:r w:rsidR="003C3943">
        <w:rPr>
          <w:rFonts w:cs="Times New Roman"/>
        </w:rPr>
        <w:t xml:space="preserve"> matter)</w:t>
      </w:r>
      <w:r w:rsidR="00EC6C0A">
        <w:rPr>
          <w:rFonts w:cs="Times New Roman"/>
        </w:rPr>
        <w:t xml:space="preserve">.  In the Velasquez matter, respondent was charged with </w:t>
      </w:r>
      <w:r w:rsidR="003C3943">
        <w:rPr>
          <w:rFonts w:cs="Times New Roman"/>
        </w:rPr>
        <w:t>failing to perform competently</w:t>
      </w:r>
      <w:r w:rsidR="00CE73A5">
        <w:rPr>
          <w:rFonts w:cs="Times New Roman"/>
        </w:rPr>
        <w:t>,</w:t>
      </w:r>
      <w:r w:rsidR="003C3943">
        <w:rPr>
          <w:rFonts w:cs="Times New Roman"/>
        </w:rPr>
        <w:t xml:space="preserve"> in violation of rule 3-110(A)</w:t>
      </w:r>
      <w:r w:rsidR="00132DE1">
        <w:rPr>
          <w:rFonts w:cs="Times New Roman"/>
        </w:rPr>
        <w:t xml:space="preserve"> (w</w:t>
      </w:r>
      <w:r w:rsidR="00CE73A5">
        <w:rPr>
          <w:rFonts w:cs="Times New Roman"/>
        </w:rPr>
        <w:t xml:space="preserve">hen he failed to obtain </w:t>
      </w:r>
      <w:r w:rsidR="003C3943">
        <w:rPr>
          <w:rFonts w:cs="Times New Roman"/>
        </w:rPr>
        <w:t>a conservatorship</w:t>
      </w:r>
      <w:r w:rsidR="00132DE1">
        <w:rPr>
          <w:rFonts w:cs="Times New Roman"/>
        </w:rPr>
        <w:t>)</w:t>
      </w:r>
      <w:r w:rsidR="007F3266">
        <w:rPr>
          <w:rFonts w:cs="Times New Roman"/>
        </w:rPr>
        <w:t>, and failing to provide an accounting, in</w:t>
      </w:r>
      <w:r w:rsidR="00CE73A5">
        <w:rPr>
          <w:rFonts w:cs="Times New Roman"/>
        </w:rPr>
        <w:t xml:space="preserve"> violation of </w:t>
      </w:r>
      <w:r w:rsidR="003C3943">
        <w:rPr>
          <w:rFonts w:cs="Times New Roman"/>
        </w:rPr>
        <w:t>rule 4-100(B)(3)</w:t>
      </w:r>
      <w:r w:rsidR="00CE73A5">
        <w:rPr>
          <w:rFonts w:cs="Times New Roman"/>
        </w:rPr>
        <w:t xml:space="preserve">.  </w:t>
      </w:r>
      <w:r>
        <w:rPr>
          <w:rFonts w:cs="Times New Roman"/>
        </w:rPr>
        <w:t>In the Vasquez matter</w:t>
      </w:r>
      <w:r w:rsidR="00EC6C0A">
        <w:rPr>
          <w:rFonts w:cs="Times New Roman"/>
        </w:rPr>
        <w:t xml:space="preserve">, respondent was charged with </w:t>
      </w:r>
      <w:r w:rsidR="003C3943">
        <w:rPr>
          <w:rFonts w:cs="Times New Roman"/>
        </w:rPr>
        <w:t>failing to perform competently</w:t>
      </w:r>
      <w:r w:rsidR="00CE73A5">
        <w:rPr>
          <w:rFonts w:cs="Times New Roman"/>
        </w:rPr>
        <w:t>,</w:t>
      </w:r>
      <w:r w:rsidR="003C3943">
        <w:rPr>
          <w:rFonts w:cs="Times New Roman"/>
        </w:rPr>
        <w:t xml:space="preserve"> in violation of rule 3-110(A)</w:t>
      </w:r>
      <w:r w:rsidR="007D7FD0">
        <w:rPr>
          <w:rFonts w:cs="Times New Roman"/>
        </w:rPr>
        <w:t xml:space="preserve"> (</w:t>
      </w:r>
      <w:r w:rsidR="00CE73A5">
        <w:rPr>
          <w:rFonts w:cs="Times New Roman"/>
        </w:rPr>
        <w:t xml:space="preserve">when he did not appear </w:t>
      </w:r>
      <w:r w:rsidR="003C3943">
        <w:rPr>
          <w:rFonts w:cs="Times New Roman"/>
        </w:rPr>
        <w:t xml:space="preserve">at trial </w:t>
      </w:r>
      <w:r w:rsidR="00CE73A5">
        <w:rPr>
          <w:rFonts w:cs="Times New Roman"/>
        </w:rPr>
        <w:t>and failed</w:t>
      </w:r>
      <w:r w:rsidR="003C3943">
        <w:rPr>
          <w:rFonts w:cs="Times New Roman"/>
        </w:rPr>
        <w:t xml:space="preserve"> to have the resultin</w:t>
      </w:r>
      <w:r w:rsidR="001873AC">
        <w:rPr>
          <w:rFonts w:cs="Times New Roman"/>
        </w:rPr>
        <w:t>g default judgment set aside</w:t>
      </w:r>
      <w:r w:rsidR="007D7FD0">
        <w:rPr>
          <w:rFonts w:cs="Times New Roman"/>
        </w:rPr>
        <w:t>)</w:t>
      </w:r>
      <w:r w:rsidR="001873AC">
        <w:rPr>
          <w:rFonts w:cs="Times New Roman"/>
        </w:rPr>
        <w:t>.</w:t>
      </w:r>
      <w:r>
        <w:rPr>
          <w:rFonts w:cs="Times New Roman"/>
        </w:rPr>
        <w:t xml:space="preserve">  </w:t>
      </w:r>
      <w:r w:rsidR="00341A15">
        <w:rPr>
          <w:rFonts w:cs="Times New Roman"/>
        </w:rPr>
        <w:t>T</w:t>
      </w:r>
      <w:r w:rsidR="003C3943">
        <w:rPr>
          <w:rFonts w:cs="Times New Roman"/>
        </w:rPr>
        <w:t>he hearing judge</w:t>
      </w:r>
      <w:r w:rsidR="00341A15">
        <w:rPr>
          <w:rFonts w:cs="Times New Roman"/>
        </w:rPr>
        <w:t xml:space="preserve"> found</w:t>
      </w:r>
      <w:r w:rsidR="003C3943">
        <w:rPr>
          <w:rFonts w:cs="Times New Roman"/>
        </w:rPr>
        <w:t xml:space="preserve"> respondent culpable of </w:t>
      </w:r>
      <w:r w:rsidR="00EC6C0A">
        <w:rPr>
          <w:rFonts w:cs="Times New Roman"/>
        </w:rPr>
        <w:t xml:space="preserve">all </w:t>
      </w:r>
      <w:r w:rsidR="003C3943">
        <w:rPr>
          <w:rFonts w:cs="Times New Roman"/>
        </w:rPr>
        <w:t xml:space="preserve">counts charged in the NDC.  </w:t>
      </w:r>
    </w:p>
    <w:p w:rsidR="003C3943" w:rsidRDefault="00FB5CA4" w:rsidP="00E64940">
      <w:pPr>
        <w:spacing w:line="480" w:lineRule="auto"/>
        <w:ind w:firstLine="720"/>
        <w:rPr>
          <w:rFonts w:cs="Times New Roman"/>
        </w:rPr>
      </w:pPr>
      <w:r>
        <w:rPr>
          <w:rFonts w:cs="Times New Roman"/>
        </w:rPr>
        <w:t>In mitigation, t</w:t>
      </w:r>
      <w:r w:rsidR="003C3943">
        <w:rPr>
          <w:rFonts w:cs="Times New Roman"/>
        </w:rPr>
        <w:t>he hearing judge found</w:t>
      </w:r>
      <w:r>
        <w:rPr>
          <w:rFonts w:cs="Times New Roman"/>
        </w:rPr>
        <w:t xml:space="preserve"> </w:t>
      </w:r>
      <w:r w:rsidR="00CE73A5">
        <w:rPr>
          <w:rFonts w:cs="Times New Roman"/>
        </w:rPr>
        <w:t xml:space="preserve">that respondent suffered from </w:t>
      </w:r>
      <w:r w:rsidR="003C3943">
        <w:rPr>
          <w:rFonts w:cs="Times New Roman"/>
        </w:rPr>
        <w:t>physical diffi</w:t>
      </w:r>
      <w:r>
        <w:rPr>
          <w:rFonts w:cs="Times New Roman"/>
        </w:rPr>
        <w:t xml:space="preserve">culties </w:t>
      </w:r>
      <w:r w:rsidR="00CE73A5">
        <w:rPr>
          <w:rFonts w:cs="Times New Roman"/>
        </w:rPr>
        <w:t>due to his</w:t>
      </w:r>
      <w:r>
        <w:rPr>
          <w:rFonts w:cs="Times New Roman"/>
        </w:rPr>
        <w:t xml:space="preserve"> </w:t>
      </w:r>
      <w:r w:rsidR="003C3943">
        <w:rPr>
          <w:rFonts w:cs="Times New Roman"/>
        </w:rPr>
        <w:t xml:space="preserve">kidney </w:t>
      </w:r>
      <w:r w:rsidR="00341A15">
        <w:rPr>
          <w:rFonts w:cs="Times New Roman"/>
        </w:rPr>
        <w:t>disease</w:t>
      </w:r>
      <w:r w:rsidR="003C3943">
        <w:rPr>
          <w:rFonts w:cs="Times New Roman"/>
        </w:rPr>
        <w:t>,</w:t>
      </w:r>
      <w:r w:rsidR="00CE73A5">
        <w:rPr>
          <w:rFonts w:cs="Times New Roman"/>
        </w:rPr>
        <w:t xml:space="preserve"> he performed</w:t>
      </w:r>
      <w:r w:rsidR="003C3943">
        <w:rPr>
          <w:rFonts w:cs="Times New Roman"/>
        </w:rPr>
        <w:t xml:space="preserve"> pro bono activities and other charitable works, and</w:t>
      </w:r>
      <w:r w:rsidR="00CE73A5">
        <w:rPr>
          <w:rFonts w:cs="Times New Roman"/>
        </w:rPr>
        <w:t xml:space="preserve"> he provided evidence of</w:t>
      </w:r>
      <w:r w:rsidR="003C3943">
        <w:rPr>
          <w:rFonts w:cs="Times New Roman"/>
        </w:rPr>
        <w:t xml:space="preserve"> good character</w:t>
      </w:r>
      <w:r>
        <w:rPr>
          <w:rFonts w:cs="Times New Roman"/>
        </w:rPr>
        <w:t>.  In</w:t>
      </w:r>
      <w:r w:rsidR="003C3943">
        <w:rPr>
          <w:rFonts w:cs="Times New Roman"/>
        </w:rPr>
        <w:t xml:space="preserve"> aggravation</w:t>
      </w:r>
      <w:r>
        <w:rPr>
          <w:rFonts w:cs="Times New Roman"/>
        </w:rPr>
        <w:t xml:space="preserve">, the hearing judge found </w:t>
      </w:r>
      <w:r w:rsidR="003C3943">
        <w:rPr>
          <w:rFonts w:cs="Times New Roman"/>
        </w:rPr>
        <w:t xml:space="preserve">two prior records of discipline, significant client harm, multiple acts </w:t>
      </w:r>
      <w:r>
        <w:rPr>
          <w:rFonts w:cs="Times New Roman"/>
        </w:rPr>
        <w:t xml:space="preserve">of misconduct, and </w:t>
      </w:r>
      <w:r w:rsidR="00CE73A5">
        <w:rPr>
          <w:rFonts w:cs="Times New Roman"/>
        </w:rPr>
        <w:t xml:space="preserve">respondent’s </w:t>
      </w:r>
      <w:r>
        <w:rPr>
          <w:rFonts w:cs="Times New Roman"/>
        </w:rPr>
        <w:t>indifference</w:t>
      </w:r>
      <w:r w:rsidR="00FC2D05">
        <w:rPr>
          <w:rFonts w:cs="Times New Roman"/>
        </w:rPr>
        <w:t xml:space="preserve"> to the consequences of his misconduct</w:t>
      </w:r>
      <w:r w:rsidR="003C3943">
        <w:rPr>
          <w:rFonts w:cs="Times New Roman"/>
        </w:rPr>
        <w:t xml:space="preserve">.  </w:t>
      </w:r>
    </w:p>
    <w:p w:rsidR="000E05F6" w:rsidRDefault="003C3943">
      <w:pPr>
        <w:spacing w:line="480" w:lineRule="auto"/>
        <w:rPr>
          <w:rFonts w:cs="Times New Roman"/>
        </w:rPr>
      </w:pPr>
      <w:r>
        <w:rPr>
          <w:rFonts w:cs="Times New Roman"/>
        </w:rPr>
        <w:tab/>
      </w:r>
      <w:r w:rsidR="001873AC">
        <w:rPr>
          <w:rFonts w:cs="Times New Roman"/>
        </w:rPr>
        <w:t>R</w:t>
      </w:r>
      <w:r w:rsidR="00022B3A">
        <w:rPr>
          <w:rFonts w:cs="Times New Roman"/>
        </w:rPr>
        <w:t xml:space="preserve">espondent </w:t>
      </w:r>
      <w:r w:rsidR="001873AC">
        <w:rPr>
          <w:rFonts w:cs="Times New Roman"/>
        </w:rPr>
        <w:t>seeks review</w:t>
      </w:r>
      <w:r w:rsidR="004D603F">
        <w:rPr>
          <w:rFonts w:cs="Times New Roman"/>
        </w:rPr>
        <w:t>,</w:t>
      </w:r>
      <w:r w:rsidR="001873AC">
        <w:rPr>
          <w:rFonts w:cs="Times New Roman"/>
        </w:rPr>
        <w:t xml:space="preserve"> arguing </w:t>
      </w:r>
      <w:r w:rsidR="00766F86">
        <w:rPr>
          <w:rFonts w:cs="Times New Roman"/>
        </w:rPr>
        <w:t xml:space="preserve">that </w:t>
      </w:r>
      <w:r w:rsidR="00EC6C0A">
        <w:rPr>
          <w:rFonts w:cs="Times New Roman"/>
        </w:rPr>
        <w:t>the</w:t>
      </w:r>
      <w:r>
        <w:rPr>
          <w:rFonts w:cs="Times New Roman"/>
        </w:rPr>
        <w:t xml:space="preserve"> evidence</w:t>
      </w:r>
      <w:r w:rsidR="00EC6C0A">
        <w:rPr>
          <w:rFonts w:cs="Times New Roman"/>
        </w:rPr>
        <w:t xml:space="preserve"> was insufficient</w:t>
      </w:r>
      <w:r>
        <w:rPr>
          <w:rFonts w:cs="Times New Roman"/>
        </w:rPr>
        <w:t xml:space="preserve"> to support findings of culpability, the hearing judge did not assign proper weight to </w:t>
      </w:r>
      <w:r w:rsidR="00CE73A5">
        <w:rPr>
          <w:rFonts w:cs="Times New Roman"/>
        </w:rPr>
        <w:t xml:space="preserve">the </w:t>
      </w:r>
      <w:r>
        <w:rPr>
          <w:rFonts w:cs="Times New Roman"/>
        </w:rPr>
        <w:t xml:space="preserve">mitigation evidence, and the degree of discipline is excessive.  The State Bar </w:t>
      </w:r>
      <w:r w:rsidR="00EC6C0A">
        <w:rPr>
          <w:rFonts w:cs="Times New Roman"/>
        </w:rPr>
        <w:t>asserts</w:t>
      </w:r>
      <w:r w:rsidR="00022B3A">
        <w:rPr>
          <w:rFonts w:cs="Times New Roman"/>
        </w:rPr>
        <w:t xml:space="preserve"> </w:t>
      </w:r>
      <w:r>
        <w:rPr>
          <w:rFonts w:cs="Times New Roman"/>
        </w:rPr>
        <w:t xml:space="preserve">that the hearing judge’s findings were adequately supported by the evidence, and </w:t>
      </w:r>
      <w:r w:rsidR="004D603F">
        <w:rPr>
          <w:rFonts w:cs="Times New Roman"/>
        </w:rPr>
        <w:t>although</w:t>
      </w:r>
      <w:r>
        <w:rPr>
          <w:rFonts w:cs="Times New Roman"/>
        </w:rPr>
        <w:t xml:space="preserve"> a strict application of the standards could result in disbarment, the minimum discipline </w:t>
      </w:r>
      <w:r w:rsidR="00FB5CA4">
        <w:rPr>
          <w:rFonts w:cs="Times New Roman"/>
        </w:rPr>
        <w:t xml:space="preserve">imposed </w:t>
      </w:r>
      <w:r>
        <w:rPr>
          <w:rFonts w:cs="Times New Roman"/>
        </w:rPr>
        <w:t xml:space="preserve">should </w:t>
      </w:r>
      <w:r w:rsidR="000E05F6">
        <w:rPr>
          <w:rFonts w:cs="Times New Roman"/>
        </w:rPr>
        <w:t>be</w:t>
      </w:r>
      <w:r>
        <w:rPr>
          <w:rFonts w:cs="Times New Roman"/>
        </w:rPr>
        <w:t xml:space="preserve"> a </w:t>
      </w:r>
      <w:r w:rsidR="00CE73A5">
        <w:rPr>
          <w:rFonts w:cs="Times New Roman"/>
        </w:rPr>
        <w:t>period of suspension during the first two years of probation</w:t>
      </w:r>
      <w:r>
        <w:rPr>
          <w:rFonts w:cs="Times New Roman"/>
        </w:rPr>
        <w:t xml:space="preserve">.    </w:t>
      </w:r>
    </w:p>
    <w:p w:rsidR="000E05F6" w:rsidRDefault="000E05F6">
      <w:pPr>
        <w:rPr>
          <w:rFonts w:cs="Times New Roman"/>
        </w:rPr>
      </w:pPr>
      <w:r>
        <w:rPr>
          <w:rFonts w:cs="Times New Roman"/>
        </w:rPr>
        <w:br w:type="page"/>
      </w:r>
    </w:p>
    <w:p w:rsidR="003C3943" w:rsidRDefault="00CE73A5">
      <w:pPr>
        <w:spacing w:line="480" w:lineRule="auto"/>
        <w:jc w:val="center"/>
        <w:rPr>
          <w:rFonts w:cs="Times New Roman"/>
          <w:b/>
          <w:bCs/>
        </w:rPr>
      </w:pPr>
      <w:r>
        <w:rPr>
          <w:rFonts w:cs="Times New Roman"/>
          <w:b/>
          <w:bCs/>
        </w:rPr>
        <w:lastRenderedPageBreak/>
        <w:t>III.  CULPABILITY</w:t>
      </w:r>
    </w:p>
    <w:p w:rsidR="003C3943" w:rsidRDefault="003C3943">
      <w:pPr>
        <w:pStyle w:val="ListParagraph"/>
        <w:spacing w:line="480" w:lineRule="auto"/>
        <w:ind w:left="0" w:firstLine="720"/>
      </w:pPr>
      <w:r>
        <w:t>This court has independently reviewed the record (</w:t>
      </w:r>
      <w:r>
        <w:rPr>
          <w:i/>
          <w:iCs/>
        </w:rPr>
        <w:t>In re Morse</w:t>
      </w:r>
      <w:r>
        <w:t xml:space="preserve"> (1995) 11 Cal.4</w:t>
      </w:r>
      <w:r>
        <w:rPr>
          <w:vertAlign w:val="superscript"/>
        </w:rPr>
        <w:t>th</w:t>
      </w:r>
      <w:r>
        <w:t xml:space="preserve"> 184, 207), deferring to the hearing judge’s credibility determinations, </w:t>
      </w:r>
      <w:r w:rsidR="00CE73A5">
        <w:t xml:space="preserve">which </w:t>
      </w:r>
      <w:r>
        <w:t>includ</w:t>
      </w:r>
      <w:r w:rsidR="00CE73A5">
        <w:t>e</w:t>
      </w:r>
      <w:r>
        <w:t xml:space="preserve"> factual findings based on conflicting testimony.  (</w:t>
      </w:r>
      <w:r w:rsidRPr="001873AC">
        <w:rPr>
          <w:i/>
        </w:rPr>
        <w:t>Conner v. State Bar</w:t>
      </w:r>
      <w:r>
        <w:t xml:space="preserve"> </w:t>
      </w:r>
      <w:r w:rsidR="000E05F6">
        <w:t xml:space="preserve">(1990) 50 Cal.3d 1047, 1056.)  </w:t>
      </w:r>
      <w:r>
        <w:rPr>
          <w:color w:val="000000"/>
        </w:rPr>
        <w:t xml:space="preserve">A disciplinary hearing before the State Bar </w:t>
      </w:r>
      <w:r w:rsidR="003C0002">
        <w:rPr>
          <w:color w:val="000000"/>
        </w:rPr>
        <w:t xml:space="preserve">Court </w:t>
      </w:r>
      <w:r>
        <w:rPr>
          <w:color w:val="000000"/>
        </w:rPr>
        <w:t>is an adversar</w:t>
      </w:r>
      <w:r w:rsidR="00766F86">
        <w:rPr>
          <w:color w:val="000000"/>
        </w:rPr>
        <w:t>ial</w:t>
      </w:r>
      <w:r>
        <w:rPr>
          <w:color w:val="000000"/>
        </w:rPr>
        <w:t xml:space="preserve"> proceeding </w:t>
      </w:r>
      <w:r w:rsidR="00CE73A5">
        <w:rPr>
          <w:color w:val="000000"/>
        </w:rPr>
        <w:t>where</w:t>
      </w:r>
      <w:r>
        <w:rPr>
          <w:color w:val="000000"/>
        </w:rPr>
        <w:t xml:space="preserve"> the State Bar has the burden of proving misconduct by evidence meeting the “clear and convincing” standard.</w:t>
      </w:r>
      <w:r>
        <w:t xml:space="preserve"> (</w:t>
      </w:r>
      <w:r w:rsidR="00766F86">
        <w:t xml:space="preserve">Rules Proc. of </w:t>
      </w:r>
      <w:r>
        <w:t>State Bar</w:t>
      </w:r>
      <w:r w:rsidR="00766F86">
        <w:t>, rule</w:t>
      </w:r>
      <w:r>
        <w:t xml:space="preserve"> 213</w:t>
      </w:r>
      <w:r w:rsidR="00CE73A5">
        <w:t>.</w:t>
      </w:r>
      <w:r>
        <w:t>)</w:t>
      </w:r>
      <w:r w:rsidR="00CE73A5">
        <w:t xml:space="preserve"> </w:t>
      </w:r>
      <w:r>
        <w:t xml:space="preserve"> The function of a standard of proof is to instruct the fact-finder a</w:t>
      </w:r>
      <w:r w:rsidR="00766F86">
        <w:t xml:space="preserve">s to </w:t>
      </w:r>
      <w:r>
        <w:t xml:space="preserve">the degree of confidence </w:t>
      </w:r>
      <w:r w:rsidR="00766F86">
        <w:t>to ha</w:t>
      </w:r>
      <w:r>
        <w:t xml:space="preserve">ve in the correctness of </w:t>
      </w:r>
      <w:r w:rsidR="00CE73A5">
        <w:t xml:space="preserve">the </w:t>
      </w:r>
      <w:r>
        <w:t xml:space="preserve">factual conclusions in a case.  </w:t>
      </w:r>
      <w:r w:rsidR="004D603F">
        <w:t>(</w:t>
      </w:r>
      <w:r>
        <w:rPr>
          <w:i/>
          <w:iCs/>
        </w:rPr>
        <w:t xml:space="preserve">In re </w:t>
      </w:r>
      <w:r w:rsidRPr="001873AC">
        <w:rPr>
          <w:i/>
        </w:rPr>
        <w:t>Winship</w:t>
      </w:r>
      <w:r>
        <w:t xml:space="preserve"> (1970) 397 U.S. 358, 370</w:t>
      </w:r>
      <w:r w:rsidR="00CE73A5">
        <w:t xml:space="preserve"> (conc. opn.</w:t>
      </w:r>
      <w:r w:rsidR="004D603F">
        <w:t>)</w:t>
      </w:r>
      <w:r w:rsidR="00CE73A5">
        <w:t>.)</w:t>
      </w:r>
      <w:r>
        <w:t xml:space="preserve">  Evidence by a “clear and convincing” standard requires that the proof be “so clear as to leave no substantial doubt” and must be “sufficiently strong to command the unhesitating assent of every reasonable mind.”  (</w:t>
      </w:r>
      <w:r w:rsidRPr="001873AC">
        <w:rPr>
          <w:i/>
        </w:rPr>
        <w:t>Sheehan v. Sullivan</w:t>
      </w:r>
      <w:r>
        <w:t xml:space="preserve"> (1899) 126 Cal. 189, 193.)</w:t>
      </w:r>
      <w:r>
        <w:rPr>
          <w:rStyle w:val="FootnoteReference"/>
        </w:rPr>
        <w:footnoteReference w:id="2"/>
      </w:r>
      <w:r>
        <w:t xml:space="preserve">  </w:t>
      </w:r>
      <w:r w:rsidR="00FC2D05">
        <w:t>We review the record by this standard of proof.</w:t>
      </w:r>
    </w:p>
    <w:p w:rsidR="003C3943" w:rsidRPr="00766F86" w:rsidRDefault="003C3943" w:rsidP="00766F86">
      <w:pPr>
        <w:spacing w:line="480" w:lineRule="auto"/>
        <w:rPr>
          <w:rFonts w:cs="Times New Roman"/>
          <w:b/>
          <w:bCs/>
        </w:rPr>
      </w:pPr>
      <w:r>
        <w:rPr>
          <w:rFonts w:cs="Times New Roman"/>
          <w:b/>
          <w:bCs/>
        </w:rPr>
        <w:t>A.</w:t>
      </w:r>
      <w:r>
        <w:rPr>
          <w:rFonts w:cs="Times New Roman"/>
          <w:b/>
          <w:bCs/>
        </w:rPr>
        <w:tab/>
      </w:r>
      <w:r w:rsidR="00766F86" w:rsidRPr="00766F86">
        <w:rPr>
          <w:rFonts w:cs="Times New Roman"/>
          <w:b/>
          <w:bCs/>
        </w:rPr>
        <w:t>THE VELASQUEZ MATTER</w:t>
      </w:r>
    </w:p>
    <w:p w:rsidR="003C3943" w:rsidRDefault="003C3943">
      <w:pPr>
        <w:spacing w:line="480" w:lineRule="auto"/>
        <w:rPr>
          <w:rFonts w:cs="Times New Roman"/>
          <w:b/>
          <w:bCs/>
        </w:rPr>
      </w:pPr>
      <w:r>
        <w:rPr>
          <w:rFonts w:cs="Times New Roman"/>
          <w:b/>
          <w:bCs/>
        </w:rPr>
        <w:tab/>
        <w:t>1.</w:t>
      </w:r>
      <w:r>
        <w:rPr>
          <w:rFonts w:cs="Times New Roman"/>
          <w:b/>
          <w:bCs/>
        </w:rPr>
        <w:tab/>
        <w:t>F</w:t>
      </w:r>
      <w:r w:rsidR="00FB5CA4">
        <w:rPr>
          <w:rFonts w:cs="Times New Roman"/>
          <w:b/>
          <w:bCs/>
        </w:rPr>
        <w:t>indings of F</w:t>
      </w:r>
      <w:r>
        <w:rPr>
          <w:rFonts w:cs="Times New Roman"/>
          <w:b/>
          <w:bCs/>
        </w:rPr>
        <w:t>act</w:t>
      </w:r>
    </w:p>
    <w:p w:rsidR="003C3943" w:rsidRDefault="003C3943">
      <w:pPr>
        <w:spacing w:line="480" w:lineRule="auto"/>
        <w:rPr>
          <w:rFonts w:cs="Times New Roman"/>
        </w:rPr>
      </w:pPr>
      <w:r>
        <w:rPr>
          <w:rFonts w:cs="Times New Roman"/>
          <w:b/>
          <w:bCs/>
        </w:rPr>
        <w:tab/>
      </w:r>
      <w:r>
        <w:rPr>
          <w:rFonts w:cs="Times New Roman"/>
        </w:rPr>
        <w:t>On July 2, 2004, Victor Velasquez (Velasquez) and his sister Veronica retained respondent to prepare a petition for conservators</w:t>
      </w:r>
      <w:r w:rsidR="00E74725">
        <w:rPr>
          <w:rFonts w:cs="Times New Roman"/>
        </w:rPr>
        <w:t>hip over their sister Rebecca (</w:t>
      </w:r>
      <w:r>
        <w:rPr>
          <w:rFonts w:cs="Times New Roman"/>
        </w:rPr>
        <w:t>Becky)</w:t>
      </w:r>
      <w:r w:rsidR="000E05F6">
        <w:rPr>
          <w:rFonts w:cs="Times New Roman"/>
        </w:rPr>
        <w:t>.</w:t>
      </w:r>
      <w:r>
        <w:rPr>
          <w:rFonts w:cs="Times New Roman"/>
        </w:rPr>
        <w:t xml:space="preserve">  Velasquez paid </w:t>
      </w:r>
      <w:r w:rsidR="000E05F6">
        <w:rPr>
          <w:rFonts w:cs="Times New Roman"/>
        </w:rPr>
        <w:t>an advance “flat</w:t>
      </w:r>
      <w:r w:rsidR="00D17E8C">
        <w:rPr>
          <w:rFonts w:cs="Times New Roman"/>
        </w:rPr>
        <w:t xml:space="preserve"> fee</w:t>
      </w:r>
      <w:r w:rsidR="000E05F6">
        <w:rPr>
          <w:rFonts w:cs="Times New Roman"/>
        </w:rPr>
        <w:t>”</w:t>
      </w:r>
      <w:r w:rsidR="00D17E8C">
        <w:rPr>
          <w:rFonts w:cs="Times New Roman"/>
        </w:rPr>
        <w:t xml:space="preserve"> of </w:t>
      </w:r>
      <w:r w:rsidR="00CE73A5">
        <w:rPr>
          <w:rFonts w:cs="Times New Roman"/>
        </w:rPr>
        <w:t>$5000</w:t>
      </w:r>
      <w:r>
        <w:rPr>
          <w:rFonts w:cs="Times New Roman"/>
        </w:rPr>
        <w:t xml:space="preserve"> and signed a retai</w:t>
      </w:r>
      <w:r w:rsidR="000E05F6">
        <w:rPr>
          <w:rFonts w:cs="Times New Roman"/>
        </w:rPr>
        <w:t xml:space="preserve">ner agreement providing </w:t>
      </w:r>
      <w:r>
        <w:rPr>
          <w:rFonts w:cs="Times New Roman"/>
        </w:rPr>
        <w:t xml:space="preserve">that respondent would send “periodic statements” of costs and fees and “monthly bills” for legal services exceeding $5000.  </w:t>
      </w:r>
      <w:r w:rsidR="00E74725">
        <w:rPr>
          <w:rFonts w:cs="Times New Roman"/>
        </w:rPr>
        <w:t>Prior to representing him, r</w:t>
      </w:r>
      <w:r>
        <w:rPr>
          <w:rFonts w:cs="Times New Roman"/>
        </w:rPr>
        <w:t xml:space="preserve">espondent advised Velasquez </w:t>
      </w:r>
      <w:r w:rsidR="00E64940">
        <w:rPr>
          <w:rFonts w:cs="Times New Roman"/>
        </w:rPr>
        <w:t xml:space="preserve">that </w:t>
      </w:r>
      <w:r>
        <w:rPr>
          <w:rFonts w:cs="Times New Roman"/>
        </w:rPr>
        <w:t>he h</w:t>
      </w:r>
      <w:r w:rsidR="00E64940">
        <w:rPr>
          <w:rFonts w:cs="Times New Roman"/>
        </w:rPr>
        <w:t>ad a busy trial schedule and a serious</w:t>
      </w:r>
      <w:r>
        <w:rPr>
          <w:rFonts w:cs="Times New Roman"/>
        </w:rPr>
        <w:t xml:space="preserve"> kidney condition </w:t>
      </w:r>
      <w:r w:rsidR="00E64940">
        <w:rPr>
          <w:rFonts w:cs="Times New Roman"/>
        </w:rPr>
        <w:t xml:space="preserve">that </w:t>
      </w:r>
      <w:r>
        <w:rPr>
          <w:rFonts w:cs="Times New Roman"/>
        </w:rPr>
        <w:t xml:space="preserve">required him to undergo dialysis. </w:t>
      </w:r>
    </w:p>
    <w:p w:rsidR="00827ABB" w:rsidRDefault="003C3943" w:rsidP="00827ABB">
      <w:pPr>
        <w:spacing w:line="480" w:lineRule="auto"/>
        <w:rPr>
          <w:rFonts w:cs="Times New Roman"/>
        </w:rPr>
      </w:pPr>
      <w:r>
        <w:rPr>
          <w:rFonts w:cs="Times New Roman"/>
        </w:rPr>
        <w:tab/>
        <w:t xml:space="preserve">Ten months later, </w:t>
      </w:r>
      <w:r w:rsidR="00FE60C2">
        <w:rPr>
          <w:rFonts w:cs="Times New Roman"/>
        </w:rPr>
        <w:t xml:space="preserve">in early May 2005, </w:t>
      </w:r>
      <w:r w:rsidR="00E64940">
        <w:rPr>
          <w:rFonts w:cs="Times New Roman"/>
        </w:rPr>
        <w:t>re</w:t>
      </w:r>
      <w:r>
        <w:rPr>
          <w:rFonts w:cs="Times New Roman"/>
        </w:rPr>
        <w:t xml:space="preserve">spondent filed a petition for the appointment of </w:t>
      </w:r>
      <w:r w:rsidR="00766F86">
        <w:rPr>
          <w:rFonts w:cs="Times New Roman"/>
        </w:rPr>
        <w:t>a</w:t>
      </w:r>
      <w:r w:rsidR="00380A21">
        <w:rPr>
          <w:rFonts w:cs="Times New Roman"/>
        </w:rPr>
        <w:t xml:space="preserve"> </w:t>
      </w:r>
      <w:r>
        <w:rPr>
          <w:rFonts w:cs="Times New Roman"/>
        </w:rPr>
        <w:t>probate con</w:t>
      </w:r>
      <w:r w:rsidR="00FE60C2">
        <w:rPr>
          <w:rFonts w:cs="Times New Roman"/>
        </w:rPr>
        <w:t>servator (Petition) and request</w:t>
      </w:r>
      <w:r>
        <w:rPr>
          <w:rFonts w:cs="Times New Roman"/>
        </w:rPr>
        <w:t xml:space="preserve"> for temporary conservatorship</w:t>
      </w:r>
      <w:r w:rsidR="00022B3A">
        <w:rPr>
          <w:rFonts w:cs="Times New Roman"/>
        </w:rPr>
        <w:t xml:space="preserve"> in Alameda </w:t>
      </w:r>
      <w:r w:rsidR="00CE73A5">
        <w:rPr>
          <w:rFonts w:cs="Times New Roman"/>
        </w:rPr>
        <w:t xml:space="preserve">County </w:t>
      </w:r>
      <w:r w:rsidR="00022B3A">
        <w:rPr>
          <w:rFonts w:cs="Times New Roman"/>
        </w:rPr>
        <w:lastRenderedPageBreak/>
        <w:t>Superior Court</w:t>
      </w:r>
      <w:r>
        <w:rPr>
          <w:rFonts w:cs="Times New Roman"/>
        </w:rPr>
        <w:t xml:space="preserve">.  The probate court denied the temporary conservatorship due to insufficient evidence </w:t>
      </w:r>
      <w:r w:rsidR="000E05F6">
        <w:rPr>
          <w:rFonts w:cs="Times New Roman"/>
        </w:rPr>
        <w:t>but scheduled a hearing on the Petition for July 2005.</w:t>
      </w:r>
      <w:r w:rsidR="00827ABB">
        <w:rPr>
          <w:rFonts w:cs="Times New Roman"/>
        </w:rPr>
        <w:t xml:space="preserve">  </w:t>
      </w:r>
    </w:p>
    <w:p w:rsidR="00766F86" w:rsidRDefault="00827ABB" w:rsidP="00827ABB">
      <w:pPr>
        <w:spacing w:line="480" w:lineRule="auto"/>
        <w:rPr>
          <w:rFonts w:cs="Times New Roman"/>
        </w:rPr>
      </w:pPr>
      <w:r>
        <w:rPr>
          <w:rFonts w:cs="Times New Roman"/>
        </w:rPr>
        <w:tab/>
      </w:r>
      <w:r w:rsidR="003C3943">
        <w:rPr>
          <w:rFonts w:cs="Times New Roman"/>
        </w:rPr>
        <w:t xml:space="preserve">Respondent underwent </w:t>
      </w:r>
      <w:r w:rsidR="000E05F6">
        <w:rPr>
          <w:rFonts w:cs="Times New Roman"/>
        </w:rPr>
        <w:t>a</w:t>
      </w:r>
      <w:r w:rsidR="003C3943">
        <w:rPr>
          <w:rFonts w:cs="Times New Roman"/>
        </w:rPr>
        <w:t xml:space="preserve"> kidney transplant on May 25, 2005.  Due to the emergency nature of the transplant</w:t>
      </w:r>
      <w:r w:rsidR="000E05F6">
        <w:rPr>
          <w:rFonts w:cs="Times New Roman"/>
        </w:rPr>
        <w:t xml:space="preserve">, </w:t>
      </w:r>
      <w:r w:rsidR="003C3943">
        <w:rPr>
          <w:rFonts w:cs="Times New Roman"/>
        </w:rPr>
        <w:t xml:space="preserve">respondent did not inform his clients in advance of </w:t>
      </w:r>
      <w:r w:rsidR="000E05F6">
        <w:rPr>
          <w:rFonts w:cs="Times New Roman"/>
        </w:rPr>
        <w:t>the</w:t>
      </w:r>
      <w:r w:rsidR="003C3943">
        <w:rPr>
          <w:rFonts w:cs="Times New Roman"/>
        </w:rPr>
        <w:t xml:space="preserve"> surgery.  </w:t>
      </w:r>
    </w:p>
    <w:p w:rsidR="003C3943" w:rsidRDefault="00827ABB" w:rsidP="00827ABB">
      <w:pPr>
        <w:spacing w:line="480" w:lineRule="auto"/>
        <w:rPr>
          <w:rFonts w:cs="Times New Roman"/>
        </w:rPr>
      </w:pPr>
      <w:r>
        <w:rPr>
          <w:rFonts w:cs="Times New Roman"/>
        </w:rPr>
        <w:tab/>
      </w:r>
      <w:r w:rsidR="00E42922">
        <w:rPr>
          <w:rFonts w:cs="Times New Roman"/>
        </w:rPr>
        <w:t>After the transplant, f</w:t>
      </w:r>
      <w:r w:rsidR="00E74725">
        <w:rPr>
          <w:rFonts w:cs="Times New Roman"/>
        </w:rPr>
        <w:t xml:space="preserve">rom July 2005 until September 2005, </w:t>
      </w:r>
      <w:r w:rsidR="003C3943">
        <w:rPr>
          <w:rFonts w:cs="Times New Roman"/>
        </w:rPr>
        <w:t>respondent appeared with Velasquez and Veronica at three probate court hearings</w:t>
      </w:r>
      <w:r w:rsidR="00E74725">
        <w:rPr>
          <w:rFonts w:cs="Times New Roman"/>
        </w:rPr>
        <w:t xml:space="preserve">, </w:t>
      </w:r>
      <w:r w:rsidR="003C3943">
        <w:rPr>
          <w:rFonts w:cs="Times New Roman"/>
        </w:rPr>
        <w:t>and the</w:t>
      </w:r>
      <w:r w:rsidR="00BC203F">
        <w:rPr>
          <w:rFonts w:cs="Times New Roman"/>
        </w:rPr>
        <w:t xml:space="preserve"> conservatorship</w:t>
      </w:r>
      <w:r w:rsidR="003C3943">
        <w:rPr>
          <w:rFonts w:cs="Times New Roman"/>
        </w:rPr>
        <w:t xml:space="preserve"> matter was continued </w:t>
      </w:r>
      <w:r w:rsidR="00E42922">
        <w:rPr>
          <w:rFonts w:cs="Times New Roman"/>
        </w:rPr>
        <w:t>sev</w:t>
      </w:r>
      <w:r w:rsidR="003C3943">
        <w:rPr>
          <w:rFonts w:cs="Times New Roman"/>
        </w:rPr>
        <w:t xml:space="preserve">eral times to a final date in March 2006.  Before each hearing, the Alameda County Probate Examiner (examiner) filed a checklist </w:t>
      </w:r>
      <w:r w:rsidR="00766F86">
        <w:rPr>
          <w:rFonts w:cs="Times New Roman"/>
        </w:rPr>
        <w:t>indicating i</w:t>
      </w:r>
      <w:r w:rsidR="003C3943">
        <w:rPr>
          <w:rFonts w:cs="Times New Roman"/>
        </w:rPr>
        <w:t>nformation needed to complete the Petition, including</w:t>
      </w:r>
      <w:r w:rsidR="00766F86">
        <w:rPr>
          <w:rFonts w:cs="Times New Roman"/>
        </w:rPr>
        <w:t>:</w:t>
      </w:r>
      <w:r w:rsidR="003C3943">
        <w:rPr>
          <w:rFonts w:cs="Times New Roman"/>
        </w:rPr>
        <w:t xml:space="preserve"> 1) a Con</w:t>
      </w:r>
      <w:r w:rsidR="00CE73A5">
        <w:rPr>
          <w:rFonts w:cs="Times New Roman"/>
        </w:rPr>
        <w:t>fidential Screening Form (Form);</w:t>
      </w:r>
      <w:r w:rsidR="003C3943">
        <w:rPr>
          <w:rFonts w:cs="Times New Roman"/>
        </w:rPr>
        <w:t xml:space="preserve"> 2) a doctor’s decla</w:t>
      </w:r>
      <w:r w:rsidR="00380A21">
        <w:rPr>
          <w:rFonts w:cs="Times New Roman"/>
        </w:rPr>
        <w:t>ration</w:t>
      </w:r>
      <w:r w:rsidR="00CE73A5">
        <w:rPr>
          <w:rFonts w:cs="Times New Roman"/>
        </w:rPr>
        <w:t>;</w:t>
      </w:r>
      <w:r w:rsidR="00380A21">
        <w:rPr>
          <w:rFonts w:cs="Times New Roman"/>
        </w:rPr>
        <w:t xml:space="preserve"> </w:t>
      </w:r>
      <w:r w:rsidR="00CE73A5">
        <w:rPr>
          <w:rFonts w:cs="Times New Roman"/>
        </w:rPr>
        <w:t xml:space="preserve">and </w:t>
      </w:r>
      <w:r w:rsidR="00380A21">
        <w:rPr>
          <w:rFonts w:cs="Times New Roman"/>
        </w:rPr>
        <w:t xml:space="preserve">3) proof of service </w:t>
      </w:r>
      <w:r w:rsidR="00766F86">
        <w:rPr>
          <w:rFonts w:cs="Times New Roman"/>
        </w:rPr>
        <w:t>upon Becky</w:t>
      </w:r>
      <w:r w:rsidR="00380A21">
        <w:rPr>
          <w:rFonts w:cs="Times New Roman"/>
        </w:rPr>
        <w:t>.</w:t>
      </w:r>
      <w:r w:rsidR="00022B3A">
        <w:rPr>
          <w:rStyle w:val="FootnoteReference"/>
        </w:rPr>
        <w:footnoteReference w:id="3"/>
      </w:r>
      <w:r w:rsidR="003C3943">
        <w:rPr>
          <w:rFonts w:cs="Times New Roman"/>
        </w:rPr>
        <w:t xml:space="preserve"> </w:t>
      </w:r>
    </w:p>
    <w:p w:rsidR="003C3943" w:rsidRDefault="003C3943">
      <w:pPr>
        <w:spacing w:line="480" w:lineRule="auto"/>
        <w:ind w:firstLine="720"/>
        <w:rPr>
          <w:rFonts w:cs="Times New Roman"/>
          <w:b/>
          <w:bCs/>
        </w:rPr>
      </w:pPr>
      <w:r>
        <w:rPr>
          <w:rFonts w:cs="Times New Roman"/>
        </w:rPr>
        <w:t xml:space="preserve">Respondent did not provide </w:t>
      </w:r>
      <w:r w:rsidR="00D17E8C">
        <w:rPr>
          <w:rFonts w:cs="Times New Roman"/>
        </w:rPr>
        <w:t xml:space="preserve">the </w:t>
      </w:r>
      <w:r>
        <w:rPr>
          <w:rFonts w:cs="Times New Roman"/>
        </w:rPr>
        <w:t xml:space="preserve">court or the examiner with </w:t>
      </w:r>
      <w:r w:rsidR="00E74725">
        <w:rPr>
          <w:rFonts w:cs="Times New Roman"/>
        </w:rPr>
        <w:t xml:space="preserve">any of </w:t>
      </w:r>
      <w:r>
        <w:rPr>
          <w:rFonts w:cs="Times New Roman"/>
        </w:rPr>
        <w:t xml:space="preserve">the three </w:t>
      </w:r>
      <w:r w:rsidR="00E74725">
        <w:rPr>
          <w:rFonts w:cs="Times New Roman"/>
        </w:rPr>
        <w:t xml:space="preserve">required </w:t>
      </w:r>
      <w:r w:rsidR="00766F86">
        <w:rPr>
          <w:rFonts w:cs="Times New Roman"/>
        </w:rPr>
        <w:t>it</w:t>
      </w:r>
      <w:r>
        <w:rPr>
          <w:rFonts w:cs="Times New Roman"/>
        </w:rPr>
        <w:t>ems</w:t>
      </w:r>
      <w:r w:rsidR="00766F86">
        <w:rPr>
          <w:rFonts w:cs="Times New Roman"/>
        </w:rPr>
        <w:t xml:space="preserve">, </w:t>
      </w:r>
      <w:r>
        <w:rPr>
          <w:rFonts w:cs="Times New Roman"/>
        </w:rPr>
        <w:t xml:space="preserve">although he </w:t>
      </w:r>
      <w:r w:rsidR="00E74725">
        <w:rPr>
          <w:rFonts w:cs="Times New Roman"/>
        </w:rPr>
        <w:t xml:space="preserve">did </w:t>
      </w:r>
      <w:r>
        <w:rPr>
          <w:rFonts w:cs="Times New Roman"/>
        </w:rPr>
        <w:t xml:space="preserve">attempt to obtain the Form and medical declaration.  He sent two letters advising Velasquez that </w:t>
      </w:r>
      <w:r w:rsidR="00E74725">
        <w:rPr>
          <w:rFonts w:cs="Times New Roman"/>
        </w:rPr>
        <w:t>the</w:t>
      </w:r>
      <w:r>
        <w:rPr>
          <w:rFonts w:cs="Times New Roman"/>
        </w:rPr>
        <w:t xml:space="preserve"> signed Form was necessary to complete the </w:t>
      </w:r>
      <w:r w:rsidR="00E64940">
        <w:rPr>
          <w:rFonts w:cs="Times New Roman"/>
        </w:rPr>
        <w:t>P</w:t>
      </w:r>
      <w:r>
        <w:rPr>
          <w:rFonts w:cs="Times New Roman"/>
        </w:rPr>
        <w:t xml:space="preserve">etition.  </w:t>
      </w:r>
      <w:r w:rsidR="00E42922">
        <w:rPr>
          <w:rFonts w:cs="Times New Roman"/>
        </w:rPr>
        <w:t xml:space="preserve">During this time, </w:t>
      </w:r>
      <w:r w:rsidR="000F1C71">
        <w:rPr>
          <w:rFonts w:cs="Times New Roman"/>
        </w:rPr>
        <w:t xml:space="preserve">Velasquez </w:t>
      </w:r>
      <w:r>
        <w:rPr>
          <w:rFonts w:cs="Times New Roman"/>
        </w:rPr>
        <w:t xml:space="preserve">consulted </w:t>
      </w:r>
      <w:r w:rsidR="000F1C71">
        <w:rPr>
          <w:rFonts w:cs="Times New Roman"/>
        </w:rPr>
        <w:t>another attorney</w:t>
      </w:r>
      <w:r w:rsidR="00FF474C">
        <w:rPr>
          <w:rFonts w:cs="Times New Roman"/>
        </w:rPr>
        <w:t>,</w:t>
      </w:r>
      <w:r w:rsidR="000F1C71">
        <w:rPr>
          <w:rFonts w:cs="Times New Roman"/>
        </w:rPr>
        <w:t xml:space="preserve"> who advised him to </w:t>
      </w:r>
      <w:r>
        <w:rPr>
          <w:rFonts w:cs="Times New Roman"/>
        </w:rPr>
        <w:t>pursue a durable power of attorney instead of a conservatorship.</w:t>
      </w:r>
      <w:r>
        <w:rPr>
          <w:rFonts w:cs="Times New Roman"/>
          <w:b/>
          <w:bCs/>
        </w:rPr>
        <w:t xml:space="preserve">  </w:t>
      </w:r>
      <w:r w:rsidR="000F1C71">
        <w:rPr>
          <w:rFonts w:cs="Times New Roman"/>
          <w:bCs/>
        </w:rPr>
        <w:t xml:space="preserve">Upon this advice, Velasquez never completed the Form.  </w:t>
      </w:r>
      <w:r>
        <w:rPr>
          <w:rFonts w:cs="Times New Roman"/>
        </w:rPr>
        <w:t xml:space="preserve">Respondent also sent a medical declaration to Becky’s doctor to review and sign.  He followed up by contacting the doctor </w:t>
      </w:r>
      <w:r w:rsidR="00E42922">
        <w:rPr>
          <w:rFonts w:cs="Times New Roman"/>
        </w:rPr>
        <w:t>but the declaration was never returned to him.</w:t>
      </w:r>
      <w:r>
        <w:rPr>
          <w:rFonts w:cs="Times New Roman"/>
        </w:rPr>
        <w:t xml:space="preserve"> </w:t>
      </w:r>
    </w:p>
    <w:p w:rsidR="00827ABB" w:rsidRDefault="003D6B9D">
      <w:pPr>
        <w:spacing w:line="480" w:lineRule="auto"/>
        <w:ind w:firstLine="720"/>
        <w:rPr>
          <w:rFonts w:cs="Times New Roman"/>
        </w:rPr>
      </w:pPr>
      <w:r>
        <w:rPr>
          <w:rFonts w:cs="Times New Roman"/>
        </w:rPr>
        <w:t xml:space="preserve">Prior to the final hearing </w:t>
      </w:r>
      <w:r w:rsidR="00E42922">
        <w:rPr>
          <w:rFonts w:cs="Times New Roman"/>
        </w:rPr>
        <w:t>on the Petition</w:t>
      </w:r>
      <w:r w:rsidR="003C3943">
        <w:rPr>
          <w:rFonts w:cs="Times New Roman"/>
        </w:rPr>
        <w:t>, Velasquez directed respondent to stop work</w:t>
      </w:r>
      <w:r w:rsidR="00766F86">
        <w:rPr>
          <w:rFonts w:cs="Times New Roman"/>
        </w:rPr>
        <w:t>ing</w:t>
      </w:r>
      <w:r w:rsidR="003C3943">
        <w:rPr>
          <w:rFonts w:cs="Times New Roman"/>
        </w:rPr>
        <w:t xml:space="preserve"> on the case</w:t>
      </w:r>
      <w:r w:rsidR="00E64940">
        <w:rPr>
          <w:rFonts w:cs="Times New Roman"/>
        </w:rPr>
        <w:t xml:space="preserve"> and made a written request for return of </w:t>
      </w:r>
      <w:r w:rsidR="003C3943">
        <w:rPr>
          <w:rFonts w:cs="Times New Roman"/>
        </w:rPr>
        <w:t xml:space="preserve">the $5000 </w:t>
      </w:r>
      <w:r w:rsidR="00E42922">
        <w:rPr>
          <w:rFonts w:cs="Times New Roman"/>
        </w:rPr>
        <w:t>“flat fee”</w:t>
      </w:r>
      <w:r w:rsidR="003C3943">
        <w:rPr>
          <w:rFonts w:cs="Times New Roman"/>
        </w:rPr>
        <w:t xml:space="preserve"> and an accounting of services rendered.  Respondent promptly </w:t>
      </w:r>
      <w:r w:rsidR="00D17E8C">
        <w:rPr>
          <w:rFonts w:cs="Times New Roman"/>
        </w:rPr>
        <w:t>mailed</w:t>
      </w:r>
      <w:r w:rsidR="003C3943">
        <w:rPr>
          <w:rFonts w:cs="Times New Roman"/>
        </w:rPr>
        <w:t xml:space="preserve"> a reply letter stating he would not refund any fees, but instead wo</w:t>
      </w:r>
      <w:r>
        <w:rPr>
          <w:rFonts w:cs="Times New Roman"/>
        </w:rPr>
        <w:t xml:space="preserve">uld send Velasquez a bill itemizing the </w:t>
      </w:r>
      <w:r w:rsidR="003C3943">
        <w:rPr>
          <w:rFonts w:cs="Times New Roman"/>
        </w:rPr>
        <w:t xml:space="preserve">additional costs and fees incurred.  Respondent had not provided Velasquez with either periodic statements of </w:t>
      </w:r>
      <w:r w:rsidR="00766F86">
        <w:rPr>
          <w:rFonts w:cs="Times New Roman"/>
        </w:rPr>
        <w:t xml:space="preserve">the </w:t>
      </w:r>
      <w:r w:rsidR="003C3943">
        <w:rPr>
          <w:rFonts w:cs="Times New Roman"/>
        </w:rPr>
        <w:t xml:space="preserve">services </w:t>
      </w:r>
      <w:r w:rsidR="00766F86">
        <w:rPr>
          <w:rFonts w:cs="Times New Roman"/>
        </w:rPr>
        <w:t>that had depleted the</w:t>
      </w:r>
      <w:r w:rsidR="003C3943">
        <w:rPr>
          <w:rFonts w:cs="Times New Roman"/>
        </w:rPr>
        <w:t xml:space="preserve"> $5000 or monthly bills for additional services</w:t>
      </w:r>
      <w:r w:rsidR="00E42922">
        <w:rPr>
          <w:rFonts w:cs="Times New Roman"/>
        </w:rPr>
        <w:t>.</w:t>
      </w:r>
      <w:r w:rsidR="003C3943">
        <w:rPr>
          <w:rFonts w:cs="Times New Roman"/>
        </w:rPr>
        <w:t xml:space="preserve"> </w:t>
      </w:r>
    </w:p>
    <w:p w:rsidR="00BC203F" w:rsidRDefault="00E42922" w:rsidP="00022B3A">
      <w:pPr>
        <w:spacing w:line="480" w:lineRule="auto"/>
        <w:ind w:firstLine="720"/>
        <w:rPr>
          <w:rFonts w:cs="Times New Roman"/>
        </w:rPr>
      </w:pPr>
      <w:r>
        <w:rPr>
          <w:rFonts w:cs="Times New Roman"/>
        </w:rPr>
        <w:lastRenderedPageBreak/>
        <w:t>Shortly b</w:t>
      </w:r>
      <w:r w:rsidR="003D6B9D">
        <w:rPr>
          <w:rFonts w:cs="Times New Roman"/>
        </w:rPr>
        <w:t>efore</w:t>
      </w:r>
      <w:r w:rsidR="003C3943">
        <w:rPr>
          <w:rFonts w:cs="Times New Roman"/>
        </w:rPr>
        <w:t xml:space="preserve"> the final hearing</w:t>
      </w:r>
      <w:r w:rsidR="00E64940">
        <w:rPr>
          <w:rFonts w:cs="Times New Roman"/>
        </w:rPr>
        <w:t xml:space="preserve"> on the Petition, </w:t>
      </w:r>
      <w:r w:rsidR="00827ABB">
        <w:rPr>
          <w:rFonts w:cs="Times New Roman"/>
        </w:rPr>
        <w:t>r</w:t>
      </w:r>
      <w:r w:rsidR="003C3943">
        <w:rPr>
          <w:rFonts w:cs="Times New Roman"/>
        </w:rPr>
        <w:t xml:space="preserve">espondent advised Velasquez that the probate court would drop </w:t>
      </w:r>
      <w:r w:rsidR="00DC0DC0">
        <w:rPr>
          <w:rFonts w:cs="Times New Roman"/>
        </w:rPr>
        <w:t>the</w:t>
      </w:r>
      <w:r w:rsidR="003C3943">
        <w:rPr>
          <w:rFonts w:cs="Times New Roman"/>
        </w:rPr>
        <w:t xml:space="preserve"> </w:t>
      </w:r>
      <w:r w:rsidR="00E64940">
        <w:rPr>
          <w:rFonts w:cs="Times New Roman"/>
        </w:rPr>
        <w:t>matter</w:t>
      </w:r>
      <w:r w:rsidR="003C3943">
        <w:rPr>
          <w:rFonts w:cs="Times New Roman"/>
        </w:rPr>
        <w:t xml:space="preserve"> from its calendar if</w:t>
      </w:r>
      <w:r w:rsidR="003D6B9D">
        <w:rPr>
          <w:rFonts w:cs="Times New Roman"/>
        </w:rPr>
        <w:t xml:space="preserve"> nothing more were</w:t>
      </w:r>
      <w:r w:rsidR="003C3943">
        <w:rPr>
          <w:rFonts w:cs="Times New Roman"/>
        </w:rPr>
        <w:t xml:space="preserve"> done.  Velasquez had decided to pursue the durable power of attorney</w:t>
      </w:r>
      <w:r w:rsidR="003D6B9D">
        <w:rPr>
          <w:rFonts w:cs="Times New Roman"/>
        </w:rPr>
        <w:t xml:space="preserve"> with other counsel</w:t>
      </w:r>
      <w:r w:rsidR="00766F86">
        <w:rPr>
          <w:rFonts w:cs="Times New Roman"/>
        </w:rPr>
        <w:t xml:space="preserve">, </w:t>
      </w:r>
      <w:r>
        <w:rPr>
          <w:rFonts w:cs="Times New Roman"/>
        </w:rPr>
        <w:t>and</w:t>
      </w:r>
      <w:r w:rsidR="00766F86">
        <w:rPr>
          <w:rFonts w:cs="Times New Roman"/>
        </w:rPr>
        <w:t xml:space="preserve"> instructed</w:t>
      </w:r>
      <w:r w:rsidR="003C3943">
        <w:rPr>
          <w:rFonts w:cs="Times New Roman"/>
        </w:rPr>
        <w:t xml:space="preserve"> respondent to </w:t>
      </w:r>
      <w:r>
        <w:rPr>
          <w:rFonts w:cs="Times New Roman"/>
        </w:rPr>
        <w:t>let</w:t>
      </w:r>
      <w:r w:rsidR="003D6B9D">
        <w:rPr>
          <w:rFonts w:cs="Times New Roman"/>
        </w:rPr>
        <w:t xml:space="preserve"> the Petition drop from the court</w:t>
      </w:r>
      <w:r>
        <w:rPr>
          <w:rFonts w:cs="Times New Roman"/>
        </w:rPr>
        <w:t>’s</w:t>
      </w:r>
      <w:r w:rsidR="005D7C76">
        <w:rPr>
          <w:rFonts w:cs="Times New Roman"/>
        </w:rPr>
        <w:t xml:space="preserve"> calendar.</w:t>
      </w:r>
      <w:r w:rsidR="003C3943">
        <w:rPr>
          <w:rFonts w:cs="Times New Roman"/>
        </w:rPr>
        <w:t xml:space="preserve">  Respondent followed this directive</w:t>
      </w:r>
      <w:r w:rsidR="00CE73A5">
        <w:rPr>
          <w:rFonts w:cs="Times New Roman"/>
        </w:rPr>
        <w:t>,</w:t>
      </w:r>
      <w:r w:rsidR="003C3943">
        <w:rPr>
          <w:rFonts w:cs="Times New Roman"/>
        </w:rPr>
        <w:t xml:space="preserve"> did not appear at the hearing</w:t>
      </w:r>
      <w:r w:rsidR="00CE73A5">
        <w:rPr>
          <w:rFonts w:cs="Times New Roman"/>
        </w:rPr>
        <w:t>, and t</w:t>
      </w:r>
      <w:r w:rsidR="003C3943">
        <w:rPr>
          <w:rFonts w:cs="Times New Roman"/>
        </w:rPr>
        <w:t xml:space="preserve">he court </w:t>
      </w:r>
      <w:r w:rsidR="00054549">
        <w:rPr>
          <w:rFonts w:cs="Times New Roman"/>
        </w:rPr>
        <w:t>removed</w:t>
      </w:r>
      <w:r w:rsidR="003C3943">
        <w:rPr>
          <w:rFonts w:cs="Times New Roman"/>
        </w:rPr>
        <w:t xml:space="preserve"> the conservatorship matter from the calendar.  </w:t>
      </w:r>
      <w:r w:rsidR="003C0002">
        <w:rPr>
          <w:rFonts w:cs="Times New Roman"/>
        </w:rPr>
        <w:t xml:space="preserve">Respondent did not mail the requested accounting of </w:t>
      </w:r>
      <w:r w:rsidR="00BC203F">
        <w:rPr>
          <w:rFonts w:cs="Times New Roman"/>
        </w:rPr>
        <w:t xml:space="preserve">his legal </w:t>
      </w:r>
      <w:r w:rsidR="003C0002">
        <w:rPr>
          <w:rFonts w:cs="Times New Roman"/>
        </w:rPr>
        <w:t>services until November of 2006,</w:t>
      </w:r>
      <w:r w:rsidR="003D6B9D">
        <w:rPr>
          <w:rFonts w:cs="Times New Roman"/>
        </w:rPr>
        <w:t xml:space="preserve"> </w:t>
      </w:r>
      <w:r w:rsidR="003C0002">
        <w:rPr>
          <w:rFonts w:cs="Times New Roman"/>
        </w:rPr>
        <w:t>approximately nine months after Velasquez</w:t>
      </w:r>
      <w:r w:rsidR="00DC0DC0">
        <w:rPr>
          <w:rFonts w:cs="Times New Roman"/>
        </w:rPr>
        <w:t>’s</w:t>
      </w:r>
      <w:r w:rsidR="003C0002">
        <w:rPr>
          <w:rFonts w:cs="Times New Roman"/>
        </w:rPr>
        <w:t xml:space="preserve"> </w:t>
      </w:r>
      <w:r w:rsidR="00E64940">
        <w:rPr>
          <w:rFonts w:cs="Times New Roman"/>
        </w:rPr>
        <w:t>written</w:t>
      </w:r>
      <w:r w:rsidR="003C0002">
        <w:rPr>
          <w:rFonts w:cs="Times New Roman"/>
        </w:rPr>
        <w:t xml:space="preserve"> request.</w:t>
      </w:r>
      <w:r w:rsidR="0081605F">
        <w:rPr>
          <w:rFonts w:cs="Times New Roman"/>
        </w:rPr>
        <w:t xml:space="preserve"> </w:t>
      </w:r>
      <w:r w:rsidR="003D6B9D">
        <w:rPr>
          <w:rFonts w:cs="Times New Roman"/>
        </w:rPr>
        <w:t xml:space="preserve"> </w:t>
      </w:r>
    </w:p>
    <w:p w:rsidR="003C3943" w:rsidRDefault="00FF474C" w:rsidP="00022B3A">
      <w:pPr>
        <w:spacing w:line="480" w:lineRule="auto"/>
        <w:ind w:firstLine="720"/>
        <w:rPr>
          <w:rFonts w:cs="Times New Roman"/>
          <w:b/>
          <w:bCs/>
        </w:rPr>
      </w:pPr>
      <w:r>
        <w:rPr>
          <w:rFonts w:cs="Times New Roman"/>
          <w:b/>
          <w:bCs/>
        </w:rPr>
        <w:t>2.</w:t>
      </w:r>
      <w:r w:rsidR="003C3943">
        <w:rPr>
          <w:rFonts w:cs="Times New Roman"/>
          <w:b/>
          <w:bCs/>
        </w:rPr>
        <w:tab/>
      </w:r>
      <w:r w:rsidR="0098426D">
        <w:rPr>
          <w:rFonts w:cs="Times New Roman"/>
          <w:b/>
          <w:bCs/>
        </w:rPr>
        <w:t>Conclusions of  Law</w:t>
      </w:r>
      <w:r w:rsidR="003C3943">
        <w:rPr>
          <w:rFonts w:cs="Times New Roman"/>
          <w:b/>
          <w:bCs/>
        </w:rPr>
        <w:t xml:space="preserve"> </w:t>
      </w:r>
    </w:p>
    <w:p w:rsidR="003C3943" w:rsidRDefault="00DC0DC0">
      <w:pPr>
        <w:spacing w:line="480" w:lineRule="auto"/>
        <w:rPr>
          <w:rFonts w:cs="Times New Roman"/>
          <w:b/>
          <w:bCs/>
        </w:rPr>
      </w:pPr>
      <w:r>
        <w:rPr>
          <w:rFonts w:cs="Times New Roman"/>
        </w:rPr>
        <w:tab/>
      </w:r>
      <w:r w:rsidR="003C3943">
        <w:rPr>
          <w:rFonts w:cs="Times New Roman"/>
          <w:b/>
          <w:bCs/>
        </w:rPr>
        <w:t xml:space="preserve">Count One (A): </w:t>
      </w:r>
      <w:r w:rsidR="00CE73A5">
        <w:rPr>
          <w:rFonts w:cs="Times New Roman"/>
          <w:b/>
          <w:bCs/>
        </w:rPr>
        <w:t xml:space="preserve"> </w:t>
      </w:r>
      <w:r w:rsidR="003C3943">
        <w:rPr>
          <w:rFonts w:cs="Times New Roman"/>
          <w:b/>
          <w:bCs/>
        </w:rPr>
        <w:t xml:space="preserve">Failure to Perform with Competence </w:t>
      </w:r>
      <w:r w:rsidR="00CE73A5">
        <w:rPr>
          <w:rFonts w:cs="Times New Roman"/>
          <w:b/>
          <w:bCs/>
        </w:rPr>
        <w:t>Pursuant to</w:t>
      </w:r>
      <w:r w:rsidR="003C3943">
        <w:rPr>
          <w:rFonts w:cs="Times New Roman"/>
          <w:b/>
          <w:bCs/>
        </w:rPr>
        <w:t xml:space="preserve"> </w:t>
      </w:r>
      <w:r w:rsidR="00054549">
        <w:rPr>
          <w:rFonts w:cs="Times New Roman"/>
          <w:b/>
          <w:bCs/>
        </w:rPr>
        <w:t>R</w:t>
      </w:r>
      <w:r w:rsidR="003C3943">
        <w:rPr>
          <w:rFonts w:cs="Times New Roman"/>
          <w:b/>
          <w:bCs/>
        </w:rPr>
        <w:t>ule 3-110(A)</w:t>
      </w:r>
    </w:p>
    <w:p w:rsidR="005E07E1" w:rsidRDefault="003C3943">
      <w:pPr>
        <w:spacing w:line="480" w:lineRule="auto"/>
        <w:rPr>
          <w:rFonts w:cs="Times New Roman"/>
        </w:rPr>
      </w:pPr>
      <w:r>
        <w:rPr>
          <w:rFonts w:cs="Times New Roman"/>
          <w:b/>
          <w:bCs/>
        </w:rPr>
        <w:tab/>
      </w:r>
      <w:r w:rsidR="00154BE7">
        <w:rPr>
          <w:rFonts w:cs="Times New Roman"/>
          <w:bCs/>
        </w:rPr>
        <w:t>The State Bar argued</w:t>
      </w:r>
      <w:r w:rsidR="003D6B9D">
        <w:rPr>
          <w:rFonts w:cs="Times New Roman"/>
          <w:bCs/>
        </w:rPr>
        <w:t>,</w:t>
      </w:r>
      <w:r w:rsidR="00154BE7">
        <w:rPr>
          <w:rFonts w:cs="Times New Roman"/>
          <w:bCs/>
        </w:rPr>
        <w:t xml:space="preserve"> and the hearing judge found</w:t>
      </w:r>
      <w:r w:rsidR="003D6B9D">
        <w:rPr>
          <w:rFonts w:cs="Times New Roman"/>
          <w:bCs/>
        </w:rPr>
        <w:t>,</w:t>
      </w:r>
      <w:r w:rsidR="00154BE7">
        <w:rPr>
          <w:rFonts w:cs="Times New Roman"/>
          <w:bCs/>
        </w:rPr>
        <w:t xml:space="preserve"> that respondent violated rule 3-110(A) by </w:t>
      </w:r>
      <w:r w:rsidR="00E64940">
        <w:rPr>
          <w:rFonts w:cs="Times New Roman"/>
          <w:bCs/>
        </w:rPr>
        <w:t>failing to timely file the P</w:t>
      </w:r>
      <w:r w:rsidR="00154BE7">
        <w:rPr>
          <w:rFonts w:cs="Times New Roman"/>
          <w:bCs/>
        </w:rPr>
        <w:t>etition</w:t>
      </w:r>
      <w:r w:rsidR="00765CF2">
        <w:rPr>
          <w:rFonts w:cs="Times New Roman"/>
          <w:bCs/>
        </w:rPr>
        <w:t xml:space="preserve">, failing to provide documents requested </w:t>
      </w:r>
      <w:r w:rsidR="00054549">
        <w:rPr>
          <w:rFonts w:cs="Times New Roman"/>
          <w:bCs/>
        </w:rPr>
        <w:t xml:space="preserve">by the </w:t>
      </w:r>
      <w:r w:rsidR="00765CF2">
        <w:rPr>
          <w:rFonts w:cs="Times New Roman"/>
          <w:bCs/>
        </w:rPr>
        <w:t>probate examiner and failing to complete the conservatorship.  We</w:t>
      </w:r>
      <w:r>
        <w:rPr>
          <w:rFonts w:cs="Times New Roman"/>
        </w:rPr>
        <w:t xml:space="preserve"> do not adopt the hearing judge’s finding of culpability</w:t>
      </w:r>
      <w:r w:rsidR="005E07E1">
        <w:rPr>
          <w:rFonts w:cs="Times New Roman"/>
        </w:rPr>
        <w:t xml:space="preserve"> because there was insufficient evidence to prove </w:t>
      </w:r>
      <w:r w:rsidR="00DC0DC0">
        <w:rPr>
          <w:rFonts w:cs="Times New Roman"/>
        </w:rPr>
        <w:t>that respondent</w:t>
      </w:r>
      <w:r w:rsidR="003216FF">
        <w:rPr>
          <w:rFonts w:cs="Times New Roman"/>
        </w:rPr>
        <w:t xml:space="preserve"> </w:t>
      </w:r>
      <w:r w:rsidR="00CE73A5">
        <w:rPr>
          <w:rFonts w:cs="Times New Roman"/>
        </w:rPr>
        <w:t>violated rule 3-110(A</w:t>
      </w:r>
      <w:r>
        <w:rPr>
          <w:rFonts w:cs="Times New Roman"/>
        </w:rPr>
        <w:t>) by “intentionally, recklessly, or repeatedly fail[ing] to perform legal services with competence</w:t>
      </w:r>
      <w:r w:rsidR="0081605F">
        <w:rPr>
          <w:rFonts w:cs="Times New Roman"/>
        </w:rPr>
        <w:t>.</w:t>
      </w:r>
      <w:r>
        <w:rPr>
          <w:rFonts w:cs="Times New Roman"/>
        </w:rPr>
        <w:t xml:space="preserve">”  It was </w:t>
      </w:r>
      <w:r w:rsidRPr="00054549">
        <w:rPr>
          <w:rFonts w:cs="Times New Roman"/>
        </w:rPr>
        <w:t xml:space="preserve">Velasquez </w:t>
      </w:r>
      <w:r>
        <w:rPr>
          <w:rFonts w:cs="Times New Roman"/>
        </w:rPr>
        <w:t>who ultimately</w:t>
      </w:r>
      <w:r w:rsidR="005D7C76">
        <w:rPr>
          <w:rFonts w:cs="Times New Roman"/>
        </w:rPr>
        <w:t xml:space="preserve"> </w:t>
      </w:r>
      <w:r>
        <w:rPr>
          <w:rFonts w:cs="Times New Roman"/>
        </w:rPr>
        <w:t>decided not to pursue the conservatorship</w:t>
      </w:r>
      <w:r w:rsidR="005D7C76">
        <w:rPr>
          <w:rFonts w:cs="Times New Roman"/>
        </w:rPr>
        <w:t xml:space="preserve">.  Velasquez </w:t>
      </w:r>
      <w:r w:rsidR="00054549">
        <w:rPr>
          <w:rFonts w:cs="Times New Roman"/>
        </w:rPr>
        <w:t xml:space="preserve">himself </w:t>
      </w:r>
      <w:r w:rsidR="005D7C76">
        <w:rPr>
          <w:rFonts w:cs="Times New Roman"/>
        </w:rPr>
        <w:t>testified that he instructed respondent to stop work on the case and to “just let it [the conservatorship petition] come off the calendar.”</w:t>
      </w:r>
      <w:r>
        <w:rPr>
          <w:rFonts w:cs="Times New Roman"/>
        </w:rPr>
        <w:t xml:space="preserve">  Respondent was obligated to follow </w:t>
      </w:r>
      <w:r w:rsidR="00054549">
        <w:rPr>
          <w:rFonts w:cs="Times New Roman"/>
        </w:rPr>
        <w:t>his client’s</w:t>
      </w:r>
      <w:r>
        <w:rPr>
          <w:rFonts w:cs="Times New Roman"/>
        </w:rPr>
        <w:t xml:space="preserve"> instructions</w:t>
      </w:r>
      <w:r w:rsidR="00D10C54">
        <w:rPr>
          <w:rFonts w:cs="Times New Roman"/>
        </w:rPr>
        <w:t>, and in doing</w:t>
      </w:r>
      <w:r w:rsidR="00054549">
        <w:rPr>
          <w:rFonts w:cs="Times New Roman"/>
        </w:rPr>
        <w:t xml:space="preserve"> so,</w:t>
      </w:r>
      <w:r w:rsidR="00D10C54">
        <w:rPr>
          <w:rFonts w:cs="Times New Roman"/>
        </w:rPr>
        <w:t xml:space="preserve"> </w:t>
      </w:r>
      <w:r w:rsidR="00DC0DC0">
        <w:rPr>
          <w:rFonts w:cs="Times New Roman"/>
        </w:rPr>
        <w:t>performed competently</w:t>
      </w:r>
      <w:r>
        <w:rPr>
          <w:rFonts w:cs="Times New Roman"/>
        </w:rPr>
        <w:t xml:space="preserve">.  (See </w:t>
      </w:r>
      <w:r>
        <w:rPr>
          <w:rFonts w:cs="Times New Roman"/>
          <w:i/>
          <w:iCs/>
        </w:rPr>
        <w:t xml:space="preserve">Blanton v. Womancare, Inc. </w:t>
      </w:r>
      <w:r>
        <w:rPr>
          <w:rFonts w:cs="Times New Roman"/>
        </w:rPr>
        <w:t xml:space="preserve">(1985) 38 Cal.3d 396, 403-05 [client retains right to make decisions bearing on ultimate outcome of case].)  </w:t>
      </w:r>
    </w:p>
    <w:p w:rsidR="006468C9" w:rsidRDefault="005E07E1">
      <w:pPr>
        <w:spacing w:line="480" w:lineRule="auto"/>
        <w:rPr>
          <w:rFonts w:cs="Times New Roman"/>
        </w:rPr>
      </w:pPr>
      <w:r>
        <w:rPr>
          <w:rFonts w:cs="Times New Roman"/>
        </w:rPr>
        <w:tab/>
      </w:r>
      <w:r w:rsidR="00BC1A9F">
        <w:rPr>
          <w:rFonts w:cs="Times New Roman"/>
        </w:rPr>
        <w:t>We find that r</w:t>
      </w:r>
      <w:r w:rsidR="005D7C76">
        <w:rPr>
          <w:rFonts w:cs="Times New Roman"/>
        </w:rPr>
        <w:t xml:space="preserve">espondent </w:t>
      </w:r>
      <w:r w:rsidR="00E42922">
        <w:rPr>
          <w:rFonts w:cs="Times New Roman"/>
        </w:rPr>
        <w:t xml:space="preserve">also performed competently </w:t>
      </w:r>
      <w:r w:rsidR="003C3943">
        <w:rPr>
          <w:rFonts w:cs="Times New Roman"/>
        </w:rPr>
        <w:t xml:space="preserve">before dismissal of the case.  Nothing </w:t>
      </w:r>
      <w:r>
        <w:rPr>
          <w:rFonts w:cs="Times New Roman"/>
        </w:rPr>
        <w:t xml:space="preserve">in the record demonstrates </w:t>
      </w:r>
      <w:r w:rsidR="005D7C76">
        <w:rPr>
          <w:rFonts w:cs="Times New Roman"/>
        </w:rPr>
        <w:t xml:space="preserve">that </w:t>
      </w:r>
      <w:r w:rsidR="003C3943">
        <w:rPr>
          <w:rFonts w:cs="Times New Roman"/>
        </w:rPr>
        <w:t xml:space="preserve">the </w:t>
      </w:r>
      <w:r w:rsidR="00D10C54">
        <w:rPr>
          <w:rFonts w:cs="Times New Roman"/>
        </w:rPr>
        <w:t>nine</w:t>
      </w:r>
      <w:r w:rsidR="003C3943">
        <w:rPr>
          <w:rFonts w:cs="Times New Roman"/>
        </w:rPr>
        <w:t xml:space="preserve">-month delay from </w:t>
      </w:r>
      <w:r w:rsidR="00E42922">
        <w:rPr>
          <w:rFonts w:cs="Times New Roman"/>
        </w:rPr>
        <w:t xml:space="preserve">the day </w:t>
      </w:r>
      <w:r w:rsidR="003C3943">
        <w:rPr>
          <w:rFonts w:cs="Times New Roman"/>
        </w:rPr>
        <w:t>respondent</w:t>
      </w:r>
      <w:r w:rsidR="00E42922">
        <w:rPr>
          <w:rFonts w:cs="Times New Roman"/>
        </w:rPr>
        <w:t xml:space="preserve"> was hired</w:t>
      </w:r>
      <w:r w:rsidR="003C3943">
        <w:rPr>
          <w:rFonts w:cs="Times New Roman"/>
        </w:rPr>
        <w:t xml:space="preserve"> to filing the </w:t>
      </w:r>
      <w:r w:rsidR="00E42922">
        <w:rPr>
          <w:rFonts w:cs="Times New Roman"/>
        </w:rPr>
        <w:t>P</w:t>
      </w:r>
      <w:r w:rsidR="003C3943">
        <w:rPr>
          <w:rFonts w:cs="Times New Roman"/>
        </w:rPr>
        <w:t>etition was unreasonable</w:t>
      </w:r>
      <w:r w:rsidR="00E42922">
        <w:rPr>
          <w:rFonts w:cs="Times New Roman"/>
        </w:rPr>
        <w:t xml:space="preserve"> or caused harm to Velasquez</w:t>
      </w:r>
      <w:r>
        <w:rPr>
          <w:rFonts w:cs="Times New Roman"/>
        </w:rPr>
        <w:t>.  There is no statute of limitations for filing a conservatorship</w:t>
      </w:r>
      <w:r w:rsidR="00E42922">
        <w:rPr>
          <w:rFonts w:cs="Times New Roman"/>
        </w:rPr>
        <w:t xml:space="preserve"> and there was no evidence that Velasquez demanded an </w:t>
      </w:r>
    </w:p>
    <w:p w:rsidR="006468C9" w:rsidRDefault="006468C9">
      <w:pPr>
        <w:rPr>
          <w:rFonts w:cs="Times New Roman"/>
        </w:rPr>
      </w:pPr>
      <w:r>
        <w:rPr>
          <w:rFonts w:cs="Times New Roman"/>
        </w:rPr>
        <w:br w:type="page"/>
      </w:r>
    </w:p>
    <w:p w:rsidR="003C3943" w:rsidRDefault="006468C9">
      <w:pPr>
        <w:spacing w:line="480" w:lineRule="auto"/>
        <w:rPr>
          <w:rFonts w:cs="Times New Roman"/>
        </w:rPr>
      </w:pPr>
      <w:r>
        <w:rPr>
          <w:rFonts w:cs="Times New Roman"/>
        </w:rPr>
        <w:lastRenderedPageBreak/>
        <w:t>e</w:t>
      </w:r>
      <w:r w:rsidR="00E42922">
        <w:rPr>
          <w:rFonts w:cs="Times New Roman"/>
        </w:rPr>
        <w:t>arlier filing of the Petition</w:t>
      </w:r>
      <w:r w:rsidR="005E07E1">
        <w:rPr>
          <w:rFonts w:cs="Times New Roman"/>
        </w:rPr>
        <w:t xml:space="preserve">.  Respondent notified Velasquez </w:t>
      </w:r>
      <w:r w:rsidR="00054549">
        <w:rPr>
          <w:rFonts w:cs="Times New Roman"/>
        </w:rPr>
        <w:t>when he was retained</w:t>
      </w:r>
      <w:r w:rsidR="005E07E1">
        <w:rPr>
          <w:rFonts w:cs="Times New Roman"/>
        </w:rPr>
        <w:t xml:space="preserve"> that he was undergoing dialysis </w:t>
      </w:r>
      <w:r w:rsidR="00E42922">
        <w:rPr>
          <w:rFonts w:cs="Times New Roman"/>
        </w:rPr>
        <w:t xml:space="preserve">for kidney disease </w:t>
      </w:r>
      <w:r w:rsidR="005E07E1">
        <w:rPr>
          <w:rFonts w:cs="Times New Roman"/>
        </w:rPr>
        <w:t xml:space="preserve">and had a busy trial schedule.  </w:t>
      </w:r>
      <w:r w:rsidR="00BC1A9F">
        <w:rPr>
          <w:rFonts w:cs="Times New Roman"/>
        </w:rPr>
        <w:t>Moreover, e</w:t>
      </w:r>
      <w:r w:rsidR="00E42922">
        <w:rPr>
          <w:rFonts w:cs="Times New Roman"/>
        </w:rPr>
        <w:t xml:space="preserve">ven after filing the Petition, </w:t>
      </w:r>
      <w:r w:rsidR="00DC0DC0">
        <w:rPr>
          <w:rFonts w:cs="Times New Roman"/>
        </w:rPr>
        <w:t xml:space="preserve">respondent </w:t>
      </w:r>
      <w:r w:rsidR="003216FF">
        <w:rPr>
          <w:rFonts w:cs="Times New Roman"/>
        </w:rPr>
        <w:t>could not</w:t>
      </w:r>
      <w:r w:rsidR="00DC0DC0">
        <w:rPr>
          <w:rFonts w:cs="Times New Roman"/>
        </w:rPr>
        <w:t xml:space="preserve"> conclude the conservatorship </w:t>
      </w:r>
      <w:r w:rsidR="003216FF">
        <w:rPr>
          <w:rFonts w:cs="Times New Roman"/>
        </w:rPr>
        <w:t>because</w:t>
      </w:r>
      <w:r w:rsidR="00DC0DC0">
        <w:rPr>
          <w:rFonts w:cs="Times New Roman"/>
        </w:rPr>
        <w:t xml:space="preserve"> Velasquez </w:t>
      </w:r>
      <w:r w:rsidR="003C3943">
        <w:rPr>
          <w:rFonts w:cs="Times New Roman"/>
        </w:rPr>
        <w:t xml:space="preserve">and Becky’s doctor </w:t>
      </w:r>
      <w:r w:rsidR="00BC1A9F">
        <w:rPr>
          <w:rFonts w:cs="Times New Roman"/>
        </w:rPr>
        <w:t>failed to</w:t>
      </w:r>
      <w:r w:rsidR="003C3943">
        <w:rPr>
          <w:rFonts w:cs="Times New Roman"/>
        </w:rPr>
        <w:t xml:space="preserve"> </w:t>
      </w:r>
      <w:r w:rsidR="0081605F">
        <w:rPr>
          <w:rFonts w:cs="Times New Roman"/>
        </w:rPr>
        <w:t>return</w:t>
      </w:r>
      <w:r w:rsidR="003C3943">
        <w:rPr>
          <w:rFonts w:cs="Times New Roman"/>
        </w:rPr>
        <w:t xml:space="preserve"> </w:t>
      </w:r>
      <w:r w:rsidR="00DC0DC0">
        <w:rPr>
          <w:rFonts w:cs="Times New Roman"/>
        </w:rPr>
        <w:t>the documents</w:t>
      </w:r>
      <w:r w:rsidR="00E42922">
        <w:rPr>
          <w:rFonts w:cs="Times New Roman"/>
        </w:rPr>
        <w:t xml:space="preserve"> required by the court</w:t>
      </w:r>
      <w:r w:rsidR="0081605F">
        <w:rPr>
          <w:rFonts w:cs="Times New Roman"/>
        </w:rPr>
        <w:t>.</w:t>
      </w:r>
      <w:r w:rsidR="003C3943">
        <w:rPr>
          <w:rStyle w:val="FootnoteReference"/>
        </w:rPr>
        <w:footnoteReference w:id="4"/>
      </w:r>
      <w:r w:rsidR="003C3943">
        <w:rPr>
          <w:rFonts w:cs="Times New Roman"/>
        </w:rPr>
        <w:t xml:space="preserve">  </w:t>
      </w:r>
    </w:p>
    <w:p w:rsidR="003C3943" w:rsidRDefault="003C3943">
      <w:pPr>
        <w:spacing w:line="480" w:lineRule="auto"/>
        <w:rPr>
          <w:rFonts w:cs="Times New Roman"/>
          <w:b/>
          <w:bCs/>
        </w:rPr>
      </w:pPr>
      <w:r>
        <w:rPr>
          <w:rFonts w:cs="Times New Roman"/>
        </w:rPr>
        <w:tab/>
      </w:r>
      <w:r>
        <w:rPr>
          <w:rFonts w:cs="Times New Roman"/>
          <w:b/>
          <w:bCs/>
        </w:rPr>
        <w:t>Count One (B):</w:t>
      </w:r>
      <w:r w:rsidR="00FF474C">
        <w:rPr>
          <w:rFonts w:cs="Times New Roman"/>
          <w:b/>
          <w:bCs/>
        </w:rPr>
        <w:t xml:space="preserve">  </w:t>
      </w:r>
      <w:r>
        <w:rPr>
          <w:rFonts w:cs="Times New Roman"/>
          <w:b/>
          <w:bCs/>
        </w:rPr>
        <w:t xml:space="preserve">Failure </w:t>
      </w:r>
      <w:r w:rsidR="003216FF">
        <w:rPr>
          <w:rFonts w:cs="Times New Roman"/>
          <w:b/>
          <w:bCs/>
        </w:rPr>
        <w:t xml:space="preserve">to Provide an Accounting </w:t>
      </w:r>
      <w:r w:rsidR="00FF474C">
        <w:rPr>
          <w:rFonts w:cs="Times New Roman"/>
          <w:b/>
          <w:bCs/>
        </w:rPr>
        <w:t>Pursuant to</w:t>
      </w:r>
      <w:r w:rsidR="003216FF">
        <w:rPr>
          <w:rFonts w:cs="Times New Roman"/>
          <w:b/>
          <w:bCs/>
        </w:rPr>
        <w:t xml:space="preserve"> R</w:t>
      </w:r>
      <w:r>
        <w:rPr>
          <w:rFonts w:cs="Times New Roman"/>
          <w:b/>
          <w:bCs/>
        </w:rPr>
        <w:t>ule 4-100(B)(3)</w:t>
      </w:r>
    </w:p>
    <w:p w:rsidR="003216FF" w:rsidRDefault="003C3943" w:rsidP="00FF474C">
      <w:pPr>
        <w:spacing w:line="480" w:lineRule="auto"/>
        <w:rPr>
          <w:rFonts w:cs="Times New Roman"/>
        </w:rPr>
      </w:pPr>
      <w:r>
        <w:rPr>
          <w:rFonts w:cs="Times New Roman"/>
        </w:rPr>
        <w:tab/>
        <w:t>We adopt the findings, conclusions, and decision of the hearing judge that respondent violated rule 4-100(B)(3)</w:t>
      </w:r>
      <w:r w:rsidR="00765CF2">
        <w:rPr>
          <w:rFonts w:cs="Times New Roman"/>
        </w:rPr>
        <w:t xml:space="preserve"> by failing to timely provide periodic billing statements</w:t>
      </w:r>
      <w:r w:rsidR="0081605F">
        <w:rPr>
          <w:rFonts w:cs="Times New Roman"/>
        </w:rPr>
        <w:t xml:space="preserve"> and a </w:t>
      </w:r>
      <w:r w:rsidR="00765CF2">
        <w:rPr>
          <w:rFonts w:cs="Times New Roman"/>
        </w:rPr>
        <w:t>final accounting.</w:t>
      </w:r>
      <w:r>
        <w:rPr>
          <w:rFonts w:cs="Times New Roman"/>
        </w:rPr>
        <w:t xml:space="preserve">  Respondent</w:t>
      </w:r>
      <w:r w:rsidR="003216FF">
        <w:rPr>
          <w:rFonts w:cs="Times New Roman"/>
        </w:rPr>
        <w:t xml:space="preserve"> testified that</w:t>
      </w:r>
      <w:r w:rsidR="00E42922">
        <w:rPr>
          <w:rFonts w:cs="Times New Roman"/>
        </w:rPr>
        <w:t xml:space="preserve"> since</w:t>
      </w:r>
      <w:r>
        <w:rPr>
          <w:rFonts w:cs="Times New Roman"/>
        </w:rPr>
        <w:t xml:space="preserve"> </w:t>
      </w:r>
      <w:r w:rsidR="003216FF">
        <w:rPr>
          <w:rFonts w:cs="Times New Roman"/>
        </w:rPr>
        <w:t>the $5,000 paid by Velasquez was a “flat fee</w:t>
      </w:r>
      <w:r w:rsidR="00E42922">
        <w:rPr>
          <w:rFonts w:cs="Times New Roman"/>
        </w:rPr>
        <w:t>,</w:t>
      </w:r>
      <w:r w:rsidR="003216FF">
        <w:rPr>
          <w:rFonts w:cs="Times New Roman"/>
        </w:rPr>
        <w:t>” he had to reconstruct his time in order to prepare the billing statement.  Regardless, he failed to provide periodic</w:t>
      </w:r>
      <w:r>
        <w:rPr>
          <w:rFonts w:cs="Times New Roman"/>
        </w:rPr>
        <w:t xml:space="preserve"> statements </w:t>
      </w:r>
      <w:r w:rsidR="00DC0DC0">
        <w:rPr>
          <w:rFonts w:cs="Times New Roman"/>
        </w:rPr>
        <w:t>and</w:t>
      </w:r>
      <w:r>
        <w:rPr>
          <w:rFonts w:cs="Times New Roman"/>
        </w:rPr>
        <w:t xml:space="preserve"> </w:t>
      </w:r>
      <w:r w:rsidR="003216FF">
        <w:rPr>
          <w:rFonts w:cs="Times New Roman"/>
        </w:rPr>
        <w:t xml:space="preserve">monthly </w:t>
      </w:r>
      <w:r>
        <w:rPr>
          <w:rFonts w:cs="Times New Roman"/>
        </w:rPr>
        <w:t xml:space="preserve">bills as specified in </w:t>
      </w:r>
      <w:r w:rsidR="003216FF">
        <w:rPr>
          <w:rFonts w:cs="Times New Roman"/>
        </w:rPr>
        <w:t>the</w:t>
      </w:r>
      <w:r>
        <w:rPr>
          <w:rFonts w:cs="Times New Roman"/>
        </w:rPr>
        <w:t xml:space="preserve"> retainer agreement</w:t>
      </w:r>
      <w:r w:rsidR="003216FF">
        <w:rPr>
          <w:rFonts w:cs="Times New Roman"/>
        </w:rPr>
        <w:t xml:space="preserve">.  Moreover, respondent </w:t>
      </w:r>
      <w:r>
        <w:rPr>
          <w:rFonts w:cs="Times New Roman"/>
        </w:rPr>
        <w:t xml:space="preserve">did not provide </w:t>
      </w:r>
      <w:r w:rsidR="00D10C54">
        <w:rPr>
          <w:rFonts w:cs="Times New Roman"/>
        </w:rPr>
        <w:t>a final</w:t>
      </w:r>
      <w:r>
        <w:rPr>
          <w:rFonts w:cs="Times New Roman"/>
        </w:rPr>
        <w:t xml:space="preserve"> accounting statement until </w:t>
      </w:r>
      <w:r w:rsidR="005D7C76">
        <w:rPr>
          <w:rFonts w:cs="Times New Roman"/>
        </w:rPr>
        <w:t>nine</w:t>
      </w:r>
      <w:r w:rsidR="003569AF">
        <w:rPr>
          <w:rFonts w:cs="Times New Roman"/>
        </w:rPr>
        <w:t xml:space="preserve"> </w:t>
      </w:r>
      <w:r>
        <w:rPr>
          <w:rFonts w:cs="Times New Roman"/>
        </w:rPr>
        <w:t xml:space="preserve">months after Velasquez’s request.  </w:t>
      </w:r>
      <w:r w:rsidR="00FF474C">
        <w:rPr>
          <w:rFonts w:cs="Times New Roman"/>
        </w:rPr>
        <w:t xml:space="preserve">This delay is unreasonable and constitutes a violation of rule 4-100(B)(3).  </w:t>
      </w:r>
      <w:r>
        <w:rPr>
          <w:rFonts w:cs="Times New Roman"/>
        </w:rPr>
        <w:t>(</w:t>
      </w:r>
      <w:r w:rsidR="00FF474C">
        <w:rPr>
          <w:rFonts w:cs="Times New Roman"/>
        </w:rPr>
        <w:t xml:space="preserve">See </w:t>
      </w:r>
      <w:r>
        <w:rPr>
          <w:rFonts w:cs="Times New Roman"/>
          <w:i/>
          <w:iCs/>
        </w:rPr>
        <w:t>In the Matter of Kroff</w:t>
      </w:r>
      <w:r>
        <w:rPr>
          <w:rFonts w:cs="Times New Roman"/>
        </w:rPr>
        <w:t xml:space="preserve"> (Review Dept. 1998) 3 Cal. S</w:t>
      </w:r>
      <w:r w:rsidR="004D603F">
        <w:rPr>
          <w:rFonts w:cs="Times New Roman"/>
        </w:rPr>
        <w:t>tate Bar Ct. Rptr. 838</w:t>
      </w:r>
      <w:r w:rsidR="00FF474C">
        <w:rPr>
          <w:rFonts w:cs="Times New Roman"/>
        </w:rPr>
        <w:t>, 850</w:t>
      </w:r>
      <w:r w:rsidR="004D603F">
        <w:rPr>
          <w:rFonts w:cs="Times New Roman"/>
        </w:rPr>
        <w:t xml:space="preserve"> [</w:t>
      </w:r>
      <w:r>
        <w:rPr>
          <w:rFonts w:cs="Times New Roman"/>
        </w:rPr>
        <w:t xml:space="preserve">respondent culpable of </w:t>
      </w:r>
      <w:r w:rsidR="00FF474C">
        <w:rPr>
          <w:rFonts w:cs="Times New Roman"/>
        </w:rPr>
        <w:t xml:space="preserve">violating </w:t>
      </w:r>
      <w:r>
        <w:rPr>
          <w:rFonts w:cs="Times New Roman"/>
        </w:rPr>
        <w:t xml:space="preserve">rule 4-100(B)(3) because unexplained five-month delay in providing accounting was unreasonable].) </w:t>
      </w:r>
      <w:r w:rsidR="00E42922">
        <w:rPr>
          <w:rFonts w:cs="Times New Roman"/>
        </w:rPr>
        <w:t xml:space="preserve"> </w:t>
      </w:r>
    </w:p>
    <w:p w:rsidR="003C3943" w:rsidRPr="00FB5CA4" w:rsidRDefault="003C3943">
      <w:pPr>
        <w:spacing w:line="480" w:lineRule="auto"/>
        <w:rPr>
          <w:rFonts w:cs="Times New Roman"/>
          <w:b/>
          <w:bCs/>
        </w:rPr>
      </w:pPr>
      <w:r>
        <w:rPr>
          <w:rFonts w:cs="Times New Roman"/>
          <w:b/>
          <w:bCs/>
        </w:rPr>
        <w:t>B.</w:t>
      </w:r>
      <w:r>
        <w:rPr>
          <w:rFonts w:cs="Times New Roman"/>
          <w:b/>
          <w:bCs/>
        </w:rPr>
        <w:tab/>
      </w:r>
      <w:r w:rsidRPr="00FB5CA4">
        <w:rPr>
          <w:rFonts w:cs="Times New Roman"/>
          <w:b/>
          <w:bCs/>
        </w:rPr>
        <w:t>T</w:t>
      </w:r>
      <w:r w:rsidR="00FB5CA4" w:rsidRPr="00FB5CA4">
        <w:rPr>
          <w:rFonts w:cs="Times New Roman"/>
          <w:b/>
          <w:bCs/>
        </w:rPr>
        <w:t>HE VASQUEZ MATTER</w:t>
      </w:r>
    </w:p>
    <w:p w:rsidR="003C3943" w:rsidRDefault="00FB5CA4">
      <w:pPr>
        <w:spacing w:line="480" w:lineRule="auto"/>
        <w:rPr>
          <w:rFonts w:cs="Times New Roman"/>
          <w:b/>
          <w:bCs/>
        </w:rPr>
      </w:pPr>
      <w:r>
        <w:rPr>
          <w:rFonts w:cs="Times New Roman"/>
          <w:b/>
          <w:bCs/>
        </w:rPr>
        <w:tab/>
        <w:t>1.</w:t>
      </w:r>
      <w:r>
        <w:rPr>
          <w:rFonts w:cs="Times New Roman"/>
          <w:b/>
          <w:bCs/>
        </w:rPr>
        <w:tab/>
      </w:r>
      <w:r w:rsidR="003C3943">
        <w:rPr>
          <w:rFonts w:cs="Times New Roman"/>
          <w:b/>
          <w:bCs/>
        </w:rPr>
        <w:t>Findings</w:t>
      </w:r>
      <w:r>
        <w:rPr>
          <w:rFonts w:cs="Times New Roman"/>
          <w:b/>
          <w:bCs/>
        </w:rPr>
        <w:t xml:space="preserve"> of Fact</w:t>
      </w:r>
    </w:p>
    <w:p w:rsidR="00DB7590" w:rsidRDefault="003C3943" w:rsidP="00BC1A9F">
      <w:pPr>
        <w:spacing w:line="480" w:lineRule="auto"/>
        <w:rPr>
          <w:rFonts w:cs="Times New Roman"/>
        </w:rPr>
      </w:pPr>
      <w:r>
        <w:rPr>
          <w:rFonts w:cs="Times New Roman"/>
          <w:b/>
          <w:bCs/>
        </w:rPr>
        <w:tab/>
      </w:r>
      <w:r w:rsidR="00BC203F">
        <w:rPr>
          <w:rFonts w:cs="Times New Roman"/>
        </w:rPr>
        <w:t>Respondent defended</w:t>
      </w:r>
      <w:r>
        <w:rPr>
          <w:rFonts w:cs="Times New Roman"/>
        </w:rPr>
        <w:t xml:space="preserve"> Raul Vasquez, an automobile body shop owner, in four separate commercial unlawful detainer matters</w:t>
      </w:r>
      <w:r w:rsidR="00DB7590">
        <w:rPr>
          <w:rFonts w:cs="Times New Roman"/>
        </w:rPr>
        <w:t xml:space="preserve"> in San Francisco</w:t>
      </w:r>
      <w:r>
        <w:rPr>
          <w:rFonts w:cs="Times New Roman"/>
        </w:rPr>
        <w:t xml:space="preserve">.  The first matter </w:t>
      </w:r>
      <w:r w:rsidR="00E42922">
        <w:rPr>
          <w:rFonts w:cs="Times New Roman"/>
        </w:rPr>
        <w:t xml:space="preserve">was separate and </w:t>
      </w:r>
      <w:r>
        <w:rPr>
          <w:rFonts w:cs="Times New Roman"/>
        </w:rPr>
        <w:t xml:space="preserve">involved </w:t>
      </w:r>
      <w:r w:rsidR="003216FF">
        <w:rPr>
          <w:rFonts w:cs="Times New Roman"/>
        </w:rPr>
        <w:t xml:space="preserve">Vasquez’s </w:t>
      </w:r>
      <w:r>
        <w:rPr>
          <w:rFonts w:cs="Times New Roman"/>
        </w:rPr>
        <w:t>eviction from a</w:t>
      </w:r>
      <w:r w:rsidR="00FF474C">
        <w:rPr>
          <w:rFonts w:cs="Times New Roman"/>
        </w:rPr>
        <w:t xml:space="preserve"> property</w:t>
      </w:r>
      <w:r w:rsidR="003216FF">
        <w:rPr>
          <w:rFonts w:cs="Times New Roman"/>
        </w:rPr>
        <w:t xml:space="preserve"> in 1999</w:t>
      </w:r>
      <w:r>
        <w:rPr>
          <w:rFonts w:cs="Times New Roman"/>
        </w:rPr>
        <w:t xml:space="preserve">.  The remaining three actions were all litigated within a five-month period </w:t>
      </w:r>
      <w:r w:rsidR="00DC0DC0">
        <w:rPr>
          <w:rFonts w:cs="Times New Roman"/>
        </w:rPr>
        <w:t>in 2005</w:t>
      </w:r>
      <w:r w:rsidR="00FF474C">
        <w:rPr>
          <w:rFonts w:cs="Times New Roman"/>
        </w:rPr>
        <w:t xml:space="preserve"> in San Francisco Superior Court </w:t>
      </w:r>
      <w:r>
        <w:rPr>
          <w:rFonts w:cs="Times New Roman"/>
        </w:rPr>
        <w:t xml:space="preserve">and </w:t>
      </w:r>
      <w:r w:rsidR="00E42922">
        <w:rPr>
          <w:rFonts w:cs="Times New Roman"/>
        </w:rPr>
        <w:t>each</w:t>
      </w:r>
      <w:r>
        <w:rPr>
          <w:rFonts w:cs="Times New Roman"/>
        </w:rPr>
        <w:t xml:space="preserve"> involved </w:t>
      </w:r>
      <w:r w:rsidR="00E42922">
        <w:rPr>
          <w:rFonts w:cs="Times New Roman"/>
        </w:rPr>
        <w:t xml:space="preserve">the </w:t>
      </w:r>
      <w:r>
        <w:rPr>
          <w:rFonts w:cs="Times New Roman"/>
        </w:rPr>
        <w:t xml:space="preserve">property </w:t>
      </w:r>
      <w:r w:rsidR="00DB7590">
        <w:rPr>
          <w:rFonts w:cs="Times New Roman"/>
        </w:rPr>
        <w:t xml:space="preserve">on Bayshore Boulevard </w:t>
      </w:r>
      <w:r>
        <w:rPr>
          <w:rFonts w:cs="Times New Roman"/>
        </w:rPr>
        <w:t>that Vasquez leased from Byrnes Properties, LLC (Byrnes).</w:t>
      </w:r>
      <w:r w:rsidR="00BC1A9F">
        <w:rPr>
          <w:rFonts w:cs="Times New Roman"/>
        </w:rPr>
        <w:t xml:space="preserve">  </w:t>
      </w:r>
    </w:p>
    <w:p w:rsidR="003C3943" w:rsidRDefault="003C3943" w:rsidP="00BC1A9F">
      <w:pPr>
        <w:spacing w:line="480" w:lineRule="auto"/>
        <w:rPr>
          <w:rFonts w:cs="Times New Roman"/>
          <w:b/>
          <w:bCs/>
        </w:rPr>
      </w:pPr>
      <w:r>
        <w:rPr>
          <w:rFonts w:cs="Times New Roman"/>
        </w:rPr>
        <w:lastRenderedPageBreak/>
        <w:t xml:space="preserve">Byrnes filed the first unlawful detainer complaint in September 2005 (Bayshore I).  </w:t>
      </w:r>
      <w:r w:rsidR="003216FF">
        <w:rPr>
          <w:rFonts w:cs="Times New Roman"/>
        </w:rPr>
        <w:t>R</w:t>
      </w:r>
      <w:r>
        <w:rPr>
          <w:rFonts w:cs="Times New Roman"/>
        </w:rPr>
        <w:t>espondent</w:t>
      </w:r>
      <w:r>
        <w:rPr>
          <w:rFonts w:cs="Times New Roman"/>
          <w:b/>
          <w:bCs/>
        </w:rPr>
        <w:t xml:space="preserve"> </w:t>
      </w:r>
      <w:r>
        <w:rPr>
          <w:rFonts w:cs="Times New Roman"/>
        </w:rPr>
        <w:t>filed an answer on behalf of Vasquez</w:t>
      </w:r>
      <w:r w:rsidR="00FB5CA4">
        <w:rPr>
          <w:rFonts w:cs="Times New Roman"/>
        </w:rPr>
        <w:t>,</w:t>
      </w:r>
      <w:r>
        <w:rPr>
          <w:rFonts w:cs="Times New Roman"/>
        </w:rPr>
        <w:t xml:space="preserve"> </w:t>
      </w:r>
      <w:r w:rsidR="003216FF">
        <w:rPr>
          <w:rFonts w:cs="Times New Roman"/>
        </w:rPr>
        <w:t xml:space="preserve">and </w:t>
      </w:r>
      <w:r>
        <w:rPr>
          <w:rFonts w:cs="Times New Roman"/>
        </w:rPr>
        <w:t>the case was voluntarily dismissed without prejudice</w:t>
      </w:r>
      <w:r w:rsidR="00E42922">
        <w:rPr>
          <w:rFonts w:cs="Times New Roman"/>
        </w:rPr>
        <w:t xml:space="preserve">.  One month later, </w:t>
      </w:r>
      <w:r>
        <w:rPr>
          <w:rFonts w:cs="Times New Roman"/>
        </w:rPr>
        <w:t>Byrnes filed a second unlawful detainer action (Bayshore II)</w:t>
      </w:r>
      <w:r w:rsidR="00D10C54">
        <w:rPr>
          <w:rFonts w:cs="Times New Roman"/>
        </w:rPr>
        <w:t xml:space="preserve"> </w:t>
      </w:r>
      <w:r w:rsidR="00FB5CA4">
        <w:rPr>
          <w:rFonts w:cs="Times New Roman"/>
        </w:rPr>
        <w:t>that</w:t>
      </w:r>
      <w:r w:rsidR="00D10C54">
        <w:rPr>
          <w:rFonts w:cs="Times New Roman"/>
        </w:rPr>
        <w:t xml:space="preserve"> was </w:t>
      </w:r>
      <w:r w:rsidR="00E42922">
        <w:rPr>
          <w:rFonts w:cs="Times New Roman"/>
        </w:rPr>
        <w:t xml:space="preserve">also </w:t>
      </w:r>
      <w:r>
        <w:rPr>
          <w:rFonts w:cs="Times New Roman"/>
        </w:rPr>
        <w:t>dismissed without prejudice.  The day</w:t>
      </w:r>
      <w:r w:rsidR="00FF474C">
        <w:rPr>
          <w:rFonts w:cs="Times New Roman"/>
        </w:rPr>
        <w:t xml:space="preserve"> after the dismissal</w:t>
      </w:r>
      <w:r>
        <w:rPr>
          <w:rFonts w:cs="Times New Roman"/>
        </w:rPr>
        <w:t xml:space="preserve">, Byrnes filed a </w:t>
      </w:r>
      <w:r w:rsidR="00BC1A9F">
        <w:rPr>
          <w:rFonts w:cs="Times New Roman"/>
        </w:rPr>
        <w:t>third</w:t>
      </w:r>
      <w:r>
        <w:rPr>
          <w:rFonts w:cs="Times New Roman"/>
        </w:rPr>
        <w:t xml:space="preserve"> unlawful detainer complaint (Bayshore III).  Vasquez paid respondent a $2</w:t>
      </w:r>
      <w:r w:rsidR="003216FF">
        <w:rPr>
          <w:rFonts w:cs="Times New Roman"/>
        </w:rPr>
        <w:t>,</w:t>
      </w:r>
      <w:r>
        <w:rPr>
          <w:rFonts w:cs="Times New Roman"/>
        </w:rPr>
        <w:t xml:space="preserve">500 retainer </w:t>
      </w:r>
      <w:r w:rsidR="00D10C54">
        <w:rPr>
          <w:rFonts w:cs="Times New Roman"/>
        </w:rPr>
        <w:t>for</w:t>
      </w:r>
      <w:r w:rsidR="003216FF">
        <w:rPr>
          <w:rFonts w:cs="Times New Roman"/>
        </w:rPr>
        <w:t xml:space="preserve"> Bayshore III, and r</w:t>
      </w:r>
      <w:r>
        <w:rPr>
          <w:rFonts w:cs="Times New Roman"/>
        </w:rPr>
        <w:t>espondent filed an answer</w:t>
      </w:r>
      <w:r w:rsidR="00DC0DC0">
        <w:rPr>
          <w:rFonts w:cs="Times New Roman"/>
        </w:rPr>
        <w:t xml:space="preserve">.  </w:t>
      </w:r>
      <w:r>
        <w:rPr>
          <w:rFonts w:cs="Times New Roman"/>
        </w:rPr>
        <w:t xml:space="preserve">Byrnes </w:t>
      </w:r>
      <w:r w:rsidR="003216FF">
        <w:rPr>
          <w:rFonts w:cs="Times New Roman"/>
        </w:rPr>
        <w:t xml:space="preserve">then </w:t>
      </w:r>
      <w:r>
        <w:rPr>
          <w:rFonts w:cs="Times New Roman"/>
        </w:rPr>
        <w:t>filed a request to set the trial date that was served on both respondent and Vasquez</w:t>
      </w:r>
      <w:r w:rsidR="00DC0DC0">
        <w:rPr>
          <w:rFonts w:cs="Times New Roman"/>
        </w:rPr>
        <w:t>, and</w:t>
      </w:r>
      <w:r w:rsidR="00D10C54">
        <w:rPr>
          <w:rFonts w:cs="Times New Roman"/>
        </w:rPr>
        <w:t xml:space="preserve"> t</w:t>
      </w:r>
      <w:r>
        <w:rPr>
          <w:rFonts w:cs="Times New Roman"/>
        </w:rPr>
        <w:t>he court mailed a Notice of Time and Place of Trial</w:t>
      </w:r>
      <w:r w:rsidR="003216FF">
        <w:rPr>
          <w:rFonts w:cs="Times New Roman"/>
        </w:rPr>
        <w:t xml:space="preserve"> to respondent and Byrnes’ counsel</w:t>
      </w:r>
      <w:r>
        <w:rPr>
          <w:rFonts w:cs="Times New Roman"/>
        </w:rPr>
        <w:t>.</w:t>
      </w:r>
      <w:r>
        <w:rPr>
          <w:rFonts w:cs="Times New Roman"/>
          <w:b/>
          <w:bCs/>
        </w:rPr>
        <w:t xml:space="preserve">  </w:t>
      </w:r>
    </w:p>
    <w:p w:rsidR="009D0D6C" w:rsidRDefault="003C3943">
      <w:pPr>
        <w:spacing w:line="480" w:lineRule="auto"/>
        <w:ind w:firstLine="720"/>
        <w:rPr>
          <w:rFonts w:cs="Times New Roman"/>
        </w:rPr>
      </w:pPr>
      <w:r>
        <w:rPr>
          <w:rFonts w:cs="Times New Roman"/>
        </w:rPr>
        <w:t>Neither respondent nor Vasquez appe</w:t>
      </w:r>
      <w:r w:rsidR="003569AF">
        <w:rPr>
          <w:rFonts w:cs="Times New Roman"/>
        </w:rPr>
        <w:t xml:space="preserve">ared in court on the trial date.  </w:t>
      </w:r>
      <w:r w:rsidR="003216FF">
        <w:rPr>
          <w:rFonts w:cs="Times New Roman"/>
        </w:rPr>
        <w:t>Respondent</w:t>
      </w:r>
      <w:r>
        <w:rPr>
          <w:rFonts w:cs="Times New Roman"/>
        </w:rPr>
        <w:t xml:space="preserve"> was </w:t>
      </w:r>
      <w:r w:rsidR="003569AF">
        <w:rPr>
          <w:rFonts w:cs="Times New Roman"/>
        </w:rPr>
        <w:t xml:space="preserve">present </w:t>
      </w:r>
      <w:r>
        <w:rPr>
          <w:rFonts w:cs="Times New Roman"/>
        </w:rPr>
        <w:t>at the courthouse</w:t>
      </w:r>
      <w:r w:rsidR="003216FF">
        <w:rPr>
          <w:rFonts w:cs="Times New Roman"/>
        </w:rPr>
        <w:t xml:space="preserve"> </w:t>
      </w:r>
      <w:r w:rsidR="00E42922">
        <w:rPr>
          <w:rFonts w:cs="Times New Roman"/>
        </w:rPr>
        <w:t>but</w:t>
      </w:r>
      <w:r w:rsidR="00B417D7">
        <w:rPr>
          <w:rFonts w:cs="Times New Roman"/>
        </w:rPr>
        <w:t xml:space="preserve"> r</w:t>
      </w:r>
      <w:r w:rsidR="00FB5CA4">
        <w:rPr>
          <w:rFonts w:cs="Times New Roman"/>
        </w:rPr>
        <w:t>emained</w:t>
      </w:r>
      <w:r>
        <w:rPr>
          <w:rFonts w:cs="Times New Roman"/>
        </w:rPr>
        <w:t xml:space="preserve"> outside the courtroom </w:t>
      </w:r>
      <w:r w:rsidR="00DC0DC0">
        <w:rPr>
          <w:rFonts w:cs="Times New Roman"/>
        </w:rPr>
        <w:t xml:space="preserve">during </w:t>
      </w:r>
      <w:r>
        <w:rPr>
          <w:rFonts w:cs="Times New Roman"/>
        </w:rPr>
        <w:t xml:space="preserve">the trial.  </w:t>
      </w:r>
      <w:r w:rsidR="009D0D6C">
        <w:rPr>
          <w:rFonts w:cs="Times New Roman"/>
        </w:rPr>
        <w:t xml:space="preserve">The court entered a default judgment awarding Byrnes possession of the property, </w:t>
      </w:r>
      <w:r w:rsidR="002C40DD">
        <w:rPr>
          <w:rFonts w:cs="Times New Roman"/>
        </w:rPr>
        <w:t>rental</w:t>
      </w:r>
      <w:r w:rsidR="009D0D6C">
        <w:rPr>
          <w:rFonts w:cs="Times New Roman"/>
        </w:rPr>
        <w:t xml:space="preserve"> damages, </w:t>
      </w:r>
      <w:r w:rsidR="00FF474C">
        <w:rPr>
          <w:rFonts w:cs="Times New Roman"/>
        </w:rPr>
        <w:t>and</w:t>
      </w:r>
      <w:r w:rsidR="009D0D6C">
        <w:rPr>
          <w:rFonts w:cs="Times New Roman"/>
        </w:rPr>
        <w:t xml:space="preserve"> attorneys’ fees and costs</w:t>
      </w:r>
      <w:r w:rsidR="00B417D7">
        <w:rPr>
          <w:rFonts w:cs="Times New Roman"/>
        </w:rPr>
        <w:t xml:space="preserve"> to be determined by the </w:t>
      </w:r>
      <w:r w:rsidR="009D0D6C">
        <w:rPr>
          <w:rFonts w:cs="Times New Roman"/>
        </w:rPr>
        <w:t>court</w:t>
      </w:r>
      <w:r w:rsidR="00B417D7">
        <w:rPr>
          <w:rFonts w:cs="Times New Roman"/>
        </w:rPr>
        <w:t xml:space="preserve"> </w:t>
      </w:r>
      <w:r w:rsidR="00FF474C">
        <w:rPr>
          <w:rFonts w:cs="Times New Roman"/>
        </w:rPr>
        <w:t xml:space="preserve">at a </w:t>
      </w:r>
      <w:r w:rsidR="00B417D7">
        <w:rPr>
          <w:rFonts w:cs="Times New Roman"/>
        </w:rPr>
        <w:t>later</w:t>
      </w:r>
      <w:r w:rsidR="00FF474C">
        <w:rPr>
          <w:rFonts w:cs="Times New Roman"/>
        </w:rPr>
        <w:t xml:space="preserve"> date</w:t>
      </w:r>
      <w:r w:rsidR="009D0D6C">
        <w:rPr>
          <w:rFonts w:cs="Times New Roman"/>
        </w:rPr>
        <w:t xml:space="preserve">.  Respondent </w:t>
      </w:r>
      <w:r w:rsidR="00B417D7">
        <w:rPr>
          <w:rFonts w:cs="Times New Roman"/>
        </w:rPr>
        <w:t xml:space="preserve">unsuccessfully moved to </w:t>
      </w:r>
      <w:r w:rsidR="009D0D6C">
        <w:rPr>
          <w:rFonts w:cs="Times New Roman"/>
        </w:rPr>
        <w:t>set aside the default judgment</w:t>
      </w:r>
      <w:r w:rsidR="00DB7590">
        <w:rPr>
          <w:rFonts w:cs="Times New Roman"/>
        </w:rPr>
        <w:t>,</w:t>
      </w:r>
      <w:r w:rsidR="009D0D6C">
        <w:rPr>
          <w:rFonts w:cs="Times New Roman"/>
        </w:rPr>
        <w:t xml:space="preserve"> arguing that Vasquez</w:t>
      </w:r>
      <w:r w:rsidR="00B417D7">
        <w:rPr>
          <w:rFonts w:cs="Times New Roman"/>
        </w:rPr>
        <w:t xml:space="preserve"> had</w:t>
      </w:r>
      <w:r w:rsidR="009D0D6C">
        <w:rPr>
          <w:rFonts w:cs="Times New Roman"/>
        </w:rPr>
        <w:t xml:space="preserve"> mis</w:t>
      </w:r>
      <w:r w:rsidR="00B417D7">
        <w:rPr>
          <w:rFonts w:cs="Times New Roman"/>
        </w:rPr>
        <w:t>-</w:t>
      </w:r>
      <w:r w:rsidR="009D0D6C">
        <w:rPr>
          <w:rFonts w:cs="Times New Roman"/>
        </w:rPr>
        <w:t>calendared the trial date.</w:t>
      </w:r>
      <w:r w:rsidR="00FF474C">
        <w:rPr>
          <w:rFonts w:cs="Times New Roman"/>
        </w:rPr>
        <w:t xml:space="preserve"> </w:t>
      </w:r>
      <w:r w:rsidR="009D0D6C">
        <w:rPr>
          <w:rFonts w:cs="Times New Roman"/>
        </w:rPr>
        <w:t xml:space="preserve"> </w:t>
      </w:r>
      <w:r w:rsidR="00DB7590">
        <w:rPr>
          <w:rFonts w:cs="Times New Roman"/>
        </w:rPr>
        <w:t>After</w:t>
      </w:r>
      <w:r w:rsidR="00B417D7">
        <w:rPr>
          <w:rFonts w:cs="Times New Roman"/>
        </w:rPr>
        <w:t xml:space="preserve"> </w:t>
      </w:r>
      <w:r w:rsidR="00FF474C">
        <w:rPr>
          <w:rFonts w:cs="Times New Roman"/>
        </w:rPr>
        <w:t xml:space="preserve">a </w:t>
      </w:r>
      <w:r w:rsidR="009D0D6C">
        <w:rPr>
          <w:rFonts w:cs="Times New Roman"/>
        </w:rPr>
        <w:t>subsequent motion</w:t>
      </w:r>
      <w:r w:rsidR="00B417D7">
        <w:rPr>
          <w:rFonts w:cs="Times New Roman"/>
        </w:rPr>
        <w:t xml:space="preserve"> for fees and costs</w:t>
      </w:r>
      <w:r w:rsidR="009D0D6C">
        <w:rPr>
          <w:rFonts w:cs="Times New Roman"/>
        </w:rPr>
        <w:t xml:space="preserve">, </w:t>
      </w:r>
      <w:r w:rsidR="00FE60C2">
        <w:rPr>
          <w:rFonts w:cs="Times New Roman"/>
        </w:rPr>
        <w:t xml:space="preserve">Byrnes </w:t>
      </w:r>
      <w:r w:rsidR="00DB7590">
        <w:rPr>
          <w:rFonts w:cs="Times New Roman"/>
        </w:rPr>
        <w:t xml:space="preserve">was awarded a </w:t>
      </w:r>
      <w:r w:rsidR="00BC1A9F">
        <w:rPr>
          <w:rFonts w:cs="Times New Roman"/>
        </w:rPr>
        <w:t xml:space="preserve">total judgment </w:t>
      </w:r>
      <w:r w:rsidR="00DB7590">
        <w:rPr>
          <w:rFonts w:cs="Times New Roman"/>
        </w:rPr>
        <w:t xml:space="preserve">of </w:t>
      </w:r>
      <w:r w:rsidR="007F3266">
        <w:rPr>
          <w:rFonts w:cs="Times New Roman"/>
        </w:rPr>
        <w:t>$</w:t>
      </w:r>
      <w:r w:rsidR="00DB7590">
        <w:rPr>
          <w:rFonts w:cs="Times New Roman"/>
        </w:rPr>
        <w:t>45</w:t>
      </w:r>
      <w:r w:rsidR="009D0D6C">
        <w:rPr>
          <w:rFonts w:cs="Times New Roman"/>
        </w:rPr>
        <w:t>,</w:t>
      </w:r>
      <w:r w:rsidR="00DB7590">
        <w:rPr>
          <w:rFonts w:cs="Times New Roman"/>
        </w:rPr>
        <w:t>903</w:t>
      </w:r>
      <w:r w:rsidR="009D0D6C">
        <w:rPr>
          <w:rFonts w:cs="Times New Roman"/>
        </w:rPr>
        <w:t>.</w:t>
      </w:r>
      <w:r w:rsidR="00DB7590">
        <w:rPr>
          <w:rFonts w:cs="Times New Roman"/>
        </w:rPr>
        <w:t>03 against Vasquez</w:t>
      </w:r>
      <w:r w:rsidR="00BC1A9F">
        <w:rPr>
          <w:rFonts w:cs="Times New Roman"/>
        </w:rPr>
        <w:t>.</w:t>
      </w:r>
      <w:r w:rsidR="00BC1A9F">
        <w:rPr>
          <w:rStyle w:val="FootnoteReference"/>
        </w:rPr>
        <w:footnoteReference w:id="5"/>
      </w:r>
      <w:r w:rsidR="00BC1A9F">
        <w:rPr>
          <w:rFonts w:cs="Times New Roman"/>
        </w:rPr>
        <w:t xml:space="preserve">  </w:t>
      </w:r>
    </w:p>
    <w:p w:rsidR="003C3943" w:rsidRDefault="003C3943">
      <w:pPr>
        <w:spacing w:line="480" w:lineRule="auto"/>
        <w:ind w:firstLine="720"/>
        <w:rPr>
          <w:rFonts w:cs="Times New Roman"/>
        </w:rPr>
      </w:pPr>
      <w:r>
        <w:rPr>
          <w:rFonts w:cs="Times New Roman"/>
        </w:rPr>
        <w:t xml:space="preserve">Respondent </w:t>
      </w:r>
      <w:r w:rsidR="009D0D6C">
        <w:rPr>
          <w:rFonts w:cs="Times New Roman"/>
        </w:rPr>
        <w:t>testified inconsistently a</w:t>
      </w:r>
      <w:r w:rsidR="00F20C98">
        <w:rPr>
          <w:rFonts w:cs="Times New Roman"/>
        </w:rPr>
        <w:t>bout why he failed</w:t>
      </w:r>
      <w:r w:rsidR="00DC0DC0">
        <w:rPr>
          <w:rFonts w:cs="Times New Roman"/>
        </w:rPr>
        <w:t xml:space="preserve"> to attend the court</w:t>
      </w:r>
      <w:r w:rsidR="00B417D7">
        <w:rPr>
          <w:rFonts w:cs="Times New Roman"/>
        </w:rPr>
        <w:t xml:space="preserve"> trial</w:t>
      </w:r>
      <w:r w:rsidR="00BC1A9F">
        <w:rPr>
          <w:rFonts w:cs="Times New Roman"/>
        </w:rPr>
        <w:t>.</w:t>
      </w:r>
      <w:r w:rsidR="00B417D7">
        <w:rPr>
          <w:rFonts w:cs="Times New Roman"/>
        </w:rPr>
        <w:t xml:space="preserve">  His various explanations included </w:t>
      </w:r>
      <w:r w:rsidR="00DC0DC0">
        <w:rPr>
          <w:rFonts w:cs="Times New Roman"/>
        </w:rPr>
        <w:t xml:space="preserve">that he </w:t>
      </w:r>
      <w:r>
        <w:rPr>
          <w:rFonts w:cs="Times New Roman"/>
        </w:rPr>
        <w:t xml:space="preserve">was concerned about Vasquez’s credibility, </w:t>
      </w:r>
      <w:r w:rsidR="00B417D7">
        <w:rPr>
          <w:rFonts w:cs="Times New Roman"/>
        </w:rPr>
        <w:t xml:space="preserve">that </w:t>
      </w:r>
      <w:r>
        <w:rPr>
          <w:rFonts w:cs="Times New Roman"/>
        </w:rPr>
        <w:t xml:space="preserve">he could not give accurate information about Vasquez’s whereabouts or status without first contacting him, and </w:t>
      </w:r>
      <w:r w:rsidR="00B417D7">
        <w:rPr>
          <w:rFonts w:cs="Times New Roman"/>
        </w:rPr>
        <w:t xml:space="preserve">that </w:t>
      </w:r>
      <w:r>
        <w:rPr>
          <w:rFonts w:cs="Times New Roman"/>
        </w:rPr>
        <w:t xml:space="preserve">he believed Vasquez had no valid legal defenses.  </w:t>
      </w:r>
      <w:r w:rsidR="009D0D6C">
        <w:rPr>
          <w:rFonts w:cs="Times New Roman"/>
        </w:rPr>
        <w:t xml:space="preserve">Respondent </w:t>
      </w:r>
      <w:r w:rsidR="00DC0DC0">
        <w:rPr>
          <w:rFonts w:cs="Times New Roman"/>
        </w:rPr>
        <w:t>further reasoned</w:t>
      </w:r>
      <w:r w:rsidR="003569AF">
        <w:rPr>
          <w:rFonts w:cs="Times New Roman"/>
        </w:rPr>
        <w:t xml:space="preserve"> that </w:t>
      </w:r>
      <w:r w:rsidR="009D0D6C">
        <w:rPr>
          <w:rFonts w:cs="Times New Roman"/>
        </w:rPr>
        <w:t>winning the trial</w:t>
      </w:r>
      <w:r w:rsidR="00B417D7">
        <w:rPr>
          <w:rFonts w:cs="Times New Roman"/>
        </w:rPr>
        <w:t xml:space="preserve"> in Bayshore III would have been </w:t>
      </w:r>
      <w:r w:rsidR="009D0D6C">
        <w:rPr>
          <w:rFonts w:cs="Times New Roman"/>
        </w:rPr>
        <w:t xml:space="preserve">the “worst thing” he could have done </w:t>
      </w:r>
      <w:r w:rsidR="00B417D7">
        <w:rPr>
          <w:rFonts w:cs="Times New Roman"/>
        </w:rPr>
        <w:t xml:space="preserve">because </w:t>
      </w:r>
      <w:r w:rsidR="00F20C98">
        <w:rPr>
          <w:rFonts w:cs="Times New Roman"/>
        </w:rPr>
        <w:t xml:space="preserve">it permitted </w:t>
      </w:r>
      <w:r w:rsidR="009D0D6C">
        <w:rPr>
          <w:rFonts w:cs="Times New Roman"/>
        </w:rPr>
        <w:t>Va</w:t>
      </w:r>
      <w:r w:rsidR="002C40DD">
        <w:rPr>
          <w:rFonts w:cs="Times New Roman"/>
        </w:rPr>
        <w:t>s</w:t>
      </w:r>
      <w:r w:rsidR="009D0D6C">
        <w:rPr>
          <w:rFonts w:cs="Times New Roman"/>
        </w:rPr>
        <w:t xml:space="preserve">quez </w:t>
      </w:r>
      <w:r w:rsidR="00B417D7">
        <w:rPr>
          <w:rFonts w:cs="Times New Roman"/>
        </w:rPr>
        <w:t xml:space="preserve">to </w:t>
      </w:r>
      <w:r w:rsidR="009D0D6C">
        <w:rPr>
          <w:rFonts w:cs="Times New Roman"/>
        </w:rPr>
        <w:t xml:space="preserve">disregard </w:t>
      </w:r>
      <w:r w:rsidR="00B417D7">
        <w:rPr>
          <w:rFonts w:cs="Times New Roman"/>
        </w:rPr>
        <w:t xml:space="preserve">the law and </w:t>
      </w:r>
      <w:r w:rsidR="009D0D6C">
        <w:rPr>
          <w:rFonts w:cs="Times New Roman"/>
        </w:rPr>
        <w:t xml:space="preserve">the </w:t>
      </w:r>
      <w:r w:rsidR="00B417D7">
        <w:rPr>
          <w:rFonts w:cs="Times New Roman"/>
        </w:rPr>
        <w:t>legal consequences of not paying his</w:t>
      </w:r>
      <w:r w:rsidR="002C40DD">
        <w:rPr>
          <w:rFonts w:cs="Times New Roman"/>
        </w:rPr>
        <w:t xml:space="preserve"> rent</w:t>
      </w:r>
      <w:r w:rsidR="009D0D6C">
        <w:rPr>
          <w:rFonts w:cs="Times New Roman"/>
        </w:rPr>
        <w:t xml:space="preserve">.  </w:t>
      </w:r>
      <w:r w:rsidR="009D0D6C">
        <w:rPr>
          <w:rFonts w:cs="Times New Roman"/>
        </w:rPr>
        <w:lastRenderedPageBreak/>
        <w:t xml:space="preserve">Although </w:t>
      </w:r>
      <w:r w:rsidR="00B42202">
        <w:rPr>
          <w:rFonts w:cs="Times New Roman"/>
        </w:rPr>
        <w:t>r</w:t>
      </w:r>
      <w:r>
        <w:rPr>
          <w:rFonts w:cs="Times New Roman"/>
        </w:rPr>
        <w:t xml:space="preserve">espondent </w:t>
      </w:r>
      <w:r w:rsidR="009D0D6C">
        <w:rPr>
          <w:rFonts w:cs="Times New Roman"/>
        </w:rPr>
        <w:t xml:space="preserve">blamed </w:t>
      </w:r>
      <w:r w:rsidR="00DC0DC0">
        <w:rPr>
          <w:rFonts w:cs="Times New Roman"/>
        </w:rPr>
        <w:t>Vasquez</w:t>
      </w:r>
      <w:r w:rsidR="009D0D6C">
        <w:rPr>
          <w:rFonts w:cs="Times New Roman"/>
        </w:rPr>
        <w:t xml:space="preserve">, he </w:t>
      </w:r>
      <w:r>
        <w:rPr>
          <w:rFonts w:cs="Times New Roman"/>
        </w:rPr>
        <w:t xml:space="preserve">also explained that </w:t>
      </w:r>
      <w:r w:rsidR="004E5C4E">
        <w:rPr>
          <w:rFonts w:cs="Times New Roman"/>
        </w:rPr>
        <w:t>the</w:t>
      </w:r>
      <w:r>
        <w:rPr>
          <w:rFonts w:cs="Times New Roman"/>
        </w:rPr>
        <w:t xml:space="preserve"> post-transplant medication regime</w:t>
      </w:r>
      <w:r w:rsidR="00B417D7">
        <w:rPr>
          <w:rFonts w:cs="Times New Roman"/>
        </w:rPr>
        <w:t>n</w:t>
      </w:r>
      <w:r>
        <w:rPr>
          <w:rFonts w:cs="Times New Roman"/>
        </w:rPr>
        <w:t xml:space="preserve"> of 27 pills per day</w:t>
      </w:r>
      <w:r w:rsidR="00B417D7">
        <w:rPr>
          <w:rFonts w:cs="Times New Roman"/>
        </w:rPr>
        <w:t xml:space="preserve"> had</w:t>
      </w:r>
      <w:r>
        <w:rPr>
          <w:rFonts w:cs="Times New Roman"/>
        </w:rPr>
        <w:t xml:space="preserve"> affected his judgment</w:t>
      </w:r>
      <w:r w:rsidR="00380A21">
        <w:rPr>
          <w:rFonts w:cs="Times New Roman"/>
        </w:rPr>
        <w:t xml:space="preserve"> sin</w:t>
      </w:r>
      <w:r w:rsidR="00B42202">
        <w:rPr>
          <w:rFonts w:cs="Times New Roman"/>
        </w:rPr>
        <w:t>ce</w:t>
      </w:r>
      <w:r>
        <w:rPr>
          <w:rFonts w:cs="Times New Roman"/>
        </w:rPr>
        <w:t xml:space="preserve"> it </w:t>
      </w:r>
      <w:r w:rsidR="00B417D7">
        <w:rPr>
          <w:rFonts w:cs="Times New Roman"/>
        </w:rPr>
        <w:t xml:space="preserve">obviously </w:t>
      </w:r>
      <w:r>
        <w:rPr>
          <w:rFonts w:cs="Times New Roman"/>
        </w:rPr>
        <w:t xml:space="preserve">would have </w:t>
      </w:r>
      <w:r w:rsidR="00B42202">
        <w:rPr>
          <w:rFonts w:cs="Times New Roman"/>
        </w:rPr>
        <w:t>made</w:t>
      </w:r>
      <w:r>
        <w:rPr>
          <w:rFonts w:cs="Times New Roman"/>
        </w:rPr>
        <w:t xml:space="preserve"> more sen</w:t>
      </w:r>
      <w:r w:rsidR="004E5C4E">
        <w:rPr>
          <w:rFonts w:cs="Times New Roman"/>
        </w:rPr>
        <w:t>se</w:t>
      </w:r>
      <w:r>
        <w:rPr>
          <w:rFonts w:cs="Times New Roman"/>
        </w:rPr>
        <w:t xml:space="preserve"> to appear at trial and request a continuance.  Respondent conc</w:t>
      </w:r>
      <w:r w:rsidR="00B417D7">
        <w:rPr>
          <w:rFonts w:cs="Times New Roman"/>
        </w:rPr>
        <w:t xml:space="preserve">eded </w:t>
      </w:r>
      <w:r>
        <w:rPr>
          <w:rFonts w:cs="Times New Roman"/>
        </w:rPr>
        <w:t xml:space="preserve">that he would </w:t>
      </w:r>
      <w:r w:rsidR="00B42202">
        <w:rPr>
          <w:rFonts w:cs="Times New Roman"/>
        </w:rPr>
        <w:t>handle the situ</w:t>
      </w:r>
      <w:r w:rsidR="00B84B6C">
        <w:rPr>
          <w:rFonts w:cs="Times New Roman"/>
        </w:rPr>
        <w:t>ation differently in the future</w:t>
      </w:r>
      <w:r w:rsidR="00B42202">
        <w:rPr>
          <w:rFonts w:cs="Times New Roman"/>
        </w:rPr>
        <w:t xml:space="preserve"> </w:t>
      </w:r>
      <w:r>
        <w:rPr>
          <w:rFonts w:cs="Times New Roman"/>
        </w:rPr>
        <w:t xml:space="preserve">but </w:t>
      </w:r>
      <w:r w:rsidR="00B417D7">
        <w:rPr>
          <w:rFonts w:cs="Times New Roman"/>
        </w:rPr>
        <w:t xml:space="preserve">still </w:t>
      </w:r>
      <w:r>
        <w:rPr>
          <w:rFonts w:cs="Times New Roman"/>
        </w:rPr>
        <w:t>felt</w:t>
      </w:r>
      <w:r w:rsidR="00B42202">
        <w:rPr>
          <w:rFonts w:cs="Times New Roman"/>
        </w:rPr>
        <w:t xml:space="preserve"> that</w:t>
      </w:r>
      <w:r>
        <w:rPr>
          <w:rFonts w:cs="Times New Roman"/>
        </w:rPr>
        <w:t xml:space="preserve"> he</w:t>
      </w:r>
      <w:r w:rsidR="00B42202">
        <w:rPr>
          <w:rFonts w:cs="Times New Roman"/>
        </w:rPr>
        <w:t xml:space="preserve"> had</w:t>
      </w:r>
      <w:r>
        <w:rPr>
          <w:rFonts w:cs="Times New Roman"/>
        </w:rPr>
        <w:t xml:space="preserve"> acted </w:t>
      </w:r>
      <w:r w:rsidR="009D0D6C">
        <w:rPr>
          <w:rFonts w:cs="Times New Roman"/>
        </w:rPr>
        <w:t xml:space="preserve">at all times </w:t>
      </w:r>
      <w:r>
        <w:rPr>
          <w:rFonts w:cs="Times New Roman"/>
        </w:rPr>
        <w:t xml:space="preserve">in “good faith.”   </w:t>
      </w:r>
    </w:p>
    <w:p w:rsidR="003C3943" w:rsidRDefault="003C3943">
      <w:pPr>
        <w:spacing w:line="480" w:lineRule="auto"/>
        <w:rPr>
          <w:rFonts w:cs="Times New Roman"/>
          <w:b/>
          <w:bCs/>
        </w:rPr>
      </w:pPr>
      <w:r>
        <w:rPr>
          <w:rFonts w:cs="Times New Roman"/>
          <w:b/>
          <w:bCs/>
        </w:rPr>
        <w:tab/>
        <w:t>2.</w:t>
      </w:r>
      <w:r>
        <w:rPr>
          <w:rFonts w:cs="Times New Roman"/>
          <w:b/>
          <w:bCs/>
        </w:rPr>
        <w:tab/>
      </w:r>
      <w:r w:rsidR="0098426D">
        <w:rPr>
          <w:rFonts w:cs="Times New Roman"/>
          <w:b/>
          <w:bCs/>
        </w:rPr>
        <w:t>Conclusions of Law</w:t>
      </w:r>
      <w:r>
        <w:rPr>
          <w:rFonts w:cs="Times New Roman"/>
          <w:b/>
          <w:bCs/>
        </w:rPr>
        <w:t xml:space="preserve"> </w:t>
      </w:r>
    </w:p>
    <w:p w:rsidR="003C3943" w:rsidRDefault="003C3943">
      <w:pPr>
        <w:spacing w:line="480" w:lineRule="auto"/>
        <w:rPr>
          <w:rFonts w:cs="Times New Roman"/>
          <w:b/>
          <w:bCs/>
        </w:rPr>
      </w:pPr>
      <w:r>
        <w:rPr>
          <w:rFonts w:cs="Times New Roman"/>
          <w:b/>
          <w:bCs/>
        </w:rPr>
        <w:tab/>
        <w:t>Count Two: Failure to</w:t>
      </w:r>
      <w:r w:rsidR="00B42202">
        <w:rPr>
          <w:rFonts w:cs="Times New Roman"/>
          <w:b/>
          <w:bCs/>
        </w:rPr>
        <w:t xml:space="preserve"> Perform with Competence </w:t>
      </w:r>
      <w:r w:rsidR="00B84B6C">
        <w:rPr>
          <w:rFonts w:cs="Times New Roman"/>
          <w:b/>
          <w:bCs/>
        </w:rPr>
        <w:t>Pursuant to</w:t>
      </w:r>
      <w:r w:rsidR="00B42202">
        <w:rPr>
          <w:rFonts w:cs="Times New Roman"/>
          <w:b/>
          <w:bCs/>
        </w:rPr>
        <w:t xml:space="preserve"> R</w:t>
      </w:r>
      <w:r>
        <w:rPr>
          <w:rFonts w:cs="Times New Roman"/>
          <w:b/>
          <w:bCs/>
        </w:rPr>
        <w:t>ule 3-110(A)</w:t>
      </w:r>
    </w:p>
    <w:p w:rsidR="003C3943" w:rsidRDefault="003C3943">
      <w:pPr>
        <w:spacing w:line="480" w:lineRule="auto"/>
        <w:rPr>
          <w:rFonts w:cs="Times New Roman"/>
        </w:rPr>
      </w:pPr>
      <w:r>
        <w:rPr>
          <w:rFonts w:cs="Times New Roman"/>
          <w:b/>
          <w:bCs/>
        </w:rPr>
        <w:tab/>
      </w:r>
      <w:r w:rsidR="00462876">
        <w:rPr>
          <w:rFonts w:cs="Times New Roman"/>
        </w:rPr>
        <w:t>We adopt the findings, conclusions, and decision of the hearing judge that respondent failed</w:t>
      </w:r>
      <w:r>
        <w:rPr>
          <w:rFonts w:cs="Times New Roman"/>
        </w:rPr>
        <w:t xml:space="preserve"> to perform legal services with competence</w:t>
      </w:r>
      <w:r w:rsidR="00B84B6C">
        <w:rPr>
          <w:rFonts w:cs="Times New Roman"/>
        </w:rPr>
        <w:t>,</w:t>
      </w:r>
      <w:r>
        <w:rPr>
          <w:rFonts w:cs="Times New Roman"/>
        </w:rPr>
        <w:t xml:space="preserve"> in violation of rule 3-110(A)</w:t>
      </w:r>
      <w:r w:rsidR="00B84B6C">
        <w:rPr>
          <w:rFonts w:cs="Times New Roman"/>
        </w:rPr>
        <w:t>,</w:t>
      </w:r>
      <w:r>
        <w:rPr>
          <w:rFonts w:cs="Times New Roman"/>
        </w:rPr>
        <w:t xml:space="preserve"> by intentionally failing to appear for trial in Bayshore III.  (</w:t>
      </w:r>
      <w:r w:rsidR="00B84B6C">
        <w:rPr>
          <w:rFonts w:cs="Times New Roman"/>
        </w:rPr>
        <w:t xml:space="preserve">See </w:t>
      </w:r>
      <w:r>
        <w:rPr>
          <w:rFonts w:cs="Times New Roman"/>
          <w:i/>
          <w:iCs/>
        </w:rPr>
        <w:t>In the Matter of Myrdall</w:t>
      </w:r>
      <w:r>
        <w:rPr>
          <w:rFonts w:cs="Times New Roman"/>
        </w:rPr>
        <w:t xml:space="preserve"> (Review Dept. 1995) 3 Cal. State Bar Ct. Rptr. 363, 372, 374 [respondent failed to perform with competence based</w:t>
      </w:r>
      <w:r w:rsidR="00343324">
        <w:rPr>
          <w:rFonts w:cs="Times New Roman"/>
        </w:rPr>
        <w:t xml:space="preserve"> </w:t>
      </w:r>
      <w:r w:rsidR="00F20C98">
        <w:rPr>
          <w:rFonts w:cs="Times New Roman"/>
        </w:rPr>
        <w:t xml:space="preserve">in </w:t>
      </w:r>
      <w:r w:rsidR="00343324">
        <w:rPr>
          <w:rFonts w:cs="Times New Roman"/>
        </w:rPr>
        <w:t>part</w:t>
      </w:r>
      <w:r>
        <w:rPr>
          <w:rFonts w:cs="Times New Roman"/>
        </w:rPr>
        <w:t xml:space="preserve"> on </w:t>
      </w:r>
      <w:r w:rsidR="00F20C98">
        <w:rPr>
          <w:rFonts w:cs="Times New Roman"/>
        </w:rPr>
        <w:t>failing</w:t>
      </w:r>
      <w:r>
        <w:rPr>
          <w:rFonts w:cs="Times New Roman"/>
        </w:rPr>
        <w:t xml:space="preserve"> to appear at trial].)</w:t>
      </w:r>
      <w:r w:rsidR="00462876">
        <w:rPr>
          <w:rStyle w:val="FootnoteReference"/>
        </w:rPr>
        <w:footnoteReference w:id="6"/>
      </w:r>
      <w:r>
        <w:rPr>
          <w:rFonts w:cs="Times New Roman"/>
        </w:rPr>
        <w:t xml:space="preserve"> </w:t>
      </w:r>
      <w:r w:rsidR="00936354">
        <w:rPr>
          <w:rFonts w:cs="Times New Roman"/>
        </w:rPr>
        <w:t xml:space="preserve"> </w:t>
      </w:r>
      <w:r>
        <w:rPr>
          <w:rFonts w:cs="Times New Roman"/>
        </w:rPr>
        <w:t xml:space="preserve">An attorney cannot refrain from performing legal services when it is to the detriment of his client’s interests simply </w:t>
      </w:r>
      <w:r w:rsidR="00F64208">
        <w:rPr>
          <w:rFonts w:cs="Times New Roman"/>
        </w:rPr>
        <w:t>due</w:t>
      </w:r>
      <w:r w:rsidR="00343324">
        <w:rPr>
          <w:rFonts w:cs="Times New Roman"/>
        </w:rPr>
        <w:t xml:space="preserve"> to </w:t>
      </w:r>
      <w:r>
        <w:rPr>
          <w:rFonts w:cs="Times New Roman"/>
        </w:rPr>
        <w:t xml:space="preserve">misgivings about the merits of a case or conflicts with the client.  In </w:t>
      </w:r>
      <w:r>
        <w:rPr>
          <w:rFonts w:cs="Times New Roman"/>
          <w:i/>
          <w:iCs/>
        </w:rPr>
        <w:t>In the Matter of Lantz</w:t>
      </w:r>
      <w:r>
        <w:rPr>
          <w:rFonts w:cs="Times New Roman"/>
        </w:rPr>
        <w:t xml:space="preserve"> (Review Dept. 2000) 4 Cal. State Bar Ct. Rptr. 126, we held that even when a client fails to participate in his case or </w:t>
      </w:r>
      <w:r w:rsidR="00343324">
        <w:rPr>
          <w:rFonts w:cs="Times New Roman"/>
        </w:rPr>
        <w:t>it</w:t>
      </w:r>
      <w:r>
        <w:rPr>
          <w:rFonts w:cs="Times New Roman"/>
        </w:rPr>
        <w:t xml:space="preserve"> has no merit, an attorney cannot simply </w:t>
      </w:r>
      <w:r w:rsidR="00343324">
        <w:rPr>
          <w:rFonts w:cs="Times New Roman"/>
        </w:rPr>
        <w:t>decline</w:t>
      </w:r>
      <w:r>
        <w:rPr>
          <w:rFonts w:cs="Times New Roman"/>
        </w:rPr>
        <w:t xml:space="preserve"> to act</w:t>
      </w:r>
      <w:r w:rsidR="00F20C98">
        <w:rPr>
          <w:rFonts w:cs="Times New Roman"/>
        </w:rPr>
        <w:t xml:space="preserve">.  </w:t>
      </w:r>
      <w:r w:rsidR="00430B55">
        <w:rPr>
          <w:rFonts w:cs="Times New Roman"/>
        </w:rPr>
        <w:t>Respondent’s decision to remain outside the courtroom while a default was entered reveals a serious deficiency in his understanding of “the high degree of care and fiduciary duty he owes to those he represents.” (</w:t>
      </w:r>
      <w:r w:rsidR="00430B55">
        <w:rPr>
          <w:rFonts w:cs="Times New Roman"/>
          <w:i/>
          <w:iCs/>
        </w:rPr>
        <w:t xml:space="preserve">Stuart v. State Bar </w:t>
      </w:r>
      <w:r w:rsidR="00430B55">
        <w:rPr>
          <w:rFonts w:cs="Times New Roman"/>
        </w:rPr>
        <w:t>(1985) 40 Cal.3d 838, 847.</w:t>
      </w:r>
      <w:r w:rsidR="00F20C98">
        <w:rPr>
          <w:rFonts w:cs="Times New Roman"/>
        </w:rPr>
        <w:t>)</w:t>
      </w:r>
      <w:r w:rsidR="00430B55">
        <w:rPr>
          <w:rFonts w:cs="Times New Roman"/>
        </w:rPr>
        <w:t xml:space="preserve">  </w:t>
      </w:r>
      <w:r>
        <w:rPr>
          <w:rFonts w:cs="Times New Roman"/>
        </w:rPr>
        <w:t xml:space="preserve">By failing to appear </w:t>
      </w:r>
      <w:r w:rsidR="00343324">
        <w:rPr>
          <w:rFonts w:cs="Times New Roman"/>
        </w:rPr>
        <w:t>at trial</w:t>
      </w:r>
      <w:r>
        <w:rPr>
          <w:rFonts w:cs="Times New Roman"/>
        </w:rPr>
        <w:t>, pursue other remedies or withdraw</w:t>
      </w:r>
      <w:r w:rsidR="00343324">
        <w:rPr>
          <w:rFonts w:cs="Times New Roman"/>
        </w:rPr>
        <w:t xml:space="preserve"> as counsel</w:t>
      </w:r>
      <w:r>
        <w:rPr>
          <w:rFonts w:cs="Times New Roman"/>
        </w:rPr>
        <w:t xml:space="preserve">, respondent </w:t>
      </w:r>
      <w:r w:rsidR="00F20C98">
        <w:rPr>
          <w:rFonts w:cs="Times New Roman"/>
        </w:rPr>
        <w:t>perform</w:t>
      </w:r>
      <w:r w:rsidR="00BC1A9F">
        <w:rPr>
          <w:rFonts w:cs="Times New Roman"/>
        </w:rPr>
        <w:t>ed</w:t>
      </w:r>
      <w:r w:rsidR="00F20C98">
        <w:rPr>
          <w:rFonts w:cs="Times New Roman"/>
        </w:rPr>
        <w:t xml:space="preserve"> </w:t>
      </w:r>
      <w:r w:rsidR="00BC1A9F">
        <w:rPr>
          <w:rFonts w:cs="Times New Roman"/>
        </w:rPr>
        <w:t>in</w:t>
      </w:r>
      <w:r w:rsidR="00F20C98">
        <w:rPr>
          <w:rFonts w:cs="Times New Roman"/>
        </w:rPr>
        <w:t>competently</w:t>
      </w:r>
      <w:r>
        <w:rPr>
          <w:rFonts w:cs="Times New Roman"/>
        </w:rPr>
        <w:t xml:space="preserve">.  </w:t>
      </w:r>
    </w:p>
    <w:p w:rsidR="003C3943" w:rsidRDefault="003C3943">
      <w:pPr>
        <w:pStyle w:val="Heading3"/>
        <w:spacing w:line="480" w:lineRule="auto"/>
        <w:ind w:firstLine="0"/>
        <w:rPr>
          <w:rFonts w:cs="Times New Roman"/>
        </w:rPr>
      </w:pPr>
      <w:r>
        <w:rPr>
          <w:rFonts w:cs="Times New Roman"/>
        </w:rPr>
        <w:lastRenderedPageBreak/>
        <w:t>IV.  DISCIPLINE</w:t>
      </w:r>
    </w:p>
    <w:p w:rsidR="00430B55" w:rsidRDefault="003C3943">
      <w:pPr>
        <w:spacing w:line="480" w:lineRule="auto"/>
        <w:ind w:firstLine="720"/>
        <w:rPr>
          <w:rFonts w:cs="Times New Roman"/>
        </w:rPr>
      </w:pPr>
      <w:r>
        <w:rPr>
          <w:rFonts w:cs="Times New Roman"/>
        </w:rPr>
        <w:t xml:space="preserve">The primary purpose of disciplinary proceedings is not to punish </w:t>
      </w:r>
      <w:r w:rsidR="00343324">
        <w:rPr>
          <w:rFonts w:cs="Times New Roman"/>
        </w:rPr>
        <w:t xml:space="preserve">the attorney </w:t>
      </w:r>
      <w:r>
        <w:rPr>
          <w:rFonts w:cs="Times New Roman"/>
        </w:rPr>
        <w:t>but to protect the public, the courts, and the legal profession.  (Std. 1.3;</w:t>
      </w:r>
      <w:r w:rsidR="00B84B6C">
        <w:rPr>
          <w:rStyle w:val="FootnoteReference"/>
        </w:rPr>
        <w:footnoteReference w:id="7"/>
      </w:r>
      <w:r>
        <w:rPr>
          <w:rFonts w:cs="Times New Roman"/>
        </w:rPr>
        <w:t xml:space="preserve"> </w:t>
      </w:r>
      <w:r>
        <w:rPr>
          <w:rFonts w:cs="Times New Roman"/>
          <w:i/>
          <w:iCs/>
        </w:rPr>
        <w:t>Bach v. State Bar</w:t>
      </w:r>
      <w:r>
        <w:rPr>
          <w:rFonts w:cs="Times New Roman"/>
        </w:rPr>
        <w:t xml:space="preserve"> (1987) 43 Cal.3d 848, 856</w:t>
      </w:r>
      <w:r w:rsidR="006468C9">
        <w:rPr>
          <w:rFonts w:cs="Times New Roman"/>
        </w:rPr>
        <w:t>-857</w:t>
      </w:r>
      <w:r>
        <w:rPr>
          <w:rFonts w:cs="Times New Roman"/>
        </w:rPr>
        <w:t>.)  No fixed formula applies in determining the appropriate level of discipline.  (</w:t>
      </w:r>
      <w:r>
        <w:rPr>
          <w:rFonts w:cs="Times New Roman"/>
          <w:i/>
          <w:iCs/>
        </w:rPr>
        <w:t>In the Matter of Brimberry</w:t>
      </w:r>
      <w:r>
        <w:rPr>
          <w:rFonts w:cs="Times New Roman"/>
        </w:rPr>
        <w:t xml:space="preserve"> (Review Dept. 1995) 3 Cal. State Bar Ct. Rptr. 390, 403.)  </w:t>
      </w:r>
      <w:r w:rsidR="00343324">
        <w:rPr>
          <w:rFonts w:cs="Times New Roman"/>
        </w:rPr>
        <w:t>W</w:t>
      </w:r>
      <w:r>
        <w:rPr>
          <w:rFonts w:cs="Times New Roman"/>
        </w:rPr>
        <w:t xml:space="preserve">e recommend discipline after considering all relevant circumstances, including mitigating and aggravating </w:t>
      </w:r>
      <w:r w:rsidR="00936354">
        <w:rPr>
          <w:rFonts w:cs="Times New Roman"/>
        </w:rPr>
        <w:t>factors</w:t>
      </w:r>
      <w:r>
        <w:rPr>
          <w:rFonts w:cs="Times New Roman"/>
        </w:rPr>
        <w:t>.  (</w:t>
      </w:r>
      <w:r>
        <w:rPr>
          <w:rFonts w:cs="Times New Roman"/>
          <w:i/>
          <w:iCs/>
        </w:rPr>
        <w:t>Gary v. State Bar</w:t>
      </w:r>
      <w:r>
        <w:rPr>
          <w:rFonts w:cs="Times New Roman"/>
        </w:rPr>
        <w:t xml:space="preserve"> (1988) 44 Cal.3d 820, 828.)</w:t>
      </w:r>
    </w:p>
    <w:p w:rsidR="003C3943" w:rsidRDefault="00936354">
      <w:pPr>
        <w:pStyle w:val="Heading1"/>
        <w:spacing w:before="0" w:line="480" w:lineRule="auto"/>
        <w:rPr>
          <w:rFonts w:cs="Times New Roman"/>
        </w:rPr>
      </w:pPr>
      <w:r>
        <w:rPr>
          <w:rFonts w:cs="Times New Roman"/>
        </w:rPr>
        <w:t>A.</w:t>
      </w:r>
      <w:r>
        <w:rPr>
          <w:rFonts w:cs="Times New Roman"/>
        </w:rPr>
        <w:tab/>
        <w:t>MITIGATION</w:t>
      </w:r>
    </w:p>
    <w:p w:rsidR="003C3943" w:rsidRDefault="004E5C4E">
      <w:pPr>
        <w:spacing w:line="480" w:lineRule="auto"/>
        <w:ind w:firstLine="720"/>
        <w:rPr>
          <w:rFonts w:cs="Times New Roman"/>
        </w:rPr>
      </w:pPr>
      <w:r>
        <w:rPr>
          <w:rFonts w:cs="Times New Roman"/>
        </w:rPr>
        <w:t xml:space="preserve">We </w:t>
      </w:r>
      <w:r w:rsidR="003C3943">
        <w:rPr>
          <w:rFonts w:cs="Times New Roman"/>
        </w:rPr>
        <w:t xml:space="preserve">adopt the hearing judge’s finding of three factors in mitigation.  </w:t>
      </w:r>
    </w:p>
    <w:p w:rsidR="003C3943" w:rsidRPr="00936354" w:rsidRDefault="00936354" w:rsidP="00936354">
      <w:pPr>
        <w:spacing w:line="480" w:lineRule="auto"/>
        <w:ind w:firstLine="720"/>
        <w:rPr>
          <w:b/>
          <w:bCs/>
        </w:rPr>
      </w:pPr>
      <w:r>
        <w:rPr>
          <w:b/>
          <w:bCs/>
        </w:rPr>
        <w:t>1.</w:t>
      </w:r>
      <w:r>
        <w:rPr>
          <w:b/>
          <w:bCs/>
        </w:rPr>
        <w:tab/>
      </w:r>
      <w:r w:rsidR="003C3943" w:rsidRPr="00936354">
        <w:rPr>
          <w:b/>
          <w:bCs/>
        </w:rPr>
        <w:t>Physical Disability (Std. 1.2(e)(iv)</w:t>
      </w:r>
      <w:r>
        <w:rPr>
          <w:b/>
          <w:bCs/>
        </w:rPr>
        <w:t>)</w:t>
      </w:r>
    </w:p>
    <w:p w:rsidR="00BF112F" w:rsidRDefault="003C3943" w:rsidP="00BF112F">
      <w:pPr>
        <w:spacing w:line="480" w:lineRule="auto"/>
        <w:ind w:firstLine="720"/>
        <w:rPr>
          <w:rFonts w:cs="Times New Roman"/>
        </w:rPr>
      </w:pPr>
      <w:r>
        <w:rPr>
          <w:rFonts w:cs="Times New Roman"/>
        </w:rPr>
        <w:t xml:space="preserve">Overshadowing respondent’s actions in the Velasquez and Vasquez matters are </w:t>
      </w:r>
      <w:r w:rsidR="002C40DD">
        <w:rPr>
          <w:rFonts w:cs="Times New Roman"/>
        </w:rPr>
        <w:t>medical</w:t>
      </w:r>
      <w:r>
        <w:rPr>
          <w:rFonts w:cs="Times New Roman"/>
        </w:rPr>
        <w:t xml:space="preserve"> issues related to</w:t>
      </w:r>
      <w:r w:rsidR="00146956">
        <w:rPr>
          <w:rFonts w:cs="Times New Roman"/>
        </w:rPr>
        <w:t xml:space="preserve"> his long-standing</w:t>
      </w:r>
      <w:r>
        <w:rPr>
          <w:rFonts w:cs="Times New Roman"/>
        </w:rPr>
        <w:t xml:space="preserve"> kidney disease. </w:t>
      </w:r>
      <w:r w:rsidR="00343324">
        <w:rPr>
          <w:rFonts w:cs="Times New Roman"/>
        </w:rPr>
        <w:t xml:space="preserve"> In 1992, he began to experience physical s</w:t>
      </w:r>
      <w:r w:rsidR="009D0D6C">
        <w:rPr>
          <w:rFonts w:cs="Times New Roman"/>
        </w:rPr>
        <w:t>ymptoms of</w:t>
      </w:r>
      <w:r w:rsidR="00343324">
        <w:rPr>
          <w:rFonts w:cs="Times New Roman"/>
        </w:rPr>
        <w:t xml:space="preserve"> the</w:t>
      </w:r>
      <w:r w:rsidR="009D0D6C">
        <w:rPr>
          <w:rFonts w:cs="Times New Roman"/>
        </w:rPr>
        <w:t xml:space="preserve"> disease</w:t>
      </w:r>
      <w:r w:rsidR="00146956">
        <w:rPr>
          <w:rFonts w:cs="Times New Roman"/>
        </w:rPr>
        <w:t xml:space="preserve"> and his health steadily deteriorate</w:t>
      </w:r>
      <w:r w:rsidR="006468C9">
        <w:rPr>
          <w:rFonts w:cs="Times New Roman"/>
        </w:rPr>
        <w:t>d</w:t>
      </w:r>
      <w:r w:rsidR="00343324">
        <w:rPr>
          <w:rFonts w:cs="Times New Roman"/>
        </w:rPr>
        <w:t xml:space="preserve">.  </w:t>
      </w:r>
      <w:r w:rsidR="00BC203F">
        <w:rPr>
          <w:rFonts w:cs="Times New Roman"/>
        </w:rPr>
        <w:t>B</w:t>
      </w:r>
      <w:r w:rsidR="0035490D">
        <w:rPr>
          <w:rFonts w:cs="Times New Roman"/>
        </w:rPr>
        <w:t>eginning in 1999</w:t>
      </w:r>
      <w:r w:rsidR="00BC203F">
        <w:rPr>
          <w:rFonts w:cs="Times New Roman"/>
        </w:rPr>
        <w:t xml:space="preserve"> and until his transplant</w:t>
      </w:r>
      <w:r w:rsidR="00146956">
        <w:rPr>
          <w:rFonts w:cs="Times New Roman"/>
        </w:rPr>
        <w:t xml:space="preserve"> in 2005</w:t>
      </w:r>
      <w:r w:rsidR="0035490D">
        <w:rPr>
          <w:rFonts w:cs="Times New Roman"/>
        </w:rPr>
        <w:t>,</w:t>
      </w:r>
      <w:r>
        <w:rPr>
          <w:rFonts w:cs="Times New Roman"/>
        </w:rPr>
        <w:t xml:space="preserve"> respondent underwent dialysis </w:t>
      </w:r>
      <w:r w:rsidR="0035490D">
        <w:rPr>
          <w:rFonts w:cs="Times New Roman"/>
        </w:rPr>
        <w:t xml:space="preserve">up to </w:t>
      </w:r>
      <w:r>
        <w:rPr>
          <w:rFonts w:cs="Times New Roman"/>
        </w:rPr>
        <w:t>several hours a day.  The first year of treatment following the transplant</w:t>
      </w:r>
      <w:r w:rsidR="00FE60C2">
        <w:rPr>
          <w:rFonts w:cs="Times New Roman"/>
        </w:rPr>
        <w:t xml:space="preserve"> surgery</w:t>
      </w:r>
      <w:r>
        <w:rPr>
          <w:rFonts w:cs="Times New Roman"/>
        </w:rPr>
        <w:t xml:space="preserve"> required many adjustments to</w:t>
      </w:r>
      <w:r w:rsidR="00936354">
        <w:rPr>
          <w:rFonts w:cs="Times New Roman"/>
        </w:rPr>
        <w:t xml:space="preserve"> his</w:t>
      </w:r>
      <w:r>
        <w:rPr>
          <w:rFonts w:cs="Times New Roman"/>
        </w:rPr>
        <w:t xml:space="preserve"> anti-rejection prescriptions, and the fluctuati</w:t>
      </w:r>
      <w:r w:rsidR="00BC1A9F">
        <w:rPr>
          <w:rFonts w:cs="Times New Roman"/>
        </w:rPr>
        <w:t>o</w:t>
      </w:r>
      <w:r>
        <w:rPr>
          <w:rFonts w:cs="Times New Roman"/>
        </w:rPr>
        <w:t>n</w:t>
      </w:r>
      <w:r w:rsidR="00BC1A9F">
        <w:rPr>
          <w:rFonts w:cs="Times New Roman"/>
        </w:rPr>
        <w:t>s</w:t>
      </w:r>
      <w:r>
        <w:rPr>
          <w:rFonts w:cs="Times New Roman"/>
        </w:rPr>
        <w:t xml:space="preserve"> affected respondent’s emotional state. </w:t>
      </w:r>
      <w:r w:rsidR="00936354">
        <w:rPr>
          <w:rFonts w:cs="Times New Roman"/>
        </w:rPr>
        <w:t xml:space="preserve"> </w:t>
      </w:r>
      <w:r>
        <w:rPr>
          <w:rFonts w:cs="Times New Roman"/>
        </w:rPr>
        <w:t xml:space="preserve">Although </w:t>
      </w:r>
      <w:r w:rsidR="00936354">
        <w:rPr>
          <w:rFonts w:cs="Times New Roman"/>
        </w:rPr>
        <w:t>his</w:t>
      </w:r>
      <w:r>
        <w:rPr>
          <w:rFonts w:cs="Times New Roman"/>
        </w:rPr>
        <w:t xml:space="preserve"> </w:t>
      </w:r>
      <w:r w:rsidR="004E5C4E">
        <w:rPr>
          <w:rFonts w:cs="Times New Roman"/>
        </w:rPr>
        <w:t xml:space="preserve">illness has been </w:t>
      </w:r>
      <w:r w:rsidR="0035490D">
        <w:rPr>
          <w:rFonts w:cs="Times New Roman"/>
        </w:rPr>
        <w:t>largely resolved by the transplant</w:t>
      </w:r>
      <w:r w:rsidR="00146956">
        <w:rPr>
          <w:rFonts w:cs="Times New Roman"/>
        </w:rPr>
        <w:t>, respondent</w:t>
      </w:r>
      <w:r>
        <w:rPr>
          <w:rFonts w:cs="Times New Roman"/>
        </w:rPr>
        <w:t xml:space="preserve"> </w:t>
      </w:r>
      <w:r w:rsidR="00146956">
        <w:rPr>
          <w:rFonts w:cs="Times New Roman"/>
        </w:rPr>
        <w:t xml:space="preserve">testified he </w:t>
      </w:r>
      <w:r>
        <w:rPr>
          <w:rFonts w:cs="Times New Roman"/>
        </w:rPr>
        <w:t xml:space="preserve">still becomes “emotional” </w:t>
      </w:r>
      <w:r w:rsidR="004E5C4E">
        <w:rPr>
          <w:rFonts w:cs="Times New Roman"/>
        </w:rPr>
        <w:t>without medication.</w:t>
      </w:r>
      <w:r>
        <w:rPr>
          <w:rFonts w:cs="Times New Roman"/>
        </w:rPr>
        <w:t xml:space="preserve"> </w:t>
      </w:r>
    </w:p>
    <w:p w:rsidR="00430B55" w:rsidRDefault="003C3943" w:rsidP="00430B55">
      <w:pPr>
        <w:spacing w:line="480" w:lineRule="auto"/>
        <w:ind w:firstLine="720"/>
        <w:rPr>
          <w:rFonts w:cs="Times New Roman"/>
        </w:rPr>
      </w:pPr>
      <w:r>
        <w:rPr>
          <w:rFonts w:cs="Times New Roman"/>
        </w:rPr>
        <w:t xml:space="preserve">Respondent </w:t>
      </w:r>
      <w:r w:rsidR="00157DDF">
        <w:rPr>
          <w:rFonts w:cs="Times New Roman"/>
        </w:rPr>
        <w:t xml:space="preserve">presented </w:t>
      </w:r>
      <w:r w:rsidR="00146956">
        <w:rPr>
          <w:rFonts w:cs="Times New Roman"/>
        </w:rPr>
        <w:t xml:space="preserve">clear and convincing evidence about the difficulties he experienced </w:t>
      </w:r>
      <w:r w:rsidR="0054490D">
        <w:rPr>
          <w:rFonts w:cs="Times New Roman"/>
        </w:rPr>
        <w:t>due to</w:t>
      </w:r>
      <w:r w:rsidR="00146956">
        <w:rPr>
          <w:rFonts w:cs="Times New Roman"/>
        </w:rPr>
        <w:t xml:space="preserve"> his</w:t>
      </w:r>
      <w:r w:rsidR="00157DDF">
        <w:rPr>
          <w:rFonts w:cs="Times New Roman"/>
        </w:rPr>
        <w:t xml:space="preserve"> </w:t>
      </w:r>
      <w:r>
        <w:rPr>
          <w:rFonts w:cs="Times New Roman"/>
        </w:rPr>
        <w:t>kidney disease and transplant</w:t>
      </w:r>
      <w:r w:rsidR="00157DDF">
        <w:rPr>
          <w:rFonts w:cs="Times New Roman"/>
        </w:rPr>
        <w:t xml:space="preserve">.  </w:t>
      </w:r>
      <w:r w:rsidR="00B4364C">
        <w:rPr>
          <w:rFonts w:cs="Times New Roman"/>
        </w:rPr>
        <w:t>The hearing judge admitted m</w:t>
      </w:r>
      <w:r w:rsidR="00157DDF">
        <w:rPr>
          <w:rFonts w:cs="Times New Roman"/>
        </w:rPr>
        <w:t xml:space="preserve">edical documentary evidence </w:t>
      </w:r>
      <w:r w:rsidR="0035490D">
        <w:rPr>
          <w:rFonts w:cs="Times New Roman"/>
        </w:rPr>
        <w:t>which included</w:t>
      </w:r>
      <w:r w:rsidR="00146956">
        <w:rPr>
          <w:rFonts w:cs="Times New Roman"/>
        </w:rPr>
        <w:t xml:space="preserve"> a</w:t>
      </w:r>
      <w:r w:rsidR="00B4364C">
        <w:rPr>
          <w:rFonts w:cs="Times New Roman"/>
        </w:rPr>
        <w:t xml:space="preserve"> </w:t>
      </w:r>
      <w:r w:rsidR="00157DDF">
        <w:rPr>
          <w:rFonts w:cs="Times New Roman"/>
        </w:rPr>
        <w:t>history of heart attac</w:t>
      </w:r>
      <w:r w:rsidR="00827ABB">
        <w:rPr>
          <w:rFonts w:cs="Times New Roman"/>
        </w:rPr>
        <w:t>k</w:t>
      </w:r>
      <w:r w:rsidR="00157DDF">
        <w:rPr>
          <w:rFonts w:cs="Times New Roman"/>
        </w:rPr>
        <w:t xml:space="preserve"> and high blood pressure.  Further, respondent </w:t>
      </w:r>
      <w:r w:rsidR="00146956">
        <w:rPr>
          <w:rFonts w:cs="Times New Roman"/>
        </w:rPr>
        <w:t xml:space="preserve">was plagued with </w:t>
      </w:r>
      <w:r>
        <w:rPr>
          <w:rFonts w:cs="Times New Roman"/>
        </w:rPr>
        <w:t xml:space="preserve">emotional </w:t>
      </w:r>
      <w:r w:rsidR="00146956">
        <w:rPr>
          <w:rFonts w:cs="Times New Roman"/>
        </w:rPr>
        <w:t>problems</w:t>
      </w:r>
      <w:r>
        <w:rPr>
          <w:rFonts w:cs="Times New Roman"/>
        </w:rPr>
        <w:t xml:space="preserve"> as a result</w:t>
      </w:r>
      <w:r w:rsidR="00157DDF">
        <w:rPr>
          <w:rFonts w:cs="Times New Roman"/>
        </w:rPr>
        <w:t xml:space="preserve"> of </w:t>
      </w:r>
      <w:r w:rsidR="004E5C4E">
        <w:rPr>
          <w:rFonts w:cs="Times New Roman"/>
        </w:rPr>
        <w:t>the</w:t>
      </w:r>
      <w:r w:rsidR="00157DDF">
        <w:rPr>
          <w:rFonts w:cs="Times New Roman"/>
        </w:rPr>
        <w:t xml:space="preserve"> disease</w:t>
      </w:r>
      <w:r w:rsidR="00146956">
        <w:rPr>
          <w:rFonts w:cs="Times New Roman"/>
        </w:rPr>
        <w:t xml:space="preserve"> and having to take </w:t>
      </w:r>
      <w:r w:rsidR="00BC1A9F">
        <w:rPr>
          <w:rFonts w:cs="Times New Roman"/>
        </w:rPr>
        <w:t xml:space="preserve">so </w:t>
      </w:r>
      <w:r w:rsidR="00146956">
        <w:rPr>
          <w:rFonts w:cs="Times New Roman"/>
        </w:rPr>
        <w:t>many post-transplant medications</w:t>
      </w:r>
      <w:r>
        <w:rPr>
          <w:rFonts w:cs="Times New Roman"/>
        </w:rPr>
        <w:t xml:space="preserve">.  </w:t>
      </w:r>
      <w:r w:rsidR="00157DDF">
        <w:rPr>
          <w:rFonts w:cs="Times New Roman"/>
        </w:rPr>
        <w:t xml:space="preserve">We </w:t>
      </w:r>
      <w:r w:rsidR="00430B55">
        <w:rPr>
          <w:rFonts w:cs="Times New Roman"/>
        </w:rPr>
        <w:t>adopt</w:t>
      </w:r>
      <w:r w:rsidR="00157DDF">
        <w:rPr>
          <w:rFonts w:cs="Times New Roman"/>
        </w:rPr>
        <w:t xml:space="preserve"> the hearing judge’s finding that respondent suffered a </w:t>
      </w:r>
      <w:r w:rsidR="00157DDF">
        <w:rPr>
          <w:rFonts w:cs="Times New Roman"/>
        </w:rPr>
        <w:lastRenderedPageBreak/>
        <w:t>“physical difficulty” which “impaired his judgment and ability to perform competently.”  The e</w:t>
      </w:r>
      <w:r>
        <w:rPr>
          <w:rFonts w:cs="Times New Roman"/>
        </w:rPr>
        <w:t xml:space="preserve">vidence </w:t>
      </w:r>
      <w:r w:rsidR="00157DDF">
        <w:rPr>
          <w:rFonts w:cs="Times New Roman"/>
        </w:rPr>
        <w:t xml:space="preserve">regarding </w:t>
      </w:r>
      <w:r w:rsidR="00936354">
        <w:rPr>
          <w:rFonts w:cs="Times New Roman"/>
        </w:rPr>
        <w:t>respondent’s illness</w:t>
      </w:r>
      <w:r w:rsidR="00157DDF">
        <w:rPr>
          <w:rFonts w:cs="Times New Roman"/>
        </w:rPr>
        <w:t xml:space="preserve"> is reliable and </w:t>
      </w:r>
      <w:r>
        <w:rPr>
          <w:rFonts w:cs="Times New Roman"/>
        </w:rPr>
        <w:t xml:space="preserve">entitled to great weight in mitigation.  (See </w:t>
      </w:r>
      <w:r>
        <w:rPr>
          <w:rFonts w:cs="Times New Roman"/>
          <w:i/>
          <w:iCs/>
        </w:rPr>
        <w:t xml:space="preserve">In re Brown </w:t>
      </w:r>
      <w:r>
        <w:rPr>
          <w:rFonts w:cs="Times New Roman"/>
        </w:rPr>
        <w:t xml:space="preserve">(1995) 12 Cal.4th 205, 222 [mitigation found where, despite lack of expert testimony, State Bar did not dispute respondent’s testimony about effects of illness].) </w:t>
      </w:r>
    </w:p>
    <w:p w:rsidR="003C3943" w:rsidRPr="00936354" w:rsidRDefault="00936354" w:rsidP="00936354">
      <w:pPr>
        <w:spacing w:line="480" w:lineRule="auto"/>
        <w:ind w:firstLine="720"/>
        <w:rPr>
          <w:b/>
          <w:bCs/>
        </w:rPr>
      </w:pPr>
      <w:r>
        <w:rPr>
          <w:b/>
          <w:bCs/>
        </w:rPr>
        <w:t>2.</w:t>
      </w:r>
      <w:r>
        <w:rPr>
          <w:b/>
          <w:bCs/>
        </w:rPr>
        <w:tab/>
      </w:r>
      <w:r w:rsidR="003C3943" w:rsidRPr="00936354">
        <w:rPr>
          <w:b/>
          <w:bCs/>
        </w:rPr>
        <w:t>Good Character (Std.</w:t>
      </w:r>
      <w:r w:rsidR="00380A21">
        <w:rPr>
          <w:b/>
          <w:bCs/>
        </w:rPr>
        <w:t xml:space="preserve"> </w:t>
      </w:r>
      <w:r w:rsidR="003C3943" w:rsidRPr="00936354">
        <w:rPr>
          <w:b/>
          <w:bCs/>
        </w:rPr>
        <w:t>1.2(e)(vi)</w:t>
      </w:r>
      <w:r>
        <w:rPr>
          <w:b/>
          <w:bCs/>
        </w:rPr>
        <w:t>)</w:t>
      </w:r>
    </w:p>
    <w:p w:rsidR="003C3943" w:rsidRDefault="004E5C4E" w:rsidP="00F64208">
      <w:pPr>
        <w:spacing w:line="480" w:lineRule="auto"/>
        <w:ind w:firstLine="720"/>
        <w:rPr>
          <w:rFonts w:cs="Times New Roman"/>
        </w:rPr>
      </w:pPr>
      <w:r>
        <w:rPr>
          <w:rFonts w:cs="Times New Roman"/>
        </w:rPr>
        <w:t>A</w:t>
      </w:r>
      <w:r w:rsidR="00965BA3">
        <w:rPr>
          <w:rFonts w:cs="Times New Roman"/>
        </w:rPr>
        <w:t xml:space="preserve"> Superior Court judge</w:t>
      </w:r>
      <w:r>
        <w:rPr>
          <w:rFonts w:cs="Times New Roman"/>
        </w:rPr>
        <w:t xml:space="preserve"> and</w:t>
      </w:r>
      <w:r w:rsidR="00965BA3">
        <w:rPr>
          <w:rFonts w:cs="Times New Roman"/>
        </w:rPr>
        <w:t xml:space="preserve"> an attorney who had employed respondent attested to respondent’s good character and general ability to practice law.</w:t>
      </w:r>
      <w:r w:rsidR="00BC1A9F">
        <w:rPr>
          <w:rStyle w:val="FootnoteReference"/>
        </w:rPr>
        <w:footnoteReference w:id="8"/>
      </w:r>
      <w:r w:rsidR="00965BA3">
        <w:rPr>
          <w:rFonts w:cs="Times New Roman"/>
        </w:rPr>
        <w:t xml:space="preserve"> </w:t>
      </w:r>
      <w:r w:rsidR="002D46CD">
        <w:rPr>
          <w:rFonts w:cs="Times New Roman"/>
        </w:rPr>
        <w:t xml:space="preserve"> </w:t>
      </w:r>
      <w:r w:rsidR="00146956">
        <w:rPr>
          <w:rFonts w:cs="Times New Roman"/>
          <w:bCs/>
        </w:rPr>
        <w:t xml:space="preserve">The judge </w:t>
      </w:r>
      <w:r w:rsidR="00B84B6C">
        <w:rPr>
          <w:rFonts w:cs="Times New Roman"/>
          <w:bCs/>
        </w:rPr>
        <w:t>knew</w:t>
      </w:r>
      <w:r w:rsidR="003C3943">
        <w:rPr>
          <w:rFonts w:cs="Times New Roman"/>
        </w:rPr>
        <w:t xml:space="preserve"> respondent for over 30 years</w:t>
      </w:r>
      <w:r w:rsidR="00936354">
        <w:rPr>
          <w:rFonts w:cs="Times New Roman"/>
        </w:rPr>
        <w:t xml:space="preserve"> – as </w:t>
      </w:r>
      <w:r w:rsidR="003C3943">
        <w:rPr>
          <w:rFonts w:cs="Times New Roman"/>
        </w:rPr>
        <w:t xml:space="preserve">a law school classmate, as opposing counsel when the judge was a prosecutor, and as a </w:t>
      </w:r>
      <w:r w:rsidR="00BC1A9F">
        <w:rPr>
          <w:rFonts w:cs="Times New Roman"/>
        </w:rPr>
        <w:t>criminal defense attorney appearing before him.</w:t>
      </w:r>
      <w:r w:rsidR="003C3943">
        <w:rPr>
          <w:rFonts w:cs="Times New Roman"/>
        </w:rPr>
        <w:t xml:space="preserve">  </w:t>
      </w:r>
      <w:r w:rsidR="00146956">
        <w:rPr>
          <w:rFonts w:cs="Times New Roman"/>
        </w:rPr>
        <w:t>He</w:t>
      </w:r>
      <w:r w:rsidR="003C3943">
        <w:rPr>
          <w:rFonts w:cs="Times New Roman"/>
        </w:rPr>
        <w:t xml:space="preserve"> described respondent as honest, trustworthy, always prepared, </w:t>
      </w:r>
      <w:r w:rsidR="00936354">
        <w:rPr>
          <w:rFonts w:cs="Times New Roman"/>
        </w:rPr>
        <w:t xml:space="preserve">and </w:t>
      </w:r>
      <w:r w:rsidR="003C3943">
        <w:rPr>
          <w:rFonts w:cs="Times New Roman"/>
        </w:rPr>
        <w:t>respectful to opposing parties</w:t>
      </w:r>
      <w:r w:rsidR="00146956">
        <w:rPr>
          <w:rFonts w:cs="Times New Roman"/>
        </w:rPr>
        <w:t>,</w:t>
      </w:r>
      <w:r w:rsidR="00BC1A9F">
        <w:rPr>
          <w:rFonts w:cs="Times New Roman"/>
        </w:rPr>
        <w:t xml:space="preserve"> noting that</w:t>
      </w:r>
      <w:r w:rsidR="00146956">
        <w:rPr>
          <w:rFonts w:cs="Times New Roman"/>
        </w:rPr>
        <w:t xml:space="preserve"> his general reputation in the legal community </w:t>
      </w:r>
      <w:r w:rsidR="00BC1A9F">
        <w:rPr>
          <w:rFonts w:cs="Times New Roman"/>
        </w:rPr>
        <w:t>w</w:t>
      </w:r>
      <w:r w:rsidR="00146956">
        <w:rPr>
          <w:rFonts w:cs="Times New Roman"/>
        </w:rPr>
        <w:t xml:space="preserve">as “excellent.”  </w:t>
      </w:r>
      <w:r w:rsidR="003C3943">
        <w:rPr>
          <w:rFonts w:cs="Times New Roman"/>
        </w:rPr>
        <w:t xml:space="preserve">An attorney who hired respondent to defend his staffing company </w:t>
      </w:r>
      <w:r w:rsidR="00936354">
        <w:rPr>
          <w:rFonts w:cs="Times New Roman"/>
        </w:rPr>
        <w:t>from 2005 until 2007</w:t>
      </w:r>
      <w:r w:rsidR="003C3943">
        <w:rPr>
          <w:rFonts w:cs="Times New Roman"/>
        </w:rPr>
        <w:t xml:space="preserve"> </w:t>
      </w:r>
      <w:r w:rsidR="002D46CD">
        <w:rPr>
          <w:rFonts w:cs="Times New Roman"/>
        </w:rPr>
        <w:t xml:space="preserve">testified that he </w:t>
      </w:r>
      <w:r w:rsidR="003C3943">
        <w:rPr>
          <w:rFonts w:cs="Times New Roman"/>
        </w:rPr>
        <w:t xml:space="preserve">was “quite satisfied” with respondent’s performance.    </w:t>
      </w:r>
    </w:p>
    <w:p w:rsidR="003C3943" w:rsidRDefault="003C3943" w:rsidP="00BC1A9F">
      <w:pPr>
        <w:spacing w:line="480" w:lineRule="auto"/>
        <w:ind w:firstLine="720"/>
        <w:rPr>
          <w:rFonts w:cs="Times New Roman"/>
        </w:rPr>
      </w:pPr>
      <w:r>
        <w:rPr>
          <w:rFonts w:cs="Times New Roman"/>
        </w:rPr>
        <w:t xml:space="preserve">Three former clients </w:t>
      </w:r>
      <w:r w:rsidR="004E5C4E">
        <w:rPr>
          <w:rFonts w:cs="Times New Roman"/>
        </w:rPr>
        <w:t xml:space="preserve">also </w:t>
      </w:r>
      <w:r w:rsidR="002E43D5">
        <w:rPr>
          <w:rFonts w:cs="Times New Roman"/>
        </w:rPr>
        <w:t>spoke</w:t>
      </w:r>
      <w:r>
        <w:rPr>
          <w:rFonts w:cs="Times New Roman"/>
        </w:rPr>
        <w:t xml:space="preserve"> </w:t>
      </w:r>
      <w:r w:rsidR="004E5C4E">
        <w:rPr>
          <w:rFonts w:cs="Times New Roman"/>
        </w:rPr>
        <w:t xml:space="preserve">on respondent’s </w:t>
      </w:r>
      <w:r>
        <w:rPr>
          <w:rFonts w:cs="Times New Roman"/>
        </w:rPr>
        <w:t xml:space="preserve">behalf.  A former NFL player for whom respondent acted as </w:t>
      </w:r>
      <w:r w:rsidR="00B84B6C">
        <w:rPr>
          <w:rFonts w:cs="Times New Roman"/>
        </w:rPr>
        <w:t xml:space="preserve">counsel and as </w:t>
      </w:r>
      <w:r>
        <w:rPr>
          <w:rFonts w:cs="Times New Roman"/>
        </w:rPr>
        <w:t xml:space="preserve">a sports agent testified that respondent always appeared in court and at appointments when required, and </w:t>
      </w:r>
      <w:r w:rsidR="00BC1A9F">
        <w:rPr>
          <w:rFonts w:cs="Times New Roman"/>
        </w:rPr>
        <w:t xml:space="preserve">was trustworthy </w:t>
      </w:r>
      <w:r w:rsidR="00146956">
        <w:rPr>
          <w:rFonts w:cs="Times New Roman"/>
        </w:rPr>
        <w:t>to handle</w:t>
      </w:r>
      <w:r>
        <w:rPr>
          <w:rFonts w:cs="Times New Roman"/>
        </w:rPr>
        <w:t xml:space="preserve"> large sums of money</w:t>
      </w:r>
      <w:r w:rsidR="00BC1A9F">
        <w:rPr>
          <w:rFonts w:cs="Times New Roman"/>
        </w:rPr>
        <w:t xml:space="preserve">.  </w:t>
      </w:r>
      <w:r>
        <w:rPr>
          <w:rFonts w:cs="Times New Roman"/>
        </w:rPr>
        <w:t>A pro bono client</w:t>
      </w:r>
      <w:r w:rsidR="00B84B6C">
        <w:rPr>
          <w:rFonts w:cs="Times New Roman"/>
        </w:rPr>
        <w:t>,</w:t>
      </w:r>
      <w:r>
        <w:rPr>
          <w:rFonts w:cs="Times New Roman"/>
        </w:rPr>
        <w:t xml:space="preserve"> who was a former foster child</w:t>
      </w:r>
      <w:r w:rsidR="00B84B6C">
        <w:rPr>
          <w:rFonts w:cs="Times New Roman"/>
        </w:rPr>
        <w:t>,</w:t>
      </w:r>
      <w:r>
        <w:rPr>
          <w:rFonts w:cs="Times New Roman"/>
        </w:rPr>
        <w:t xml:space="preserve"> testified</w:t>
      </w:r>
      <w:r w:rsidR="00936354">
        <w:rPr>
          <w:rFonts w:cs="Times New Roman"/>
        </w:rPr>
        <w:t xml:space="preserve"> that</w:t>
      </w:r>
      <w:r>
        <w:rPr>
          <w:rFonts w:cs="Times New Roman"/>
        </w:rPr>
        <w:t xml:space="preserve"> respondent represented her successfully in a criminal case</w:t>
      </w:r>
      <w:r w:rsidR="00936354">
        <w:rPr>
          <w:rFonts w:cs="Times New Roman"/>
        </w:rPr>
        <w:t>,</w:t>
      </w:r>
      <w:r>
        <w:rPr>
          <w:rFonts w:cs="Times New Roman"/>
        </w:rPr>
        <w:t xml:space="preserve"> </w:t>
      </w:r>
      <w:r w:rsidR="00936354">
        <w:rPr>
          <w:rFonts w:cs="Times New Roman"/>
        </w:rPr>
        <w:t xml:space="preserve">she </w:t>
      </w:r>
      <w:r>
        <w:rPr>
          <w:rFonts w:cs="Times New Roman"/>
        </w:rPr>
        <w:t xml:space="preserve">has referred </w:t>
      </w:r>
      <w:r w:rsidR="00936354">
        <w:rPr>
          <w:rFonts w:cs="Times New Roman"/>
        </w:rPr>
        <w:t>10</w:t>
      </w:r>
      <w:r w:rsidR="0035490D">
        <w:rPr>
          <w:rFonts w:cs="Times New Roman"/>
        </w:rPr>
        <w:t xml:space="preserve"> to </w:t>
      </w:r>
      <w:r w:rsidR="00936354">
        <w:rPr>
          <w:rFonts w:cs="Times New Roman"/>
        </w:rPr>
        <w:t>15</w:t>
      </w:r>
      <w:r>
        <w:rPr>
          <w:rFonts w:cs="Times New Roman"/>
        </w:rPr>
        <w:t xml:space="preserve"> clients</w:t>
      </w:r>
      <w:r w:rsidR="00B84B6C">
        <w:rPr>
          <w:rFonts w:cs="Times New Roman"/>
        </w:rPr>
        <w:t xml:space="preserve"> to him</w:t>
      </w:r>
      <w:r>
        <w:rPr>
          <w:rFonts w:cs="Times New Roman"/>
        </w:rPr>
        <w:t xml:space="preserve">, </w:t>
      </w:r>
      <w:r w:rsidR="00C75152">
        <w:rPr>
          <w:rFonts w:cs="Times New Roman"/>
        </w:rPr>
        <w:t>and they all</w:t>
      </w:r>
      <w:r>
        <w:rPr>
          <w:rFonts w:cs="Times New Roman"/>
        </w:rPr>
        <w:t xml:space="preserve"> </w:t>
      </w:r>
      <w:r w:rsidR="00936354">
        <w:rPr>
          <w:rFonts w:cs="Times New Roman"/>
        </w:rPr>
        <w:t xml:space="preserve">have </w:t>
      </w:r>
      <w:r>
        <w:rPr>
          <w:rFonts w:cs="Times New Roman"/>
        </w:rPr>
        <w:t xml:space="preserve">reported that </w:t>
      </w:r>
      <w:r w:rsidR="00C75152">
        <w:rPr>
          <w:rFonts w:cs="Times New Roman"/>
        </w:rPr>
        <w:t>he</w:t>
      </w:r>
      <w:r>
        <w:rPr>
          <w:rFonts w:cs="Times New Roman"/>
        </w:rPr>
        <w:t xml:space="preserve"> was a “very good lawyer.”  A school teacher client </w:t>
      </w:r>
      <w:r w:rsidR="004E5C4E">
        <w:rPr>
          <w:rFonts w:cs="Times New Roman"/>
        </w:rPr>
        <w:t xml:space="preserve">in </w:t>
      </w:r>
      <w:r>
        <w:rPr>
          <w:rFonts w:cs="Times New Roman"/>
        </w:rPr>
        <w:t xml:space="preserve">a criminal matter testified that respondent </w:t>
      </w:r>
      <w:r w:rsidR="00FC2D05">
        <w:rPr>
          <w:rFonts w:cs="Times New Roman"/>
        </w:rPr>
        <w:t xml:space="preserve">not only represented him in court but later </w:t>
      </w:r>
      <w:r>
        <w:rPr>
          <w:rFonts w:cs="Times New Roman"/>
        </w:rPr>
        <w:t xml:space="preserve">assisted him with charity work </w:t>
      </w:r>
      <w:r w:rsidR="00965BA3">
        <w:rPr>
          <w:rFonts w:cs="Times New Roman"/>
        </w:rPr>
        <w:t>delivering</w:t>
      </w:r>
      <w:r>
        <w:rPr>
          <w:rFonts w:cs="Times New Roman"/>
        </w:rPr>
        <w:t xml:space="preserve"> toys and food baskets.  </w:t>
      </w:r>
    </w:p>
    <w:p w:rsidR="00397905" w:rsidRDefault="00C46F1C">
      <w:pPr>
        <w:spacing w:line="480" w:lineRule="auto"/>
        <w:ind w:firstLine="720"/>
        <w:rPr>
          <w:rFonts w:cs="Times New Roman"/>
        </w:rPr>
      </w:pPr>
      <w:r>
        <w:rPr>
          <w:rFonts w:cs="Times New Roman"/>
        </w:rPr>
        <w:lastRenderedPageBreak/>
        <w:t>T</w:t>
      </w:r>
      <w:r w:rsidR="003C3943">
        <w:rPr>
          <w:rFonts w:cs="Times New Roman"/>
        </w:rPr>
        <w:t xml:space="preserve">hese witnesses represented a wide range of references and expressed </w:t>
      </w:r>
      <w:r w:rsidR="00965BA3">
        <w:rPr>
          <w:rFonts w:cs="Times New Roman"/>
        </w:rPr>
        <w:t xml:space="preserve">a general </w:t>
      </w:r>
      <w:r w:rsidR="003C3943">
        <w:rPr>
          <w:rFonts w:cs="Times New Roman"/>
        </w:rPr>
        <w:t xml:space="preserve">understanding of respondent’s misconduct.  </w:t>
      </w:r>
      <w:r w:rsidR="00990118">
        <w:rPr>
          <w:rFonts w:cs="Times New Roman"/>
        </w:rPr>
        <w:t>R</w:t>
      </w:r>
      <w:r w:rsidR="003C3943">
        <w:rPr>
          <w:rFonts w:cs="Times New Roman"/>
        </w:rPr>
        <w:t xml:space="preserve">espondent’s impressive moral character evidence should be afforded “significant </w:t>
      </w:r>
      <w:r w:rsidR="00965BA3">
        <w:rPr>
          <w:rFonts w:cs="Times New Roman"/>
        </w:rPr>
        <w:t>mitigation.”</w:t>
      </w:r>
      <w:r w:rsidR="003C3943">
        <w:rPr>
          <w:rFonts w:cs="Times New Roman"/>
        </w:rPr>
        <w:t xml:space="preserve"> </w:t>
      </w:r>
    </w:p>
    <w:p w:rsidR="003C3943" w:rsidRPr="00D77697" w:rsidRDefault="00D77697" w:rsidP="00D77697">
      <w:pPr>
        <w:spacing w:line="480" w:lineRule="auto"/>
        <w:ind w:firstLine="720"/>
        <w:rPr>
          <w:b/>
          <w:bCs/>
        </w:rPr>
      </w:pPr>
      <w:r>
        <w:rPr>
          <w:b/>
          <w:bCs/>
        </w:rPr>
        <w:t>3.</w:t>
      </w:r>
      <w:r>
        <w:rPr>
          <w:b/>
          <w:bCs/>
        </w:rPr>
        <w:tab/>
      </w:r>
      <w:r w:rsidR="003C3943" w:rsidRPr="00D77697">
        <w:rPr>
          <w:b/>
          <w:bCs/>
        </w:rPr>
        <w:t>Community Service and Pro Bono Work</w:t>
      </w:r>
    </w:p>
    <w:p w:rsidR="00B4364C" w:rsidRDefault="003C3943" w:rsidP="00B4364C">
      <w:pPr>
        <w:spacing w:line="480" w:lineRule="auto"/>
        <w:ind w:firstLine="720"/>
        <w:rPr>
          <w:rFonts w:cs="Times New Roman"/>
        </w:rPr>
      </w:pPr>
      <w:r>
        <w:rPr>
          <w:rFonts w:cs="Times New Roman"/>
        </w:rPr>
        <w:t>Respondent presented evidence of community service, which is a mitigat</w:t>
      </w:r>
      <w:r w:rsidR="00990118">
        <w:rPr>
          <w:rFonts w:cs="Times New Roman"/>
        </w:rPr>
        <w:t xml:space="preserve">ing factor that is entitled to </w:t>
      </w:r>
      <w:r>
        <w:rPr>
          <w:rFonts w:cs="Times New Roman"/>
        </w:rPr>
        <w:t>considerable weight</w:t>
      </w:r>
      <w:r w:rsidR="00990118">
        <w:rPr>
          <w:rFonts w:cs="Times New Roman"/>
        </w:rPr>
        <w:t xml:space="preserve">. </w:t>
      </w:r>
      <w:r>
        <w:rPr>
          <w:rFonts w:cs="Times New Roman"/>
        </w:rPr>
        <w:t xml:space="preserve"> (</w:t>
      </w:r>
      <w:r>
        <w:rPr>
          <w:rFonts w:cs="Times New Roman"/>
          <w:i/>
          <w:iCs/>
        </w:rPr>
        <w:t>Calvert v. State Bar</w:t>
      </w:r>
      <w:r>
        <w:rPr>
          <w:rFonts w:cs="Times New Roman"/>
        </w:rPr>
        <w:t xml:space="preserve"> (1991) 54 Cal.3d 765, 785.)  Since 1984, respondent has delivered holiday food and gifts to the needy.  He has volunteered</w:t>
      </w:r>
      <w:r w:rsidR="00D77697">
        <w:rPr>
          <w:rFonts w:cs="Times New Roman"/>
        </w:rPr>
        <w:t xml:space="preserve"> to work</w:t>
      </w:r>
      <w:r>
        <w:rPr>
          <w:rFonts w:cs="Times New Roman"/>
        </w:rPr>
        <w:t xml:space="preserve"> with youth through the Champs Foundation, which he co-founde</w:t>
      </w:r>
      <w:r w:rsidR="00D77697">
        <w:rPr>
          <w:rFonts w:cs="Times New Roman"/>
        </w:rPr>
        <w:t>d</w:t>
      </w:r>
      <w:r>
        <w:rPr>
          <w:rFonts w:cs="Times New Roman"/>
        </w:rPr>
        <w:t xml:space="preserve"> and </w:t>
      </w:r>
      <w:r w:rsidR="00D77697">
        <w:rPr>
          <w:rFonts w:cs="Times New Roman"/>
        </w:rPr>
        <w:t xml:space="preserve">served as a </w:t>
      </w:r>
      <w:r>
        <w:rPr>
          <w:rFonts w:cs="Times New Roman"/>
        </w:rPr>
        <w:t xml:space="preserve">former president.  Respondent </w:t>
      </w:r>
      <w:r w:rsidR="00990118">
        <w:rPr>
          <w:rFonts w:cs="Times New Roman"/>
        </w:rPr>
        <w:t xml:space="preserve">also </w:t>
      </w:r>
      <w:r>
        <w:rPr>
          <w:rFonts w:cs="Times New Roman"/>
        </w:rPr>
        <w:t>spearheaded a</w:t>
      </w:r>
      <w:r w:rsidR="00D77697">
        <w:rPr>
          <w:rFonts w:cs="Times New Roman"/>
        </w:rPr>
        <w:t>n extensive</w:t>
      </w:r>
      <w:r>
        <w:rPr>
          <w:rFonts w:cs="Times New Roman"/>
        </w:rPr>
        <w:t xml:space="preserve"> bone marrow drive </w:t>
      </w:r>
      <w:r w:rsidR="00965BA3">
        <w:rPr>
          <w:rFonts w:cs="Times New Roman"/>
        </w:rPr>
        <w:t xml:space="preserve">for a </w:t>
      </w:r>
      <w:r>
        <w:rPr>
          <w:rFonts w:cs="Times New Roman"/>
        </w:rPr>
        <w:t xml:space="preserve">client’s daughter </w:t>
      </w:r>
      <w:r w:rsidR="00965BA3">
        <w:rPr>
          <w:rFonts w:cs="Times New Roman"/>
        </w:rPr>
        <w:t xml:space="preserve">who </w:t>
      </w:r>
      <w:r>
        <w:rPr>
          <w:rFonts w:cs="Times New Roman"/>
        </w:rPr>
        <w:t xml:space="preserve">was diagnosed with leukemia, and </w:t>
      </w:r>
      <w:r w:rsidR="00990118">
        <w:rPr>
          <w:rFonts w:cs="Times New Roman"/>
        </w:rPr>
        <w:t xml:space="preserve">he </w:t>
      </w:r>
      <w:r>
        <w:rPr>
          <w:rFonts w:cs="Times New Roman"/>
        </w:rPr>
        <w:t xml:space="preserve">has performed pro bono work in </w:t>
      </w:r>
      <w:r w:rsidR="00990118">
        <w:rPr>
          <w:rFonts w:cs="Times New Roman"/>
        </w:rPr>
        <w:t xml:space="preserve">many </w:t>
      </w:r>
      <w:r>
        <w:rPr>
          <w:rFonts w:cs="Times New Roman"/>
        </w:rPr>
        <w:t>criminal cases.</w:t>
      </w:r>
      <w:r w:rsidR="00990118">
        <w:rPr>
          <w:rFonts w:cs="Times New Roman"/>
        </w:rPr>
        <w:t xml:space="preserve">  We find that respondent is entitled to s</w:t>
      </w:r>
      <w:r w:rsidR="00C46F1C">
        <w:rPr>
          <w:rFonts w:cs="Times New Roman"/>
        </w:rPr>
        <w:t>ubstantial</w:t>
      </w:r>
      <w:r w:rsidR="00990118">
        <w:rPr>
          <w:rFonts w:cs="Times New Roman"/>
        </w:rPr>
        <w:t xml:space="preserve"> mitigation credit for performing extensive community service.</w:t>
      </w:r>
    </w:p>
    <w:p w:rsidR="00B4364C" w:rsidRPr="001F3E0B" w:rsidRDefault="00D77697" w:rsidP="00D77697">
      <w:pPr>
        <w:spacing w:line="480" w:lineRule="auto"/>
        <w:rPr>
          <w:rFonts w:cs="Times New Roman"/>
          <w:b/>
        </w:rPr>
      </w:pPr>
      <w:r w:rsidRPr="001F3E0B">
        <w:rPr>
          <w:rFonts w:cs="Times New Roman"/>
          <w:b/>
        </w:rPr>
        <w:t>B.</w:t>
      </w:r>
      <w:r w:rsidRPr="001F3E0B">
        <w:rPr>
          <w:rFonts w:cs="Times New Roman"/>
          <w:b/>
        </w:rPr>
        <w:tab/>
        <w:t>AGGRAVATION</w:t>
      </w:r>
    </w:p>
    <w:p w:rsidR="00BF112F" w:rsidRDefault="004E5C4E" w:rsidP="00D77697">
      <w:pPr>
        <w:spacing w:line="480" w:lineRule="auto"/>
        <w:ind w:firstLine="720"/>
        <w:rPr>
          <w:rFonts w:cs="Times New Roman"/>
        </w:rPr>
      </w:pPr>
      <w:r>
        <w:rPr>
          <w:rFonts w:cs="Times New Roman"/>
        </w:rPr>
        <w:t xml:space="preserve">We </w:t>
      </w:r>
      <w:r w:rsidR="003C3943">
        <w:rPr>
          <w:rFonts w:cs="Times New Roman"/>
        </w:rPr>
        <w:t>adopt the hearing judge’s finding of four factors in aggravation.</w:t>
      </w:r>
    </w:p>
    <w:p w:rsidR="00B4364C" w:rsidRPr="00D77697" w:rsidRDefault="00D77697" w:rsidP="00D77697">
      <w:pPr>
        <w:spacing w:line="480" w:lineRule="auto"/>
        <w:ind w:firstLine="720"/>
        <w:rPr>
          <w:rFonts w:cs="Times New Roman"/>
        </w:rPr>
      </w:pPr>
      <w:r>
        <w:rPr>
          <w:b/>
        </w:rPr>
        <w:t>1.</w:t>
      </w:r>
      <w:r>
        <w:rPr>
          <w:b/>
        </w:rPr>
        <w:tab/>
      </w:r>
      <w:r w:rsidR="003C3943" w:rsidRPr="00D77697">
        <w:rPr>
          <w:b/>
        </w:rPr>
        <w:t>Prior Discipline in 1993 and 1995 (Std. 1.2(b)(i))</w:t>
      </w:r>
    </w:p>
    <w:p w:rsidR="003C3943" w:rsidRPr="00F17063" w:rsidRDefault="003C3943" w:rsidP="00F17063">
      <w:pPr>
        <w:spacing w:line="480" w:lineRule="auto"/>
        <w:ind w:firstLine="720"/>
        <w:rPr>
          <w:rFonts w:cs="Times New Roman"/>
          <w:bCs/>
        </w:rPr>
      </w:pPr>
      <w:r>
        <w:rPr>
          <w:rFonts w:cs="Times New Roman"/>
        </w:rPr>
        <w:t>Respondent has two prior records of discipline.</w:t>
      </w:r>
      <w:r>
        <w:rPr>
          <w:rStyle w:val="FootnoteReference"/>
        </w:rPr>
        <w:footnoteReference w:id="9"/>
      </w:r>
      <w:r>
        <w:rPr>
          <w:rFonts w:cs="Times New Roman"/>
        </w:rPr>
        <w:t xml:space="preserve">  In each case, </w:t>
      </w:r>
      <w:r w:rsidR="002D46CD">
        <w:rPr>
          <w:rFonts w:cs="Times New Roman"/>
        </w:rPr>
        <w:t>he</w:t>
      </w:r>
      <w:r>
        <w:rPr>
          <w:rFonts w:cs="Times New Roman"/>
        </w:rPr>
        <w:t xml:space="preserve"> did not meet the statutory deadline</w:t>
      </w:r>
      <w:r w:rsidR="00D77697">
        <w:rPr>
          <w:rFonts w:cs="Times New Roman"/>
        </w:rPr>
        <w:t>s</w:t>
      </w:r>
      <w:r w:rsidR="002D46CD">
        <w:rPr>
          <w:rFonts w:cs="Times New Roman"/>
        </w:rPr>
        <w:t>,</w:t>
      </w:r>
      <w:r>
        <w:rPr>
          <w:rFonts w:cs="Times New Roman"/>
        </w:rPr>
        <w:t xml:space="preserve"> resulting in </w:t>
      </w:r>
      <w:r w:rsidR="005E3096">
        <w:rPr>
          <w:rFonts w:cs="Times New Roman"/>
        </w:rPr>
        <w:t xml:space="preserve">a </w:t>
      </w:r>
      <w:r>
        <w:rPr>
          <w:rFonts w:cs="Times New Roman"/>
        </w:rPr>
        <w:t xml:space="preserve">complete loss of the clients’ claims.  </w:t>
      </w:r>
      <w:r w:rsidR="00990118">
        <w:rPr>
          <w:rFonts w:cs="Times New Roman"/>
        </w:rPr>
        <w:t>In his first discipline</w:t>
      </w:r>
      <w:r>
        <w:rPr>
          <w:rFonts w:cs="Times New Roman"/>
        </w:rPr>
        <w:t xml:space="preserve">, respondent was privately reproved in August 1993 for </w:t>
      </w:r>
      <w:r w:rsidR="00F17063">
        <w:rPr>
          <w:rFonts w:cs="Times New Roman"/>
        </w:rPr>
        <w:t>failing to perfor</w:t>
      </w:r>
      <w:r>
        <w:rPr>
          <w:rFonts w:cs="Times New Roman"/>
        </w:rPr>
        <w:t>m</w:t>
      </w:r>
      <w:r w:rsidR="00F17063">
        <w:rPr>
          <w:rFonts w:cs="Times New Roman"/>
        </w:rPr>
        <w:t xml:space="preserve"> competently</w:t>
      </w:r>
      <w:r w:rsidR="00DE37E4">
        <w:rPr>
          <w:rFonts w:cs="Times New Roman"/>
        </w:rPr>
        <w:t xml:space="preserve"> </w:t>
      </w:r>
      <w:r w:rsidR="006468C9">
        <w:rPr>
          <w:rFonts w:cs="Times New Roman"/>
        </w:rPr>
        <w:t xml:space="preserve">and failing </w:t>
      </w:r>
      <w:r w:rsidR="006468C9">
        <w:rPr>
          <w:rFonts w:cs="Times New Roman"/>
        </w:rPr>
        <w:lastRenderedPageBreak/>
        <w:t xml:space="preserve">to communicate </w:t>
      </w:r>
      <w:r w:rsidR="00DE37E4">
        <w:rPr>
          <w:rFonts w:cs="Times New Roman"/>
        </w:rPr>
        <w:t>in one client matter</w:t>
      </w:r>
      <w:r>
        <w:rPr>
          <w:rFonts w:cs="Times New Roman"/>
        </w:rPr>
        <w:t xml:space="preserve"> (Robinson I)</w:t>
      </w:r>
      <w:r w:rsidR="00D77697">
        <w:rPr>
          <w:rFonts w:cs="Times New Roman"/>
        </w:rPr>
        <w:t xml:space="preserve"> </w:t>
      </w:r>
      <w:r>
        <w:rPr>
          <w:rFonts w:cs="Times New Roman"/>
        </w:rPr>
        <w:t>from 1985 until 1988</w:t>
      </w:r>
      <w:r w:rsidR="00F17063">
        <w:rPr>
          <w:rFonts w:cs="Times New Roman"/>
        </w:rPr>
        <w:t>.  D</w:t>
      </w:r>
      <w:r w:rsidR="00DE37E4" w:rsidRPr="00DE37E4">
        <w:rPr>
          <w:rFonts w:cs="Times New Roman"/>
          <w:bCs/>
        </w:rPr>
        <w:t xml:space="preserve">uring </w:t>
      </w:r>
      <w:r w:rsidR="00F17063">
        <w:rPr>
          <w:rFonts w:cs="Times New Roman"/>
          <w:bCs/>
        </w:rPr>
        <w:t xml:space="preserve">this time, </w:t>
      </w:r>
      <w:r>
        <w:rPr>
          <w:rFonts w:cs="Times New Roman"/>
        </w:rPr>
        <w:t>respondent filed a</w:t>
      </w:r>
      <w:r w:rsidR="00D77697">
        <w:rPr>
          <w:rFonts w:cs="Times New Roman"/>
        </w:rPr>
        <w:t>n improper</w:t>
      </w:r>
      <w:r>
        <w:rPr>
          <w:rFonts w:cs="Times New Roman"/>
        </w:rPr>
        <w:t xml:space="preserve"> claim against a government entity</w:t>
      </w:r>
      <w:r w:rsidR="006468C9">
        <w:rPr>
          <w:rFonts w:cs="Times New Roman"/>
        </w:rPr>
        <w:t xml:space="preserve"> and</w:t>
      </w:r>
      <w:r>
        <w:rPr>
          <w:rFonts w:cs="Times New Roman"/>
        </w:rPr>
        <w:t xml:space="preserve"> failed to </w:t>
      </w:r>
      <w:r w:rsidR="0035490D" w:rsidRPr="00B4364C">
        <w:rPr>
          <w:rFonts w:cs="Times New Roman"/>
          <w:bCs/>
        </w:rPr>
        <w:t xml:space="preserve">cure the error before </w:t>
      </w:r>
      <w:r w:rsidRPr="00B4364C">
        <w:rPr>
          <w:rFonts w:cs="Times New Roman"/>
        </w:rPr>
        <w:t>the limitations</w:t>
      </w:r>
      <w:r>
        <w:rPr>
          <w:rFonts w:cs="Times New Roman"/>
        </w:rPr>
        <w:t xml:space="preserve"> period had run</w:t>
      </w:r>
      <w:r w:rsidR="006468C9">
        <w:rPr>
          <w:rFonts w:cs="Times New Roman"/>
        </w:rPr>
        <w:t>.</w:t>
      </w:r>
      <w:r>
        <w:rPr>
          <w:rFonts w:cs="Times New Roman"/>
        </w:rPr>
        <w:t xml:space="preserve">  </w:t>
      </w:r>
      <w:r w:rsidR="00F17063">
        <w:rPr>
          <w:rFonts w:cs="Times New Roman"/>
        </w:rPr>
        <w:t>In his s</w:t>
      </w:r>
      <w:r w:rsidRPr="00F17063">
        <w:rPr>
          <w:rFonts w:cs="Times New Roman"/>
          <w:bCs/>
        </w:rPr>
        <w:t>econd</w:t>
      </w:r>
      <w:r w:rsidR="00F17063">
        <w:rPr>
          <w:rFonts w:cs="Times New Roman"/>
          <w:bCs/>
        </w:rPr>
        <w:t xml:space="preserve"> discipline</w:t>
      </w:r>
      <w:r w:rsidRPr="00F17063">
        <w:rPr>
          <w:rFonts w:cs="Times New Roman"/>
          <w:bCs/>
        </w:rPr>
        <w:t xml:space="preserve">, </w:t>
      </w:r>
      <w:r w:rsidR="00D77697" w:rsidRPr="00F17063">
        <w:rPr>
          <w:rFonts w:cs="Times New Roman"/>
          <w:bCs/>
        </w:rPr>
        <w:t xml:space="preserve">respondent </w:t>
      </w:r>
      <w:r w:rsidR="00A44725">
        <w:rPr>
          <w:rFonts w:cs="Times New Roman"/>
          <w:bCs/>
        </w:rPr>
        <w:t xml:space="preserve">received </w:t>
      </w:r>
      <w:r w:rsidR="00FE60C2">
        <w:rPr>
          <w:rFonts w:cs="Times New Roman"/>
          <w:bCs/>
        </w:rPr>
        <w:t xml:space="preserve">a six-month stayed suspension </w:t>
      </w:r>
      <w:r w:rsidRPr="00F17063">
        <w:rPr>
          <w:rFonts w:cs="Times New Roman"/>
          <w:bCs/>
        </w:rPr>
        <w:t>in January 1995 for failing to perform competently and failing to keep the clients reasonably informed of significant developments (Robinson II).  Robinson II</w:t>
      </w:r>
      <w:r w:rsidRPr="00F17063">
        <w:rPr>
          <w:rFonts w:cs="Times New Roman"/>
          <w:bCs/>
          <w:i/>
          <w:iCs/>
        </w:rPr>
        <w:t xml:space="preserve"> </w:t>
      </w:r>
      <w:r w:rsidRPr="00F17063">
        <w:rPr>
          <w:rFonts w:cs="Times New Roman"/>
          <w:bCs/>
        </w:rPr>
        <w:t>was based on a single clie</w:t>
      </w:r>
      <w:r w:rsidR="00F17063">
        <w:rPr>
          <w:rFonts w:cs="Times New Roman"/>
          <w:bCs/>
        </w:rPr>
        <w:t>nt matter primarily in 1992 where</w:t>
      </w:r>
      <w:r w:rsidRPr="00F17063">
        <w:rPr>
          <w:rFonts w:cs="Times New Roman"/>
          <w:bCs/>
        </w:rPr>
        <w:t xml:space="preserve"> respondent</w:t>
      </w:r>
      <w:r w:rsidR="00F17063">
        <w:rPr>
          <w:rFonts w:cs="Times New Roman"/>
          <w:bCs/>
        </w:rPr>
        <w:t xml:space="preserve"> </w:t>
      </w:r>
      <w:r w:rsidR="002E43D5">
        <w:rPr>
          <w:rFonts w:cs="Times New Roman"/>
          <w:bCs/>
        </w:rPr>
        <w:t>did not</w:t>
      </w:r>
      <w:r w:rsidR="00C46F1C">
        <w:rPr>
          <w:rFonts w:cs="Times New Roman"/>
          <w:bCs/>
        </w:rPr>
        <w:t xml:space="preserve"> appear at court hearings. </w:t>
      </w:r>
      <w:r w:rsidR="00F17063">
        <w:rPr>
          <w:rFonts w:cs="Times New Roman"/>
          <w:bCs/>
        </w:rPr>
        <w:t xml:space="preserve"> The action was </w:t>
      </w:r>
      <w:r w:rsidR="0054490D">
        <w:rPr>
          <w:rFonts w:cs="Times New Roman"/>
          <w:bCs/>
        </w:rPr>
        <w:t>dismissed</w:t>
      </w:r>
      <w:r w:rsidRPr="00F17063">
        <w:rPr>
          <w:rFonts w:cs="Times New Roman"/>
          <w:bCs/>
        </w:rPr>
        <w:t xml:space="preserve"> for failure to prosecute within the statutory period.      </w:t>
      </w:r>
    </w:p>
    <w:p w:rsidR="003C3943" w:rsidRDefault="00C46F1C" w:rsidP="00430B55">
      <w:pPr>
        <w:spacing w:line="480" w:lineRule="auto"/>
        <w:ind w:firstLine="720"/>
        <w:rPr>
          <w:rFonts w:cs="Times New Roman"/>
        </w:rPr>
      </w:pPr>
      <w:r>
        <w:rPr>
          <w:rFonts w:cs="Times New Roman"/>
        </w:rPr>
        <w:t>We assign significant</w:t>
      </w:r>
      <w:r w:rsidR="00F17063">
        <w:rPr>
          <w:rFonts w:cs="Times New Roman"/>
        </w:rPr>
        <w:t xml:space="preserve"> aggravating weight to respondent’s record </w:t>
      </w:r>
      <w:r w:rsidR="00645571">
        <w:rPr>
          <w:rFonts w:cs="Times New Roman"/>
        </w:rPr>
        <w:t>because t</w:t>
      </w:r>
      <w:r w:rsidR="00F17063">
        <w:rPr>
          <w:rFonts w:cs="Times New Roman"/>
        </w:rPr>
        <w:t>here are areas of common concern</w:t>
      </w:r>
      <w:r>
        <w:rPr>
          <w:rFonts w:cs="Times New Roman"/>
        </w:rPr>
        <w:t xml:space="preserve"> with his current misconduct</w:t>
      </w:r>
      <w:r w:rsidR="00F17063">
        <w:rPr>
          <w:rFonts w:cs="Times New Roman"/>
        </w:rPr>
        <w:t>.</w:t>
      </w:r>
      <w:r w:rsidR="00645571">
        <w:rPr>
          <w:rFonts w:cs="Times New Roman"/>
        </w:rPr>
        <w:t xml:space="preserve">  In all three </w:t>
      </w:r>
      <w:r w:rsidR="003C3943">
        <w:rPr>
          <w:rFonts w:cs="Times New Roman"/>
        </w:rPr>
        <w:t xml:space="preserve">disciplinary matters, respondent has been found culpable of failing to competently perform services on behalf of his clients, </w:t>
      </w:r>
      <w:r w:rsidR="00685D75">
        <w:rPr>
          <w:rFonts w:cs="Times New Roman"/>
        </w:rPr>
        <w:t xml:space="preserve">causing them </w:t>
      </w:r>
      <w:r w:rsidR="003C3943">
        <w:rPr>
          <w:rFonts w:cs="Times New Roman"/>
        </w:rPr>
        <w:t xml:space="preserve">to forfeit their </w:t>
      </w:r>
      <w:r w:rsidR="00DE37E4">
        <w:rPr>
          <w:rFonts w:cs="Times New Roman"/>
        </w:rPr>
        <w:t>potential</w:t>
      </w:r>
      <w:r w:rsidR="003C3943">
        <w:rPr>
          <w:rFonts w:cs="Times New Roman"/>
        </w:rPr>
        <w:t xml:space="preserve"> legal claims and defenses in court.  </w:t>
      </w:r>
      <w:r w:rsidR="00645571">
        <w:rPr>
          <w:rFonts w:cs="Times New Roman"/>
        </w:rPr>
        <w:t>In sum, r</w:t>
      </w:r>
      <w:r w:rsidR="003C3943">
        <w:rPr>
          <w:rFonts w:cs="Times New Roman"/>
        </w:rPr>
        <w:t xml:space="preserve">espondent has </w:t>
      </w:r>
      <w:r w:rsidR="00645571">
        <w:rPr>
          <w:rFonts w:cs="Times New Roman"/>
        </w:rPr>
        <w:t xml:space="preserve">fundamentally </w:t>
      </w:r>
      <w:r w:rsidR="003C3943">
        <w:rPr>
          <w:rFonts w:cs="Times New Roman"/>
        </w:rPr>
        <w:t xml:space="preserve">failed to </w:t>
      </w:r>
      <w:r w:rsidR="00DE37E4">
        <w:rPr>
          <w:rFonts w:cs="Times New Roman"/>
        </w:rPr>
        <w:t>fulfill</w:t>
      </w:r>
      <w:r w:rsidR="003C3943">
        <w:rPr>
          <w:rFonts w:cs="Times New Roman"/>
        </w:rPr>
        <w:t xml:space="preserve"> his fiduciary duty to three clients.   </w:t>
      </w:r>
    </w:p>
    <w:p w:rsidR="003C3943" w:rsidRPr="008F3969" w:rsidRDefault="00430B55" w:rsidP="008F3969">
      <w:pPr>
        <w:spacing w:line="480" w:lineRule="auto"/>
        <w:ind w:firstLine="720"/>
        <w:rPr>
          <w:b/>
          <w:bCs/>
        </w:rPr>
      </w:pPr>
      <w:r>
        <w:rPr>
          <w:b/>
          <w:bCs/>
        </w:rPr>
        <w:t>2</w:t>
      </w:r>
      <w:r w:rsidR="008F3969">
        <w:rPr>
          <w:b/>
          <w:bCs/>
        </w:rPr>
        <w:t>.</w:t>
      </w:r>
      <w:r w:rsidR="008F3969">
        <w:rPr>
          <w:b/>
          <w:bCs/>
        </w:rPr>
        <w:tab/>
      </w:r>
      <w:r w:rsidR="003C3943" w:rsidRPr="008F3969">
        <w:rPr>
          <w:b/>
          <w:bCs/>
        </w:rPr>
        <w:t xml:space="preserve">Multiple Acts of Wrongdoing (Std. 1.2(b)(ii))  </w:t>
      </w:r>
    </w:p>
    <w:p w:rsidR="00645571" w:rsidRDefault="003C3943">
      <w:pPr>
        <w:spacing w:line="480" w:lineRule="auto"/>
        <w:ind w:firstLine="720"/>
        <w:rPr>
          <w:rFonts w:cs="Times New Roman"/>
        </w:rPr>
      </w:pPr>
      <w:r>
        <w:rPr>
          <w:rFonts w:cs="Times New Roman"/>
        </w:rPr>
        <w:t>Respondent engaged in</w:t>
      </w:r>
      <w:r w:rsidR="00430B55">
        <w:rPr>
          <w:rFonts w:cs="Times New Roman"/>
        </w:rPr>
        <w:t xml:space="preserve"> multiple acts of</w:t>
      </w:r>
      <w:r>
        <w:rPr>
          <w:rFonts w:cs="Times New Roman"/>
        </w:rPr>
        <w:t xml:space="preserve"> wrongdoing in the Velasquez and Vasquez matters.  </w:t>
      </w:r>
    </w:p>
    <w:p w:rsidR="003C3943" w:rsidRPr="008F3969" w:rsidRDefault="00430B55" w:rsidP="008F3969">
      <w:pPr>
        <w:spacing w:line="480" w:lineRule="auto"/>
        <w:ind w:firstLine="720"/>
        <w:rPr>
          <w:b/>
          <w:bCs/>
        </w:rPr>
      </w:pPr>
      <w:r>
        <w:rPr>
          <w:b/>
          <w:bCs/>
        </w:rPr>
        <w:t>3</w:t>
      </w:r>
      <w:r w:rsidR="008F3969">
        <w:rPr>
          <w:b/>
          <w:bCs/>
        </w:rPr>
        <w:t>.</w:t>
      </w:r>
      <w:r w:rsidR="008F3969">
        <w:rPr>
          <w:b/>
          <w:bCs/>
        </w:rPr>
        <w:tab/>
      </w:r>
      <w:r w:rsidR="003C3943" w:rsidRPr="008F3969">
        <w:rPr>
          <w:b/>
          <w:bCs/>
        </w:rPr>
        <w:t>Significant Harm</w:t>
      </w:r>
      <w:r w:rsidR="003C3943">
        <w:t xml:space="preserve"> </w:t>
      </w:r>
      <w:r w:rsidR="003C3943" w:rsidRPr="008F3969">
        <w:rPr>
          <w:b/>
          <w:bCs/>
        </w:rPr>
        <w:t>(Std. 1.2(b)(iv))</w:t>
      </w:r>
      <w:r w:rsidR="003C3943">
        <w:t xml:space="preserve">       </w:t>
      </w:r>
    </w:p>
    <w:p w:rsidR="00645571" w:rsidRDefault="003C3943">
      <w:pPr>
        <w:spacing w:line="480" w:lineRule="auto"/>
        <w:ind w:firstLine="720"/>
        <w:rPr>
          <w:rFonts w:cs="Times New Roman"/>
        </w:rPr>
      </w:pPr>
      <w:r>
        <w:rPr>
          <w:rFonts w:cs="Times New Roman"/>
        </w:rPr>
        <w:t>Respondent’s conduct significantly harmed Vasquez</w:t>
      </w:r>
      <w:r w:rsidR="00685D75">
        <w:rPr>
          <w:rFonts w:cs="Times New Roman"/>
        </w:rPr>
        <w:t xml:space="preserve"> because</w:t>
      </w:r>
      <w:r w:rsidR="008F3969">
        <w:rPr>
          <w:rFonts w:cs="Times New Roman"/>
        </w:rPr>
        <w:t xml:space="preserve"> his failure</w:t>
      </w:r>
      <w:r w:rsidR="0062547F">
        <w:rPr>
          <w:rFonts w:cs="Times New Roman"/>
        </w:rPr>
        <w:t xml:space="preserve"> </w:t>
      </w:r>
      <w:r>
        <w:rPr>
          <w:rFonts w:cs="Times New Roman"/>
        </w:rPr>
        <w:t xml:space="preserve">to appear at trial resulted in a substantial </w:t>
      </w:r>
      <w:r w:rsidR="0062547F">
        <w:rPr>
          <w:rFonts w:cs="Times New Roman"/>
        </w:rPr>
        <w:t xml:space="preserve">default </w:t>
      </w:r>
      <w:r>
        <w:rPr>
          <w:rFonts w:cs="Times New Roman"/>
        </w:rPr>
        <w:t xml:space="preserve">judgment against </w:t>
      </w:r>
      <w:r w:rsidR="008F3969">
        <w:rPr>
          <w:rFonts w:cs="Times New Roman"/>
        </w:rPr>
        <w:t>Vasquez</w:t>
      </w:r>
      <w:r>
        <w:rPr>
          <w:rFonts w:cs="Times New Roman"/>
        </w:rPr>
        <w:t xml:space="preserve">. </w:t>
      </w:r>
    </w:p>
    <w:p w:rsidR="003C3943" w:rsidRPr="00623CFB" w:rsidRDefault="00430B55" w:rsidP="00623CFB">
      <w:pPr>
        <w:spacing w:line="480" w:lineRule="auto"/>
        <w:ind w:firstLine="720"/>
        <w:rPr>
          <w:b/>
          <w:bCs/>
        </w:rPr>
      </w:pPr>
      <w:r>
        <w:rPr>
          <w:b/>
          <w:bCs/>
        </w:rPr>
        <w:t>4</w:t>
      </w:r>
      <w:r w:rsidR="00623CFB">
        <w:rPr>
          <w:b/>
          <w:bCs/>
        </w:rPr>
        <w:t>.</w:t>
      </w:r>
      <w:r w:rsidR="00623CFB">
        <w:rPr>
          <w:b/>
          <w:bCs/>
        </w:rPr>
        <w:tab/>
      </w:r>
      <w:r w:rsidR="003C3943" w:rsidRPr="00623CFB">
        <w:rPr>
          <w:b/>
          <w:bCs/>
        </w:rPr>
        <w:t>Indifference</w:t>
      </w:r>
      <w:r w:rsidR="003C3943">
        <w:t xml:space="preserve"> </w:t>
      </w:r>
      <w:r w:rsidR="003C3943" w:rsidRPr="00623CFB">
        <w:rPr>
          <w:b/>
          <w:bCs/>
        </w:rPr>
        <w:t>(Std. 1.2(b)(v))</w:t>
      </w:r>
      <w:r w:rsidR="003C3943">
        <w:t xml:space="preserve">  </w:t>
      </w:r>
    </w:p>
    <w:p w:rsidR="002E43D5" w:rsidRDefault="00DE37E4" w:rsidP="002E43D5">
      <w:pPr>
        <w:spacing w:line="480" w:lineRule="auto"/>
        <w:ind w:firstLine="720"/>
        <w:rPr>
          <w:rFonts w:cs="Times New Roman"/>
        </w:rPr>
      </w:pPr>
      <w:r>
        <w:rPr>
          <w:rFonts w:cs="Times New Roman"/>
        </w:rPr>
        <w:t>We are persuaded that respondent</w:t>
      </w:r>
      <w:r w:rsidR="003C3943">
        <w:rPr>
          <w:rFonts w:cs="Times New Roman"/>
        </w:rPr>
        <w:t xml:space="preserve"> </w:t>
      </w:r>
      <w:r>
        <w:rPr>
          <w:rFonts w:cs="Times New Roman"/>
        </w:rPr>
        <w:t>w</w:t>
      </w:r>
      <w:r w:rsidR="003C3943">
        <w:rPr>
          <w:rFonts w:cs="Times New Roman"/>
        </w:rPr>
        <w:t>as</w:t>
      </w:r>
      <w:r>
        <w:rPr>
          <w:rFonts w:cs="Times New Roman"/>
        </w:rPr>
        <w:t xml:space="preserve"> remorseful about</w:t>
      </w:r>
      <w:r w:rsidR="003C3943">
        <w:rPr>
          <w:rFonts w:cs="Times New Roman"/>
        </w:rPr>
        <w:t xml:space="preserve"> </w:t>
      </w:r>
      <w:r w:rsidR="0062547F">
        <w:rPr>
          <w:rFonts w:cs="Times New Roman"/>
        </w:rPr>
        <w:t>his</w:t>
      </w:r>
      <w:r w:rsidR="003C3943">
        <w:rPr>
          <w:rFonts w:cs="Times New Roman"/>
        </w:rPr>
        <w:t xml:space="preserve"> </w:t>
      </w:r>
      <w:r w:rsidR="0062547F">
        <w:rPr>
          <w:rFonts w:cs="Times New Roman"/>
        </w:rPr>
        <w:t>mis</w:t>
      </w:r>
      <w:r w:rsidR="003C3943">
        <w:rPr>
          <w:rFonts w:cs="Times New Roman"/>
        </w:rPr>
        <w:t>conduct</w:t>
      </w:r>
      <w:r>
        <w:rPr>
          <w:rFonts w:cs="Times New Roman"/>
        </w:rPr>
        <w:t xml:space="preserve"> when he appeared at the oral argument</w:t>
      </w:r>
      <w:r w:rsidR="00645571">
        <w:rPr>
          <w:rFonts w:cs="Times New Roman"/>
        </w:rPr>
        <w:t xml:space="preserve">.  </w:t>
      </w:r>
      <w:r w:rsidR="007F3266">
        <w:rPr>
          <w:rFonts w:cs="Times New Roman"/>
        </w:rPr>
        <w:t>However, t</w:t>
      </w:r>
      <w:r w:rsidR="002E43D5">
        <w:rPr>
          <w:rFonts w:cs="Times New Roman"/>
        </w:rPr>
        <w:t xml:space="preserve">he record </w:t>
      </w:r>
      <w:r>
        <w:rPr>
          <w:rFonts w:cs="Times New Roman"/>
        </w:rPr>
        <w:t>reveals that</w:t>
      </w:r>
      <w:r w:rsidR="00645571">
        <w:rPr>
          <w:rFonts w:cs="Times New Roman"/>
        </w:rPr>
        <w:t xml:space="preserve"> respondent</w:t>
      </w:r>
      <w:r>
        <w:rPr>
          <w:rFonts w:cs="Times New Roman"/>
        </w:rPr>
        <w:t xml:space="preserve"> lacked a full recognition of the serious consequences of </w:t>
      </w:r>
      <w:r w:rsidR="00645571">
        <w:rPr>
          <w:rFonts w:cs="Times New Roman"/>
        </w:rPr>
        <w:t xml:space="preserve">his misconduct.  </w:t>
      </w:r>
      <w:r>
        <w:rPr>
          <w:rFonts w:cs="Times New Roman"/>
        </w:rPr>
        <w:t xml:space="preserve">While respondent currently </w:t>
      </w:r>
      <w:r w:rsidR="006468C9">
        <w:rPr>
          <w:rFonts w:cs="Times New Roman"/>
        </w:rPr>
        <w:t>understands that he failed</w:t>
      </w:r>
      <w:r w:rsidR="0062547F">
        <w:rPr>
          <w:rFonts w:cs="Times New Roman"/>
        </w:rPr>
        <w:t xml:space="preserve"> </w:t>
      </w:r>
      <w:r w:rsidR="0098426D">
        <w:rPr>
          <w:rFonts w:cs="Times New Roman"/>
        </w:rPr>
        <w:t xml:space="preserve">to perform fiduciary duties </w:t>
      </w:r>
      <w:r w:rsidR="00623CFB">
        <w:rPr>
          <w:rFonts w:cs="Times New Roman"/>
        </w:rPr>
        <w:t>for</w:t>
      </w:r>
      <w:r w:rsidR="0098426D">
        <w:rPr>
          <w:rFonts w:cs="Times New Roman"/>
        </w:rPr>
        <w:t xml:space="preserve"> his client, his overall testimony </w:t>
      </w:r>
    </w:p>
    <w:p w:rsidR="002E43D5" w:rsidRDefault="002E43D5">
      <w:pPr>
        <w:rPr>
          <w:rFonts w:cs="Times New Roman"/>
        </w:rPr>
      </w:pPr>
      <w:r>
        <w:rPr>
          <w:rFonts w:cs="Times New Roman"/>
        </w:rPr>
        <w:br w:type="page"/>
      </w:r>
    </w:p>
    <w:p w:rsidR="006468C9" w:rsidRDefault="006468C9" w:rsidP="002E43D5">
      <w:pPr>
        <w:spacing w:line="480" w:lineRule="auto"/>
        <w:ind w:firstLine="720"/>
        <w:rPr>
          <w:rFonts w:cs="Times New Roman"/>
        </w:rPr>
      </w:pPr>
    </w:p>
    <w:p w:rsidR="003C3943" w:rsidRPr="006468C9" w:rsidRDefault="0098426D" w:rsidP="006468C9">
      <w:pPr>
        <w:spacing w:line="480" w:lineRule="auto"/>
        <w:rPr>
          <w:rFonts w:cs="Times New Roman"/>
        </w:rPr>
      </w:pPr>
      <w:r>
        <w:rPr>
          <w:rFonts w:cs="Times New Roman"/>
        </w:rPr>
        <w:t>lack</w:t>
      </w:r>
      <w:r w:rsidR="00DE37E4">
        <w:rPr>
          <w:rFonts w:cs="Times New Roman"/>
        </w:rPr>
        <w:t>ed</w:t>
      </w:r>
      <w:r w:rsidR="00C46F1C">
        <w:rPr>
          <w:rFonts w:cs="Times New Roman"/>
        </w:rPr>
        <w:t xml:space="preserve"> </w:t>
      </w:r>
      <w:r w:rsidR="003C3943">
        <w:rPr>
          <w:rFonts w:cs="Times New Roman"/>
        </w:rPr>
        <w:t xml:space="preserve">remorse or </w:t>
      </w:r>
      <w:r w:rsidR="00C46F1C">
        <w:rPr>
          <w:rFonts w:cs="Times New Roman"/>
        </w:rPr>
        <w:t xml:space="preserve">understanding that </w:t>
      </w:r>
      <w:r w:rsidR="003C3943">
        <w:rPr>
          <w:rFonts w:cs="Times New Roman"/>
        </w:rPr>
        <w:t>his failure to appear on behalf of Vasquez was improper.  (</w:t>
      </w:r>
      <w:r w:rsidR="003C3943">
        <w:rPr>
          <w:rFonts w:cs="Times New Roman"/>
          <w:i/>
          <w:iCs/>
        </w:rPr>
        <w:t>Harris v. State Bar</w:t>
      </w:r>
      <w:r w:rsidR="003C3943">
        <w:rPr>
          <w:rFonts w:cs="Times New Roman"/>
        </w:rPr>
        <w:t xml:space="preserve"> (1990) 51 Cal.3d 1082, 1088</w:t>
      </w:r>
      <w:r w:rsidR="00827ABB">
        <w:rPr>
          <w:rFonts w:cs="Times New Roman"/>
        </w:rPr>
        <w:t>.)</w:t>
      </w:r>
      <w:r w:rsidR="00DE37E4">
        <w:rPr>
          <w:rFonts w:cs="Times New Roman"/>
        </w:rPr>
        <w:t xml:space="preserve">  </w:t>
      </w:r>
    </w:p>
    <w:p w:rsidR="003C3943" w:rsidRDefault="00623CFB">
      <w:pPr>
        <w:pStyle w:val="Heading1"/>
        <w:spacing w:before="0" w:line="480" w:lineRule="auto"/>
        <w:rPr>
          <w:rFonts w:cs="Times New Roman"/>
        </w:rPr>
      </w:pPr>
      <w:r>
        <w:rPr>
          <w:rFonts w:cs="Times New Roman"/>
        </w:rPr>
        <w:t>C.</w:t>
      </w:r>
      <w:r>
        <w:rPr>
          <w:rFonts w:cs="Times New Roman"/>
        </w:rPr>
        <w:tab/>
        <w:t>LEVEL OF DISCIPLINE</w:t>
      </w:r>
    </w:p>
    <w:p w:rsidR="00430B55" w:rsidRDefault="003C3943">
      <w:pPr>
        <w:spacing w:line="480" w:lineRule="auto"/>
        <w:rPr>
          <w:rFonts w:cs="Times New Roman"/>
        </w:rPr>
      </w:pPr>
      <w:r>
        <w:rPr>
          <w:rFonts w:cs="Times New Roman"/>
        </w:rPr>
        <w:tab/>
        <w:t xml:space="preserve">In determining the </w:t>
      </w:r>
      <w:r w:rsidR="00DE37E4">
        <w:rPr>
          <w:rFonts w:cs="Times New Roman"/>
        </w:rPr>
        <w:t xml:space="preserve">appropriate </w:t>
      </w:r>
      <w:r>
        <w:rPr>
          <w:rFonts w:cs="Times New Roman"/>
        </w:rPr>
        <w:t>level of discipline, we look to the applicable standards and case law for guidance.  (</w:t>
      </w:r>
      <w:r>
        <w:rPr>
          <w:rFonts w:cs="Times New Roman"/>
          <w:i/>
          <w:iCs/>
        </w:rPr>
        <w:t xml:space="preserve">In re Young </w:t>
      </w:r>
      <w:r>
        <w:rPr>
          <w:rFonts w:cs="Times New Roman"/>
        </w:rPr>
        <w:t>(1989) 49 Cal.3d 257, 267, fn. 11.)  While the standards are merely guidelines and do not mandate the discipline to be imposed (</w:t>
      </w:r>
      <w:r>
        <w:rPr>
          <w:rFonts w:cs="Times New Roman"/>
          <w:i/>
          <w:iCs/>
        </w:rPr>
        <w:t>Blair v. State Bar</w:t>
      </w:r>
      <w:r>
        <w:rPr>
          <w:rFonts w:cs="Times New Roman"/>
        </w:rPr>
        <w:t xml:space="preserve"> (1989) 49 Cal.3d 762, 776, fn.</w:t>
      </w:r>
      <w:r w:rsidR="00380A21">
        <w:rPr>
          <w:rFonts w:cs="Times New Roman"/>
        </w:rPr>
        <w:t xml:space="preserve"> </w:t>
      </w:r>
      <w:r>
        <w:rPr>
          <w:rFonts w:cs="Times New Roman"/>
        </w:rPr>
        <w:t>5), we afford them great weight to further the uniform application of disciplinary measures</w:t>
      </w:r>
      <w:r w:rsidR="00430B55">
        <w:rPr>
          <w:rFonts w:cs="Times New Roman"/>
        </w:rPr>
        <w:t xml:space="preserve">. </w:t>
      </w:r>
      <w:r>
        <w:rPr>
          <w:rFonts w:cs="Times New Roman"/>
        </w:rPr>
        <w:t xml:space="preserve"> (</w:t>
      </w:r>
      <w:r>
        <w:rPr>
          <w:rFonts w:cs="Times New Roman"/>
          <w:i/>
          <w:iCs/>
        </w:rPr>
        <w:t>In re Silverton</w:t>
      </w:r>
      <w:r>
        <w:rPr>
          <w:rFonts w:cs="Times New Roman"/>
        </w:rPr>
        <w:t xml:space="preserve"> (2005) 36 Cal.4th 81, 91</w:t>
      </w:r>
      <w:r w:rsidR="00430B55">
        <w:rPr>
          <w:rFonts w:cs="Times New Roman"/>
        </w:rPr>
        <w:t>.</w:t>
      </w:r>
      <w:r>
        <w:rPr>
          <w:rFonts w:cs="Times New Roman"/>
        </w:rPr>
        <w:t xml:space="preserve">)  </w:t>
      </w:r>
      <w:r w:rsidR="00A60F00">
        <w:rPr>
          <w:rFonts w:cs="Times New Roman"/>
        </w:rPr>
        <w:t>T</w:t>
      </w:r>
      <w:r w:rsidR="004F7C45">
        <w:rPr>
          <w:rFonts w:cs="Times New Roman"/>
        </w:rPr>
        <w:t xml:space="preserve">here </w:t>
      </w:r>
      <w:r>
        <w:rPr>
          <w:rFonts w:cs="Times New Roman"/>
        </w:rPr>
        <w:t>are several applicable standards, including 1.7(b)</w:t>
      </w:r>
      <w:r w:rsidR="00645571">
        <w:rPr>
          <w:rFonts w:cs="Times New Roman"/>
        </w:rPr>
        <w:t xml:space="preserve"> </w:t>
      </w:r>
      <w:r>
        <w:rPr>
          <w:rFonts w:cs="Times New Roman"/>
        </w:rPr>
        <w:t>(</w:t>
      </w:r>
      <w:r w:rsidR="00237D58">
        <w:rPr>
          <w:rFonts w:cs="Times New Roman"/>
        </w:rPr>
        <w:t>disbarment with two prior disciplines</w:t>
      </w:r>
      <w:r w:rsidR="00E55E24">
        <w:rPr>
          <w:rFonts w:cs="Times New Roman"/>
        </w:rPr>
        <w:t xml:space="preserve"> records</w:t>
      </w:r>
      <w:r w:rsidR="00237D58">
        <w:rPr>
          <w:rFonts w:cs="Times New Roman"/>
        </w:rPr>
        <w:t>)</w:t>
      </w:r>
      <w:r w:rsidR="00DE37E4">
        <w:rPr>
          <w:rFonts w:cs="Times New Roman"/>
        </w:rPr>
        <w:t>,</w:t>
      </w:r>
      <w:r>
        <w:rPr>
          <w:rFonts w:cs="Times New Roman"/>
        </w:rPr>
        <w:t xml:space="preserve"> 1.6 (</w:t>
      </w:r>
      <w:r w:rsidR="00A60F00">
        <w:rPr>
          <w:rFonts w:cs="Times New Roman"/>
        </w:rPr>
        <w:t xml:space="preserve">imposition of the </w:t>
      </w:r>
      <w:r w:rsidR="00237D58">
        <w:rPr>
          <w:rFonts w:cs="Times New Roman"/>
        </w:rPr>
        <w:t xml:space="preserve">most severe of </w:t>
      </w:r>
      <w:r w:rsidR="00A60F00">
        <w:rPr>
          <w:rFonts w:cs="Times New Roman"/>
        </w:rPr>
        <w:t>two</w:t>
      </w:r>
      <w:r w:rsidR="00237D58">
        <w:rPr>
          <w:rFonts w:cs="Times New Roman"/>
        </w:rPr>
        <w:t xml:space="preserve"> or more </w:t>
      </w:r>
      <w:r w:rsidR="00E55E24">
        <w:rPr>
          <w:rFonts w:cs="Times New Roman"/>
        </w:rPr>
        <w:t>applicable sanctions</w:t>
      </w:r>
      <w:r w:rsidR="00237D58">
        <w:rPr>
          <w:rFonts w:cs="Times New Roman"/>
        </w:rPr>
        <w:t>)</w:t>
      </w:r>
      <w:r w:rsidR="004F7C45">
        <w:rPr>
          <w:rFonts w:cs="Times New Roman"/>
        </w:rPr>
        <w:t xml:space="preserve">, and 2.2(b) (minimum </w:t>
      </w:r>
      <w:r w:rsidR="00C16B05">
        <w:rPr>
          <w:rFonts w:cs="Times New Roman"/>
        </w:rPr>
        <w:t>three</w:t>
      </w:r>
      <w:r w:rsidR="004F7C45">
        <w:rPr>
          <w:rFonts w:cs="Times New Roman"/>
        </w:rPr>
        <w:t xml:space="preserve"> months</w:t>
      </w:r>
      <w:r w:rsidR="00DE37E4">
        <w:rPr>
          <w:rFonts w:cs="Times New Roman"/>
        </w:rPr>
        <w:t>’</w:t>
      </w:r>
      <w:r w:rsidR="004F7C45">
        <w:rPr>
          <w:rFonts w:cs="Times New Roman"/>
        </w:rPr>
        <w:t xml:space="preserve"> suspension</w:t>
      </w:r>
      <w:r w:rsidR="00A60F00">
        <w:rPr>
          <w:rFonts w:cs="Times New Roman"/>
        </w:rPr>
        <w:t xml:space="preserve"> for violation of </w:t>
      </w:r>
      <w:r w:rsidR="00623CFB">
        <w:rPr>
          <w:rFonts w:cs="Times New Roman"/>
        </w:rPr>
        <w:t>r</w:t>
      </w:r>
      <w:r w:rsidR="00A60F00">
        <w:rPr>
          <w:rFonts w:cs="Times New Roman"/>
        </w:rPr>
        <w:t>ule 4-100</w:t>
      </w:r>
      <w:r w:rsidR="004F7C45">
        <w:rPr>
          <w:rFonts w:cs="Times New Roman"/>
        </w:rPr>
        <w:t xml:space="preserve">). </w:t>
      </w:r>
      <w:r>
        <w:rPr>
          <w:rFonts w:cs="Times New Roman"/>
        </w:rPr>
        <w:t xml:space="preserve"> We focus on standard 1.7(b), which provides that, in the absence of compelling mitigation, disbarment is appropriate when there are two prior</w:t>
      </w:r>
      <w:r w:rsidR="00C46F1C">
        <w:rPr>
          <w:rFonts w:cs="Times New Roman"/>
        </w:rPr>
        <w:t xml:space="preserve"> records</w:t>
      </w:r>
      <w:r>
        <w:rPr>
          <w:rFonts w:cs="Times New Roman"/>
        </w:rPr>
        <w:t xml:space="preserve"> of discipline.  </w:t>
      </w:r>
    </w:p>
    <w:p w:rsidR="002E43D5" w:rsidRDefault="003C3943" w:rsidP="002E43D5">
      <w:pPr>
        <w:spacing w:line="480" w:lineRule="auto"/>
        <w:ind w:firstLine="720"/>
        <w:rPr>
          <w:rFonts w:cs="Times New Roman"/>
        </w:rPr>
      </w:pPr>
      <w:r>
        <w:rPr>
          <w:rFonts w:cs="Times New Roman"/>
        </w:rPr>
        <w:t xml:space="preserve">We do not recommend disbarment </w:t>
      </w:r>
      <w:r w:rsidR="00E55E24">
        <w:rPr>
          <w:rFonts w:cs="Times New Roman"/>
        </w:rPr>
        <w:t xml:space="preserve">pursuant to </w:t>
      </w:r>
      <w:r>
        <w:rPr>
          <w:rFonts w:cs="Times New Roman"/>
        </w:rPr>
        <w:t>standard 1.7(b)</w:t>
      </w:r>
      <w:r w:rsidR="00E55E24">
        <w:rPr>
          <w:rFonts w:cs="Times New Roman"/>
        </w:rPr>
        <w:t xml:space="preserve"> since r</w:t>
      </w:r>
      <w:r>
        <w:rPr>
          <w:rFonts w:cs="Times New Roman"/>
        </w:rPr>
        <w:t>espondent’s kidney disease and ultimate tran</w:t>
      </w:r>
      <w:r w:rsidR="00C46F1C">
        <w:rPr>
          <w:rFonts w:cs="Times New Roman"/>
        </w:rPr>
        <w:t xml:space="preserve">splant </w:t>
      </w:r>
      <w:r w:rsidR="00645571">
        <w:rPr>
          <w:rFonts w:cs="Times New Roman"/>
        </w:rPr>
        <w:t xml:space="preserve">predominate as </w:t>
      </w:r>
      <w:r>
        <w:rPr>
          <w:rFonts w:cs="Times New Roman"/>
        </w:rPr>
        <w:t>compelling circumstance</w:t>
      </w:r>
      <w:r w:rsidR="00645571">
        <w:rPr>
          <w:rFonts w:cs="Times New Roman"/>
        </w:rPr>
        <w:t>s</w:t>
      </w:r>
      <w:r>
        <w:rPr>
          <w:rFonts w:cs="Times New Roman"/>
        </w:rPr>
        <w:t xml:space="preserve">.  </w:t>
      </w:r>
      <w:r w:rsidR="00141325">
        <w:rPr>
          <w:rFonts w:cs="Times New Roman"/>
        </w:rPr>
        <w:t>(</w:t>
      </w:r>
      <w:r>
        <w:rPr>
          <w:rFonts w:cs="Times New Roman"/>
          <w:i/>
          <w:iCs/>
        </w:rPr>
        <w:t>In the Matter of Trousil</w:t>
      </w:r>
      <w:r>
        <w:rPr>
          <w:rFonts w:cs="Times New Roman"/>
        </w:rPr>
        <w:t xml:space="preserve"> (Review Dept. 1990) 1 Cal.</w:t>
      </w:r>
      <w:r w:rsidR="00380A21">
        <w:rPr>
          <w:rFonts w:cs="Times New Roman"/>
        </w:rPr>
        <w:t xml:space="preserve"> </w:t>
      </w:r>
      <w:r>
        <w:rPr>
          <w:rFonts w:cs="Times New Roman"/>
        </w:rPr>
        <w:t>State Bar Ct. Rptr. 229, 24</w:t>
      </w:r>
      <w:r w:rsidR="00E55E24">
        <w:rPr>
          <w:rFonts w:cs="Times New Roman"/>
        </w:rPr>
        <w:t>0</w:t>
      </w:r>
      <w:r>
        <w:rPr>
          <w:rFonts w:cs="Times New Roman"/>
        </w:rPr>
        <w:t>-</w:t>
      </w:r>
      <w:r w:rsidR="00623CFB">
        <w:rPr>
          <w:rFonts w:cs="Times New Roman"/>
        </w:rPr>
        <w:t>2</w:t>
      </w:r>
      <w:r>
        <w:rPr>
          <w:rFonts w:cs="Times New Roman"/>
        </w:rPr>
        <w:t xml:space="preserve">42 [recommending actual suspension instead of disbarment despite respondent’s three prior </w:t>
      </w:r>
      <w:r w:rsidR="00E55E24">
        <w:rPr>
          <w:rFonts w:cs="Times New Roman"/>
        </w:rPr>
        <w:t xml:space="preserve">records of </w:t>
      </w:r>
      <w:r>
        <w:rPr>
          <w:rFonts w:cs="Times New Roman"/>
        </w:rPr>
        <w:t>discipline because diagnosis and treatment of bipolar diso</w:t>
      </w:r>
      <w:r w:rsidR="00623CFB">
        <w:rPr>
          <w:rFonts w:cs="Times New Roman"/>
        </w:rPr>
        <w:t xml:space="preserve">rder was </w:t>
      </w:r>
      <w:r>
        <w:rPr>
          <w:rFonts w:cs="Times New Roman"/>
        </w:rPr>
        <w:t xml:space="preserve">mitigating circumstance].) </w:t>
      </w:r>
      <w:r w:rsidR="00645571">
        <w:rPr>
          <w:rFonts w:cs="Times New Roman"/>
        </w:rPr>
        <w:t xml:space="preserve"> The Supreme Court has recognized that attorneys in the midst of suffering from serious illnesses who fail to competently perform legal service</w:t>
      </w:r>
      <w:r w:rsidR="00E55E24">
        <w:rPr>
          <w:rFonts w:cs="Times New Roman"/>
        </w:rPr>
        <w:t>s</w:t>
      </w:r>
      <w:r w:rsidR="00645571">
        <w:rPr>
          <w:rFonts w:cs="Times New Roman"/>
        </w:rPr>
        <w:t xml:space="preserve"> are entitled to mitigation.  (See </w:t>
      </w:r>
      <w:r w:rsidR="00645571">
        <w:rPr>
          <w:rFonts w:cs="Times New Roman"/>
          <w:i/>
          <w:iCs/>
        </w:rPr>
        <w:t>Harris v. State Bar</w:t>
      </w:r>
      <w:r w:rsidR="00645571">
        <w:rPr>
          <w:rFonts w:cs="Times New Roman"/>
        </w:rPr>
        <w:t xml:space="preserve">, </w:t>
      </w:r>
      <w:r w:rsidR="00645571">
        <w:rPr>
          <w:rFonts w:cs="Times New Roman"/>
          <w:i/>
          <w:iCs/>
        </w:rPr>
        <w:t>supra</w:t>
      </w:r>
      <w:r w:rsidR="00645571">
        <w:rPr>
          <w:rFonts w:cs="Times New Roman"/>
        </w:rPr>
        <w:t xml:space="preserve">, 51 Cal.3d </w:t>
      </w:r>
      <w:r w:rsidR="00E55E24">
        <w:rPr>
          <w:rFonts w:cs="Times New Roman"/>
        </w:rPr>
        <w:t xml:space="preserve">at pp. </w:t>
      </w:r>
      <w:r w:rsidR="00645571">
        <w:rPr>
          <w:rFonts w:cs="Times New Roman"/>
        </w:rPr>
        <w:t>1086-1089.)  We also assign considerable mitigation credit to respondent’s good character and community service.  S</w:t>
      </w:r>
      <w:r>
        <w:rPr>
          <w:rFonts w:cs="Times New Roman"/>
        </w:rPr>
        <w:t xml:space="preserve">trictly applying standard 1.7(b) to recommend disbarment </w:t>
      </w:r>
      <w:r w:rsidR="00645571">
        <w:rPr>
          <w:rFonts w:cs="Times New Roman"/>
        </w:rPr>
        <w:t>under these circumstances w</w:t>
      </w:r>
      <w:r>
        <w:rPr>
          <w:rFonts w:cs="Times New Roman"/>
        </w:rPr>
        <w:t xml:space="preserve">ould result in discipline that is disproportionate </w:t>
      </w:r>
      <w:r w:rsidR="00E55E24">
        <w:rPr>
          <w:rFonts w:cs="Times New Roman"/>
        </w:rPr>
        <w:t>to</w:t>
      </w:r>
      <w:r>
        <w:rPr>
          <w:rFonts w:cs="Times New Roman"/>
        </w:rPr>
        <w:t xml:space="preserve"> respondent’s </w:t>
      </w:r>
    </w:p>
    <w:p w:rsidR="002E43D5" w:rsidRDefault="002E43D5">
      <w:pPr>
        <w:rPr>
          <w:rFonts w:cs="Times New Roman"/>
        </w:rPr>
      </w:pPr>
      <w:r>
        <w:rPr>
          <w:rFonts w:cs="Times New Roman"/>
        </w:rPr>
        <w:br w:type="page"/>
      </w:r>
    </w:p>
    <w:p w:rsidR="003C3943" w:rsidRDefault="00E55E24" w:rsidP="002E43D5">
      <w:pPr>
        <w:spacing w:line="480" w:lineRule="auto"/>
        <w:rPr>
          <w:rFonts w:cs="Times New Roman"/>
        </w:rPr>
      </w:pPr>
      <w:r>
        <w:rPr>
          <w:rFonts w:cs="Times New Roman"/>
        </w:rPr>
        <w:lastRenderedPageBreak/>
        <w:t>mis</w:t>
      </w:r>
      <w:r w:rsidR="003C3943">
        <w:rPr>
          <w:rFonts w:cs="Times New Roman"/>
        </w:rPr>
        <w:t>conduct.  (</w:t>
      </w:r>
      <w:r w:rsidR="003C3943">
        <w:rPr>
          <w:rFonts w:cs="Times New Roman"/>
          <w:i/>
          <w:iCs/>
        </w:rPr>
        <w:t>In the Matter of Buckley</w:t>
      </w:r>
      <w:r w:rsidR="003C3943">
        <w:rPr>
          <w:rFonts w:cs="Times New Roman"/>
        </w:rPr>
        <w:t xml:space="preserve"> (Review Dept. 1990) 1 Cal. State Bar Ct. Rptr. 201, 205, fn.</w:t>
      </w:r>
      <w:r w:rsidR="00380A21">
        <w:rPr>
          <w:rFonts w:cs="Times New Roman"/>
        </w:rPr>
        <w:t xml:space="preserve"> </w:t>
      </w:r>
      <w:r w:rsidR="003C3943">
        <w:rPr>
          <w:rFonts w:cs="Times New Roman"/>
        </w:rPr>
        <w:t xml:space="preserve">2.)  Since the </w:t>
      </w:r>
      <w:r w:rsidR="00645571">
        <w:rPr>
          <w:rFonts w:cs="Times New Roman"/>
        </w:rPr>
        <w:t xml:space="preserve">present misconduct </w:t>
      </w:r>
      <w:r w:rsidR="003C3943">
        <w:rPr>
          <w:rFonts w:cs="Times New Roman"/>
        </w:rPr>
        <w:t xml:space="preserve">occurred several years after his last discipline and </w:t>
      </w:r>
      <w:r w:rsidR="00645571">
        <w:rPr>
          <w:rFonts w:cs="Times New Roman"/>
        </w:rPr>
        <w:t xml:space="preserve">while seriously ill, </w:t>
      </w:r>
      <w:r w:rsidR="003C3943">
        <w:rPr>
          <w:rFonts w:cs="Times New Roman"/>
        </w:rPr>
        <w:t xml:space="preserve">we do not find respondent has engaged in a “habitual course of misconduct” warranting disbarment. </w:t>
      </w:r>
      <w:r w:rsidR="0055013F">
        <w:rPr>
          <w:rFonts w:cs="Times New Roman"/>
        </w:rPr>
        <w:t xml:space="preserve"> </w:t>
      </w:r>
      <w:r w:rsidR="003C3943">
        <w:rPr>
          <w:rFonts w:cs="Times New Roman"/>
        </w:rPr>
        <w:t xml:space="preserve">(See </w:t>
      </w:r>
      <w:r w:rsidR="003C3943">
        <w:rPr>
          <w:rFonts w:cs="Times New Roman"/>
          <w:i/>
          <w:iCs/>
        </w:rPr>
        <w:t>Matthew</w:t>
      </w:r>
      <w:r w:rsidR="003C3943">
        <w:rPr>
          <w:rFonts w:cs="Times New Roman"/>
        </w:rPr>
        <w:t xml:space="preserve"> </w:t>
      </w:r>
      <w:r w:rsidR="003C3943">
        <w:rPr>
          <w:rFonts w:cs="Times New Roman"/>
          <w:i/>
          <w:iCs/>
        </w:rPr>
        <w:t>v. State Bar</w:t>
      </w:r>
      <w:r w:rsidR="003C3943">
        <w:rPr>
          <w:rFonts w:cs="Times New Roman"/>
        </w:rPr>
        <w:t xml:space="preserve"> (1989) 49 Cal.3d 784, 791</w:t>
      </w:r>
      <w:r w:rsidR="0055013F">
        <w:rPr>
          <w:rFonts w:cs="Times New Roman"/>
        </w:rPr>
        <w:t>.)</w:t>
      </w:r>
      <w:r w:rsidR="0062547F">
        <w:rPr>
          <w:rFonts w:cs="Times New Roman"/>
        </w:rPr>
        <w:t xml:space="preserve"> </w:t>
      </w:r>
    </w:p>
    <w:p w:rsidR="00E55E24" w:rsidRDefault="00881D1B" w:rsidP="00BA3EEC">
      <w:pPr>
        <w:spacing w:line="480" w:lineRule="auto"/>
        <w:ind w:firstLine="720"/>
        <w:rPr>
          <w:rFonts w:cs="Times New Roman"/>
        </w:rPr>
      </w:pPr>
      <w:r w:rsidRPr="00881D1B">
        <w:rPr>
          <w:rFonts w:cs="Times New Roman"/>
        </w:rPr>
        <w:t>We recommend that the appropriate discipline is four years</w:t>
      </w:r>
      <w:r>
        <w:rPr>
          <w:rFonts w:cs="Times New Roman"/>
        </w:rPr>
        <w:t>’</w:t>
      </w:r>
      <w:r w:rsidRPr="00881D1B">
        <w:rPr>
          <w:rFonts w:cs="Times New Roman"/>
        </w:rPr>
        <w:t xml:space="preserve"> stayed suspension</w:t>
      </w:r>
      <w:r w:rsidR="00E55E24">
        <w:rPr>
          <w:rFonts w:cs="Times New Roman"/>
        </w:rPr>
        <w:t xml:space="preserve"> and four years’ probation on conditions including suspension from the practice of law for the first two years of probation.</w:t>
      </w:r>
      <w:r w:rsidRPr="00881D1B">
        <w:rPr>
          <w:rFonts w:cs="Times New Roman"/>
        </w:rPr>
        <w:t xml:space="preserve">  </w:t>
      </w:r>
      <w:r w:rsidR="0055013F">
        <w:rPr>
          <w:rFonts w:cs="Times New Roman"/>
        </w:rPr>
        <w:t>We</w:t>
      </w:r>
      <w:r w:rsidRPr="00881D1B">
        <w:rPr>
          <w:rFonts w:cs="Times New Roman"/>
        </w:rPr>
        <w:t xml:space="preserve"> have looked to and find support in comparable case law for the appropriate sanction to ensure </w:t>
      </w:r>
      <w:r w:rsidR="00BA3EEC">
        <w:rPr>
          <w:rFonts w:cs="Times New Roman"/>
        </w:rPr>
        <w:t xml:space="preserve">this </w:t>
      </w:r>
      <w:r w:rsidRPr="00881D1B">
        <w:rPr>
          <w:rFonts w:cs="Times New Roman"/>
        </w:rPr>
        <w:t xml:space="preserve">discipline </w:t>
      </w:r>
      <w:r w:rsidR="00BA3EEC">
        <w:rPr>
          <w:rFonts w:cs="Times New Roman"/>
        </w:rPr>
        <w:t xml:space="preserve">is </w:t>
      </w:r>
      <w:r w:rsidRPr="00881D1B">
        <w:rPr>
          <w:rFonts w:cs="Times New Roman"/>
        </w:rPr>
        <w:t>proportionate to the misconduct</w:t>
      </w:r>
      <w:r w:rsidR="00BA3EEC">
        <w:rPr>
          <w:rFonts w:cs="Times New Roman"/>
        </w:rPr>
        <w:t>.</w:t>
      </w:r>
      <w:r w:rsidRPr="00881D1B">
        <w:rPr>
          <w:rFonts w:cs="Times New Roman"/>
        </w:rPr>
        <w:t xml:space="preserve">  (See </w:t>
      </w:r>
      <w:r w:rsidR="00BA3EEC" w:rsidRPr="00881D1B">
        <w:rPr>
          <w:rFonts w:cs="Times New Roman"/>
          <w:i/>
        </w:rPr>
        <w:t>Conroy v. State Bar</w:t>
      </w:r>
      <w:r w:rsidR="00BA3EEC" w:rsidRPr="00881D1B">
        <w:rPr>
          <w:rFonts w:cs="Times New Roman"/>
        </w:rPr>
        <w:t xml:space="preserve"> (1991) 53 Cal.3d 495 [one-year actual suspension where attorney had two prior</w:t>
      </w:r>
      <w:r w:rsidR="00BA3EEC">
        <w:rPr>
          <w:rFonts w:cs="Times New Roman"/>
        </w:rPr>
        <w:t xml:space="preserve"> </w:t>
      </w:r>
      <w:r w:rsidR="00BA3EEC" w:rsidRPr="00881D1B">
        <w:rPr>
          <w:rFonts w:cs="Times New Roman"/>
        </w:rPr>
        <w:t>discipline</w:t>
      </w:r>
      <w:r w:rsidR="00E55E24">
        <w:rPr>
          <w:rFonts w:cs="Times New Roman"/>
        </w:rPr>
        <w:t xml:space="preserve"> record</w:t>
      </w:r>
      <w:r w:rsidR="00BA3EEC" w:rsidRPr="00881D1B">
        <w:rPr>
          <w:rFonts w:cs="Times New Roman"/>
        </w:rPr>
        <w:t>s and current case involved failing to file actions]</w:t>
      </w:r>
      <w:r w:rsidR="00BA3EEC">
        <w:rPr>
          <w:rFonts w:cs="Times New Roman"/>
        </w:rPr>
        <w:t xml:space="preserve">; </w:t>
      </w:r>
      <w:r w:rsidRPr="00881D1B">
        <w:rPr>
          <w:rFonts w:cs="Times New Roman"/>
          <w:i/>
        </w:rPr>
        <w:t>Blair v. State Bar</w:t>
      </w:r>
      <w:r w:rsidRPr="00E55E24">
        <w:rPr>
          <w:rFonts w:cs="Times New Roman"/>
        </w:rPr>
        <w:t>,</w:t>
      </w:r>
      <w:r w:rsidRPr="00881D1B">
        <w:rPr>
          <w:rFonts w:cs="Times New Roman"/>
          <w:i/>
        </w:rPr>
        <w:t xml:space="preserve"> supra</w:t>
      </w:r>
      <w:r w:rsidRPr="00881D1B">
        <w:rPr>
          <w:rFonts w:cs="Times New Roman"/>
        </w:rPr>
        <w:t>, 49 Cal.3d 762 [two-year actual suspension where attorney had three prior discipline</w:t>
      </w:r>
      <w:r w:rsidR="007F3266">
        <w:rPr>
          <w:rFonts w:cs="Times New Roman"/>
        </w:rPr>
        <w:t xml:space="preserve"> record</w:t>
      </w:r>
      <w:r w:rsidRPr="00881D1B">
        <w:rPr>
          <w:rFonts w:cs="Times New Roman"/>
        </w:rPr>
        <w:t xml:space="preserve">s and current case involved loss of client claim]; </w:t>
      </w:r>
      <w:r w:rsidRPr="00881D1B">
        <w:rPr>
          <w:rFonts w:cs="Times New Roman"/>
          <w:i/>
        </w:rPr>
        <w:t>Natali v. State Bar</w:t>
      </w:r>
      <w:r w:rsidRPr="00881D1B">
        <w:rPr>
          <w:rFonts w:cs="Times New Roman"/>
        </w:rPr>
        <w:t xml:space="preserve"> (1988) 45 Cal.3d 456 [three-year actual suspension where attorney had </w:t>
      </w:r>
      <w:r w:rsidR="00E55E24">
        <w:rPr>
          <w:rFonts w:cs="Times New Roman"/>
        </w:rPr>
        <w:t>one</w:t>
      </w:r>
      <w:r w:rsidRPr="00881D1B">
        <w:rPr>
          <w:rFonts w:cs="Times New Roman"/>
        </w:rPr>
        <w:t xml:space="preserve"> prior discipline</w:t>
      </w:r>
      <w:r w:rsidR="00E55E24">
        <w:rPr>
          <w:rFonts w:cs="Times New Roman"/>
        </w:rPr>
        <w:t xml:space="preserve"> record</w:t>
      </w:r>
      <w:r w:rsidRPr="00881D1B">
        <w:rPr>
          <w:rFonts w:cs="Times New Roman"/>
        </w:rPr>
        <w:t xml:space="preserve"> involving two missed statutory deadlines]</w:t>
      </w:r>
      <w:r w:rsidR="00BA3EEC">
        <w:rPr>
          <w:rFonts w:cs="Times New Roman"/>
        </w:rPr>
        <w:t xml:space="preserve">.) </w:t>
      </w:r>
      <w:r w:rsidRPr="00881D1B">
        <w:rPr>
          <w:rFonts w:cs="Times New Roman"/>
        </w:rPr>
        <w:t xml:space="preserve"> </w:t>
      </w:r>
      <w:r w:rsidR="003C3943">
        <w:rPr>
          <w:rFonts w:cs="Times New Roman"/>
        </w:rPr>
        <w:t xml:space="preserve">Since the legal services respondent provided to Vasquez were negated by his decision to </w:t>
      </w:r>
      <w:r w:rsidR="00C16B05">
        <w:rPr>
          <w:rFonts w:cs="Times New Roman"/>
        </w:rPr>
        <w:t>remain</w:t>
      </w:r>
      <w:r w:rsidR="003C3943">
        <w:rPr>
          <w:rFonts w:cs="Times New Roman"/>
        </w:rPr>
        <w:t xml:space="preserve"> outside the courthouse and allow </w:t>
      </w:r>
      <w:r w:rsidR="004F463A">
        <w:rPr>
          <w:rFonts w:cs="Times New Roman"/>
        </w:rPr>
        <w:t>his client’s</w:t>
      </w:r>
      <w:r w:rsidR="003C3943">
        <w:rPr>
          <w:rFonts w:cs="Times New Roman"/>
        </w:rPr>
        <w:t xml:space="preserve"> default to be entered, we also recommend restitution </w:t>
      </w:r>
      <w:r w:rsidR="004F463A">
        <w:rPr>
          <w:rFonts w:cs="Times New Roman"/>
        </w:rPr>
        <w:t>o</w:t>
      </w:r>
      <w:r w:rsidR="003C3943">
        <w:rPr>
          <w:rFonts w:cs="Times New Roman"/>
        </w:rPr>
        <w:t>f the $2500 advance fees paid by Vasquez</w:t>
      </w:r>
      <w:r w:rsidR="0055013F">
        <w:rPr>
          <w:rFonts w:cs="Times New Roman"/>
        </w:rPr>
        <w:t>.</w:t>
      </w:r>
      <w:r w:rsidR="003C3943">
        <w:rPr>
          <w:rFonts w:cs="Times New Roman"/>
        </w:rPr>
        <w:t xml:space="preserve">  We further recommend the added element of protection by requiring </w:t>
      </w:r>
      <w:r w:rsidR="00E55E24">
        <w:rPr>
          <w:rFonts w:cs="Times New Roman"/>
        </w:rPr>
        <w:t xml:space="preserve">that </w:t>
      </w:r>
      <w:r w:rsidR="003C3943">
        <w:rPr>
          <w:rFonts w:cs="Times New Roman"/>
        </w:rPr>
        <w:t xml:space="preserve">respondent comply with standard 1.4(c)(ii) prior to relief from actual suspension. </w:t>
      </w:r>
    </w:p>
    <w:p w:rsidR="003C3943" w:rsidRDefault="003C3943" w:rsidP="004F463A">
      <w:pPr>
        <w:pStyle w:val="Heading3"/>
        <w:spacing w:line="480" w:lineRule="auto"/>
        <w:ind w:firstLine="0"/>
        <w:rPr>
          <w:rFonts w:cs="Times New Roman"/>
        </w:rPr>
      </w:pPr>
      <w:r>
        <w:rPr>
          <w:rFonts w:cs="Times New Roman"/>
        </w:rPr>
        <w:t>V.  RECOMMENDATION</w:t>
      </w:r>
    </w:p>
    <w:p w:rsidR="002E43D5" w:rsidRDefault="003C3943">
      <w:pPr>
        <w:pStyle w:val="BodyText2"/>
        <w:spacing w:line="480" w:lineRule="auto"/>
        <w:ind w:firstLine="0"/>
        <w:rPr>
          <w:rFonts w:cs="Times New Roman"/>
        </w:rPr>
      </w:pPr>
      <w:r>
        <w:rPr>
          <w:rFonts w:cs="Times New Roman"/>
          <w:b/>
          <w:bCs/>
        </w:rPr>
        <w:tab/>
      </w:r>
      <w:r>
        <w:rPr>
          <w:rFonts w:cs="Times New Roman"/>
        </w:rPr>
        <w:t>We recommend that respondent Kurt Kevin Robinson be suspended from the practice of law in the State of California for four years, that</w:t>
      </w:r>
      <w:r w:rsidR="00FE60C2">
        <w:rPr>
          <w:rFonts w:cs="Times New Roman"/>
        </w:rPr>
        <w:t xml:space="preserve"> execution of that suspension be</w:t>
      </w:r>
      <w:r>
        <w:rPr>
          <w:rFonts w:cs="Times New Roman"/>
        </w:rPr>
        <w:t xml:space="preserve"> stayed, and that </w:t>
      </w:r>
      <w:r w:rsidR="006468C9">
        <w:rPr>
          <w:rFonts w:cs="Times New Roman"/>
        </w:rPr>
        <w:t>he</w:t>
      </w:r>
      <w:r>
        <w:rPr>
          <w:rFonts w:cs="Times New Roman"/>
        </w:rPr>
        <w:t xml:space="preserve"> be placed on probation for four years on the following conditions:</w:t>
      </w:r>
    </w:p>
    <w:p w:rsidR="002E43D5" w:rsidRDefault="002E43D5">
      <w:pPr>
        <w:rPr>
          <w:rFonts w:cs="Times New Roman"/>
          <w:color w:val="000000"/>
        </w:rPr>
      </w:pPr>
      <w:r>
        <w:rPr>
          <w:rFonts w:cs="Times New Roman"/>
        </w:rPr>
        <w:br w:type="page"/>
      </w:r>
    </w:p>
    <w:p w:rsidR="0090488E" w:rsidRDefault="006468C9" w:rsidP="006468C9">
      <w:pPr>
        <w:ind w:left="720"/>
        <w:rPr>
          <w:rFonts w:cs="Times New Roman"/>
        </w:rPr>
      </w:pPr>
      <w:r>
        <w:rPr>
          <w:rFonts w:cs="Times New Roman"/>
        </w:rPr>
        <w:lastRenderedPageBreak/>
        <w:t xml:space="preserve">1.  </w:t>
      </w:r>
      <w:r w:rsidR="00C16B05">
        <w:rPr>
          <w:rFonts w:cs="Times New Roman"/>
        </w:rPr>
        <w:t>R</w:t>
      </w:r>
      <w:r w:rsidR="003C3943">
        <w:rPr>
          <w:rFonts w:cs="Times New Roman"/>
        </w:rPr>
        <w:t xml:space="preserve">espondent </w:t>
      </w:r>
      <w:r>
        <w:rPr>
          <w:rFonts w:cs="Times New Roman"/>
        </w:rPr>
        <w:t>must be</w:t>
      </w:r>
      <w:r w:rsidR="00FE60C2">
        <w:rPr>
          <w:rFonts w:cs="Times New Roman"/>
        </w:rPr>
        <w:t xml:space="preserve"> </w:t>
      </w:r>
      <w:r w:rsidR="003C3943">
        <w:rPr>
          <w:rFonts w:cs="Times New Roman"/>
        </w:rPr>
        <w:t xml:space="preserve">suspended from the practice of law </w:t>
      </w:r>
      <w:r>
        <w:rPr>
          <w:rFonts w:cs="Times New Roman"/>
        </w:rPr>
        <w:t>for a minimum of the first two years</w:t>
      </w:r>
      <w:r w:rsidR="003C3943">
        <w:rPr>
          <w:rFonts w:cs="Times New Roman"/>
        </w:rPr>
        <w:t xml:space="preserve"> of the period of his probation and </w:t>
      </w:r>
      <w:r>
        <w:rPr>
          <w:rFonts w:cs="Times New Roman"/>
        </w:rPr>
        <w:t xml:space="preserve">he will remain suspended </w:t>
      </w:r>
      <w:r w:rsidR="003C3943">
        <w:rPr>
          <w:rFonts w:cs="Times New Roman"/>
        </w:rPr>
        <w:t>until he</w:t>
      </w:r>
      <w:r w:rsidR="00881D1B">
        <w:rPr>
          <w:rFonts w:cs="Times New Roman"/>
        </w:rPr>
        <w:t xml:space="preserve"> satisfies the following requirements:  </w:t>
      </w:r>
    </w:p>
    <w:p w:rsidR="006468C9" w:rsidRDefault="006468C9" w:rsidP="00881D1B">
      <w:pPr>
        <w:ind w:left="720"/>
        <w:rPr>
          <w:rFonts w:cs="Times New Roman"/>
        </w:rPr>
      </w:pPr>
    </w:p>
    <w:p w:rsidR="0090488E" w:rsidRDefault="0090488E" w:rsidP="0090488E">
      <w:pPr>
        <w:ind w:left="1440" w:hanging="720"/>
        <w:rPr>
          <w:rFonts w:cs="Times New Roman"/>
        </w:rPr>
      </w:pPr>
      <w:r>
        <w:rPr>
          <w:rFonts w:cs="Times New Roman"/>
        </w:rPr>
        <w:t>(</w:t>
      </w:r>
      <w:r w:rsidR="00881D1B">
        <w:rPr>
          <w:rFonts w:cs="Times New Roman"/>
        </w:rPr>
        <w:t>i)</w:t>
      </w:r>
      <w:r>
        <w:rPr>
          <w:rFonts w:cs="Times New Roman"/>
        </w:rPr>
        <w:tab/>
      </w:r>
      <w:r w:rsidR="003C3943">
        <w:rPr>
          <w:rFonts w:cs="Times New Roman"/>
        </w:rPr>
        <w:t>restitution to Raul Vasquez in the amount of $2500 plus 10% interest per annum from December 27, 2005 (or to the Client Security Fund to the extent of any payment from the fund to Raul Vasquez, plus interest and costs, in accordance with Business and Professions Code section 6140.5) and furnishes satisfactory proof thereof to the State Bar’s Office of Probation.  Any restitution to the Client Security Fund is enforceable as provided in Business and Professions Code section 6</w:t>
      </w:r>
      <w:r w:rsidR="00881D1B">
        <w:rPr>
          <w:rFonts w:cs="Times New Roman"/>
        </w:rPr>
        <w:t xml:space="preserve">140.5, subdivisions (c) and (d); and </w:t>
      </w:r>
    </w:p>
    <w:p w:rsidR="0090488E" w:rsidRDefault="0090488E" w:rsidP="0090488E">
      <w:pPr>
        <w:ind w:left="1440" w:hanging="720"/>
        <w:rPr>
          <w:rFonts w:cs="Times New Roman"/>
        </w:rPr>
      </w:pPr>
    </w:p>
    <w:p w:rsidR="00C16B05" w:rsidRDefault="0090488E" w:rsidP="0090488E">
      <w:pPr>
        <w:ind w:left="1440" w:hanging="720"/>
      </w:pPr>
      <w:r>
        <w:rPr>
          <w:rFonts w:cs="Times New Roman"/>
        </w:rPr>
        <w:t>(</w:t>
      </w:r>
      <w:r w:rsidR="00881D1B">
        <w:rPr>
          <w:rFonts w:cs="Times New Roman"/>
        </w:rPr>
        <w:t>ii)</w:t>
      </w:r>
      <w:r>
        <w:rPr>
          <w:rFonts w:cs="Times New Roman"/>
        </w:rPr>
        <w:tab/>
      </w:r>
      <w:r w:rsidR="00C16B05">
        <w:t>proof satisfactory to the State Bar Court of his rehabilitation, present fitness to practice, and present learning and ability in the general law, pursuant to standard 1.4(c)(ii) of the Standards for Attorney Sanctions for Professional Misconduct.</w:t>
      </w:r>
    </w:p>
    <w:p w:rsidR="003C3943" w:rsidRDefault="003C3943">
      <w:pPr>
        <w:rPr>
          <w:rFonts w:cs="Times New Roman"/>
        </w:rPr>
      </w:pPr>
    </w:p>
    <w:p w:rsidR="004F463A" w:rsidRDefault="00881D1B">
      <w:pPr>
        <w:ind w:left="720"/>
        <w:rPr>
          <w:rFonts w:cs="Times New Roman"/>
        </w:rPr>
      </w:pPr>
      <w:r>
        <w:rPr>
          <w:rFonts w:cs="Times New Roman"/>
        </w:rPr>
        <w:t xml:space="preserve">2.  </w:t>
      </w:r>
      <w:r w:rsidR="003C3943">
        <w:rPr>
          <w:rFonts w:cs="Times New Roman"/>
        </w:rPr>
        <w:t>Respondent must comply with the provisions of the State Bar Act, the Rules of Professional Conduct, and all of the conditions of this probation.</w:t>
      </w:r>
    </w:p>
    <w:p w:rsidR="004F463A" w:rsidRDefault="004F463A">
      <w:pPr>
        <w:rPr>
          <w:rFonts w:cs="Times New Roman"/>
        </w:rPr>
      </w:pPr>
    </w:p>
    <w:p w:rsidR="003C3943" w:rsidRDefault="00881D1B">
      <w:pPr>
        <w:ind w:left="720"/>
        <w:rPr>
          <w:rFonts w:cs="Times New Roman"/>
        </w:rPr>
      </w:pPr>
      <w:r>
        <w:rPr>
          <w:rFonts w:cs="Times New Roman"/>
        </w:rPr>
        <w:t>3</w:t>
      </w:r>
      <w:r w:rsidR="003C3943">
        <w:rPr>
          <w:rFonts w:cs="Times New Roman"/>
        </w:rPr>
        <w:t xml:space="preserve">.  Respondent must maintain, with the State Bar Membership Records Office and the State Bar’s Office of Probation in Los Angeles, his current office address and telephone number or, </w:t>
      </w:r>
      <w:r w:rsidR="003C3943">
        <w:rPr>
          <w:rFonts w:cs="Times New Roman"/>
          <w:i/>
          <w:iCs/>
        </w:rPr>
        <w:t>if no office is maintained</w:t>
      </w:r>
      <w:r w:rsidR="003C3943">
        <w:rPr>
          <w:rFonts w:cs="Times New Roman"/>
        </w:rPr>
        <w:t xml:space="preserve">, an address to be used for State Bar purposes.  (Bus. &amp; Prof. Code, § 6002.1, subd. (a)(1).)  Respondent must also maintain, with the State Bar’s Membership Records Office </w:t>
      </w:r>
      <w:r w:rsidR="003C3943">
        <w:rPr>
          <w:rFonts w:cs="Times New Roman"/>
          <w:i/>
          <w:iCs/>
        </w:rPr>
        <w:t>and</w:t>
      </w:r>
      <w:r w:rsidR="003C3943">
        <w:rPr>
          <w:rFonts w:cs="Times New Roman"/>
        </w:rPr>
        <w:t xml:space="preserve"> the State Bar’s Office of Probation in Los Angeles, his current home address and telephone number.  (Bus. &amp; Prof. Code, § 6002.1, subd. (a)(5).)  Respondent’s home address and telephone number will </w:t>
      </w:r>
      <w:r w:rsidR="003C3943">
        <w:rPr>
          <w:rFonts w:cs="Times New Roman"/>
          <w:i/>
          <w:iCs/>
        </w:rPr>
        <w:t>not</w:t>
      </w:r>
      <w:r w:rsidR="003C3943">
        <w:rPr>
          <w:rFonts w:cs="Times New Roman"/>
        </w:rPr>
        <w:t xml:space="preserve"> be made available to the general public.  (Bus. &amp; Prof. Code, § 6002.1, subd. (d).)  Respondent must notify the Membership Records Office and the Office of Probation of any change in any of this information no later than 10 days after the change.</w:t>
      </w:r>
    </w:p>
    <w:p w:rsidR="0090488E" w:rsidRDefault="0090488E">
      <w:pPr>
        <w:rPr>
          <w:rFonts w:cs="Times New Roman"/>
        </w:rPr>
      </w:pPr>
    </w:p>
    <w:p w:rsidR="00194881" w:rsidRDefault="0090488E" w:rsidP="00194881">
      <w:pPr>
        <w:ind w:left="720"/>
      </w:pPr>
      <w:r>
        <w:rPr>
          <w:rFonts w:cs="Times New Roman"/>
        </w:rPr>
        <w:t>4</w:t>
      </w:r>
      <w:r w:rsidR="003C3943">
        <w:rPr>
          <w:rFonts w:cs="Times New Roman"/>
        </w:rPr>
        <w:t xml:space="preserve">.  </w:t>
      </w:r>
      <w:r w:rsidR="00ED481F">
        <w:rPr>
          <w:lang w:val="en-CA"/>
        </w:rPr>
        <w:fldChar w:fldCharType="begin"/>
      </w:r>
      <w:r w:rsidR="00194881">
        <w:rPr>
          <w:lang w:val="en-CA"/>
        </w:rPr>
        <w:instrText xml:space="preserve"> SEQ CHAPTER \h \r 1</w:instrText>
      </w:r>
      <w:r w:rsidR="00ED481F">
        <w:rPr>
          <w:lang w:val="en-CA"/>
        </w:rPr>
        <w:fldChar w:fldCharType="end"/>
      </w:r>
      <w:r w:rsidR="00194881">
        <w:t>Respondent must report, in writing, to the State Bar’s Office of Probation in Los Angeles no later than January 10, April 10, July 10 and October 10 of each year or part thereof in which respondent is on probation (reporting dates).  However, if respondent’s probation begins less than 30 days before a reporting date, respondent may submit the first report no later than the second reporting date after the beginning of his probation.  In each report, respondent must state that it covers the preceding calendar quarter or applicable portion thereof and must certify by affidavit or under penalty of perjury under the laws of the State of California as follows:</w:t>
      </w:r>
    </w:p>
    <w:p w:rsidR="00194881" w:rsidRDefault="00194881" w:rsidP="00194881">
      <w:r>
        <w:tab/>
      </w:r>
    </w:p>
    <w:p w:rsidR="00194881" w:rsidRDefault="006468C9" w:rsidP="00194881">
      <w:pPr>
        <w:tabs>
          <w:tab w:val="left" w:pos="720"/>
          <w:tab w:val="left" w:pos="1440"/>
          <w:tab w:val="left" w:pos="2160"/>
        </w:tabs>
        <w:ind w:left="1440" w:hanging="1440"/>
      </w:pPr>
      <w:r>
        <w:tab/>
        <w:t>(i</w:t>
      </w:r>
      <w:r w:rsidR="00194881">
        <w:t>)</w:t>
      </w:r>
      <w:r w:rsidR="00194881">
        <w:tab/>
        <w:t>in the first report, whether respondent has complied with all the provisions of the State Bar Act, the Rules of Professional Conduct, and all other conditions of probation since the beginning of probation; and</w:t>
      </w:r>
    </w:p>
    <w:p w:rsidR="00194881" w:rsidRDefault="00194881" w:rsidP="00194881">
      <w:pPr>
        <w:tabs>
          <w:tab w:val="left" w:pos="720"/>
          <w:tab w:val="left" w:pos="1440"/>
          <w:tab w:val="left" w:pos="2160"/>
        </w:tabs>
        <w:ind w:left="1440" w:hanging="1440"/>
      </w:pPr>
    </w:p>
    <w:p w:rsidR="00A070B5" w:rsidRDefault="00194881" w:rsidP="00194881">
      <w:pPr>
        <w:tabs>
          <w:tab w:val="left" w:pos="720"/>
          <w:tab w:val="left" w:pos="1440"/>
          <w:tab w:val="left" w:pos="2160"/>
        </w:tabs>
        <w:ind w:left="1440" w:hanging="1440"/>
      </w:pPr>
      <w:r>
        <w:tab/>
        <w:t>(</w:t>
      </w:r>
      <w:r w:rsidR="006468C9">
        <w:t>ii</w:t>
      </w:r>
      <w:r>
        <w:t>)</w:t>
      </w:r>
      <w:r>
        <w:tab/>
        <w:t>in each subsequent report, whether respondent has complied with all the provisions of the State Bar Act, the Rules of Professional Conduct, and all other conditions of probation during that period.</w:t>
      </w:r>
    </w:p>
    <w:p w:rsidR="002E43D5" w:rsidRDefault="002E43D5">
      <w:r>
        <w:br w:type="page"/>
      </w:r>
    </w:p>
    <w:p w:rsidR="00194881" w:rsidRDefault="00194881" w:rsidP="00194881">
      <w:pPr>
        <w:ind w:left="720"/>
      </w:pPr>
      <w:r>
        <w:lastRenderedPageBreak/>
        <w:t>During the last 20 days of this probation, respondent must submit a final report covering any period of probation remaining after and not covered by the last quarterly report required under this probation condition.  In this final report, respondent must certify to the matters set forth in subparagraph (2) of this probation condition by affidavit or under penalty of perjury under the laws of the State of California.</w:t>
      </w:r>
    </w:p>
    <w:p w:rsidR="003C3943" w:rsidRDefault="003C3943">
      <w:pPr>
        <w:rPr>
          <w:rFonts w:cs="Times New Roman"/>
        </w:rPr>
      </w:pPr>
    </w:p>
    <w:p w:rsidR="003C3943" w:rsidRDefault="0090488E">
      <w:pPr>
        <w:ind w:left="720"/>
        <w:rPr>
          <w:rFonts w:cs="Times New Roman"/>
        </w:rPr>
      </w:pPr>
      <w:r>
        <w:rPr>
          <w:rFonts w:cs="Times New Roman"/>
        </w:rPr>
        <w:t>5</w:t>
      </w:r>
      <w:r w:rsidR="003C3943">
        <w:rPr>
          <w:rFonts w:cs="Times New Roman"/>
        </w:rPr>
        <w:t>.  Subject to the proper or good faith assertions of applicable privileges, respondent must answer fully, promptly, and truthfully, any inquiries of the Office of Probation</w:t>
      </w:r>
      <w:r w:rsidR="00C16B05">
        <w:rPr>
          <w:rFonts w:cs="Times New Roman"/>
        </w:rPr>
        <w:t xml:space="preserve"> that</w:t>
      </w:r>
      <w:r w:rsidR="003C3943">
        <w:rPr>
          <w:rFonts w:cs="Times New Roman"/>
        </w:rPr>
        <w:t xml:space="preserve"> are directed to respondent</w:t>
      </w:r>
      <w:r w:rsidR="00C16B05">
        <w:rPr>
          <w:rFonts w:cs="Times New Roman"/>
        </w:rPr>
        <w:t>,</w:t>
      </w:r>
      <w:r w:rsidR="003C3943">
        <w:rPr>
          <w:rFonts w:cs="Times New Roman"/>
        </w:rPr>
        <w:t xml:space="preserve"> </w:t>
      </w:r>
      <w:r w:rsidR="00C16B05">
        <w:rPr>
          <w:rFonts w:cs="Times New Roman"/>
        </w:rPr>
        <w:t>whether orally or</w:t>
      </w:r>
      <w:r w:rsidR="003C3943">
        <w:rPr>
          <w:rFonts w:cs="Times New Roman"/>
        </w:rPr>
        <w:t xml:space="preserve"> in writing, relating to whether respondent is complying or has complied with the conditions contained herein.</w:t>
      </w:r>
    </w:p>
    <w:p w:rsidR="003C3943" w:rsidRDefault="003C3943">
      <w:pPr>
        <w:rPr>
          <w:rFonts w:cs="Times New Roman"/>
        </w:rPr>
      </w:pPr>
    </w:p>
    <w:p w:rsidR="00194881" w:rsidRDefault="0090488E" w:rsidP="00194881">
      <w:pPr>
        <w:ind w:left="720"/>
      </w:pPr>
      <w:r>
        <w:rPr>
          <w:rFonts w:cs="Times New Roman"/>
        </w:rPr>
        <w:t>6</w:t>
      </w:r>
      <w:r w:rsidR="003C3943">
        <w:rPr>
          <w:rFonts w:cs="Times New Roman"/>
        </w:rPr>
        <w:t xml:space="preserve">.  </w:t>
      </w:r>
      <w:r w:rsidR="000912ED">
        <w:rPr>
          <w:rFonts w:cs="Times New Roman"/>
        </w:rPr>
        <w:t xml:space="preserve">Within one year after the effective date of the Supreme Court order in this matter, </w:t>
      </w:r>
      <w:r w:rsidR="00194881">
        <w:t>respondent must attend and satisfactorily complete the State Bar’s Ethics School and provide satisfactory proof of such completion to the State Bar’s Office of Probation in Los Angeles. This condition of probation is separate and apart from respondent’s California Minimum Continuing Legal Education (MCLE) requirements; accordingly, respondent is ordered not to claim any MCLE credit for attending and completing this course.  (Accord, Rules Proc. of State Bar, rule 3201.)</w:t>
      </w:r>
    </w:p>
    <w:p w:rsidR="003C3943" w:rsidRDefault="003C3943">
      <w:pPr>
        <w:rPr>
          <w:rFonts w:cs="Times New Roman"/>
        </w:rPr>
      </w:pPr>
    </w:p>
    <w:p w:rsidR="003C3943" w:rsidRDefault="0090488E">
      <w:pPr>
        <w:ind w:left="720"/>
        <w:rPr>
          <w:rFonts w:cs="Times New Roman"/>
        </w:rPr>
      </w:pPr>
      <w:r>
        <w:rPr>
          <w:rFonts w:cs="Times New Roman"/>
        </w:rPr>
        <w:t>7</w:t>
      </w:r>
      <w:r w:rsidR="003C3943">
        <w:rPr>
          <w:rFonts w:cs="Times New Roman"/>
        </w:rPr>
        <w:t>.  Respondent’s probation will commence on the effective date of the Supreme Court order imposing discipline in this matter.  At the end of the probationary term, if respondent has complied with the conditions of probation, the Supreme Court order suspending respondent from the practice of law for four years will be satisfied, and the suspension will be terminated.</w:t>
      </w:r>
    </w:p>
    <w:p w:rsidR="006468C9" w:rsidRDefault="006468C9">
      <w:pPr>
        <w:ind w:left="720"/>
        <w:rPr>
          <w:rFonts w:cs="Times New Roman"/>
        </w:rPr>
      </w:pPr>
    </w:p>
    <w:p w:rsidR="003C3943" w:rsidRDefault="003C3943">
      <w:pPr>
        <w:spacing w:line="480" w:lineRule="exact"/>
        <w:jc w:val="center"/>
        <w:rPr>
          <w:rFonts w:cs="Times New Roman"/>
        </w:rPr>
      </w:pPr>
      <w:r>
        <w:rPr>
          <w:rFonts w:cs="Times New Roman"/>
          <w:b/>
          <w:bCs/>
        </w:rPr>
        <w:t>V</w:t>
      </w:r>
      <w:r w:rsidR="004F463A">
        <w:rPr>
          <w:rFonts w:cs="Times New Roman"/>
          <w:b/>
          <w:bCs/>
        </w:rPr>
        <w:t>I</w:t>
      </w:r>
      <w:r>
        <w:rPr>
          <w:rFonts w:cs="Times New Roman"/>
          <w:b/>
          <w:bCs/>
        </w:rPr>
        <w:t>.  PROFESSIONAL RESPONSIBILITY EXAMINATION</w:t>
      </w:r>
    </w:p>
    <w:p w:rsidR="003C3943" w:rsidRDefault="003C3943">
      <w:pPr>
        <w:spacing w:line="470" w:lineRule="exact"/>
        <w:rPr>
          <w:rFonts w:cs="Times New Roman"/>
          <w:b/>
          <w:bCs/>
        </w:rPr>
      </w:pPr>
      <w:r>
        <w:rPr>
          <w:rFonts w:cs="Times New Roman"/>
        </w:rPr>
        <w:tab/>
        <w:t xml:space="preserve">We recommend that respondent be ordered to take and pass the Multistate Professional Responsibility Examination administered by the National Conference of Bar Examiners </w:t>
      </w:r>
      <w:r w:rsidR="0090488E">
        <w:rPr>
          <w:rFonts w:cs="Times New Roman"/>
        </w:rPr>
        <w:t xml:space="preserve">during the period of respondent’s suspension </w:t>
      </w:r>
      <w:r>
        <w:rPr>
          <w:rFonts w:cs="Times New Roman"/>
        </w:rPr>
        <w:t>in this matter and to provide satisfactory proof of such passage to the State Bar’s Office of Probation in Los Angeles within the same period.</w:t>
      </w:r>
    </w:p>
    <w:p w:rsidR="003C3943" w:rsidRDefault="003C3943">
      <w:pPr>
        <w:spacing w:line="480" w:lineRule="exact"/>
        <w:jc w:val="center"/>
        <w:rPr>
          <w:rFonts w:cs="Times New Roman"/>
        </w:rPr>
      </w:pPr>
      <w:r>
        <w:rPr>
          <w:rFonts w:cs="Times New Roman"/>
          <w:b/>
          <w:bCs/>
        </w:rPr>
        <w:t>V</w:t>
      </w:r>
      <w:r w:rsidR="004F463A">
        <w:rPr>
          <w:rFonts w:cs="Times New Roman"/>
          <w:b/>
          <w:bCs/>
        </w:rPr>
        <w:t>I</w:t>
      </w:r>
      <w:r>
        <w:rPr>
          <w:rFonts w:cs="Times New Roman"/>
          <w:b/>
          <w:bCs/>
        </w:rPr>
        <w:t>I.  RULE 9.20</w:t>
      </w:r>
    </w:p>
    <w:p w:rsidR="00A070B5" w:rsidRDefault="003C3943">
      <w:pPr>
        <w:spacing w:line="470" w:lineRule="exact"/>
        <w:rPr>
          <w:rFonts w:cs="Times New Roman"/>
        </w:rPr>
      </w:pPr>
      <w:r>
        <w:rPr>
          <w:rFonts w:cs="Times New Roman"/>
        </w:rPr>
        <w:tab/>
        <w:t>We recommend that respondent be ordered to comply with rule 9.20, California Rules of Court, and to perform the acts specified in subdivisions (a) and (c) of that rule, within 30 and 40 days, respectively, from the effective date of the Supreme Court order herein.  Willful failure to comply with the provisions of rule 9.20 may result in revocation of probation; suspension; disbarment; denial of reinstatement; conviction of contempt; or criminal conviction.</w:t>
      </w:r>
    </w:p>
    <w:p w:rsidR="00A070B5" w:rsidRDefault="00A070B5">
      <w:pPr>
        <w:rPr>
          <w:rFonts w:cs="Times New Roman"/>
        </w:rPr>
      </w:pPr>
      <w:r>
        <w:rPr>
          <w:rFonts w:cs="Times New Roman"/>
        </w:rPr>
        <w:br w:type="page"/>
      </w:r>
    </w:p>
    <w:p w:rsidR="003C3943" w:rsidRDefault="003C3943">
      <w:pPr>
        <w:pStyle w:val="Heading3"/>
        <w:spacing w:line="480" w:lineRule="exact"/>
        <w:ind w:firstLine="0"/>
        <w:rPr>
          <w:rFonts w:cs="Times New Roman"/>
        </w:rPr>
      </w:pPr>
      <w:r>
        <w:rPr>
          <w:rFonts w:cs="Times New Roman"/>
        </w:rPr>
        <w:lastRenderedPageBreak/>
        <w:t>V</w:t>
      </w:r>
      <w:r w:rsidR="004F463A">
        <w:rPr>
          <w:rFonts w:cs="Times New Roman"/>
        </w:rPr>
        <w:t>I</w:t>
      </w:r>
      <w:r>
        <w:rPr>
          <w:rFonts w:cs="Times New Roman"/>
        </w:rPr>
        <w:t>II.  COSTS</w:t>
      </w:r>
    </w:p>
    <w:p w:rsidR="003C3943" w:rsidRDefault="003C3943">
      <w:pPr>
        <w:spacing w:line="470" w:lineRule="exact"/>
        <w:rPr>
          <w:rFonts w:cs="Times New Roman"/>
        </w:rPr>
      </w:pPr>
      <w:r>
        <w:rPr>
          <w:rFonts w:cs="Times New Roman"/>
        </w:rPr>
        <w:tab/>
        <w:t>Finally, we recommend that costs be awarded to the State Bar in accordance with Business and Professions Code section 6086.10, such costs being enforceable both as provided in section 6140.7 and as a money judgment.</w:t>
      </w:r>
    </w:p>
    <w:p w:rsidR="00E55E24" w:rsidRDefault="00E55E24">
      <w:pPr>
        <w:tabs>
          <w:tab w:val="left" w:pos="5040"/>
        </w:tabs>
        <w:jc w:val="both"/>
        <w:rPr>
          <w:rFonts w:cs="Times New Roman"/>
        </w:rPr>
      </w:pPr>
    </w:p>
    <w:p w:rsidR="003C3943" w:rsidRDefault="003C3943">
      <w:pPr>
        <w:tabs>
          <w:tab w:val="left" w:pos="5040"/>
        </w:tabs>
        <w:jc w:val="both"/>
        <w:rPr>
          <w:rFonts w:cs="Times New Roman"/>
        </w:rPr>
      </w:pPr>
      <w:r>
        <w:rPr>
          <w:rFonts w:cs="Times New Roman"/>
        </w:rPr>
        <w:tab/>
      </w:r>
      <w:bookmarkStart w:id="3" w:name="judge"/>
      <w:bookmarkEnd w:id="3"/>
    </w:p>
    <w:p w:rsidR="003C3943" w:rsidRDefault="003C3943" w:rsidP="004F463A">
      <w:pPr>
        <w:ind w:left="4320" w:firstLine="720"/>
        <w:rPr>
          <w:rFonts w:cs="Times New Roman"/>
        </w:rPr>
      </w:pPr>
      <w:r>
        <w:rPr>
          <w:rFonts w:cs="Times New Roman"/>
        </w:rPr>
        <w:t>PURCELL, J.</w:t>
      </w:r>
    </w:p>
    <w:p w:rsidR="003C3943" w:rsidRDefault="003C3943">
      <w:pPr>
        <w:rPr>
          <w:rFonts w:cs="Times New Roman"/>
        </w:rPr>
      </w:pPr>
    </w:p>
    <w:p w:rsidR="003C3943" w:rsidRDefault="003C3943">
      <w:pPr>
        <w:rPr>
          <w:rFonts w:cs="Times New Roman"/>
        </w:rPr>
      </w:pPr>
      <w:r>
        <w:rPr>
          <w:rFonts w:cs="Times New Roman"/>
        </w:rPr>
        <w:t>We concur:</w:t>
      </w:r>
    </w:p>
    <w:p w:rsidR="003C3943" w:rsidRDefault="003C3943">
      <w:pPr>
        <w:rPr>
          <w:rFonts w:cs="Times New Roman"/>
        </w:rPr>
      </w:pPr>
    </w:p>
    <w:p w:rsidR="003C3943" w:rsidRDefault="003C3943">
      <w:pPr>
        <w:rPr>
          <w:rFonts w:cs="Times New Roman"/>
        </w:rPr>
      </w:pPr>
      <w:r>
        <w:rPr>
          <w:rFonts w:cs="Times New Roman"/>
        </w:rPr>
        <w:t xml:space="preserve">REMKE, P. J. </w:t>
      </w:r>
    </w:p>
    <w:p w:rsidR="003C3943" w:rsidRDefault="003C3943">
      <w:pPr>
        <w:rPr>
          <w:rFonts w:cs="Times New Roman"/>
        </w:rPr>
      </w:pPr>
    </w:p>
    <w:p w:rsidR="003C3943" w:rsidRDefault="003C3943">
      <w:pPr>
        <w:rPr>
          <w:rFonts w:cs="Times New Roman"/>
        </w:rPr>
      </w:pPr>
      <w:r>
        <w:rPr>
          <w:rFonts w:cs="Times New Roman"/>
        </w:rPr>
        <w:t>EPSTEIN, J.</w:t>
      </w:r>
    </w:p>
    <w:p w:rsidR="003C3943" w:rsidRDefault="003C3943">
      <w:pPr>
        <w:rPr>
          <w:rFonts w:cs="Times New Roman"/>
        </w:rPr>
      </w:pPr>
    </w:p>
    <w:p w:rsidR="003C3943" w:rsidRDefault="003C3943">
      <w:pPr>
        <w:rPr>
          <w:rFonts w:cs="Times New Roman"/>
        </w:rPr>
      </w:pPr>
    </w:p>
    <w:sectPr w:rsidR="003C3943" w:rsidSect="00A821E6">
      <w:footerReference w:type="default" r:id="rId8"/>
      <w:type w:val="continuous"/>
      <w:pgSz w:w="12240" w:h="15840" w:code="1"/>
      <w:pgMar w:top="1440" w:right="1440" w:bottom="864" w:left="1440" w:header="144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D0" w:rsidRDefault="007D7FD0">
      <w:pPr>
        <w:rPr>
          <w:rFonts w:cs="Times New Roman"/>
        </w:rPr>
      </w:pPr>
      <w:r>
        <w:rPr>
          <w:rFonts w:cs="Times New Roman"/>
        </w:rPr>
        <w:separator/>
      </w:r>
    </w:p>
  </w:endnote>
  <w:endnote w:type="continuationSeparator" w:id="0">
    <w:p w:rsidR="007D7FD0" w:rsidRDefault="007D7F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D0" w:rsidRDefault="00ED481F" w:rsidP="00B84B6C">
    <w:pPr>
      <w:pStyle w:val="Footer"/>
      <w:framePr w:wrap="auto" w:vAnchor="text" w:hAnchor="margin" w:xAlign="center" w:y="1"/>
      <w:rPr>
        <w:rStyle w:val="PageNumber"/>
      </w:rPr>
    </w:pPr>
    <w:r>
      <w:rPr>
        <w:rStyle w:val="PageNumber"/>
      </w:rPr>
      <w:fldChar w:fldCharType="begin"/>
    </w:r>
    <w:r w:rsidR="007D7FD0">
      <w:rPr>
        <w:rStyle w:val="PageNumber"/>
      </w:rPr>
      <w:instrText xml:space="preserve">PAGE  </w:instrText>
    </w:r>
    <w:r>
      <w:rPr>
        <w:rStyle w:val="PageNumber"/>
      </w:rPr>
      <w:fldChar w:fldCharType="separate"/>
    </w:r>
    <w:r w:rsidR="00174629">
      <w:rPr>
        <w:rStyle w:val="PageNumber"/>
        <w:noProof/>
      </w:rPr>
      <w:t>17</w:t>
    </w:r>
    <w:r>
      <w:rPr>
        <w:rStyle w:val="PageNumber"/>
      </w:rPr>
      <w:fldChar w:fldCharType="end"/>
    </w:r>
  </w:p>
  <w:p w:rsidR="007D7FD0" w:rsidRDefault="007D7FD0" w:rsidP="00A821E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D0" w:rsidRDefault="007D7FD0">
      <w:pPr>
        <w:rPr>
          <w:rFonts w:cs="Times New Roman"/>
        </w:rPr>
      </w:pPr>
      <w:r>
        <w:rPr>
          <w:rFonts w:cs="Times New Roman"/>
        </w:rPr>
        <w:separator/>
      </w:r>
    </w:p>
  </w:footnote>
  <w:footnote w:type="continuationSeparator" w:id="0">
    <w:p w:rsidR="007D7FD0" w:rsidRDefault="007D7FD0">
      <w:pPr>
        <w:rPr>
          <w:rFonts w:cs="Times New Roman"/>
        </w:rPr>
      </w:pPr>
      <w:r>
        <w:rPr>
          <w:rFonts w:cs="Times New Roman"/>
        </w:rPr>
        <w:continuationSeparator/>
      </w:r>
    </w:p>
  </w:footnote>
  <w:footnote w:id="1">
    <w:p w:rsidR="007D7FD0" w:rsidRPr="004D603F" w:rsidRDefault="007D7FD0" w:rsidP="007D7FD0">
      <w:pPr>
        <w:pStyle w:val="FootnoteText"/>
        <w:ind w:firstLine="720"/>
        <w:rPr>
          <w:rFonts w:cs="Times New Roman"/>
          <w:sz w:val="24"/>
          <w:szCs w:val="24"/>
        </w:rPr>
      </w:pPr>
      <w:r>
        <w:rPr>
          <w:rStyle w:val="FootnoteReference"/>
        </w:rPr>
        <w:footnoteRef/>
      </w:r>
      <w:r>
        <w:rPr>
          <w:rFonts w:cs="Times New Roman"/>
          <w:sz w:val="24"/>
          <w:szCs w:val="24"/>
        </w:rPr>
        <w:t>All further references to “rule(s)” are to the State Bar Rules of Professional Conduct unless otherwise noted.</w:t>
      </w:r>
    </w:p>
  </w:footnote>
  <w:footnote w:id="2">
    <w:p w:rsidR="007D7FD0" w:rsidRPr="004D603F" w:rsidRDefault="007D7FD0" w:rsidP="007D7FD0">
      <w:pPr>
        <w:pStyle w:val="FootnoteText"/>
        <w:spacing w:after="120"/>
        <w:ind w:firstLine="720"/>
        <w:rPr>
          <w:rFonts w:cs="Times New Roman"/>
          <w:sz w:val="24"/>
          <w:szCs w:val="24"/>
        </w:rPr>
      </w:pPr>
      <w:r w:rsidRPr="00E74725">
        <w:rPr>
          <w:rFonts w:cs="Times New Roman"/>
          <w:sz w:val="24"/>
          <w:vertAlign w:val="superscript"/>
        </w:rPr>
        <w:footnoteRef/>
      </w:r>
      <w:r>
        <w:rPr>
          <w:rFonts w:cs="Times New Roman"/>
          <w:sz w:val="24"/>
          <w:szCs w:val="24"/>
        </w:rPr>
        <w:t xml:space="preserve">Citing </w:t>
      </w:r>
      <w:r>
        <w:rPr>
          <w:rFonts w:cs="Times New Roman"/>
          <w:i/>
          <w:iCs/>
          <w:sz w:val="24"/>
          <w:szCs w:val="24"/>
        </w:rPr>
        <w:t>Sheehan v. Sullivan</w:t>
      </w:r>
      <w:r>
        <w:rPr>
          <w:rFonts w:cs="Times New Roman"/>
          <w:sz w:val="24"/>
          <w:szCs w:val="24"/>
        </w:rPr>
        <w:t xml:space="preserve">, the California Supreme Court in </w:t>
      </w:r>
      <w:r>
        <w:rPr>
          <w:rFonts w:cs="Times New Roman"/>
          <w:i/>
          <w:iCs/>
          <w:sz w:val="24"/>
          <w:szCs w:val="24"/>
        </w:rPr>
        <w:t>In re Angelia P.</w:t>
      </w:r>
      <w:r>
        <w:rPr>
          <w:rFonts w:cs="Times New Roman"/>
          <w:sz w:val="24"/>
          <w:szCs w:val="24"/>
        </w:rPr>
        <w:t xml:space="preserve"> (1981) 28 Cal.3d 908, 919, adopted a “clear and convincing” standard of proof for terminating parental rights, describing the standard as requiring “a finding of high probability.” </w:t>
      </w:r>
    </w:p>
  </w:footnote>
  <w:footnote w:id="3">
    <w:p w:rsidR="007D7FD0" w:rsidRPr="00766F86" w:rsidRDefault="007D7FD0" w:rsidP="006468C9">
      <w:pPr>
        <w:pStyle w:val="FootnoteText"/>
        <w:ind w:firstLine="720"/>
        <w:rPr>
          <w:sz w:val="24"/>
          <w:szCs w:val="24"/>
        </w:rPr>
      </w:pPr>
      <w:r w:rsidRPr="00D17E8C">
        <w:rPr>
          <w:rStyle w:val="FootnoteReference"/>
          <w:sz w:val="24"/>
          <w:szCs w:val="24"/>
        </w:rPr>
        <w:footnoteRef/>
      </w:r>
      <w:r w:rsidRPr="00D17E8C">
        <w:rPr>
          <w:sz w:val="24"/>
          <w:szCs w:val="24"/>
        </w:rPr>
        <w:t xml:space="preserve">Respondent testified that </w:t>
      </w:r>
      <w:r>
        <w:rPr>
          <w:sz w:val="24"/>
          <w:szCs w:val="24"/>
        </w:rPr>
        <w:t>it was customary in probate matters to have at least two or three reviews with the probate examiner.</w:t>
      </w:r>
    </w:p>
  </w:footnote>
  <w:footnote w:id="4">
    <w:p w:rsidR="007D7FD0" w:rsidRPr="00BF112F" w:rsidRDefault="007D7FD0" w:rsidP="006468C9">
      <w:pPr>
        <w:pStyle w:val="FootnoteText"/>
        <w:spacing w:after="120"/>
        <w:ind w:firstLine="720"/>
        <w:rPr>
          <w:rFonts w:cs="Times New Roman"/>
          <w:sz w:val="24"/>
          <w:szCs w:val="24"/>
        </w:rPr>
      </w:pPr>
      <w:r w:rsidRPr="003216FF">
        <w:rPr>
          <w:rStyle w:val="FootnoteReference"/>
          <w:sz w:val="24"/>
          <w:szCs w:val="24"/>
        </w:rPr>
        <w:footnoteRef/>
      </w:r>
      <w:r>
        <w:rPr>
          <w:rFonts w:cs="Times New Roman"/>
          <w:sz w:val="24"/>
          <w:szCs w:val="24"/>
        </w:rPr>
        <w:t>Because we do not find respondent culpable of this count, restitution in the Velasquez matter is not required, and respondent’s contention that he was denied due process when his proposed expert witness on conservatorship was not permitted to testify is therefore moot.</w:t>
      </w:r>
    </w:p>
  </w:footnote>
  <w:footnote w:id="5">
    <w:p w:rsidR="007D7FD0" w:rsidRPr="004D603F" w:rsidRDefault="007D7FD0" w:rsidP="007D7FD0">
      <w:pPr>
        <w:pStyle w:val="FootnoteText"/>
        <w:spacing w:after="120"/>
        <w:ind w:firstLine="720"/>
        <w:rPr>
          <w:rFonts w:cs="Times New Roman"/>
          <w:sz w:val="24"/>
          <w:szCs w:val="24"/>
        </w:rPr>
      </w:pPr>
      <w:r>
        <w:rPr>
          <w:rStyle w:val="FootnoteReference"/>
        </w:rPr>
        <w:footnoteRef/>
      </w:r>
      <w:r>
        <w:rPr>
          <w:rFonts w:cs="Times New Roman"/>
          <w:sz w:val="24"/>
          <w:szCs w:val="24"/>
        </w:rPr>
        <w:t>Vasquez testified that respondent did not inform him of the trial date.  However, Vasquez provided a sworn declaration in support of his motion to set aside the default judgment stating that he simply forgot the trial date.  In addition, Exhibit J reveals a handwritten note from Vasquez to the judge explaining that he missed the court date because he forgot about it.  Although we do not find that respondent failed to inform Vasquez of the trial date, he had a fiduciary duty to appear at trial whether or not Vasquez was in attendance.</w:t>
      </w:r>
    </w:p>
  </w:footnote>
  <w:footnote w:id="6">
    <w:p w:rsidR="007D7FD0" w:rsidRPr="00827ABB" w:rsidRDefault="007D7FD0" w:rsidP="006468C9">
      <w:pPr>
        <w:pStyle w:val="FootnoteText"/>
        <w:ind w:firstLine="720"/>
        <w:rPr>
          <w:sz w:val="24"/>
          <w:szCs w:val="24"/>
        </w:rPr>
      </w:pPr>
      <w:r>
        <w:rPr>
          <w:rStyle w:val="FootnoteReference"/>
        </w:rPr>
        <w:footnoteRef/>
      </w:r>
      <w:r w:rsidRPr="00827ABB">
        <w:rPr>
          <w:sz w:val="24"/>
          <w:szCs w:val="24"/>
        </w:rPr>
        <w:t>The State Bar has alleged that respondent further violated rule 3-110</w:t>
      </w:r>
      <w:r>
        <w:rPr>
          <w:sz w:val="24"/>
          <w:szCs w:val="24"/>
        </w:rPr>
        <w:t>(A)</w:t>
      </w:r>
      <w:r w:rsidRPr="00827ABB">
        <w:rPr>
          <w:sz w:val="24"/>
          <w:szCs w:val="24"/>
        </w:rPr>
        <w:t xml:space="preserve"> by recklessly filing a motion to set aside the default </w:t>
      </w:r>
      <w:r>
        <w:rPr>
          <w:sz w:val="24"/>
          <w:szCs w:val="24"/>
        </w:rPr>
        <w:t xml:space="preserve">without proffering any explanation </w:t>
      </w:r>
      <w:r w:rsidRPr="00827ABB">
        <w:rPr>
          <w:sz w:val="24"/>
          <w:szCs w:val="24"/>
        </w:rPr>
        <w:t>f</w:t>
      </w:r>
      <w:r>
        <w:rPr>
          <w:sz w:val="24"/>
          <w:szCs w:val="24"/>
        </w:rPr>
        <w:t>or</w:t>
      </w:r>
      <w:r w:rsidRPr="00827ABB">
        <w:rPr>
          <w:sz w:val="24"/>
          <w:szCs w:val="24"/>
        </w:rPr>
        <w:t xml:space="preserve"> his own failure to appear.  </w:t>
      </w:r>
      <w:r>
        <w:rPr>
          <w:sz w:val="24"/>
          <w:szCs w:val="24"/>
        </w:rPr>
        <w:t xml:space="preserve">We do not </w:t>
      </w:r>
      <w:r w:rsidRPr="00827ABB">
        <w:rPr>
          <w:sz w:val="24"/>
          <w:szCs w:val="24"/>
        </w:rPr>
        <w:t xml:space="preserve">find </w:t>
      </w:r>
      <w:r>
        <w:rPr>
          <w:sz w:val="24"/>
          <w:szCs w:val="24"/>
        </w:rPr>
        <w:t>clear and convincing evidence of misconduct</w:t>
      </w:r>
      <w:r w:rsidRPr="00827ABB">
        <w:rPr>
          <w:sz w:val="24"/>
          <w:szCs w:val="24"/>
        </w:rPr>
        <w:t xml:space="preserve"> in </w:t>
      </w:r>
      <w:r>
        <w:rPr>
          <w:sz w:val="24"/>
          <w:szCs w:val="24"/>
        </w:rPr>
        <w:t xml:space="preserve">respondent’s </w:t>
      </w:r>
      <w:r w:rsidRPr="00827ABB">
        <w:rPr>
          <w:sz w:val="24"/>
          <w:szCs w:val="24"/>
        </w:rPr>
        <w:t xml:space="preserve">motion to set aside the default. </w:t>
      </w:r>
    </w:p>
  </w:footnote>
  <w:footnote w:id="7">
    <w:p w:rsidR="007D7FD0" w:rsidRPr="00B84B6C" w:rsidRDefault="007D7FD0" w:rsidP="007D7FD0">
      <w:pPr>
        <w:pStyle w:val="FootnoteText"/>
        <w:spacing w:after="120"/>
        <w:ind w:firstLine="720"/>
        <w:rPr>
          <w:sz w:val="24"/>
          <w:szCs w:val="24"/>
        </w:rPr>
      </w:pPr>
      <w:r w:rsidRPr="00B84B6C">
        <w:rPr>
          <w:rStyle w:val="FootnoteReference"/>
          <w:sz w:val="24"/>
          <w:szCs w:val="24"/>
        </w:rPr>
        <w:footnoteRef/>
      </w:r>
      <w:r w:rsidRPr="00B84B6C">
        <w:rPr>
          <w:sz w:val="24"/>
          <w:szCs w:val="24"/>
        </w:rPr>
        <w:t>All further references to “standard(s)” are to the Rules of Procedure of the State Bar, title IV, Standards for Attorney Sanctions for Professional Misconduct.</w:t>
      </w:r>
    </w:p>
  </w:footnote>
  <w:footnote w:id="8">
    <w:p w:rsidR="007D7FD0" w:rsidRPr="00BC1A9F" w:rsidRDefault="007D7FD0" w:rsidP="007D7FD0">
      <w:pPr>
        <w:pStyle w:val="FootnoteText"/>
        <w:spacing w:after="120"/>
        <w:ind w:firstLine="720"/>
        <w:rPr>
          <w:sz w:val="24"/>
          <w:szCs w:val="24"/>
        </w:rPr>
      </w:pPr>
      <w:r w:rsidRPr="00BC1A9F">
        <w:rPr>
          <w:rStyle w:val="FootnoteReference"/>
          <w:sz w:val="24"/>
          <w:szCs w:val="24"/>
        </w:rPr>
        <w:footnoteRef/>
      </w:r>
      <w:r w:rsidRPr="00BC1A9F">
        <w:rPr>
          <w:rFonts w:cs="Times New Roman"/>
          <w:sz w:val="24"/>
          <w:szCs w:val="24"/>
        </w:rPr>
        <w:t>Testimony from members of the bar and bench is entitled to serious consideration because judges and attorneys have a “strong interest in maintaining the administration of justice.” (</w:t>
      </w:r>
      <w:r w:rsidRPr="00BC1A9F">
        <w:rPr>
          <w:rFonts w:cs="Times New Roman"/>
          <w:i/>
          <w:iCs/>
          <w:sz w:val="24"/>
          <w:szCs w:val="24"/>
        </w:rPr>
        <w:t xml:space="preserve">In the Matter of </w:t>
      </w:r>
      <w:r w:rsidRPr="00BC1A9F">
        <w:rPr>
          <w:rFonts w:cs="Times New Roman"/>
          <w:i/>
          <w:sz w:val="24"/>
          <w:szCs w:val="24"/>
        </w:rPr>
        <w:t>Brown</w:t>
      </w:r>
      <w:r w:rsidRPr="00BC1A9F">
        <w:rPr>
          <w:rFonts w:cs="Times New Roman"/>
          <w:sz w:val="24"/>
          <w:szCs w:val="24"/>
        </w:rPr>
        <w:t xml:space="preserve"> (Review Dept. 1993) 2 Cal. State Bar Ct. Rptr. 309, 319.)</w:t>
      </w:r>
      <w:r w:rsidRPr="00BC1A9F">
        <w:rPr>
          <w:rFonts w:cs="Times New Roman"/>
          <w:b/>
          <w:bCs/>
          <w:sz w:val="24"/>
          <w:szCs w:val="24"/>
        </w:rPr>
        <w:t xml:space="preserve">  </w:t>
      </w:r>
    </w:p>
  </w:footnote>
  <w:footnote w:id="9">
    <w:p w:rsidR="007D7FD0" w:rsidRPr="00237D58" w:rsidRDefault="007D7FD0" w:rsidP="007D7FD0">
      <w:pPr>
        <w:pStyle w:val="FootnoteText"/>
        <w:spacing w:after="120"/>
        <w:ind w:firstLine="720"/>
        <w:rPr>
          <w:rFonts w:cs="Times New Roman"/>
          <w:sz w:val="24"/>
          <w:szCs w:val="24"/>
        </w:rPr>
      </w:pPr>
      <w:r>
        <w:rPr>
          <w:rStyle w:val="FootnoteReference"/>
        </w:rPr>
        <w:footnoteRef/>
      </w:r>
      <w:r>
        <w:rPr>
          <w:rFonts w:cs="Times New Roman"/>
          <w:sz w:val="24"/>
          <w:szCs w:val="24"/>
        </w:rPr>
        <w:t>Before culpability was determined, the State Bar revealed respondent’s prior records of discipline by placing them in the exhibit binder introduced at the beginning of the trial.  This practice runs afoul of rule 216(b) of the Rules of Procedure of the State Bar of California, which provides that “A record, or the existence of a record, of prior discipline is inadmissible until a finding of culpability is made, unless it tends to prove a fact in issue in determining culpability.”  Upon objection and a request for sanctions by respondent, the hearing judge specified that she would not deem the prior records of discipline admitted until culpability was proven.  Under these circumstances, respondent has not demonstrated sufficient prejudice to justify sanctions, and the error was harmless. (See</w:t>
      </w:r>
      <w:r>
        <w:rPr>
          <w:rFonts w:cs="Times New Roman"/>
          <w:i/>
          <w:iCs/>
          <w:sz w:val="24"/>
          <w:szCs w:val="24"/>
        </w:rPr>
        <w:t xml:space="preserve"> Stuart v. State Bar</w:t>
      </w:r>
      <w:r w:rsidRPr="00A44725">
        <w:rPr>
          <w:rFonts w:cs="Times New Roman"/>
          <w:iCs/>
          <w:sz w:val="24"/>
          <w:szCs w:val="24"/>
        </w:rPr>
        <w:t>,</w:t>
      </w:r>
      <w:r>
        <w:rPr>
          <w:rFonts w:cs="Times New Roman"/>
          <w:i/>
          <w:iCs/>
          <w:sz w:val="24"/>
          <w:szCs w:val="24"/>
        </w:rPr>
        <w:t xml:space="preserve"> supra</w:t>
      </w:r>
      <w:r w:rsidRPr="00A44725">
        <w:rPr>
          <w:rFonts w:cs="Times New Roman"/>
          <w:iCs/>
          <w:sz w:val="24"/>
          <w:szCs w:val="24"/>
        </w:rPr>
        <w:t>,</w:t>
      </w:r>
      <w:r>
        <w:rPr>
          <w:rFonts w:cs="Times New Roman"/>
          <w:sz w:val="24"/>
          <w:szCs w:val="24"/>
        </w:rPr>
        <w:t xml:space="preserve"> 40 Cal.3d at p. 845 [revealing disciplinary record prior to finding culpability was harmless error where hearing panel did not consider comment in deciding culpability and comment was made at end of prosecuting attorney’s closing argument].)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5A9F3A"/>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9BA23E5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D3669F74"/>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6F0825C2"/>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AE10286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F5C51F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51A1AC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02231D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E9AFD64"/>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2EC459A2"/>
    <w:lvl w:ilvl="0">
      <w:start w:val="1"/>
      <w:numFmt w:val="bullet"/>
      <w:lvlText w:val=""/>
      <w:lvlJc w:val="left"/>
      <w:pPr>
        <w:tabs>
          <w:tab w:val="num" w:pos="360"/>
        </w:tabs>
        <w:ind w:left="360" w:hanging="360"/>
      </w:pPr>
      <w:rPr>
        <w:rFonts w:ascii="Symbol" w:hAnsi="Symbol" w:cs="Symbol" w:hint="default"/>
      </w:rPr>
    </w:lvl>
  </w:abstractNum>
  <w:abstractNum w:abstractNumId="10">
    <w:nsid w:val="0B086B24"/>
    <w:multiLevelType w:val="hybridMultilevel"/>
    <w:tmpl w:val="63C4C5D2"/>
    <w:lvl w:ilvl="0" w:tplc="8760DA9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0EE50A87"/>
    <w:multiLevelType w:val="hybridMultilevel"/>
    <w:tmpl w:val="BCC8EE1A"/>
    <w:lvl w:ilvl="0" w:tplc="B79A22A0">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1C0227F9"/>
    <w:multiLevelType w:val="hybridMultilevel"/>
    <w:tmpl w:val="6A5A8330"/>
    <w:lvl w:ilvl="0" w:tplc="A5DEB64E">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3">
    <w:nsid w:val="20121A98"/>
    <w:multiLevelType w:val="hybridMultilevel"/>
    <w:tmpl w:val="8022FFD2"/>
    <w:lvl w:ilvl="0" w:tplc="423C52CA">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B07662D"/>
    <w:multiLevelType w:val="hybridMultilevel"/>
    <w:tmpl w:val="F364F0B6"/>
    <w:lvl w:ilvl="0" w:tplc="BD32B30A">
      <w:start w:val="2"/>
      <w:numFmt w:val="decimal"/>
      <w:lvlText w:val="%1."/>
      <w:lvlJc w:val="left"/>
      <w:pPr>
        <w:tabs>
          <w:tab w:val="num" w:pos="1080"/>
        </w:tabs>
        <w:ind w:left="1080" w:hanging="360"/>
      </w:pPr>
      <w:rPr>
        <w:rFonts w:ascii="Times New Roman" w:hAnsi="Times New Roman" w:cs="Times New Roman" w:hint="default"/>
      </w:rPr>
    </w:lvl>
    <w:lvl w:ilvl="1" w:tplc="2962D82E">
      <w:start w:val="1"/>
      <w:numFmt w:val="lowerLetter"/>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DAD766F"/>
    <w:multiLevelType w:val="hybridMultilevel"/>
    <w:tmpl w:val="DA2A1990"/>
    <w:lvl w:ilvl="0" w:tplc="F49CAFC6">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6">
    <w:nsid w:val="3C3739B5"/>
    <w:multiLevelType w:val="hybridMultilevel"/>
    <w:tmpl w:val="F3C221B8"/>
    <w:lvl w:ilvl="0" w:tplc="705C0D9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nsid w:val="3DA94FF4"/>
    <w:multiLevelType w:val="hybridMultilevel"/>
    <w:tmpl w:val="FE9C73EC"/>
    <w:lvl w:ilvl="0" w:tplc="E8B27F9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nsid w:val="4800642B"/>
    <w:multiLevelType w:val="hybridMultilevel"/>
    <w:tmpl w:val="0F5444D8"/>
    <w:lvl w:ilvl="0" w:tplc="4566DD1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nsid w:val="4E444506"/>
    <w:multiLevelType w:val="hybridMultilevel"/>
    <w:tmpl w:val="9620F96A"/>
    <w:lvl w:ilvl="0" w:tplc="E22AE610">
      <w:start w:val="2"/>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nsid w:val="636E4775"/>
    <w:multiLevelType w:val="hybridMultilevel"/>
    <w:tmpl w:val="6C80C706"/>
    <w:lvl w:ilvl="0" w:tplc="66344DC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nsid w:val="63AE6156"/>
    <w:multiLevelType w:val="hybridMultilevel"/>
    <w:tmpl w:val="F0F44F30"/>
    <w:lvl w:ilvl="0" w:tplc="7F14AA3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
    <w:nsid w:val="64C100FD"/>
    <w:multiLevelType w:val="hybridMultilevel"/>
    <w:tmpl w:val="13A6278C"/>
    <w:lvl w:ilvl="0" w:tplc="B8BA3E1C">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65500561"/>
    <w:multiLevelType w:val="hybridMultilevel"/>
    <w:tmpl w:val="039CB3D8"/>
    <w:lvl w:ilvl="0" w:tplc="47306FE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6A2C6E11"/>
    <w:multiLevelType w:val="hybridMultilevel"/>
    <w:tmpl w:val="0E868192"/>
    <w:lvl w:ilvl="0" w:tplc="6478D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140F06"/>
    <w:multiLevelType w:val="hybridMultilevel"/>
    <w:tmpl w:val="B1E2D07E"/>
    <w:lvl w:ilvl="0" w:tplc="6346E38A">
      <w:start w:val="1"/>
      <w:numFmt w:val="decimal"/>
      <w:lvlText w:val="%1."/>
      <w:lvlJc w:val="left"/>
      <w:pPr>
        <w:ind w:left="1080" w:hanging="360"/>
      </w:pPr>
      <w:rPr>
        <w:rFonts w:ascii="Times New Roman" w:hAnsi="Times New Roman" w:cs="Times New Roman" w:hint="default"/>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nsid w:val="7ADA5ADE"/>
    <w:multiLevelType w:val="hybridMultilevel"/>
    <w:tmpl w:val="6D20E078"/>
    <w:lvl w:ilvl="0" w:tplc="EC4803A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6"/>
  </w:num>
  <w:num w:numId="14">
    <w:abstractNumId w:val="11"/>
  </w:num>
  <w:num w:numId="15">
    <w:abstractNumId w:val="10"/>
  </w:num>
  <w:num w:numId="16">
    <w:abstractNumId w:val="14"/>
  </w:num>
  <w:num w:numId="17">
    <w:abstractNumId w:val="12"/>
  </w:num>
  <w:num w:numId="18">
    <w:abstractNumId w:val="15"/>
  </w:num>
  <w:num w:numId="19">
    <w:abstractNumId w:val="19"/>
  </w:num>
  <w:num w:numId="20">
    <w:abstractNumId w:val="20"/>
  </w:num>
  <w:num w:numId="21">
    <w:abstractNumId w:val="18"/>
  </w:num>
  <w:num w:numId="22">
    <w:abstractNumId w:val="16"/>
  </w:num>
  <w:num w:numId="23">
    <w:abstractNumId w:val="22"/>
  </w:num>
  <w:num w:numId="24">
    <w:abstractNumId w:val="17"/>
  </w:num>
  <w:num w:numId="25">
    <w:abstractNumId w:val="21"/>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
  <w:rsids>
    <w:rsidRoot w:val="003C3943"/>
    <w:rsid w:val="00022B3A"/>
    <w:rsid w:val="00033837"/>
    <w:rsid w:val="00041B61"/>
    <w:rsid w:val="00042151"/>
    <w:rsid w:val="00053B19"/>
    <w:rsid w:val="00054549"/>
    <w:rsid w:val="000912ED"/>
    <w:rsid w:val="000916FF"/>
    <w:rsid w:val="000A3907"/>
    <w:rsid w:val="000E05F6"/>
    <w:rsid w:val="000F1C71"/>
    <w:rsid w:val="000F534E"/>
    <w:rsid w:val="000F5D87"/>
    <w:rsid w:val="00132DE1"/>
    <w:rsid w:val="00141325"/>
    <w:rsid w:val="00146956"/>
    <w:rsid w:val="00151969"/>
    <w:rsid w:val="00154BE7"/>
    <w:rsid w:val="00157DDF"/>
    <w:rsid w:val="001739A5"/>
    <w:rsid w:val="00174629"/>
    <w:rsid w:val="001873AC"/>
    <w:rsid w:val="00194881"/>
    <w:rsid w:val="001A5B56"/>
    <w:rsid w:val="001B5FD6"/>
    <w:rsid w:val="001C3F63"/>
    <w:rsid w:val="001F3E0B"/>
    <w:rsid w:val="0023019E"/>
    <w:rsid w:val="00237D58"/>
    <w:rsid w:val="00272D25"/>
    <w:rsid w:val="002B51F1"/>
    <w:rsid w:val="002B6D5E"/>
    <w:rsid w:val="002C40DD"/>
    <w:rsid w:val="002D46CD"/>
    <w:rsid w:val="002E43D5"/>
    <w:rsid w:val="003216FF"/>
    <w:rsid w:val="00326829"/>
    <w:rsid w:val="00341A15"/>
    <w:rsid w:val="00343324"/>
    <w:rsid w:val="003508DD"/>
    <w:rsid w:val="0035490D"/>
    <w:rsid w:val="003569AF"/>
    <w:rsid w:val="00362C2F"/>
    <w:rsid w:val="00380A21"/>
    <w:rsid w:val="00397905"/>
    <w:rsid w:val="003C0002"/>
    <w:rsid w:val="003C3943"/>
    <w:rsid w:val="003D6B9D"/>
    <w:rsid w:val="003E7807"/>
    <w:rsid w:val="00430B55"/>
    <w:rsid w:val="00462876"/>
    <w:rsid w:val="00464F9D"/>
    <w:rsid w:val="004C74E0"/>
    <w:rsid w:val="004D603F"/>
    <w:rsid w:val="004E5C4E"/>
    <w:rsid w:val="004F463A"/>
    <w:rsid w:val="004F7C45"/>
    <w:rsid w:val="00502879"/>
    <w:rsid w:val="00507E35"/>
    <w:rsid w:val="005301E4"/>
    <w:rsid w:val="005347D8"/>
    <w:rsid w:val="0054490D"/>
    <w:rsid w:val="0055013F"/>
    <w:rsid w:val="00556DA6"/>
    <w:rsid w:val="005D7C76"/>
    <w:rsid w:val="005E037A"/>
    <w:rsid w:val="005E07E1"/>
    <w:rsid w:val="005E3096"/>
    <w:rsid w:val="00623CFB"/>
    <w:rsid w:val="0062547F"/>
    <w:rsid w:val="00630630"/>
    <w:rsid w:val="00631A67"/>
    <w:rsid w:val="00645571"/>
    <w:rsid w:val="006468C9"/>
    <w:rsid w:val="0065315A"/>
    <w:rsid w:val="00685D75"/>
    <w:rsid w:val="007309DC"/>
    <w:rsid w:val="0073352D"/>
    <w:rsid w:val="0074113F"/>
    <w:rsid w:val="00743EEB"/>
    <w:rsid w:val="007653DC"/>
    <w:rsid w:val="00765CF2"/>
    <w:rsid w:val="00766F86"/>
    <w:rsid w:val="00775D0E"/>
    <w:rsid w:val="007C3B72"/>
    <w:rsid w:val="007D7FD0"/>
    <w:rsid w:val="007F3266"/>
    <w:rsid w:val="007F71F2"/>
    <w:rsid w:val="0081605F"/>
    <w:rsid w:val="00827ABB"/>
    <w:rsid w:val="0087010C"/>
    <w:rsid w:val="00881D1B"/>
    <w:rsid w:val="0089563D"/>
    <w:rsid w:val="008C3577"/>
    <w:rsid w:val="008D1FB6"/>
    <w:rsid w:val="008F3969"/>
    <w:rsid w:val="0090488E"/>
    <w:rsid w:val="00936354"/>
    <w:rsid w:val="009528D2"/>
    <w:rsid w:val="00965BA3"/>
    <w:rsid w:val="00966480"/>
    <w:rsid w:val="0098426D"/>
    <w:rsid w:val="00990118"/>
    <w:rsid w:val="0099728E"/>
    <w:rsid w:val="009C1075"/>
    <w:rsid w:val="009D0D6C"/>
    <w:rsid w:val="009D6E4F"/>
    <w:rsid w:val="009F08B0"/>
    <w:rsid w:val="00A070B5"/>
    <w:rsid w:val="00A37FD7"/>
    <w:rsid w:val="00A44725"/>
    <w:rsid w:val="00A55C87"/>
    <w:rsid w:val="00A60F00"/>
    <w:rsid w:val="00A654B3"/>
    <w:rsid w:val="00A816F4"/>
    <w:rsid w:val="00A821E6"/>
    <w:rsid w:val="00A9788E"/>
    <w:rsid w:val="00AD16DA"/>
    <w:rsid w:val="00AE3EDE"/>
    <w:rsid w:val="00B13BFA"/>
    <w:rsid w:val="00B3610B"/>
    <w:rsid w:val="00B417D7"/>
    <w:rsid w:val="00B42202"/>
    <w:rsid w:val="00B4364C"/>
    <w:rsid w:val="00B70B5D"/>
    <w:rsid w:val="00B84B6C"/>
    <w:rsid w:val="00B86E15"/>
    <w:rsid w:val="00BA3EEC"/>
    <w:rsid w:val="00BB06F9"/>
    <w:rsid w:val="00BC1A9F"/>
    <w:rsid w:val="00BC203F"/>
    <w:rsid w:val="00BD2456"/>
    <w:rsid w:val="00BF112F"/>
    <w:rsid w:val="00C03D40"/>
    <w:rsid w:val="00C16B05"/>
    <w:rsid w:val="00C46F1C"/>
    <w:rsid w:val="00C678FD"/>
    <w:rsid w:val="00C75152"/>
    <w:rsid w:val="00C801C9"/>
    <w:rsid w:val="00C96777"/>
    <w:rsid w:val="00CC657C"/>
    <w:rsid w:val="00CE73A5"/>
    <w:rsid w:val="00D10C54"/>
    <w:rsid w:val="00D17E8C"/>
    <w:rsid w:val="00D40E3F"/>
    <w:rsid w:val="00D557C8"/>
    <w:rsid w:val="00D77697"/>
    <w:rsid w:val="00DB7590"/>
    <w:rsid w:val="00DC0DC0"/>
    <w:rsid w:val="00DE37E4"/>
    <w:rsid w:val="00E33D03"/>
    <w:rsid w:val="00E42922"/>
    <w:rsid w:val="00E55E24"/>
    <w:rsid w:val="00E64940"/>
    <w:rsid w:val="00E74725"/>
    <w:rsid w:val="00E95076"/>
    <w:rsid w:val="00EC6C0A"/>
    <w:rsid w:val="00ED481F"/>
    <w:rsid w:val="00EE12A9"/>
    <w:rsid w:val="00F17063"/>
    <w:rsid w:val="00F20A36"/>
    <w:rsid w:val="00F20C98"/>
    <w:rsid w:val="00F20FAA"/>
    <w:rsid w:val="00F33A42"/>
    <w:rsid w:val="00F51F04"/>
    <w:rsid w:val="00F64208"/>
    <w:rsid w:val="00FA0C54"/>
    <w:rsid w:val="00FB5CA4"/>
    <w:rsid w:val="00FC2D05"/>
    <w:rsid w:val="00FD2FC3"/>
    <w:rsid w:val="00FE60C2"/>
    <w:rsid w:val="00FF4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B3"/>
    <w:rPr>
      <w:rFonts w:ascii="Times New Roman" w:hAnsi="Times New Roman"/>
      <w:sz w:val="24"/>
      <w:szCs w:val="24"/>
    </w:rPr>
  </w:style>
  <w:style w:type="paragraph" w:styleId="Heading1">
    <w:name w:val="heading 1"/>
    <w:basedOn w:val="Normal"/>
    <w:next w:val="Normal"/>
    <w:link w:val="Heading1Char"/>
    <w:uiPriority w:val="99"/>
    <w:qFormat/>
    <w:rsid w:val="00A654B3"/>
    <w:pPr>
      <w:keepNext/>
      <w:spacing w:before="30" w:line="235" w:lineRule="exact"/>
      <w:outlineLvl w:val="0"/>
    </w:pPr>
    <w:rPr>
      <w:b/>
      <w:bCs/>
    </w:rPr>
  </w:style>
  <w:style w:type="paragraph" w:styleId="Heading2">
    <w:name w:val="heading 2"/>
    <w:basedOn w:val="Normal"/>
    <w:next w:val="Normal"/>
    <w:link w:val="Heading2Char"/>
    <w:uiPriority w:val="99"/>
    <w:qFormat/>
    <w:rsid w:val="00A654B3"/>
    <w:pPr>
      <w:keepNext/>
      <w:spacing w:line="470" w:lineRule="exact"/>
      <w:jc w:val="center"/>
      <w:outlineLvl w:val="1"/>
    </w:pPr>
    <w:rPr>
      <w:b/>
      <w:bCs/>
    </w:rPr>
  </w:style>
  <w:style w:type="paragraph" w:styleId="Heading3">
    <w:name w:val="heading 3"/>
    <w:basedOn w:val="Normal"/>
    <w:next w:val="Normal"/>
    <w:link w:val="Heading3Char"/>
    <w:uiPriority w:val="99"/>
    <w:qFormat/>
    <w:rsid w:val="00A654B3"/>
    <w:pPr>
      <w:keepNext/>
      <w:spacing w:line="470" w:lineRule="exact"/>
      <w:ind w:firstLine="720"/>
      <w:jc w:val="center"/>
      <w:outlineLvl w:val="2"/>
    </w:pPr>
    <w:rPr>
      <w:b/>
      <w:bCs/>
    </w:rPr>
  </w:style>
  <w:style w:type="paragraph" w:styleId="Heading4">
    <w:name w:val="heading 4"/>
    <w:basedOn w:val="Normal"/>
    <w:next w:val="Normal"/>
    <w:link w:val="Heading4Char"/>
    <w:uiPriority w:val="99"/>
    <w:qFormat/>
    <w:rsid w:val="00A654B3"/>
    <w:pPr>
      <w:keepNext/>
      <w:spacing w:line="480" w:lineRule="auto"/>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54B3"/>
    <w:rPr>
      <w:rFonts w:ascii="Cambria" w:hAnsi="Cambria" w:cs="Cambria"/>
      <w:b/>
      <w:bCs/>
      <w:kern w:val="32"/>
      <w:sz w:val="32"/>
      <w:szCs w:val="32"/>
    </w:rPr>
  </w:style>
  <w:style w:type="character" w:customStyle="1" w:styleId="Heading2Char">
    <w:name w:val="Heading 2 Char"/>
    <w:basedOn w:val="DefaultParagraphFont"/>
    <w:link w:val="Heading2"/>
    <w:uiPriority w:val="99"/>
    <w:rsid w:val="00A654B3"/>
    <w:rPr>
      <w:rFonts w:ascii="Cambria" w:hAnsi="Cambria" w:cs="Cambria"/>
      <w:b/>
      <w:bCs/>
      <w:i/>
      <w:iCs/>
      <w:sz w:val="28"/>
      <w:szCs w:val="28"/>
    </w:rPr>
  </w:style>
  <w:style w:type="character" w:customStyle="1" w:styleId="Heading3Char">
    <w:name w:val="Heading 3 Char"/>
    <w:basedOn w:val="DefaultParagraphFont"/>
    <w:link w:val="Heading3"/>
    <w:uiPriority w:val="99"/>
    <w:rsid w:val="00A654B3"/>
    <w:rPr>
      <w:rFonts w:ascii="Cambria" w:hAnsi="Cambria" w:cs="Cambria"/>
      <w:b/>
      <w:bCs/>
      <w:sz w:val="26"/>
      <w:szCs w:val="26"/>
    </w:rPr>
  </w:style>
  <w:style w:type="character" w:customStyle="1" w:styleId="Heading4Char">
    <w:name w:val="Heading 4 Char"/>
    <w:basedOn w:val="DefaultParagraphFont"/>
    <w:link w:val="Heading4"/>
    <w:uiPriority w:val="99"/>
    <w:rsid w:val="00A654B3"/>
    <w:rPr>
      <w:rFonts w:ascii="Times New Roman" w:hAnsi="Times New Roman" w:cs="Times New Roman"/>
      <w:b/>
      <w:bCs/>
      <w:sz w:val="28"/>
      <w:szCs w:val="28"/>
    </w:rPr>
  </w:style>
  <w:style w:type="paragraph" w:customStyle="1" w:styleId="Style1">
    <w:name w:val="Style1"/>
    <w:basedOn w:val="Normal"/>
    <w:uiPriority w:val="99"/>
    <w:rsid w:val="00A654B3"/>
    <w:pPr>
      <w:spacing w:before="28"/>
      <w:ind w:right="90"/>
    </w:pPr>
    <w:rPr>
      <w:sz w:val="19"/>
      <w:szCs w:val="19"/>
    </w:rPr>
  </w:style>
  <w:style w:type="character" w:styleId="FootnoteReference">
    <w:name w:val="footnote reference"/>
    <w:basedOn w:val="DefaultParagraphFont"/>
    <w:uiPriority w:val="99"/>
    <w:rsid w:val="00A654B3"/>
    <w:rPr>
      <w:rFonts w:ascii="Times New Roman" w:hAnsi="Times New Roman" w:cs="Times New Roman"/>
      <w:vertAlign w:val="superscript"/>
    </w:rPr>
  </w:style>
  <w:style w:type="paragraph" w:styleId="FootnoteText">
    <w:name w:val="footnote text"/>
    <w:basedOn w:val="Normal"/>
    <w:link w:val="FootnoteTextChar"/>
    <w:uiPriority w:val="99"/>
    <w:rsid w:val="00A654B3"/>
    <w:rPr>
      <w:sz w:val="20"/>
      <w:szCs w:val="20"/>
    </w:rPr>
  </w:style>
  <w:style w:type="character" w:customStyle="1" w:styleId="FootnoteTextChar">
    <w:name w:val="Footnote Text Char"/>
    <w:basedOn w:val="DefaultParagraphFont"/>
    <w:link w:val="FootnoteText"/>
    <w:uiPriority w:val="99"/>
    <w:rsid w:val="00A654B3"/>
    <w:rPr>
      <w:rFonts w:ascii="Times New Roman" w:hAnsi="Times New Roman" w:cs="Times New Roman"/>
      <w:sz w:val="20"/>
      <w:szCs w:val="20"/>
    </w:rPr>
  </w:style>
  <w:style w:type="paragraph" w:styleId="Header">
    <w:name w:val="header"/>
    <w:basedOn w:val="Normal"/>
    <w:link w:val="HeaderChar"/>
    <w:uiPriority w:val="99"/>
    <w:rsid w:val="00A654B3"/>
    <w:pPr>
      <w:tabs>
        <w:tab w:val="center" w:pos="4320"/>
        <w:tab w:val="right" w:pos="8640"/>
      </w:tabs>
    </w:pPr>
  </w:style>
  <w:style w:type="character" w:customStyle="1" w:styleId="HeaderChar">
    <w:name w:val="Header Char"/>
    <w:basedOn w:val="DefaultParagraphFont"/>
    <w:link w:val="Header"/>
    <w:uiPriority w:val="99"/>
    <w:rsid w:val="00A654B3"/>
    <w:rPr>
      <w:rFonts w:ascii="Times New Roman" w:hAnsi="Times New Roman" w:cs="Times New Roman"/>
      <w:sz w:val="24"/>
      <w:szCs w:val="24"/>
    </w:rPr>
  </w:style>
  <w:style w:type="paragraph" w:styleId="Footer">
    <w:name w:val="footer"/>
    <w:basedOn w:val="Normal"/>
    <w:link w:val="FooterChar"/>
    <w:uiPriority w:val="99"/>
    <w:rsid w:val="00A654B3"/>
    <w:pPr>
      <w:tabs>
        <w:tab w:val="center" w:pos="4320"/>
        <w:tab w:val="right" w:pos="8640"/>
      </w:tabs>
    </w:pPr>
  </w:style>
  <w:style w:type="character" w:customStyle="1" w:styleId="FooterChar">
    <w:name w:val="Footer Char"/>
    <w:basedOn w:val="DefaultParagraphFont"/>
    <w:link w:val="Footer"/>
    <w:uiPriority w:val="99"/>
    <w:rsid w:val="00A654B3"/>
    <w:rPr>
      <w:rFonts w:ascii="Times New Roman" w:hAnsi="Times New Roman" w:cs="Times New Roman"/>
      <w:sz w:val="24"/>
      <w:szCs w:val="24"/>
    </w:rPr>
  </w:style>
  <w:style w:type="character" w:styleId="PageNumber">
    <w:name w:val="page number"/>
    <w:basedOn w:val="DefaultParagraphFont"/>
    <w:uiPriority w:val="99"/>
    <w:rsid w:val="00A654B3"/>
    <w:rPr>
      <w:rFonts w:ascii="Times New Roman" w:hAnsi="Times New Roman" w:cs="Times New Roman"/>
    </w:rPr>
  </w:style>
  <w:style w:type="character" w:customStyle="1" w:styleId="searchterm1">
    <w:name w:val="searchterm1"/>
    <w:basedOn w:val="DefaultParagraphFont"/>
    <w:uiPriority w:val="99"/>
    <w:rsid w:val="00A654B3"/>
    <w:rPr>
      <w:rFonts w:ascii="Times New Roman" w:hAnsi="Times New Roman" w:cs="Times New Roman"/>
      <w:b/>
      <w:bCs/>
      <w:shd w:val="clear" w:color="auto" w:fill="FFFF00"/>
    </w:rPr>
  </w:style>
  <w:style w:type="character" w:styleId="Hyperlink">
    <w:name w:val="Hyperlink"/>
    <w:basedOn w:val="DefaultParagraphFont"/>
    <w:uiPriority w:val="99"/>
    <w:rsid w:val="00A654B3"/>
    <w:rPr>
      <w:rFonts w:ascii="Times New Roman" w:hAnsi="Times New Roman" w:cs="Times New Roman"/>
      <w:color w:val="0000FF"/>
      <w:u w:val="single"/>
    </w:rPr>
  </w:style>
  <w:style w:type="paragraph" w:styleId="BodyText2">
    <w:name w:val="Body Text 2"/>
    <w:basedOn w:val="Normal"/>
    <w:link w:val="BodyText2Char"/>
    <w:uiPriority w:val="99"/>
    <w:rsid w:val="00A654B3"/>
    <w:pPr>
      <w:spacing w:line="470" w:lineRule="exact"/>
      <w:ind w:firstLine="720"/>
    </w:pPr>
    <w:rPr>
      <w:color w:val="000000"/>
    </w:rPr>
  </w:style>
  <w:style w:type="character" w:customStyle="1" w:styleId="BodyText2Char">
    <w:name w:val="Body Text 2 Char"/>
    <w:basedOn w:val="DefaultParagraphFont"/>
    <w:link w:val="BodyText2"/>
    <w:uiPriority w:val="99"/>
    <w:rsid w:val="00A654B3"/>
    <w:rPr>
      <w:rFonts w:ascii="Times New Roman" w:hAnsi="Times New Roman" w:cs="Times New Roman"/>
      <w:sz w:val="24"/>
      <w:szCs w:val="24"/>
    </w:rPr>
  </w:style>
  <w:style w:type="character" w:customStyle="1" w:styleId="starpage1">
    <w:name w:val="starpage1"/>
    <w:basedOn w:val="DefaultParagraphFont"/>
    <w:uiPriority w:val="99"/>
    <w:rsid w:val="00A654B3"/>
    <w:rPr>
      <w:rFonts w:ascii="Times New Roman" w:hAnsi="Times New Roman" w:cs="Times New Roman"/>
      <w:b/>
      <w:bCs/>
      <w:i/>
      <w:iCs/>
      <w:color w:val="800080"/>
    </w:rPr>
  </w:style>
  <w:style w:type="character" w:customStyle="1" w:styleId="searchterm2">
    <w:name w:val="searchterm2"/>
    <w:basedOn w:val="DefaultParagraphFont"/>
    <w:uiPriority w:val="99"/>
    <w:rsid w:val="00A654B3"/>
    <w:rPr>
      <w:rFonts w:ascii="Times New Roman" w:hAnsi="Times New Roman" w:cs="Times New Roman"/>
      <w:b/>
      <w:bCs/>
      <w:shd w:val="clear" w:color="auto" w:fill="FFFF00"/>
    </w:rPr>
  </w:style>
  <w:style w:type="character" w:customStyle="1" w:styleId="documentbody1">
    <w:name w:val="documentbody1"/>
    <w:basedOn w:val="DefaultParagraphFont"/>
    <w:uiPriority w:val="99"/>
    <w:rsid w:val="00A654B3"/>
    <w:rPr>
      <w:rFonts w:ascii="Verdana" w:hAnsi="Verdana" w:cs="Verdana"/>
      <w:sz w:val="19"/>
      <w:szCs w:val="19"/>
    </w:rPr>
  </w:style>
  <w:style w:type="character" w:styleId="Emphasis">
    <w:name w:val="Emphasis"/>
    <w:basedOn w:val="DefaultParagraphFont"/>
    <w:uiPriority w:val="99"/>
    <w:qFormat/>
    <w:rsid w:val="00A654B3"/>
    <w:rPr>
      <w:rFonts w:ascii="Times New Roman" w:hAnsi="Times New Roman" w:cs="Times New Roman"/>
      <w:i/>
      <w:iCs/>
    </w:rPr>
  </w:style>
  <w:style w:type="paragraph" w:styleId="BodyText">
    <w:name w:val="Body Text"/>
    <w:basedOn w:val="Normal"/>
    <w:link w:val="BodyTextChar"/>
    <w:uiPriority w:val="99"/>
    <w:rsid w:val="00A654B3"/>
    <w:pPr>
      <w:spacing w:line="480" w:lineRule="auto"/>
    </w:pPr>
    <w:rPr>
      <w:rFonts w:cs="Times New Roman"/>
      <w:b/>
      <w:bCs/>
      <w:color w:val="FF0000"/>
    </w:rPr>
  </w:style>
  <w:style w:type="character" w:customStyle="1" w:styleId="BodyTextChar">
    <w:name w:val="Body Text Char"/>
    <w:basedOn w:val="DefaultParagraphFont"/>
    <w:link w:val="BodyText"/>
    <w:uiPriority w:val="99"/>
    <w:rsid w:val="00A654B3"/>
    <w:rPr>
      <w:rFonts w:ascii="Times New Roman" w:hAnsi="Times New Roman" w:cs="Times New Roman"/>
      <w:sz w:val="24"/>
      <w:szCs w:val="24"/>
    </w:rPr>
  </w:style>
  <w:style w:type="paragraph" w:styleId="BodyTextIndent2">
    <w:name w:val="Body Text Indent 2"/>
    <w:basedOn w:val="Normal"/>
    <w:link w:val="BodyTextIndent2Char"/>
    <w:uiPriority w:val="99"/>
    <w:rsid w:val="00A654B3"/>
    <w:pPr>
      <w:ind w:left="720"/>
    </w:pPr>
    <w:rPr>
      <w:rFonts w:cs="Times New Roman"/>
    </w:rPr>
  </w:style>
  <w:style w:type="character" w:customStyle="1" w:styleId="BodyTextIndent2Char">
    <w:name w:val="Body Text Indent 2 Char"/>
    <w:basedOn w:val="DefaultParagraphFont"/>
    <w:link w:val="BodyTextIndent2"/>
    <w:uiPriority w:val="99"/>
    <w:rsid w:val="00A654B3"/>
    <w:rPr>
      <w:rFonts w:ascii="Times New Roman" w:hAnsi="Times New Roman" w:cs="Times New Roman"/>
      <w:sz w:val="24"/>
      <w:szCs w:val="24"/>
    </w:rPr>
  </w:style>
  <w:style w:type="paragraph" w:styleId="BodyTextIndent3">
    <w:name w:val="Body Text Indent 3"/>
    <w:basedOn w:val="Normal"/>
    <w:link w:val="BodyTextIndent3Char"/>
    <w:uiPriority w:val="99"/>
    <w:rsid w:val="00A654B3"/>
    <w:pPr>
      <w:spacing w:line="470" w:lineRule="exact"/>
      <w:ind w:firstLine="720"/>
    </w:pPr>
    <w:rPr>
      <w:rFonts w:cs="Times New Roman"/>
    </w:rPr>
  </w:style>
  <w:style w:type="character" w:customStyle="1" w:styleId="BodyTextIndent3Char">
    <w:name w:val="Body Text Indent 3 Char"/>
    <w:basedOn w:val="DefaultParagraphFont"/>
    <w:link w:val="BodyTextIndent3"/>
    <w:uiPriority w:val="99"/>
    <w:rsid w:val="00A654B3"/>
    <w:rPr>
      <w:rFonts w:ascii="Times New Roman" w:hAnsi="Times New Roman" w:cs="Times New Roman"/>
      <w:sz w:val="16"/>
      <w:szCs w:val="16"/>
    </w:rPr>
  </w:style>
  <w:style w:type="paragraph" w:styleId="BlockText">
    <w:name w:val="Block Text"/>
    <w:basedOn w:val="Normal"/>
    <w:uiPriority w:val="99"/>
    <w:rsid w:val="00A654B3"/>
    <w:pPr>
      <w:ind w:left="1440" w:right="1440"/>
    </w:pPr>
    <w:rPr>
      <w:rFonts w:cs="Times New Roman"/>
    </w:rPr>
  </w:style>
  <w:style w:type="paragraph" w:styleId="ListParagraph">
    <w:name w:val="List Paragraph"/>
    <w:basedOn w:val="Normal"/>
    <w:uiPriority w:val="99"/>
    <w:qFormat/>
    <w:rsid w:val="00A654B3"/>
    <w:pPr>
      <w:ind w:left="720"/>
    </w:pPr>
    <w:rPr>
      <w:rFonts w:cs="Times New Roman"/>
    </w:rPr>
  </w:style>
  <w:style w:type="paragraph" w:styleId="BalloonText">
    <w:name w:val="Balloon Text"/>
    <w:basedOn w:val="Normal"/>
    <w:link w:val="BalloonTextChar"/>
    <w:uiPriority w:val="99"/>
    <w:rsid w:val="00A654B3"/>
    <w:rPr>
      <w:rFonts w:ascii="Tahoma" w:hAnsi="Tahoma" w:cs="Tahoma"/>
      <w:sz w:val="16"/>
      <w:szCs w:val="16"/>
    </w:rPr>
  </w:style>
  <w:style w:type="character" w:customStyle="1" w:styleId="BalloonTextChar">
    <w:name w:val="Balloon Text Char"/>
    <w:basedOn w:val="DefaultParagraphFont"/>
    <w:link w:val="BalloonText"/>
    <w:uiPriority w:val="99"/>
    <w:rsid w:val="00A654B3"/>
    <w:rPr>
      <w:rFonts w:ascii="Tahoma" w:hAnsi="Tahoma" w:cs="Tahoma"/>
      <w:sz w:val="16"/>
      <w:szCs w:val="16"/>
    </w:rPr>
  </w:style>
  <w:style w:type="character" w:customStyle="1" w:styleId="bestsection1">
    <w:name w:val="bestsection1"/>
    <w:basedOn w:val="DefaultParagraphFont"/>
    <w:uiPriority w:val="99"/>
    <w:rsid w:val="00A654B3"/>
    <w:rPr>
      <w:rFonts w:ascii="Times New Roman" w:hAnsi="Times New Roman" w:cs="Times New Roman"/>
      <w:color w:val="FF0000"/>
    </w:rPr>
  </w:style>
  <w:style w:type="character" w:customStyle="1" w:styleId="searchterm3">
    <w:name w:val="searchterm3"/>
    <w:basedOn w:val="DefaultParagraphFont"/>
    <w:uiPriority w:val="99"/>
    <w:rsid w:val="00A654B3"/>
    <w:rPr>
      <w:rFonts w:ascii="Times New Roman" w:hAnsi="Times New Roman" w:cs="Times New Roman"/>
      <w:b/>
      <w:bCs/>
      <w:shd w:val="clear" w:color="auto" w:fill="FFF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AA3A-10E8-405C-A3D4-BE5B9D1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4792</Words>
  <Characters>26335</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PUBLIC MATTER - NOT DESIGNATED FOR PUBLICATION</vt:lpstr>
    </vt:vector>
  </TitlesOfParts>
  <Company>State Bar of California</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NOT DESIGNATED FOR PUBLICATION</dc:title>
  <dc:subject/>
  <cp:keywords/>
  <dc:description/>
  <cp:lastModifiedBy>Mina Ruiz</cp:lastModifiedBy>
  <cp:revision>2</cp:revision>
  <cp:lastPrinted>2009-04-23T18:06:00Z</cp:lastPrinted>
  <dcterms:created xsi:type="dcterms:W3CDTF">2011-02-28T21:53:00Z</dcterms:created>
  <dcterms:modified xsi:type="dcterms:W3CDTF">2011-02-28T21:53:00Z</dcterms:modified>
</cp:coreProperties>
</file>