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D31EEC" w:rsidRDefault="00D31EEC" w:rsidP="00D31EEC">
      <w:pPr>
        <w:jc w:val="right"/>
        <w:rPr>
          <w:b/>
          <w:sz w:val="36"/>
        </w:rPr>
      </w:pPr>
      <w:r>
        <w:rPr>
          <w:b/>
        </w:rPr>
        <w:t>FILED MAY 12</w:t>
      </w:r>
      <w:r w:rsidRPr="00D31EEC">
        <w:rPr>
          <w:b/>
        </w:rPr>
        <w:t>,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332D3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8E14DA">
            <w:pPr>
              <w:rPr>
                <w:b/>
                <w:bCs/>
              </w:rPr>
            </w:pPr>
            <w:bookmarkStart w:id="1" w:name="resp"/>
            <w:bookmarkEnd w:id="1"/>
            <w:r>
              <w:rPr>
                <w:b/>
                <w:bCs/>
              </w:rPr>
              <w:t>DAVID CRAIG STELZER,</w:t>
            </w:r>
          </w:p>
          <w:p w:rsidR="003D3B12" w:rsidRDefault="003D3B12">
            <w:pPr>
              <w:rPr>
                <w:b/>
                <w:bCs/>
              </w:rPr>
            </w:pPr>
          </w:p>
          <w:p w:rsidR="003D3B12" w:rsidRDefault="003D3B12">
            <w:pPr>
              <w:rPr>
                <w:b/>
                <w:bCs/>
              </w:rPr>
            </w:pPr>
            <w:r>
              <w:rPr>
                <w:b/>
                <w:bCs/>
              </w:rPr>
              <w:t xml:space="preserve">Member No.  </w:t>
            </w:r>
            <w:bookmarkStart w:id="2" w:name="member"/>
            <w:bookmarkEnd w:id="2"/>
            <w:r w:rsidR="008E14DA">
              <w:rPr>
                <w:b/>
                <w:bCs/>
              </w:rPr>
              <w:t>189836,</w:t>
            </w:r>
          </w:p>
          <w:p w:rsidR="003D3B12" w:rsidRDefault="003D3B12">
            <w:pPr>
              <w:rPr>
                <w:b/>
                <w:bCs/>
              </w:rPr>
            </w:pPr>
          </w:p>
          <w:p w:rsidR="003D3B12" w:rsidRDefault="00332D3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8E14DA">
            <w:r>
              <w:t>Case No</w:t>
            </w:r>
            <w:r w:rsidR="008E14DA">
              <w:t>s</w:t>
            </w:r>
            <w:r>
              <w:t>.:</w:t>
            </w:r>
          </w:p>
        </w:tc>
        <w:tc>
          <w:tcPr>
            <w:tcW w:w="3468" w:type="dxa"/>
          </w:tcPr>
          <w:p w:rsidR="003D3B12" w:rsidRDefault="008E14DA" w:rsidP="008E14DA">
            <w:pPr>
              <w:rPr>
                <w:b/>
                <w:bCs/>
              </w:rPr>
            </w:pPr>
            <w:bookmarkStart w:id="4" w:name="caseno"/>
            <w:bookmarkEnd w:id="4"/>
            <w:r>
              <w:rPr>
                <w:b/>
                <w:bCs/>
              </w:rPr>
              <w:t xml:space="preserve">06-O-12964 </w:t>
            </w:r>
            <w:r w:rsidRPr="008E14DA">
              <w:rPr>
                <w:bCs/>
              </w:rPr>
              <w:t>(06-O-15001)</w:t>
            </w:r>
            <w:r>
              <w:rPr>
                <w:bCs/>
              </w:rPr>
              <w:t>-DFM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8E14DA" w:rsidP="008E14DA">
            <w:pPr>
              <w:rPr>
                <w:b/>
                <w:bCs/>
              </w:rPr>
            </w:pPr>
            <w:bookmarkStart w:id="5" w:name="title"/>
            <w:bookmarkEnd w:id="5"/>
            <w:r>
              <w:rPr>
                <w:b/>
                <w:bCs/>
              </w:rPr>
              <w:t>DECISION AND ORDER SEALING CERTAIN DOCUMENTS</w:t>
            </w:r>
          </w:p>
        </w:tc>
      </w:tr>
    </w:tbl>
    <w:p w:rsidR="003D3B12" w:rsidRDefault="003D3B12">
      <w:pPr>
        <w:spacing w:line="480" w:lineRule="auto"/>
      </w:pPr>
    </w:p>
    <w:p w:rsidR="00E334B7" w:rsidRDefault="00E334B7" w:rsidP="001C7218">
      <w:pPr>
        <w:spacing w:line="480" w:lineRule="auto"/>
        <w:jc w:val="center"/>
        <w:rPr>
          <w:b/>
        </w:rPr>
      </w:pPr>
      <w:r>
        <w:rPr>
          <w:b/>
        </w:rPr>
        <w:t>INTRODUCTION</w:t>
      </w:r>
    </w:p>
    <w:p w:rsidR="00E334B7" w:rsidRPr="00E334B7" w:rsidRDefault="00E334B7" w:rsidP="00E334B7">
      <w:pPr>
        <w:spacing w:line="480" w:lineRule="auto"/>
        <w:ind w:firstLine="720"/>
      </w:pPr>
      <w:r>
        <w:t>In this original disciplinary proceeding, Respondent David Craig Stelzer (Respondent) was accepted for participation in the State Bar Court’s Alternative Discipline Program (ADP).  As the court has now found that Respondent has successfully completed the ADP, the court will recommend to the Supreme Court th</w:t>
      </w:r>
      <w:r w:rsidR="00FD06B1">
        <w:t>at Respondent be suspended from the practice of law in California for one (1) year, th</w:t>
      </w:r>
      <w:r w:rsidR="00175260">
        <w:t>at</w:t>
      </w:r>
      <w:r w:rsidR="00FD06B1">
        <w:t xml:space="preserve"> execution of that period of suspension be stayed, and that he be placed on probation for two years subject to certain conditions.  </w:t>
      </w:r>
    </w:p>
    <w:p w:rsidR="00332D3C" w:rsidRPr="008E14DA" w:rsidRDefault="00332D3C" w:rsidP="00332D3C">
      <w:pPr>
        <w:jc w:val="center"/>
        <w:rPr>
          <w:b/>
        </w:rPr>
      </w:pPr>
      <w:r w:rsidRPr="008E14DA">
        <w:rPr>
          <w:b/>
        </w:rPr>
        <w:t>PERTINENT PROCEDURAL HISTORY</w:t>
      </w:r>
    </w:p>
    <w:p w:rsidR="00332D3C" w:rsidRDefault="00332D3C" w:rsidP="00332D3C">
      <w:pPr>
        <w:jc w:val="center"/>
        <w:rPr>
          <w:b/>
          <w:u w:val="single"/>
        </w:rPr>
      </w:pPr>
    </w:p>
    <w:p w:rsidR="00332D3C" w:rsidRDefault="00332D3C" w:rsidP="00234881">
      <w:pPr>
        <w:spacing w:line="480" w:lineRule="auto"/>
        <w:ind w:firstLine="720"/>
      </w:pPr>
      <w:r>
        <w:t xml:space="preserve">Following the filing of a Notice of Disciplinary </w:t>
      </w:r>
      <w:r w:rsidR="00175260">
        <w:t xml:space="preserve">Charges (NDC) </w:t>
      </w:r>
      <w:r>
        <w:t xml:space="preserve">against Respondent by the State Bar of California’s Office of the Chief Trial Counsel (State Bar) on November 30, 2007, Respondent requested referral for evaluation of his eligibility for participation in the State Bar Court’s ADP.  There being no opposition by the State Bar, the Honorable Richard A. Honn </w:t>
      </w:r>
      <w:r>
        <w:lastRenderedPageBreak/>
        <w:t xml:space="preserve">granted Respondent’s request, and this matter was referred to the ADP before the undersigned judge.  </w:t>
      </w:r>
    </w:p>
    <w:p w:rsidR="00332D3C" w:rsidRDefault="00332D3C" w:rsidP="00234881">
      <w:pPr>
        <w:spacing w:line="480" w:lineRule="auto"/>
        <w:ind w:firstLine="720"/>
      </w:pPr>
      <w:r>
        <w:t xml:space="preserve">In furtherance of his participation in the ADP, Respondent contacted the State Bar’s Lawyer Assistance Program </w:t>
      </w:r>
      <w:r w:rsidR="003E5CBB">
        <w:t xml:space="preserve">(LAP) </w:t>
      </w:r>
      <w:r>
        <w:t xml:space="preserve">on January 7, 2008, to assist him with his mental health issue and signed a LAP Participation Plan on June 3, 2008.  Respondent also submitted a declaration </w:t>
      </w:r>
      <w:r w:rsidR="003E5CBB">
        <w:t xml:space="preserve">to the court </w:t>
      </w:r>
      <w:r>
        <w:t xml:space="preserve">on January 31, 2008, which established a nexus between Respondent’s mental health issue and his misconduct in this matter.  </w:t>
      </w:r>
    </w:p>
    <w:p w:rsidR="008A461F" w:rsidRDefault="008A461F" w:rsidP="00234881">
      <w:pPr>
        <w:spacing w:line="480" w:lineRule="auto"/>
        <w:ind w:firstLine="720"/>
      </w:pPr>
      <w:r>
        <w:t>The parties entered into a Stipulation Re Facts and Conclusions of Law (Stipulation) in March 2008.</w:t>
      </w:r>
      <w:r w:rsidR="006E3A4B">
        <w:t xml:space="preserve">  The </w:t>
      </w:r>
      <w:r w:rsidR="003E5CBB">
        <w:t>S</w:t>
      </w:r>
      <w:r w:rsidR="006E3A4B">
        <w:t>tipulation sets forth the factual findings, legal conclusions</w:t>
      </w:r>
      <w:r w:rsidR="0002318A">
        <w:t>,</w:t>
      </w:r>
      <w:r w:rsidR="006E3A4B">
        <w:t xml:space="preserve"> and mitigating and aggravating circ</w:t>
      </w:r>
      <w:r w:rsidR="004F238C">
        <w:t xml:space="preserve">umstances in this matter. </w:t>
      </w:r>
    </w:p>
    <w:p w:rsidR="0024564F" w:rsidRDefault="00332D3C" w:rsidP="00234881">
      <w:pPr>
        <w:spacing w:line="480" w:lineRule="auto"/>
        <w:ind w:firstLine="720"/>
      </w:pPr>
      <w:r>
        <w:t xml:space="preserve">Following briefing by the parties in May 2008, the court </w:t>
      </w:r>
      <w:r w:rsidR="006E424E">
        <w:t xml:space="preserve">issued a Confidential Statement of Alternative Dispositions and Orders dated June 26, 2008, formally advising the </w:t>
      </w:r>
      <w:r>
        <w:t xml:space="preserve">parties of </w:t>
      </w:r>
      <w:r w:rsidR="004F238C">
        <w:t xml:space="preserve">(1) </w:t>
      </w:r>
      <w:r>
        <w:t xml:space="preserve">the discipline which would be recommended to the Supreme Court if Respondent successfully completed the ADP and </w:t>
      </w:r>
      <w:r w:rsidR="004F238C">
        <w:t xml:space="preserve">(2) </w:t>
      </w:r>
      <w:r>
        <w:t>the discipline which would be recommended if Respondent failed to successfully complete</w:t>
      </w:r>
      <w:r w:rsidR="006E424E">
        <w:t>,</w:t>
      </w:r>
      <w:r>
        <w:t xml:space="preserve"> or was terminated from</w:t>
      </w:r>
      <w:r w:rsidR="006E424E">
        <w:t>,</w:t>
      </w:r>
      <w:r>
        <w:t xml:space="preserve"> the ADP.</w:t>
      </w:r>
      <w:r w:rsidR="004F238C">
        <w:t xml:space="preserve">  After agreeing to those </w:t>
      </w:r>
      <w:r w:rsidR="006E424E">
        <w:t xml:space="preserve">alternative </w:t>
      </w:r>
      <w:r w:rsidR="004F238C">
        <w:t xml:space="preserve">possible </w:t>
      </w:r>
      <w:r w:rsidR="006E424E">
        <w:t>dispositions, Respondent and his counsel executed the Contract and Waiver for Participation in the State Bar Court’s ADP</w:t>
      </w:r>
      <w:r w:rsidR="003E5CBB">
        <w:t>; t</w:t>
      </w:r>
      <w:r w:rsidR="00CA56A5">
        <w:t>he court accepted R</w:t>
      </w:r>
      <w:r w:rsidR="006E424E">
        <w:t xml:space="preserve">espondent </w:t>
      </w:r>
      <w:r w:rsidR="003E5CBB">
        <w:t xml:space="preserve">for participation in </w:t>
      </w:r>
      <w:r w:rsidR="006E424E">
        <w:t>the ADP</w:t>
      </w:r>
      <w:r w:rsidR="003E5CBB">
        <w:t xml:space="preserve">; </w:t>
      </w:r>
      <w:r w:rsidR="006E424E">
        <w:t>and Respondent</w:t>
      </w:r>
      <w:r w:rsidR="003E5CBB">
        <w:t>’s period of p</w:t>
      </w:r>
      <w:r w:rsidR="006E424E">
        <w:t xml:space="preserve">articipation in the ADP </w:t>
      </w:r>
      <w:r w:rsidR="003E5CBB">
        <w:t xml:space="preserve">began </w:t>
      </w:r>
      <w:r w:rsidR="006E424E">
        <w:t xml:space="preserve">on </w:t>
      </w:r>
      <w:r w:rsidR="003E5CBB">
        <w:t>June 26, 2008</w:t>
      </w:r>
      <w:r w:rsidR="006E424E">
        <w:t>.</w:t>
      </w:r>
    </w:p>
    <w:p w:rsidR="00332D3C" w:rsidRPr="0016497C" w:rsidRDefault="0024564F" w:rsidP="00234881">
      <w:pPr>
        <w:spacing w:line="480" w:lineRule="auto"/>
        <w:ind w:firstLine="720"/>
        <w:rPr>
          <w:b/>
          <w:u w:val="single"/>
        </w:rPr>
      </w:pPr>
      <w:r>
        <w:t>Respondent thereafter participated successfully in both the LAP and the State Bar Court’s ADP.  On Febru</w:t>
      </w:r>
      <w:r w:rsidR="002B4594">
        <w:t>a</w:t>
      </w:r>
      <w:r>
        <w:t>ry 24,</w:t>
      </w:r>
      <w:r w:rsidR="002B4594">
        <w:t xml:space="preserve"> </w:t>
      </w:r>
      <w:r>
        <w:t xml:space="preserve">2010, after </w:t>
      </w:r>
      <w:r w:rsidR="00E334B7">
        <w:t xml:space="preserve">receiving a </w:t>
      </w:r>
      <w:r w:rsidR="004F238C">
        <w:t xml:space="preserve">satisfactory </w:t>
      </w:r>
      <w:r w:rsidR="00E334B7">
        <w:t xml:space="preserve">recommendation from a mental health professional, the court filed an order finding that Respondent has successfully completed the ADP. </w:t>
      </w:r>
    </w:p>
    <w:p w:rsidR="001C7218" w:rsidRDefault="001C7218">
      <w:pPr>
        <w:rPr>
          <w:b/>
        </w:rPr>
      </w:pPr>
      <w:r>
        <w:rPr>
          <w:b/>
        </w:rPr>
        <w:t>/ / /</w:t>
      </w:r>
      <w:r>
        <w:rPr>
          <w:b/>
        </w:rPr>
        <w:br w:type="page"/>
      </w:r>
    </w:p>
    <w:p w:rsidR="00332D3C" w:rsidRDefault="00EA3E75" w:rsidP="001C7218">
      <w:pPr>
        <w:spacing w:line="480" w:lineRule="auto"/>
        <w:jc w:val="center"/>
        <w:rPr>
          <w:b/>
        </w:rPr>
      </w:pPr>
      <w:r>
        <w:rPr>
          <w:b/>
        </w:rPr>
        <w:lastRenderedPageBreak/>
        <w:t>FINDINGS OF FACT AND CONCLUSION</w:t>
      </w:r>
      <w:r w:rsidR="001C7218">
        <w:rPr>
          <w:b/>
        </w:rPr>
        <w:t>S</w:t>
      </w:r>
      <w:r>
        <w:rPr>
          <w:b/>
        </w:rPr>
        <w:t xml:space="preserve"> OF LAW</w:t>
      </w:r>
    </w:p>
    <w:p w:rsidR="00A54A59" w:rsidRDefault="006E3A4B" w:rsidP="00A54A59">
      <w:pPr>
        <w:pStyle w:val="Header"/>
        <w:tabs>
          <w:tab w:val="clear" w:pos="4320"/>
          <w:tab w:val="clear" w:pos="8640"/>
        </w:tabs>
        <w:spacing w:line="480" w:lineRule="auto"/>
        <w:ind w:firstLine="720"/>
      </w:pPr>
      <w:r>
        <w:t xml:space="preserve">The parties’ Stipulation, including the court’s order approving the </w:t>
      </w:r>
      <w:r w:rsidR="003E5CBB">
        <w:t>S</w:t>
      </w:r>
      <w:r>
        <w:t>tipulation, is attached hereto and hereby incorporated by reference, as if fully set forth herein.</w:t>
      </w:r>
      <w:r w:rsidR="00EA3E75">
        <w:t xml:space="preserve">  Respondent stipulated in one matter to willfully violating rule 4-100(A) of the Rules of Professional Conduct of the State Bar of California by not maintaining funds in trust in his client trust account and to committing an act involving moral turpitude, dishonesty and/or corruption in willful violation </w:t>
      </w:r>
      <w:r w:rsidR="003E5CBB">
        <w:t xml:space="preserve">of </w:t>
      </w:r>
      <w:r w:rsidR="00EA3E75">
        <w:t>section 6106 of the Business and Professions Code by misappropriating at least $3,000 of client funds.  In another matter, Respondent stipulated to willfully violating rule 4-100(A) by improp</w:t>
      </w:r>
      <w:r w:rsidR="00FD06B1">
        <w:t>er</w:t>
      </w:r>
      <w:r w:rsidR="00EA3E75">
        <w:t>ly using his client trust account as a personal accoun</w:t>
      </w:r>
      <w:r w:rsidR="00FD06B1">
        <w:t xml:space="preserve">t </w:t>
      </w:r>
      <w:r w:rsidR="00EA3E75">
        <w:t>and commingling fun</w:t>
      </w:r>
      <w:r w:rsidR="00FD06B1">
        <w:t>d</w:t>
      </w:r>
      <w:r w:rsidR="00EA3E75">
        <w:t>s be</w:t>
      </w:r>
      <w:r w:rsidR="00FD06B1">
        <w:t>lo</w:t>
      </w:r>
      <w:r w:rsidR="00EA3E75">
        <w:t xml:space="preserve">nging to </w:t>
      </w:r>
      <w:r w:rsidR="00FD06B1">
        <w:t>Respondent in a client trust account.</w:t>
      </w:r>
    </w:p>
    <w:p w:rsidR="00A54A59" w:rsidRDefault="00FD06B1" w:rsidP="00A54A59">
      <w:pPr>
        <w:pStyle w:val="Header"/>
        <w:tabs>
          <w:tab w:val="clear" w:pos="4320"/>
          <w:tab w:val="clear" w:pos="8640"/>
        </w:tabs>
        <w:spacing w:line="480" w:lineRule="auto"/>
        <w:ind w:firstLine="720"/>
      </w:pPr>
      <w:r>
        <w:t xml:space="preserve">In aggravation, Respondent’s misconduct was surrounded by or followed by dishonesty, concealment, bad faith, overreaching or other violations of the Rules of Professional Conduct or the State Bar Act.  </w:t>
      </w:r>
      <w:r w:rsidR="00526C44">
        <w:t>In addition, trust property or funds were involved</w:t>
      </w:r>
      <w:r w:rsidR="003E5CBB">
        <w:t>,</w:t>
      </w:r>
      <w:r w:rsidR="00526C44">
        <w:t xml:space="preserve"> and Respondent was unable or refused to account to the client or person who was the object of the misconduct for improper conduct toward the property or funds.  </w:t>
      </w:r>
      <w:r>
        <w:t>(Rules Proc. of State Bar, tit. IV, Stds. for Atty. Sanctions for Prof. Misconduct, std. 1.2(b)(iii).)</w:t>
      </w:r>
      <w:r w:rsidR="00A54A59">
        <w:rPr>
          <w:rStyle w:val="FootnoteReference"/>
        </w:rPr>
        <w:footnoteReference w:id="1"/>
      </w:r>
    </w:p>
    <w:p w:rsidR="00A54A59" w:rsidRDefault="00526C44" w:rsidP="00A54A59">
      <w:pPr>
        <w:pStyle w:val="Header"/>
        <w:tabs>
          <w:tab w:val="clear" w:pos="4320"/>
          <w:tab w:val="clear" w:pos="8640"/>
        </w:tabs>
        <w:spacing w:line="480" w:lineRule="auto"/>
        <w:ind w:firstLine="720"/>
      </w:pPr>
      <w:r>
        <w:t xml:space="preserve">In mitigation, Respondent has no prior disciplinary record (std. 1.2(e)(i)), and he displayed spontaneous cooperation and candor with the State Bar during the disciplinary investigation and proceedings (std. 1.2(e)(v)).  In addition, </w:t>
      </w:r>
      <w:r w:rsidR="009A5B78">
        <w:t>it is appro</w:t>
      </w:r>
      <w:r w:rsidR="00A54A59">
        <w:t>priate to consider Respondent’s successful completion of the ADP as a further mitigating circumstance in this matter.  (Std. 1.2(e)(iv).)</w:t>
      </w:r>
      <w:r>
        <w:t xml:space="preserve"> </w:t>
      </w:r>
    </w:p>
    <w:p w:rsidR="001C7218" w:rsidRDefault="001C7218">
      <w:pPr>
        <w:rPr>
          <w:b/>
        </w:rPr>
      </w:pPr>
      <w:r>
        <w:rPr>
          <w:b/>
        </w:rPr>
        <w:t>/ / /</w:t>
      </w:r>
      <w:r>
        <w:rPr>
          <w:b/>
        </w:rPr>
        <w:br w:type="page"/>
      </w:r>
    </w:p>
    <w:p w:rsidR="00A54A59" w:rsidRDefault="00A54A59" w:rsidP="00A54A59">
      <w:pPr>
        <w:pStyle w:val="Header"/>
        <w:tabs>
          <w:tab w:val="clear" w:pos="4320"/>
          <w:tab w:val="clear" w:pos="8640"/>
        </w:tabs>
        <w:spacing w:line="480" w:lineRule="auto"/>
        <w:jc w:val="center"/>
        <w:rPr>
          <w:b/>
        </w:rPr>
      </w:pPr>
      <w:r>
        <w:rPr>
          <w:b/>
        </w:rPr>
        <w:lastRenderedPageBreak/>
        <w:t>DISCUSSION</w:t>
      </w:r>
    </w:p>
    <w:p w:rsidR="00B947B6" w:rsidRDefault="00A54A59" w:rsidP="00B947B6">
      <w:pPr>
        <w:pStyle w:val="Header"/>
        <w:tabs>
          <w:tab w:val="clear" w:pos="4320"/>
          <w:tab w:val="clear" w:pos="8640"/>
        </w:tabs>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rsidR="00482653" w:rsidRDefault="00A54A59" w:rsidP="00B947B6">
      <w:pPr>
        <w:pStyle w:val="Header"/>
        <w:tabs>
          <w:tab w:val="clear" w:pos="4320"/>
          <w:tab w:val="clear" w:pos="8640"/>
        </w:tabs>
        <w:spacing w:line="480" w:lineRule="auto"/>
        <w:ind w:firstLine="720"/>
      </w:pPr>
      <w:r>
        <w:t xml:space="preserve">In determining the appropriate </w:t>
      </w:r>
      <w:r w:rsidR="001C7218">
        <w:t xml:space="preserve">alternative </w:t>
      </w:r>
      <w:r>
        <w:t>disciplin</w:t>
      </w:r>
      <w:r w:rsidR="00B947B6">
        <w:t>e</w:t>
      </w:r>
      <w:r>
        <w:t xml:space="preserve"> recommendation</w:t>
      </w:r>
      <w:r w:rsidR="001C7218">
        <w:t>s</w:t>
      </w:r>
      <w:r>
        <w:t xml:space="preserve"> if Respondent successfully completed the ADP</w:t>
      </w:r>
      <w:r w:rsidR="001C7218">
        <w:t xml:space="preserve"> or was terminated from</w:t>
      </w:r>
      <w:r>
        <w:t xml:space="preserve">, </w:t>
      </w:r>
      <w:r w:rsidR="001C7218">
        <w:t xml:space="preserve">or failed to successfully complete, </w:t>
      </w:r>
      <w:r>
        <w:t xml:space="preserve">the </w:t>
      </w:r>
      <w:r w:rsidR="001C7218">
        <w:t xml:space="preserve">ADP, the </w:t>
      </w:r>
      <w:r>
        <w:t xml:space="preserve">court considered the discipline recommended by the parties, as well as certain standards and case law.  In particular, the court considered </w:t>
      </w:r>
      <w:r w:rsidR="00B947B6">
        <w:t xml:space="preserve">standards 1.2, 1.3, 1.4, 1.5, 1.6, 2.2, and 2.3 and </w:t>
      </w:r>
      <w:r w:rsidR="00B947B6">
        <w:rPr>
          <w:i/>
        </w:rPr>
        <w:t>Howard v. State Bar</w:t>
      </w:r>
      <w:r w:rsidR="00B947B6">
        <w:t xml:space="preserve"> (1990) 51 Cal.3d 215; </w:t>
      </w:r>
      <w:r w:rsidR="00B947B6">
        <w:rPr>
          <w:i/>
        </w:rPr>
        <w:t>Bates v. State Bar</w:t>
      </w:r>
      <w:r w:rsidR="00B947B6">
        <w:t xml:space="preserve"> (1990) 51 Cal.3d 1056</w:t>
      </w:r>
      <w:r w:rsidR="001C7218">
        <w:t xml:space="preserve">; </w:t>
      </w:r>
      <w:r w:rsidR="001C7218">
        <w:rPr>
          <w:i/>
        </w:rPr>
        <w:t>Greenbaum v. State Bar</w:t>
      </w:r>
      <w:r w:rsidR="001C7218">
        <w:t xml:space="preserve"> (1987) 43 Cal.3d 543; </w:t>
      </w:r>
      <w:r w:rsidR="001C7218">
        <w:rPr>
          <w:i/>
        </w:rPr>
        <w:t>In the Matter of Blum</w:t>
      </w:r>
      <w:r w:rsidR="001C7218">
        <w:t xml:space="preserve"> (Review Dept. 2002) 4 Cal. State Bar Ct. Rptr. 403 and </w:t>
      </w:r>
      <w:r w:rsidR="001C7218">
        <w:rPr>
          <w:i/>
        </w:rPr>
        <w:t xml:space="preserve">Waysman v. State </w:t>
      </w:r>
      <w:r w:rsidR="001C7218" w:rsidRPr="001C7218">
        <w:t>Bar</w:t>
      </w:r>
      <w:r w:rsidR="001C7218">
        <w:t xml:space="preserve"> (1986) 41 Cal.3d 452.</w:t>
      </w:r>
      <w:r w:rsidR="00482653">
        <w:t xml:space="preserve">  </w:t>
      </w:r>
    </w:p>
    <w:p w:rsidR="00B947B6" w:rsidRDefault="00482653" w:rsidP="00B947B6">
      <w:pPr>
        <w:pStyle w:val="Header"/>
        <w:tabs>
          <w:tab w:val="clear" w:pos="4320"/>
          <w:tab w:val="clear" w:pos="8640"/>
        </w:tabs>
        <w:spacing w:line="480" w:lineRule="auto"/>
        <w:ind w:firstLine="720"/>
      </w:pPr>
      <w:r>
        <w:t xml:space="preserve">Because Respondent has now successfully completed the ADP, this court, in turn, now recommends to the Supreme Court the imposition of the lower level of discipline, set forth more fully below, contained in the Confidential Statement.  </w:t>
      </w:r>
    </w:p>
    <w:p w:rsidR="00482653" w:rsidRDefault="00482653" w:rsidP="00482653">
      <w:pPr>
        <w:pStyle w:val="Header"/>
        <w:tabs>
          <w:tab w:val="clear" w:pos="4320"/>
          <w:tab w:val="clear" w:pos="8640"/>
        </w:tabs>
        <w:spacing w:line="480" w:lineRule="auto"/>
        <w:jc w:val="center"/>
        <w:rPr>
          <w:b/>
        </w:rPr>
      </w:pPr>
      <w:r>
        <w:rPr>
          <w:b/>
        </w:rPr>
        <w:t>DISCIPLINE</w:t>
      </w:r>
    </w:p>
    <w:p w:rsidR="00482653" w:rsidRDefault="00482653" w:rsidP="00482653">
      <w:pPr>
        <w:pStyle w:val="Header"/>
        <w:tabs>
          <w:tab w:val="clear" w:pos="4320"/>
          <w:tab w:val="clear" w:pos="8640"/>
        </w:tabs>
        <w:spacing w:line="480" w:lineRule="auto"/>
        <w:rPr>
          <w:b/>
        </w:rPr>
      </w:pPr>
      <w:r w:rsidRPr="009D4AFB">
        <w:rPr>
          <w:b/>
        </w:rPr>
        <w:t>Recommended Discipline</w:t>
      </w:r>
    </w:p>
    <w:p w:rsidR="00946047" w:rsidRDefault="004F238C" w:rsidP="00946047">
      <w:pPr>
        <w:pStyle w:val="Header"/>
        <w:tabs>
          <w:tab w:val="clear" w:pos="4320"/>
          <w:tab w:val="clear" w:pos="8640"/>
        </w:tabs>
        <w:spacing w:line="480" w:lineRule="auto"/>
        <w:ind w:firstLine="720"/>
      </w:pPr>
      <w:r>
        <w:t>It is hereby recommended that r</w:t>
      </w:r>
      <w:r w:rsidR="00946047">
        <w:t xml:space="preserve">espondent </w:t>
      </w:r>
      <w:r w:rsidR="00946047" w:rsidRPr="00946047">
        <w:rPr>
          <w:b/>
        </w:rPr>
        <w:t xml:space="preserve">David Craig </w:t>
      </w:r>
      <w:proofErr w:type="spellStart"/>
      <w:r w:rsidR="00946047" w:rsidRPr="00946047">
        <w:rPr>
          <w:b/>
        </w:rPr>
        <w:t>Stelzer</w:t>
      </w:r>
      <w:proofErr w:type="spellEnd"/>
      <w:r w:rsidR="00946047" w:rsidRPr="00946047">
        <w:rPr>
          <w:b/>
        </w:rPr>
        <w:t>,</w:t>
      </w:r>
      <w:r w:rsidR="00946047">
        <w:t xml:space="preserve"> State Bar Number 189836, be suspended from the practice of law in California for one</w:t>
      </w:r>
      <w:r w:rsidR="00CC0007">
        <w:t xml:space="preserve"> </w:t>
      </w:r>
      <w:r w:rsidR="00946047">
        <w:t>(1) year, that execution of that period of suspension be stayed, and that he be placed on probation</w:t>
      </w:r>
      <w:r w:rsidR="00946047">
        <w:rPr>
          <w:rStyle w:val="FootnoteReference"/>
        </w:rPr>
        <w:footnoteReference w:id="2"/>
      </w:r>
      <w:r w:rsidR="00946047">
        <w:t xml:space="preserve"> for a period of two (2) years subject to the following conditions:   </w:t>
      </w:r>
    </w:p>
    <w:p w:rsidR="00E86773" w:rsidRDefault="00CC0007" w:rsidP="00E86773">
      <w:pPr>
        <w:pStyle w:val="Header"/>
        <w:tabs>
          <w:tab w:val="clear" w:pos="4320"/>
          <w:tab w:val="clear" w:pos="8640"/>
        </w:tabs>
        <w:ind w:left="2160" w:hanging="720"/>
      </w:pPr>
      <w:r>
        <w:t>a.</w:t>
      </w:r>
      <w:r>
        <w:tab/>
        <w:t xml:space="preserve">During the probation period, Respondent must comply with the provisions of the State Bar Act and the Rules of Professional Conduct of the State Bar of California;  </w:t>
      </w:r>
      <w:r>
        <w:tab/>
      </w:r>
    </w:p>
    <w:p w:rsidR="00E86773" w:rsidRDefault="00E86773" w:rsidP="00E86773">
      <w:pPr>
        <w:pStyle w:val="Header"/>
        <w:tabs>
          <w:tab w:val="clear" w:pos="4320"/>
          <w:tab w:val="clear" w:pos="8640"/>
        </w:tabs>
        <w:ind w:left="2160" w:hanging="720"/>
      </w:pPr>
      <w:r>
        <w:lastRenderedPageBreak/>
        <w:t>b.</w:t>
      </w:r>
      <w:r>
        <w:tab/>
        <w:t xml:space="preserve">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rsidR="00E86773" w:rsidRDefault="00E86773" w:rsidP="00E86773">
      <w:pPr>
        <w:pStyle w:val="Header"/>
        <w:tabs>
          <w:tab w:val="clear" w:pos="4320"/>
          <w:tab w:val="clear" w:pos="8640"/>
        </w:tabs>
        <w:ind w:left="2160" w:hanging="720"/>
      </w:pPr>
    </w:p>
    <w:p w:rsidR="008F5B86" w:rsidRDefault="00E86773" w:rsidP="00E86773">
      <w:pPr>
        <w:pStyle w:val="Header"/>
        <w:tabs>
          <w:tab w:val="clear" w:pos="4320"/>
          <w:tab w:val="clear" w:pos="8640"/>
        </w:tabs>
        <w:ind w:left="2160" w:hanging="720"/>
      </w:pPr>
      <w:r>
        <w:t>c.</w:t>
      </w:r>
      <w:r>
        <w:tab/>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rsidR="008F5B86" w:rsidRDefault="008F5B86" w:rsidP="00E86773">
      <w:pPr>
        <w:pStyle w:val="Header"/>
        <w:tabs>
          <w:tab w:val="clear" w:pos="4320"/>
          <w:tab w:val="clear" w:pos="8640"/>
        </w:tabs>
        <w:ind w:left="2160" w:hanging="720"/>
      </w:pPr>
    </w:p>
    <w:p w:rsidR="00E75353" w:rsidRDefault="008F5B86" w:rsidP="00E86773">
      <w:pPr>
        <w:pStyle w:val="Header"/>
        <w:tabs>
          <w:tab w:val="clear" w:pos="4320"/>
          <w:tab w:val="clear" w:pos="8640"/>
        </w:tabs>
        <w:ind w:left="2160" w:hanging="720"/>
      </w:pPr>
      <w:r>
        <w:t>d.</w:t>
      </w:r>
      <w:r>
        <w:tab/>
        <w:t>Respondent mu</w:t>
      </w:r>
      <w:r w:rsidR="00E75353">
        <w:t>s</w:t>
      </w:r>
      <w:r>
        <w:t xml:space="preserve">t submit written quarterly reports to </w:t>
      </w:r>
      <w:r w:rsidR="00E75353">
        <w:t>t</w:t>
      </w:r>
      <w:r>
        <w:t>he Office of Probation on each J</w:t>
      </w:r>
      <w:r w:rsidR="00E75353">
        <w:t>a</w:t>
      </w:r>
      <w:r>
        <w:t>nu</w:t>
      </w:r>
      <w:r w:rsidR="00E75353">
        <w:t>a</w:t>
      </w:r>
      <w:r>
        <w:t>ry 10, April 10, July 10 and October 10 of the period of probation.  Under penalty of perjury, Respondent mu</w:t>
      </w:r>
      <w:r w:rsidR="00E75353">
        <w:t>s</w:t>
      </w:r>
      <w:r>
        <w:t>t state whether Respondent has compli</w:t>
      </w:r>
      <w:r w:rsidR="00E75353">
        <w:t>e</w:t>
      </w:r>
      <w:r>
        <w:t>d</w:t>
      </w:r>
      <w:r w:rsidR="00E75353">
        <w:t xml:space="preserve"> </w:t>
      </w:r>
      <w:r>
        <w:t>with the Stat</w:t>
      </w:r>
      <w:r w:rsidR="00E75353">
        <w:t>e</w:t>
      </w:r>
      <w:r>
        <w:t xml:space="preserve"> Bar Act, the Rul</w:t>
      </w:r>
      <w:r w:rsidR="00E75353">
        <w:t>e</w:t>
      </w:r>
      <w:r>
        <w:t xml:space="preserve">s of </w:t>
      </w:r>
      <w:r w:rsidR="003E5CBB">
        <w:t>P</w:t>
      </w:r>
      <w:r>
        <w:t>rofessional Con</w:t>
      </w:r>
      <w:r w:rsidR="00E75353">
        <w:t>d</w:t>
      </w:r>
      <w:r>
        <w:t>u</w:t>
      </w:r>
      <w:r w:rsidR="00E75353">
        <w:t>c</w:t>
      </w:r>
      <w:r>
        <w:t>t, and all conditions of probat</w:t>
      </w:r>
      <w:r w:rsidR="00E75353">
        <w:t>io</w:t>
      </w:r>
      <w:r>
        <w:t>n during the preceding calendar quarter.  Respondent mu</w:t>
      </w:r>
      <w:r w:rsidR="00E75353">
        <w:t>s</w:t>
      </w:r>
      <w:r>
        <w:t>t also state whether there are any proceedings pending ag</w:t>
      </w:r>
      <w:r w:rsidR="00E75353">
        <w:t>a</w:t>
      </w:r>
      <w:r>
        <w:t>in</w:t>
      </w:r>
      <w:r w:rsidR="00E75353">
        <w:t>s</w:t>
      </w:r>
      <w:r>
        <w:t>t him in the Stat</w:t>
      </w:r>
      <w:r w:rsidR="00E75353">
        <w:t>e</w:t>
      </w:r>
      <w:r>
        <w:t xml:space="preserve"> Bar Court and if so, the case number and current status of t</w:t>
      </w:r>
      <w:r w:rsidR="00E75353">
        <w:t>h</w:t>
      </w:r>
      <w:r>
        <w:t>at</w:t>
      </w:r>
      <w:r w:rsidR="00E75353">
        <w:t xml:space="preserve"> </w:t>
      </w:r>
      <w:r>
        <w:t>proceeding.  If the first report would cover less than thirty (30) days, that report mu</w:t>
      </w:r>
      <w:r w:rsidR="00E75353">
        <w:t>st</w:t>
      </w:r>
      <w:r>
        <w:t xml:space="preserve"> be submitted on the next quarter date,</w:t>
      </w:r>
      <w:r w:rsidR="00E75353">
        <w:t xml:space="preserve"> </w:t>
      </w:r>
      <w:r>
        <w:t>an</w:t>
      </w:r>
      <w:r w:rsidR="00E75353">
        <w:t xml:space="preserve">d </w:t>
      </w:r>
      <w:r>
        <w:t>cover the extended period</w:t>
      </w:r>
      <w:r w:rsidR="00E75353">
        <w:t>.</w:t>
      </w:r>
    </w:p>
    <w:p w:rsidR="00E75353" w:rsidRDefault="00E75353" w:rsidP="00E86773">
      <w:pPr>
        <w:pStyle w:val="Header"/>
        <w:tabs>
          <w:tab w:val="clear" w:pos="4320"/>
          <w:tab w:val="clear" w:pos="8640"/>
        </w:tabs>
        <w:ind w:left="2160" w:hanging="720"/>
      </w:pPr>
    </w:p>
    <w:p w:rsidR="00E75353" w:rsidRDefault="00E75353" w:rsidP="00E86773">
      <w:pPr>
        <w:pStyle w:val="Header"/>
        <w:tabs>
          <w:tab w:val="clear" w:pos="4320"/>
          <w:tab w:val="clear" w:pos="8640"/>
        </w:tabs>
        <w:ind w:left="2160" w:hanging="720"/>
      </w:pPr>
      <w:r>
        <w:tab/>
        <w:t>In addition to all quarterly reports, a final report, containing the same information, is due no earlier than twenty (20) days before the last day of the period of probation and no later than the last day of the probation period;</w:t>
      </w:r>
    </w:p>
    <w:p w:rsidR="00E75353" w:rsidRDefault="00E75353" w:rsidP="00E86773">
      <w:pPr>
        <w:pStyle w:val="Header"/>
        <w:tabs>
          <w:tab w:val="clear" w:pos="4320"/>
          <w:tab w:val="clear" w:pos="8640"/>
        </w:tabs>
        <w:ind w:left="2160" w:hanging="720"/>
      </w:pPr>
    </w:p>
    <w:p w:rsidR="00E75353" w:rsidRDefault="00E75353" w:rsidP="00E86773">
      <w:pPr>
        <w:pStyle w:val="Header"/>
        <w:tabs>
          <w:tab w:val="clear" w:pos="4320"/>
          <w:tab w:val="clear" w:pos="8640"/>
        </w:tabs>
        <w:ind w:left="2160" w:hanging="720"/>
      </w:pPr>
      <w:r>
        <w:t>e.</w:t>
      </w:r>
      <w:r>
        <w:tab/>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rsidR="00E75353" w:rsidRDefault="00E75353" w:rsidP="00E86773">
      <w:pPr>
        <w:pStyle w:val="Header"/>
        <w:tabs>
          <w:tab w:val="clear" w:pos="4320"/>
          <w:tab w:val="clear" w:pos="8640"/>
        </w:tabs>
        <w:ind w:left="2160" w:hanging="720"/>
      </w:pPr>
    </w:p>
    <w:p w:rsidR="00E75353" w:rsidRDefault="00E75353" w:rsidP="00E86773">
      <w:pPr>
        <w:pStyle w:val="Header"/>
        <w:tabs>
          <w:tab w:val="clear" w:pos="4320"/>
          <w:tab w:val="clear" w:pos="8640"/>
        </w:tabs>
        <w:ind w:left="2160" w:hanging="720"/>
      </w:pPr>
      <w:r>
        <w:t>f.</w:t>
      </w:r>
      <w:r>
        <w:tab/>
        <w:t>Within one (1) year of the effective date of the discipline herein, Respondent must provide to the Office of Probation satisfactory proof of attendance at a session of the Ethics School, and passage of the test given at the end of that session;</w:t>
      </w:r>
    </w:p>
    <w:p w:rsidR="00E75353" w:rsidRDefault="00E75353" w:rsidP="00E86773">
      <w:pPr>
        <w:pStyle w:val="Header"/>
        <w:tabs>
          <w:tab w:val="clear" w:pos="4320"/>
          <w:tab w:val="clear" w:pos="8640"/>
        </w:tabs>
        <w:ind w:left="2160" w:hanging="720"/>
      </w:pPr>
    </w:p>
    <w:p w:rsidR="006634F9" w:rsidRDefault="00E75353" w:rsidP="00E86773">
      <w:pPr>
        <w:pStyle w:val="Header"/>
        <w:tabs>
          <w:tab w:val="clear" w:pos="4320"/>
          <w:tab w:val="clear" w:pos="8640"/>
        </w:tabs>
        <w:ind w:left="2160" w:hanging="720"/>
      </w:pPr>
      <w:r>
        <w:t>g.</w:t>
      </w:r>
      <w:r>
        <w:tab/>
        <w:t>Respondent must comply with all provision</w:t>
      </w:r>
      <w:r w:rsidR="00B061EC">
        <w:t>s</w:t>
      </w:r>
      <w:r>
        <w:t xml:space="preserve"> and conditions of his Participation Agreement/Plan with the Lawyer Assistance Program (LAP) and mu</w:t>
      </w:r>
      <w:r w:rsidR="00B061EC">
        <w:t>s</w:t>
      </w:r>
      <w:r>
        <w:t>t provide the Office o</w:t>
      </w:r>
      <w:r w:rsidR="00B061EC">
        <w:t>f</w:t>
      </w:r>
      <w:r>
        <w:t xml:space="preserve"> Probation with certification of completion of the LAP.  Respondent mu</w:t>
      </w:r>
      <w:r w:rsidR="00B061EC">
        <w:t>s</w:t>
      </w:r>
      <w:r>
        <w:t xml:space="preserve">t immediately report any non-compliance with any provision(s) or condition(s) of </w:t>
      </w:r>
      <w:r w:rsidR="00B061EC">
        <w:t>h</w:t>
      </w:r>
      <w:r>
        <w:t xml:space="preserve">is Participation </w:t>
      </w:r>
      <w:r w:rsidR="00B061EC">
        <w:t>A</w:t>
      </w:r>
      <w:r>
        <w:t>greement/Plan to the Office of Probation.  Respondent mu</w:t>
      </w:r>
      <w:r w:rsidR="00B061EC">
        <w:t>s</w:t>
      </w:r>
      <w:r>
        <w:t xml:space="preserve">t provide an appropriate </w:t>
      </w:r>
      <w:r>
        <w:lastRenderedPageBreak/>
        <w:t>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w:t>
      </w:r>
    </w:p>
    <w:p w:rsidR="006634F9" w:rsidRDefault="006634F9" w:rsidP="00E86773">
      <w:pPr>
        <w:pStyle w:val="Header"/>
        <w:tabs>
          <w:tab w:val="clear" w:pos="4320"/>
          <w:tab w:val="clear" w:pos="8640"/>
        </w:tabs>
        <w:ind w:left="2160" w:hanging="720"/>
      </w:pPr>
    </w:p>
    <w:p w:rsidR="00CC0007" w:rsidRDefault="004F238C" w:rsidP="00E86773">
      <w:pPr>
        <w:pStyle w:val="Header"/>
        <w:tabs>
          <w:tab w:val="clear" w:pos="4320"/>
          <w:tab w:val="clear" w:pos="8640"/>
        </w:tabs>
        <w:ind w:left="2160" w:hanging="720"/>
      </w:pPr>
      <w:r>
        <w:t>h.</w:t>
      </w:r>
      <w:r>
        <w:tab/>
        <w:t>If R</w:t>
      </w:r>
      <w:r w:rsidR="006634F9">
        <w:t xml:space="preserve">espondent possesses client funds at any time during the period covered by a required quarterly report, Respondent must file with each required report a certificate from Respondent and/or a certified public accountant or other financial professional approved by the Office of Probation, certifying that: </w:t>
      </w:r>
    </w:p>
    <w:p w:rsidR="006634F9" w:rsidRDefault="006634F9" w:rsidP="00E86773">
      <w:pPr>
        <w:pStyle w:val="Header"/>
        <w:tabs>
          <w:tab w:val="clear" w:pos="4320"/>
          <w:tab w:val="clear" w:pos="8640"/>
        </w:tabs>
        <w:ind w:left="2160" w:hanging="720"/>
      </w:pPr>
    </w:p>
    <w:p w:rsidR="006634F9" w:rsidRDefault="006634F9" w:rsidP="006634F9">
      <w:pPr>
        <w:pStyle w:val="Header"/>
        <w:tabs>
          <w:tab w:val="clear" w:pos="4320"/>
          <w:tab w:val="clear" w:pos="8640"/>
        </w:tabs>
        <w:ind w:left="3600" w:hanging="720"/>
      </w:pPr>
      <w:r>
        <w:t>1.</w:t>
      </w:r>
      <w:r>
        <w:tab/>
        <w:t>Respondent has maintained a bank account in a bank authorized to do business in the State of California, at a branch located within the State of California, and that such account is designated as a “Trust Account” or “Clients’ Funds Account”;</w:t>
      </w:r>
    </w:p>
    <w:p w:rsidR="006634F9" w:rsidRDefault="006634F9" w:rsidP="006634F9">
      <w:pPr>
        <w:pStyle w:val="Header"/>
        <w:tabs>
          <w:tab w:val="clear" w:pos="4320"/>
          <w:tab w:val="clear" w:pos="8640"/>
        </w:tabs>
        <w:ind w:left="3600" w:hanging="720"/>
      </w:pPr>
    </w:p>
    <w:p w:rsidR="006634F9" w:rsidRDefault="006634F9" w:rsidP="006634F9">
      <w:pPr>
        <w:pStyle w:val="Header"/>
        <w:tabs>
          <w:tab w:val="clear" w:pos="4320"/>
          <w:tab w:val="clear" w:pos="8640"/>
        </w:tabs>
        <w:ind w:left="3600" w:hanging="720"/>
      </w:pPr>
      <w:r>
        <w:t>2.</w:t>
      </w:r>
      <w:r>
        <w:tab/>
        <w:t xml:space="preserve">Respondent has kept and maintained the following: </w:t>
      </w:r>
    </w:p>
    <w:p w:rsidR="006634F9" w:rsidRDefault="006634F9" w:rsidP="006634F9">
      <w:pPr>
        <w:pStyle w:val="Header"/>
        <w:tabs>
          <w:tab w:val="clear" w:pos="4320"/>
          <w:tab w:val="clear" w:pos="8640"/>
        </w:tabs>
        <w:ind w:left="3600" w:hanging="720"/>
      </w:pPr>
    </w:p>
    <w:p w:rsidR="006634F9" w:rsidRDefault="006634F9" w:rsidP="006634F9">
      <w:pPr>
        <w:pStyle w:val="Header"/>
        <w:tabs>
          <w:tab w:val="clear" w:pos="4320"/>
          <w:tab w:val="clear" w:pos="8640"/>
        </w:tabs>
        <w:ind w:left="4320" w:hanging="720"/>
      </w:pPr>
      <w:r>
        <w:t>i.</w:t>
      </w:r>
      <w:r>
        <w:tab/>
      </w:r>
      <w:r w:rsidR="00E765AD">
        <w:t>a</w:t>
      </w:r>
      <w:r>
        <w:t xml:space="preserve"> written ledger for each client on whose behalf funds are held that sets forth:</w:t>
      </w:r>
      <w:r>
        <w:tab/>
      </w:r>
    </w:p>
    <w:p w:rsidR="006634F9" w:rsidRDefault="006634F9" w:rsidP="006634F9">
      <w:pPr>
        <w:pStyle w:val="Header"/>
        <w:tabs>
          <w:tab w:val="clear" w:pos="4320"/>
          <w:tab w:val="clear" w:pos="8640"/>
        </w:tabs>
        <w:ind w:left="4320" w:hanging="720"/>
      </w:pPr>
    </w:p>
    <w:p w:rsidR="006634F9" w:rsidRDefault="006634F9" w:rsidP="006634F9">
      <w:pPr>
        <w:pStyle w:val="Header"/>
        <w:tabs>
          <w:tab w:val="clear" w:pos="4320"/>
          <w:tab w:val="clear" w:pos="8640"/>
        </w:tabs>
        <w:ind w:left="4320" w:hanging="720"/>
      </w:pPr>
      <w:r>
        <w:tab/>
      </w:r>
      <w:r>
        <w:tab/>
        <w:t>1.</w:t>
      </w:r>
      <w:r>
        <w:tab/>
        <w:t>the name of such client;</w:t>
      </w:r>
    </w:p>
    <w:p w:rsidR="006634F9" w:rsidRDefault="006634F9" w:rsidP="006634F9">
      <w:pPr>
        <w:pStyle w:val="Header"/>
        <w:tabs>
          <w:tab w:val="clear" w:pos="4320"/>
          <w:tab w:val="clear" w:pos="8640"/>
        </w:tabs>
        <w:ind w:left="5760" w:hanging="720"/>
      </w:pPr>
      <w:r>
        <w:t>2.</w:t>
      </w:r>
      <w:r>
        <w:tab/>
        <w:t xml:space="preserve">the date, amount and source of all funds received on behalf of such client; </w:t>
      </w:r>
    </w:p>
    <w:p w:rsidR="006634F9" w:rsidRDefault="006634F9" w:rsidP="006634F9">
      <w:pPr>
        <w:pStyle w:val="Header"/>
        <w:tabs>
          <w:tab w:val="clear" w:pos="4320"/>
          <w:tab w:val="clear" w:pos="8640"/>
        </w:tabs>
        <w:ind w:left="5760" w:hanging="720"/>
      </w:pPr>
      <w:r>
        <w:t>3.</w:t>
      </w:r>
      <w:r>
        <w:tab/>
        <w:t>the date, amount, payee and purpose of each disbursement made on behalf of such client; and,</w:t>
      </w:r>
    </w:p>
    <w:p w:rsidR="006634F9" w:rsidRDefault="006634F9" w:rsidP="006634F9">
      <w:pPr>
        <w:pStyle w:val="Header"/>
        <w:tabs>
          <w:tab w:val="clear" w:pos="4320"/>
          <w:tab w:val="clear" w:pos="8640"/>
        </w:tabs>
        <w:ind w:left="5760" w:hanging="720"/>
      </w:pPr>
      <w:r>
        <w:t>4.</w:t>
      </w:r>
      <w:r>
        <w:tab/>
        <w:t>the current balance for such client.</w:t>
      </w:r>
    </w:p>
    <w:p w:rsidR="00E765AD" w:rsidRDefault="00E765AD" w:rsidP="006634F9">
      <w:pPr>
        <w:pStyle w:val="Header"/>
        <w:tabs>
          <w:tab w:val="clear" w:pos="4320"/>
          <w:tab w:val="clear" w:pos="8640"/>
        </w:tabs>
        <w:ind w:left="5760" w:hanging="720"/>
      </w:pPr>
    </w:p>
    <w:p w:rsidR="00E765AD" w:rsidRDefault="00E765AD" w:rsidP="00E765AD">
      <w:pPr>
        <w:pStyle w:val="Header"/>
        <w:tabs>
          <w:tab w:val="clear" w:pos="4320"/>
          <w:tab w:val="clear" w:pos="8640"/>
        </w:tabs>
        <w:ind w:left="4320" w:hanging="720"/>
      </w:pPr>
      <w:r>
        <w:t>ii.</w:t>
      </w:r>
      <w:r>
        <w:tab/>
        <w:t>a written journal for each client trust fund account that sets forth:</w:t>
      </w:r>
    </w:p>
    <w:p w:rsidR="00E765AD" w:rsidRDefault="00E765AD" w:rsidP="00E765AD">
      <w:pPr>
        <w:pStyle w:val="Header"/>
        <w:tabs>
          <w:tab w:val="clear" w:pos="4320"/>
          <w:tab w:val="clear" w:pos="8640"/>
        </w:tabs>
        <w:ind w:left="4320" w:hanging="720"/>
      </w:pPr>
    </w:p>
    <w:p w:rsidR="00E765AD" w:rsidRDefault="00E765AD" w:rsidP="00E765AD">
      <w:pPr>
        <w:pStyle w:val="Header"/>
        <w:tabs>
          <w:tab w:val="clear" w:pos="4320"/>
          <w:tab w:val="clear" w:pos="8640"/>
        </w:tabs>
        <w:ind w:left="4320" w:hanging="720"/>
      </w:pPr>
      <w:r>
        <w:tab/>
      </w:r>
      <w:r>
        <w:tab/>
        <w:t>1.</w:t>
      </w:r>
      <w:r>
        <w:tab/>
        <w:t>the name of such account;</w:t>
      </w:r>
    </w:p>
    <w:p w:rsidR="00E765AD" w:rsidRDefault="00E765AD" w:rsidP="00E765AD">
      <w:pPr>
        <w:pStyle w:val="Header"/>
        <w:tabs>
          <w:tab w:val="clear" w:pos="4320"/>
          <w:tab w:val="clear" w:pos="8640"/>
        </w:tabs>
        <w:ind w:left="5760" w:hanging="720"/>
      </w:pPr>
      <w:r>
        <w:t>2.</w:t>
      </w:r>
      <w:r>
        <w:tab/>
        <w:t>the date, amount and client affected by each debit and credit; and</w:t>
      </w:r>
    </w:p>
    <w:p w:rsidR="00E765AD" w:rsidRDefault="00E765AD" w:rsidP="00E765AD">
      <w:pPr>
        <w:pStyle w:val="Header"/>
        <w:tabs>
          <w:tab w:val="clear" w:pos="4320"/>
          <w:tab w:val="clear" w:pos="8640"/>
        </w:tabs>
        <w:ind w:left="5760" w:hanging="720"/>
      </w:pPr>
      <w:r>
        <w:t>3.</w:t>
      </w:r>
      <w:r>
        <w:tab/>
        <w:t>the current balance in such account.</w:t>
      </w:r>
    </w:p>
    <w:p w:rsidR="00E765AD" w:rsidRDefault="00E765AD" w:rsidP="00E765AD">
      <w:pPr>
        <w:pStyle w:val="Header"/>
        <w:tabs>
          <w:tab w:val="clear" w:pos="4320"/>
          <w:tab w:val="clear" w:pos="8640"/>
        </w:tabs>
        <w:ind w:left="5760" w:hanging="720"/>
      </w:pPr>
    </w:p>
    <w:p w:rsidR="00E765AD" w:rsidRDefault="00E765AD" w:rsidP="00E765AD">
      <w:pPr>
        <w:pStyle w:val="Header"/>
        <w:tabs>
          <w:tab w:val="clear" w:pos="4320"/>
          <w:tab w:val="clear" w:pos="8640"/>
        </w:tabs>
        <w:ind w:left="4320" w:hanging="720"/>
      </w:pPr>
      <w:r>
        <w:t>iii.</w:t>
      </w:r>
      <w:r>
        <w:tab/>
        <w:t>all bank statements and cancelled checks for each client trust account; and,</w:t>
      </w:r>
    </w:p>
    <w:p w:rsidR="00E765AD" w:rsidRDefault="00E765AD" w:rsidP="00E765AD">
      <w:pPr>
        <w:pStyle w:val="Header"/>
        <w:tabs>
          <w:tab w:val="clear" w:pos="4320"/>
          <w:tab w:val="clear" w:pos="8640"/>
        </w:tabs>
        <w:ind w:left="4320" w:hanging="720"/>
      </w:pPr>
    </w:p>
    <w:p w:rsidR="00E765AD" w:rsidRDefault="00E765AD" w:rsidP="00E765AD">
      <w:pPr>
        <w:pStyle w:val="Header"/>
        <w:tabs>
          <w:tab w:val="clear" w:pos="4320"/>
          <w:tab w:val="clear" w:pos="8640"/>
        </w:tabs>
        <w:ind w:left="4320" w:hanging="720"/>
      </w:pPr>
      <w:r>
        <w:t>iv.</w:t>
      </w:r>
      <w:r>
        <w:tab/>
        <w:t xml:space="preserve">each monthly reconciliation (balancing) of (i), (ii), and (iii), above, and if there are any differences </w:t>
      </w:r>
      <w:r>
        <w:lastRenderedPageBreak/>
        <w:t>between the monthly total balances reflected in (i), (ii), and (ii</w:t>
      </w:r>
      <w:r w:rsidR="003E5CBB">
        <w:t>i</w:t>
      </w:r>
      <w:r>
        <w:t>), above, the reasons for the differences.</w:t>
      </w:r>
    </w:p>
    <w:p w:rsidR="00E765AD" w:rsidRDefault="00E765AD" w:rsidP="00E765AD">
      <w:pPr>
        <w:pStyle w:val="Header"/>
        <w:tabs>
          <w:tab w:val="clear" w:pos="4320"/>
          <w:tab w:val="clear" w:pos="8640"/>
        </w:tabs>
        <w:ind w:left="3600" w:hanging="720"/>
      </w:pPr>
    </w:p>
    <w:p w:rsidR="00E765AD" w:rsidRDefault="00E765AD" w:rsidP="00E765AD">
      <w:pPr>
        <w:pStyle w:val="Header"/>
        <w:tabs>
          <w:tab w:val="clear" w:pos="4320"/>
          <w:tab w:val="clear" w:pos="8640"/>
        </w:tabs>
        <w:ind w:left="3600" w:hanging="720"/>
      </w:pPr>
      <w:r>
        <w:t>3.</w:t>
      </w:r>
      <w:r>
        <w:tab/>
        <w:t>Respondent has maintained a written journal of securities or other properties held for clients that specifies:</w:t>
      </w:r>
    </w:p>
    <w:p w:rsidR="00E765AD" w:rsidRDefault="00E765AD" w:rsidP="00E765AD">
      <w:pPr>
        <w:pStyle w:val="Header"/>
        <w:tabs>
          <w:tab w:val="clear" w:pos="4320"/>
          <w:tab w:val="clear" w:pos="8640"/>
        </w:tabs>
        <w:ind w:left="3600" w:hanging="720"/>
      </w:pPr>
    </w:p>
    <w:p w:rsidR="00E765AD" w:rsidRDefault="00E765AD" w:rsidP="00E765AD">
      <w:pPr>
        <w:pStyle w:val="Header"/>
        <w:tabs>
          <w:tab w:val="clear" w:pos="4320"/>
          <w:tab w:val="clear" w:pos="8640"/>
        </w:tabs>
        <w:ind w:left="4320" w:hanging="720"/>
      </w:pPr>
      <w:r>
        <w:t>i.</w:t>
      </w:r>
      <w:r>
        <w:tab/>
        <w:t xml:space="preserve">each item of security and property held; </w:t>
      </w:r>
    </w:p>
    <w:p w:rsidR="00E765AD" w:rsidRDefault="00E765AD" w:rsidP="00E765AD">
      <w:pPr>
        <w:pStyle w:val="Header"/>
        <w:tabs>
          <w:tab w:val="clear" w:pos="4320"/>
          <w:tab w:val="clear" w:pos="8640"/>
        </w:tabs>
        <w:ind w:left="4320" w:hanging="720"/>
      </w:pPr>
      <w:r>
        <w:t>ii.</w:t>
      </w:r>
      <w:r>
        <w:tab/>
        <w:t xml:space="preserve">the person on whose behalf the security or property is held; </w:t>
      </w:r>
      <w:r>
        <w:tab/>
      </w:r>
      <w:r>
        <w:tab/>
        <w:t xml:space="preserve">  </w:t>
      </w:r>
    </w:p>
    <w:p w:rsidR="00E765AD" w:rsidRDefault="00E765AD" w:rsidP="00E765AD">
      <w:pPr>
        <w:pStyle w:val="Header"/>
        <w:tabs>
          <w:tab w:val="clear" w:pos="4320"/>
          <w:tab w:val="clear" w:pos="8640"/>
        </w:tabs>
        <w:ind w:left="4320" w:hanging="720"/>
      </w:pPr>
      <w:r>
        <w:t>iii.</w:t>
      </w:r>
      <w:r>
        <w:tab/>
        <w:t xml:space="preserve">the date of receipt of the security or property; </w:t>
      </w:r>
    </w:p>
    <w:p w:rsidR="00E765AD" w:rsidRDefault="00E765AD" w:rsidP="00E765AD">
      <w:pPr>
        <w:pStyle w:val="Header"/>
        <w:tabs>
          <w:tab w:val="clear" w:pos="4320"/>
          <w:tab w:val="clear" w:pos="8640"/>
        </w:tabs>
        <w:ind w:left="4320" w:hanging="720"/>
      </w:pPr>
      <w:r>
        <w:t>iv.</w:t>
      </w:r>
      <w:r>
        <w:tab/>
        <w:t>the date of distribution of the security or property; and,</w:t>
      </w:r>
    </w:p>
    <w:p w:rsidR="00E765AD" w:rsidRDefault="00E765AD" w:rsidP="00E765AD">
      <w:pPr>
        <w:pStyle w:val="Header"/>
        <w:tabs>
          <w:tab w:val="clear" w:pos="4320"/>
          <w:tab w:val="clear" w:pos="8640"/>
        </w:tabs>
        <w:ind w:left="4320" w:hanging="720"/>
      </w:pPr>
      <w:r>
        <w:t>v.</w:t>
      </w:r>
      <w:r>
        <w:tab/>
        <w:t>the person to whom the security or property was distributed.</w:t>
      </w:r>
      <w:r>
        <w:tab/>
      </w:r>
    </w:p>
    <w:p w:rsidR="00E765AD" w:rsidRDefault="00E765AD" w:rsidP="00E765AD">
      <w:pPr>
        <w:pStyle w:val="Header"/>
        <w:tabs>
          <w:tab w:val="clear" w:pos="4320"/>
          <w:tab w:val="clear" w:pos="8640"/>
        </w:tabs>
        <w:ind w:left="4320" w:hanging="720"/>
      </w:pPr>
    </w:p>
    <w:p w:rsidR="00E765AD" w:rsidRDefault="00E765AD" w:rsidP="004D30F6">
      <w:pPr>
        <w:pStyle w:val="Header"/>
        <w:tabs>
          <w:tab w:val="clear" w:pos="4320"/>
          <w:tab w:val="clear" w:pos="8640"/>
        </w:tabs>
        <w:ind w:left="2880"/>
      </w:pPr>
      <w:r>
        <w:t>If Respondent does not possess any client fun</w:t>
      </w:r>
      <w:r w:rsidR="004D30F6">
        <w:t>d</w:t>
      </w:r>
      <w:r>
        <w:t>s, property or</w:t>
      </w:r>
      <w:r w:rsidR="004D30F6">
        <w:t xml:space="preserve"> </w:t>
      </w:r>
      <w:r>
        <w:t>securities during the entire period covered by a report, Respondent mu</w:t>
      </w:r>
      <w:r w:rsidR="004D30F6">
        <w:t>s</w:t>
      </w:r>
      <w:r>
        <w:t xml:space="preserve">t so state under penalty of perjury in the report filed with the </w:t>
      </w:r>
      <w:r w:rsidR="003E5CBB">
        <w:t>O</w:t>
      </w:r>
      <w:r>
        <w:t>ffice of</w:t>
      </w:r>
      <w:r w:rsidR="004D30F6">
        <w:t xml:space="preserve"> </w:t>
      </w:r>
      <w:r>
        <w:t>Probat</w:t>
      </w:r>
      <w:r w:rsidR="004D30F6">
        <w:t>i</w:t>
      </w:r>
      <w:r>
        <w:t>on for that reporting period.  In this c</w:t>
      </w:r>
      <w:r w:rsidR="004D30F6">
        <w:t>i</w:t>
      </w:r>
      <w:r>
        <w:t>rcum</w:t>
      </w:r>
      <w:r w:rsidR="004D30F6">
        <w:t>s</w:t>
      </w:r>
      <w:r>
        <w:t>tance, Respondent need not file</w:t>
      </w:r>
      <w:r w:rsidR="004D30F6">
        <w:t xml:space="preserve"> </w:t>
      </w:r>
      <w:r>
        <w:t>the accountan</w:t>
      </w:r>
      <w:r w:rsidR="004D30F6">
        <w:t>t</w:t>
      </w:r>
      <w:r>
        <w:t>’s certi</w:t>
      </w:r>
      <w:r w:rsidR="004D30F6">
        <w:t>f</w:t>
      </w:r>
      <w:r>
        <w:t>icate described above.</w:t>
      </w:r>
    </w:p>
    <w:p w:rsidR="004D30F6" w:rsidRDefault="004D30F6" w:rsidP="004D30F6">
      <w:pPr>
        <w:pStyle w:val="Header"/>
        <w:tabs>
          <w:tab w:val="clear" w:pos="4320"/>
          <w:tab w:val="clear" w:pos="8640"/>
        </w:tabs>
        <w:ind w:left="2880"/>
      </w:pPr>
    </w:p>
    <w:p w:rsidR="004D30F6" w:rsidRDefault="004D30F6" w:rsidP="004D30F6">
      <w:pPr>
        <w:pStyle w:val="Header"/>
        <w:tabs>
          <w:tab w:val="clear" w:pos="4320"/>
          <w:tab w:val="clear" w:pos="8640"/>
        </w:tabs>
        <w:ind w:left="2880"/>
      </w:pPr>
      <w:r>
        <w:t>The requirements of this condition are in addition to those set forth in rule 4-100, Rules of Professional Conduct of the State Bar of California; and</w:t>
      </w:r>
    </w:p>
    <w:p w:rsidR="004D30F6" w:rsidRDefault="004D30F6" w:rsidP="004D30F6">
      <w:pPr>
        <w:pStyle w:val="Header"/>
        <w:tabs>
          <w:tab w:val="clear" w:pos="4320"/>
          <w:tab w:val="clear" w:pos="8640"/>
        </w:tabs>
        <w:ind w:left="2880"/>
      </w:pPr>
    </w:p>
    <w:p w:rsidR="004D30F6" w:rsidRDefault="00F5165B" w:rsidP="00F5165B">
      <w:pPr>
        <w:pStyle w:val="Header"/>
        <w:tabs>
          <w:tab w:val="clear" w:pos="4320"/>
          <w:tab w:val="clear" w:pos="8640"/>
        </w:tabs>
        <w:ind w:left="2160" w:hanging="720"/>
      </w:pPr>
      <w:proofErr w:type="spellStart"/>
      <w:r>
        <w:t>i</w:t>
      </w:r>
      <w:proofErr w:type="spellEnd"/>
      <w:r w:rsidR="004D30F6">
        <w:t>.</w:t>
      </w:r>
      <w:r w:rsidR="004D30F6">
        <w:tab/>
        <w:t>Within one (1</w:t>
      </w:r>
      <w:r w:rsidR="003E5CBB">
        <w:t>)</w:t>
      </w:r>
      <w:r w:rsidR="004D30F6">
        <w:t xml:space="preserve"> year of the effective date of the discipline herein, Respondent must supply to the Office of Probation, satisfactory proof of attendance at a session of the Ethics School Client Trust Accounting School, within the same period of time, and passage of the test given at the end of that session.  </w:t>
      </w:r>
    </w:p>
    <w:p w:rsidR="00B061EC" w:rsidRDefault="00B061EC" w:rsidP="004D30F6">
      <w:pPr>
        <w:pStyle w:val="Header"/>
        <w:tabs>
          <w:tab w:val="clear" w:pos="4320"/>
          <w:tab w:val="clear" w:pos="8640"/>
        </w:tabs>
        <w:ind w:left="2880" w:hanging="720"/>
      </w:pPr>
    </w:p>
    <w:p w:rsidR="005652D1" w:rsidRDefault="00B061EC" w:rsidP="00B061EC">
      <w:pPr>
        <w:pStyle w:val="Header"/>
        <w:tabs>
          <w:tab w:val="clear" w:pos="4320"/>
          <w:tab w:val="clear" w:pos="8640"/>
        </w:tabs>
        <w:spacing w:line="480" w:lineRule="auto"/>
        <w:ind w:firstLine="720"/>
      </w:pPr>
      <w:r>
        <w:t xml:space="preserve">At the expiration of the period of probation, if David Craig Stelzer has complied with all conditions of probation, the one (1) year period of stayed suspension will be satisfied and that suspension will be terminated.   </w:t>
      </w:r>
    </w:p>
    <w:p w:rsidR="009D4AFB" w:rsidRDefault="009D4AFB" w:rsidP="00482653">
      <w:pPr>
        <w:pStyle w:val="Header"/>
        <w:tabs>
          <w:tab w:val="clear" w:pos="4320"/>
          <w:tab w:val="clear" w:pos="8640"/>
        </w:tabs>
        <w:spacing w:line="480" w:lineRule="auto"/>
        <w:rPr>
          <w:b/>
        </w:rPr>
      </w:pPr>
      <w:r w:rsidRPr="009D4AFB">
        <w:rPr>
          <w:b/>
        </w:rPr>
        <w:t>Multistate Professional Responsibility Examination</w:t>
      </w:r>
    </w:p>
    <w:p w:rsidR="009D4AFB" w:rsidRPr="005652D1" w:rsidRDefault="005652D1" w:rsidP="005652D1">
      <w:pPr>
        <w:pStyle w:val="Header"/>
        <w:tabs>
          <w:tab w:val="clear" w:pos="4320"/>
          <w:tab w:val="clear" w:pos="8640"/>
        </w:tabs>
        <w:spacing w:line="480" w:lineRule="auto"/>
        <w:ind w:firstLine="720"/>
      </w:pPr>
      <w:r w:rsidRPr="005652D1">
        <w:t>It is further recommended that David</w:t>
      </w:r>
      <w:r>
        <w:t xml:space="preserve"> Craig Stelzer be ordered to take and pass the Multistate Professional Responsibility Examination (MPRE) within one year after the effective date of the Supreme Court’s disciplinary order in this matter and provide satisfactory proof of </w:t>
      </w:r>
      <w:r>
        <w:lastRenderedPageBreak/>
        <w:t xml:space="preserve">such passage to the State Bar’s Office of Probation in Los Angeles within the same period.  Failure to do so may result in an automatic suspension.  (Cal. Rules of Court, rule 9.10(b).)  </w:t>
      </w:r>
    </w:p>
    <w:p w:rsidR="009D4AFB" w:rsidRDefault="009D4AFB" w:rsidP="00482653">
      <w:pPr>
        <w:pStyle w:val="Header"/>
        <w:tabs>
          <w:tab w:val="clear" w:pos="4320"/>
          <w:tab w:val="clear" w:pos="8640"/>
        </w:tabs>
        <w:spacing w:line="480" w:lineRule="auto"/>
        <w:rPr>
          <w:b/>
        </w:rPr>
      </w:pPr>
      <w:r>
        <w:rPr>
          <w:b/>
        </w:rPr>
        <w:t>Costs</w:t>
      </w:r>
    </w:p>
    <w:p w:rsidR="00B061EC" w:rsidRDefault="00B061EC" w:rsidP="00B061EC">
      <w:pPr>
        <w:pStyle w:val="Header"/>
        <w:tabs>
          <w:tab w:val="clear" w:pos="4320"/>
          <w:tab w:val="clear" w:pos="8640"/>
        </w:tabs>
        <w:spacing w:line="480" w:lineRule="auto"/>
        <w:ind w:firstLine="720"/>
        <w:rPr>
          <w:b/>
        </w:rPr>
      </w:pPr>
      <w:r>
        <w:t xml:space="preserve">It is recommended that costs be awarded to the State Bar in accordance with Business and Professions Code section 6086.10, and are enforceable both as provided in Business and Professions Code section 6140.7 and as a money judgment.  It is further recommended that David Craig Stelzer be ordered to reimburse the Client Security </w:t>
      </w:r>
      <w:r w:rsidR="003E5CBB">
        <w:t>F</w:t>
      </w:r>
      <w:r>
        <w:t>und to the extent that the misconduct in this matter results in the payment of funds and that such payment obligation be enforceable as provided for under Business and Pro</w:t>
      </w:r>
      <w:r w:rsidR="00F5165B">
        <w:t xml:space="preserve">fessions Code section 6140.5. </w:t>
      </w:r>
    </w:p>
    <w:p w:rsidR="009D4AFB" w:rsidRPr="009D4AFB" w:rsidRDefault="009D4AFB" w:rsidP="009D4AFB">
      <w:pPr>
        <w:pStyle w:val="Header"/>
        <w:tabs>
          <w:tab w:val="clear" w:pos="4320"/>
          <w:tab w:val="clear" w:pos="8640"/>
        </w:tabs>
        <w:spacing w:line="480" w:lineRule="auto"/>
        <w:jc w:val="center"/>
        <w:rPr>
          <w:b/>
        </w:rPr>
      </w:pPr>
      <w:r>
        <w:rPr>
          <w:b/>
        </w:rPr>
        <w:t>DIRECTION RE DECISION AND ORDER SEALING CERTAIN DOCUMENTS</w:t>
      </w:r>
    </w:p>
    <w:p w:rsidR="005D76FC" w:rsidRDefault="005D76FC" w:rsidP="005D76FC">
      <w:pPr>
        <w:pStyle w:val="Header"/>
        <w:tabs>
          <w:tab w:val="clear" w:pos="4320"/>
          <w:tab w:val="clear" w:pos="8640"/>
        </w:tabs>
        <w:spacing w:line="480" w:lineRule="auto"/>
        <w:ind w:firstLine="720"/>
      </w:pPr>
      <w:r>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5D76FC" w:rsidRDefault="005D76FC" w:rsidP="005D76FC">
      <w:pPr>
        <w:pStyle w:val="Header"/>
        <w:tabs>
          <w:tab w:val="clear" w:pos="4320"/>
          <w:tab w:val="clear" w:pos="8640"/>
        </w:tabs>
        <w:spacing w:line="480" w:lineRule="auto"/>
        <w:ind w:firstLine="720"/>
      </w:pPr>
      <w:r>
        <w:t>It is further ordered that protected and sealed material will only be disclosed to:  (1) parties to the proceeding and counsel; (2</w:t>
      </w:r>
      <w:r w:rsidR="003E5CBB">
        <w:t>)</w:t>
      </w:r>
      <w:r>
        <w:t xml:space="preserve"> personnel of the Supreme </w:t>
      </w:r>
      <w:r w:rsidR="003E5CBB">
        <w:t>C</w:t>
      </w:r>
      <w:r>
        <w:t xml:space="preserve">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6E3A4B" w:rsidRDefault="005D76FC" w:rsidP="005D76FC">
      <w:pPr>
        <w:pStyle w:val="Header"/>
        <w:tabs>
          <w:tab w:val="clear" w:pos="4320"/>
          <w:tab w:val="clear" w:pos="8640"/>
        </w:tabs>
        <w:spacing w:line="480" w:lineRule="auto"/>
        <w:ind w:firstLine="720"/>
      </w:pPr>
      <w:r>
        <w:rPr>
          <w:b/>
        </w:rPr>
        <w:t>IT IS SO ORDERED.</w:t>
      </w:r>
      <w:r>
        <w:t xml:space="preserve"> </w:t>
      </w:r>
    </w:p>
    <w:p w:rsidR="003D3B12" w:rsidRDefault="006E3A4B">
      <w:pPr>
        <w:pStyle w:val="Header"/>
        <w:tabs>
          <w:tab w:val="clear" w:pos="4320"/>
          <w:tab w:val="clear" w:pos="8640"/>
        </w:tabs>
        <w:spacing w:line="480" w:lineRule="auto"/>
      </w:pPr>
      <w:r>
        <w:t xml:space="preserve">  </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3D3B12" w:rsidTr="000A401F">
        <w:trPr>
          <w:trHeight w:val="303"/>
        </w:trPr>
        <w:tc>
          <w:tcPr>
            <w:tcW w:w="4782"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8C5CAE">
                <w:rPr>
                  <w:noProof/>
                </w:rPr>
                <w:t>June _____, 2010</w:t>
              </w:r>
            </w:fldSimple>
          </w:p>
        </w:tc>
        <w:tc>
          <w:tcPr>
            <w:tcW w:w="4547" w:type="dxa"/>
            <w:tcBorders>
              <w:top w:val="single" w:sz="4" w:space="0" w:color="auto"/>
              <w:bottom w:val="nil"/>
              <w:right w:val="nil"/>
            </w:tcBorders>
          </w:tcPr>
          <w:p w:rsidR="003D3B12" w:rsidRDefault="00332D3C">
            <w:bookmarkStart w:id="6" w:name="judge"/>
            <w:bookmarkEnd w:id="6"/>
            <w:r>
              <w:t>DONALD F. MILES</w:t>
            </w:r>
          </w:p>
        </w:tc>
      </w:tr>
    </w:tbl>
    <w:p w:rsidR="003D3B12" w:rsidRDefault="003D3B12" w:rsidP="000A401F">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1ED" w:rsidRDefault="00E511ED">
      <w:r>
        <w:separator/>
      </w:r>
    </w:p>
  </w:endnote>
  <w:endnote w:type="continuationSeparator" w:id="0">
    <w:p w:rsidR="00E511ED" w:rsidRDefault="00E51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ED" w:rsidRDefault="004E3159" w:rsidP="003B44D5">
    <w:pPr>
      <w:pStyle w:val="Footer"/>
      <w:framePr w:wrap="around" w:vAnchor="text" w:hAnchor="margin" w:xAlign="center" w:y="1"/>
      <w:rPr>
        <w:rStyle w:val="PageNumber"/>
      </w:rPr>
    </w:pPr>
    <w:r>
      <w:rPr>
        <w:rStyle w:val="PageNumber"/>
      </w:rPr>
      <w:fldChar w:fldCharType="begin"/>
    </w:r>
    <w:r w:rsidR="00E511ED">
      <w:rPr>
        <w:rStyle w:val="PageNumber"/>
      </w:rPr>
      <w:instrText xml:space="preserve">PAGE  </w:instrText>
    </w:r>
    <w:r>
      <w:rPr>
        <w:rStyle w:val="PageNumber"/>
      </w:rPr>
      <w:fldChar w:fldCharType="end"/>
    </w:r>
  </w:p>
  <w:p w:rsidR="00E511ED" w:rsidRDefault="00E511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ED" w:rsidRDefault="004E3159" w:rsidP="00200B09">
    <w:pPr>
      <w:pStyle w:val="Footer"/>
      <w:framePr w:wrap="around" w:vAnchor="text" w:hAnchor="margin" w:xAlign="center" w:y="1"/>
      <w:rPr>
        <w:rStyle w:val="PageNumber"/>
      </w:rPr>
    </w:pPr>
    <w:r>
      <w:rPr>
        <w:rStyle w:val="PageNumber"/>
      </w:rPr>
      <w:fldChar w:fldCharType="begin"/>
    </w:r>
    <w:r w:rsidR="00E511ED">
      <w:rPr>
        <w:rStyle w:val="PageNumber"/>
      </w:rPr>
      <w:instrText xml:space="preserve">PAGE  </w:instrText>
    </w:r>
    <w:r>
      <w:rPr>
        <w:rStyle w:val="PageNumber"/>
      </w:rPr>
      <w:fldChar w:fldCharType="separate"/>
    </w:r>
    <w:r w:rsidR="008C5CAE">
      <w:rPr>
        <w:rStyle w:val="PageNumber"/>
        <w:noProof/>
      </w:rPr>
      <w:t>- 8 -</w:t>
    </w:r>
    <w:r>
      <w:rPr>
        <w:rStyle w:val="PageNumber"/>
      </w:rPr>
      <w:fldChar w:fldCharType="end"/>
    </w:r>
  </w:p>
  <w:p w:rsidR="00E511ED" w:rsidRDefault="00E511E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ED" w:rsidRDefault="00E511ED">
    <w:pPr>
      <w:pStyle w:val="Footer"/>
      <w:framePr w:wrap="around" w:vAnchor="text" w:hAnchor="margin" w:xAlign="center" w:y="1"/>
      <w:rPr>
        <w:rStyle w:val="PageNumber"/>
      </w:rPr>
    </w:pPr>
  </w:p>
  <w:p w:rsidR="00E511ED" w:rsidRDefault="00E51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1ED" w:rsidRDefault="00E511ED">
      <w:r>
        <w:separator/>
      </w:r>
    </w:p>
  </w:footnote>
  <w:footnote w:type="continuationSeparator" w:id="0">
    <w:p w:rsidR="00E511ED" w:rsidRDefault="00E511ED">
      <w:r>
        <w:continuationSeparator/>
      </w:r>
    </w:p>
  </w:footnote>
  <w:footnote w:id="1">
    <w:p w:rsidR="00E511ED" w:rsidRDefault="00E511ED">
      <w:pPr>
        <w:pStyle w:val="FootnoteText"/>
      </w:pPr>
      <w:r>
        <w:rPr>
          <w:rStyle w:val="FootnoteReference"/>
        </w:rPr>
        <w:footnoteRef/>
      </w:r>
      <w:r>
        <w:t xml:space="preserve"> All further references to standard(s) or std. are to this source. </w:t>
      </w:r>
    </w:p>
  </w:footnote>
  <w:footnote w:id="2">
    <w:p w:rsidR="00E511ED" w:rsidRDefault="00E511ED">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37BB"/>
    <w:multiLevelType w:val="hybridMultilevel"/>
    <w:tmpl w:val="8A5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234881"/>
    <w:rsid w:val="0002318A"/>
    <w:rsid w:val="000377E0"/>
    <w:rsid w:val="00052359"/>
    <w:rsid w:val="000A401F"/>
    <w:rsid w:val="00175260"/>
    <w:rsid w:val="001C7218"/>
    <w:rsid w:val="00200B09"/>
    <w:rsid w:val="00234881"/>
    <w:rsid w:val="0024564F"/>
    <w:rsid w:val="002B4594"/>
    <w:rsid w:val="00332D3C"/>
    <w:rsid w:val="00362959"/>
    <w:rsid w:val="003B44D5"/>
    <w:rsid w:val="003D3B12"/>
    <w:rsid w:val="003E5CBB"/>
    <w:rsid w:val="00482653"/>
    <w:rsid w:val="004D30F6"/>
    <w:rsid w:val="004E3159"/>
    <w:rsid w:val="004F238C"/>
    <w:rsid w:val="00526C44"/>
    <w:rsid w:val="005652D1"/>
    <w:rsid w:val="005A7058"/>
    <w:rsid w:val="005D76FC"/>
    <w:rsid w:val="006634F9"/>
    <w:rsid w:val="006A2103"/>
    <w:rsid w:val="006E2974"/>
    <w:rsid w:val="006E3A4B"/>
    <w:rsid w:val="006E424E"/>
    <w:rsid w:val="00704DCC"/>
    <w:rsid w:val="008A461F"/>
    <w:rsid w:val="008C5CAE"/>
    <w:rsid w:val="008E14DA"/>
    <w:rsid w:val="008F5B86"/>
    <w:rsid w:val="00946047"/>
    <w:rsid w:val="009A5B78"/>
    <w:rsid w:val="009D4AFB"/>
    <w:rsid w:val="00A2063E"/>
    <w:rsid w:val="00A50CB1"/>
    <w:rsid w:val="00A51153"/>
    <w:rsid w:val="00A54A59"/>
    <w:rsid w:val="00B061EC"/>
    <w:rsid w:val="00B36097"/>
    <w:rsid w:val="00B41E21"/>
    <w:rsid w:val="00B947B6"/>
    <w:rsid w:val="00CA56A5"/>
    <w:rsid w:val="00CC0007"/>
    <w:rsid w:val="00CE1DE9"/>
    <w:rsid w:val="00D31EEC"/>
    <w:rsid w:val="00E32AEB"/>
    <w:rsid w:val="00E334B7"/>
    <w:rsid w:val="00E511ED"/>
    <w:rsid w:val="00E75353"/>
    <w:rsid w:val="00E765AD"/>
    <w:rsid w:val="00E86773"/>
    <w:rsid w:val="00EA3E75"/>
    <w:rsid w:val="00EB0DE2"/>
    <w:rsid w:val="00EE3AFC"/>
    <w:rsid w:val="00F5165B"/>
    <w:rsid w:val="00FD0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063E"/>
    <w:pPr>
      <w:spacing w:before="28"/>
      <w:ind w:right="90"/>
    </w:pPr>
    <w:rPr>
      <w:sz w:val="19"/>
      <w:szCs w:val="19"/>
    </w:rPr>
  </w:style>
  <w:style w:type="paragraph" w:styleId="Header">
    <w:name w:val="header"/>
    <w:basedOn w:val="Normal"/>
    <w:semiHidden/>
    <w:rsid w:val="00A2063E"/>
    <w:pPr>
      <w:tabs>
        <w:tab w:val="center" w:pos="4320"/>
        <w:tab w:val="right" w:pos="8640"/>
      </w:tabs>
    </w:pPr>
  </w:style>
  <w:style w:type="paragraph" w:styleId="Footer">
    <w:name w:val="footer"/>
    <w:basedOn w:val="Normal"/>
    <w:semiHidden/>
    <w:rsid w:val="00A2063E"/>
    <w:pPr>
      <w:tabs>
        <w:tab w:val="center" w:pos="4320"/>
        <w:tab w:val="right" w:pos="8640"/>
      </w:tabs>
    </w:pPr>
  </w:style>
  <w:style w:type="character" w:styleId="PageNumber">
    <w:name w:val="page number"/>
    <w:basedOn w:val="DefaultParagraphFont"/>
    <w:semiHidden/>
    <w:rsid w:val="00A2063E"/>
  </w:style>
  <w:style w:type="paragraph" w:styleId="FootnoteText">
    <w:name w:val="footnote text"/>
    <w:basedOn w:val="Normal"/>
    <w:semiHidden/>
    <w:rsid w:val="00A2063E"/>
    <w:pPr>
      <w:ind w:firstLine="720"/>
    </w:pPr>
    <w:rPr>
      <w:szCs w:val="20"/>
    </w:rPr>
  </w:style>
  <w:style w:type="character" w:styleId="FootnoteReference">
    <w:name w:val="footnote reference"/>
    <w:basedOn w:val="DefaultParagraphFont"/>
    <w:semiHidden/>
    <w:rsid w:val="00A2063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CA56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8</Pages>
  <Words>2314</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Mina Ruiz</cp:lastModifiedBy>
  <cp:revision>2</cp:revision>
  <cp:lastPrinted>2010-05-13T16:36:00Z</cp:lastPrinted>
  <dcterms:created xsi:type="dcterms:W3CDTF">2010-06-07T18:33:00Z</dcterms:created>
  <dcterms:modified xsi:type="dcterms:W3CDTF">2010-06-07T18:33:00Z</dcterms:modified>
</cp:coreProperties>
</file>