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E24DEB" w:rsidRDefault="00E24DEB" w:rsidP="00E24DEB">
      <w:pPr>
        <w:ind w:firstLine="720"/>
        <w:jc w:val="right"/>
        <w:rPr>
          <w:b/>
          <w:sz w:val="36"/>
        </w:rPr>
      </w:pPr>
      <w:r w:rsidRPr="00E24DEB">
        <w:rPr>
          <w:b/>
        </w:rPr>
        <w:t xml:space="preserve">FILED </w:t>
      </w:r>
      <w:r>
        <w:rPr>
          <w:b/>
        </w:rPr>
        <w:t>DECEMBER 8, 2009</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ED6419">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290"/>
        <w:gridCol w:w="179"/>
        <w:gridCol w:w="234"/>
        <w:gridCol w:w="1080"/>
        <w:gridCol w:w="3392"/>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C634F2">
            <w:pPr>
              <w:rPr>
                <w:b/>
                <w:bCs/>
              </w:rPr>
            </w:pPr>
            <w:bookmarkStart w:id="1" w:name="resp"/>
            <w:bookmarkEnd w:id="1"/>
            <w:r>
              <w:rPr>
                <w:b/>
                <w:bCs/>
              </w:rPr>
              <w:t xml:space="preserve">ROBERT </w:t>
            </w:r>
            <w:r w:rsidR="00ED6419">
              <w:rPr>
                <w:b/>
                <w:bCs/>
              </w:rPr>
              <w:t>MICH</w:t>
            </w:r>
            <w:r>
              <w:rPr>
                <w:b/>
                <w:bCs/>
              </w:rPr>
              <w:t>A</w:t>
            </w:r>
            <w:r w:rsidR="00ED6419">
              <w:rPr>
                <w:b/>
                <w:bCs/>
              </w:rPr>
              <w:t>EL</w:t>
            </w:r>
            <w:r>
              <w:rPr>
                <w:b/>
                <w:bCs/>
              </w:rPr>
              <w:t xml:space="preserve"> </w:t>
            </w:r>
            <w:proofErr w:type="spellStart"/>
            <w:r>
              <w:rPr>
                <w:b/>
                <w:bCs/>
              </w:rPr>
              <w:t>YASPAN</w:t>
            </w:r>
            <w:proofErr w:type="spellEnd"/>
            <w:r w:rsidR="00ED6419">
              <w:rPr>
                <w:b/>
                <w:bCs/>
              </w:rPr>
              <w:t>,</w:t>
            </w:r>
          </w:p>
          <w:p w:rsidR="003D3B12" w:rsidRDefault="003D3B12">
            <w:pPr>
              <w:rPr>
                <w:b/>
                <w:bCs/>
              </w:rPr>
            </w:pPr>
          </w:p>
          <w:p w:rsidR="003D3B12" w:rsidRDefault="003D3B12">
            <w:pPr>
              <w:rPr>
                <w:b/>
                <w:bCs/>
              </w:rPr>
            </w:pPr>
            <w:r>
              <w:rPr>
                <w:b/>
                <w:bCs/>
              </w:rPr>
              <w:t xml:space="preserve">Member No.  </w:t>
            </w:r>
            <w:bookmarkStart w:id="2" w:name="member"/>
            <w:bookmarkEnd w:id="2"/>
            <w:r w:rsidR="00ED6419">
              <w:rPr>
                <w:b/>
                <w:bCs/>
              </w:rPr>
              <w:t>5</w:t>
            </w:r>
            <w:r w:rsidR="00C634F2">
              <w:rPr>
                <w:b/>
                <w:bCs/>
              </w:rPr>
              <w:t>1</w:t>
            </w:r>
            <w:r w:rsidR="00ED6419">
              <w:rPr>
                <w:b/>
                <w:bCs/>
              </w:rPr>
              <w:t>86</w:t>
            </w:r>
            <w:r w:rsidR="00C634F2">
              <w:rPr>
                <w:b/>
                <w:bCs/>
              </w:rPr>
              <w:t>7</w:t>
            </w:r>
            <w:r w:rsidR="00ED6419">
              <w:rPr>
                <w:b/>
                <w:bCs/>
              </w:rPr>
              <w:t>,</w:t>
            </w:r>
          </w:p>
          <w:p w:rsidR="003D3B12" w:rsidRDefault="003D3B12">
            <w:pPr>
              <w:rPr>
                <w:b/>
                <w:bCs/>
              </w:rPr>
            </w:pPr>
          </w:p>
          <w:p w:rsidR="003D3B12" w:rsidRDefault="00ED6419">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192849" w:rsidRDefault="00192849">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sidP="00C634F2">
            <w:r>
              <w:t>Case No.:</w:t>
            </w:r>
          </w:p>
        </w:tc>
        <w:tc>
          <w:tcPr>
            <w:tcW w:w="3468" w:type="dxa"/>
          </w:tcPr>
          <w:p w:rsidR="003D3B12" w:rsidRDefault="00ED6419" w:rsidP="00C634F2">
            <w:pPr>
              <w:rPr>
                <w:b/>
                <w:bCs/>
              </w:rPr>
            </w:pPr>
            <w:bookmarkStart w:id="4" w:name="caseno"/>
            <w:bookmarkEnd w:id="4"/>
            <w:r>
              <w:rPr>
                <w:b/>
                <w:bCs/>
              </w:rPr>
              <w:t>06-O-1</w:t>
            </w:r>
            <w:r w:rsidR="00C634F2">
              <w:rPr>
                <w:b/>
                <w:bCs/>
              </w:rPr>
              <w:t>3</w:t>
            </w:r>
            <w:r>
              <w:rPr>
                <w:b/>
                <w:bCs/>
              </w:rPr>
              <w:t>1</w:t>
            </w:r>
            <w:r w:rsidR="00C634F2">
              <w:rPr>
                <w:b/>
                <w:bCs/>
              </w:rPr>
              <w:t>72</w:t>
            </w:r>
            <w:r w:rsidR="00264A8C">
              <w:rPr>
                <w:b/>
                <w:bCs/>
              </w:rPr>
              <w:t>-</w:t>
            </w:r>
            <w:proofErr w:type="spellStart"/>
            <w:r w:rsidR="00C634F2">
              <w:rPr>
                <w:b/>
                <w:bCs/>
              </w:rPr>
              <w:t>LM</w:t>
            </w:r>
            <w:r w:rsidR="00264A8C">
              <w:rPr>
                <w:b/>
                <w:bCs/>
              </w:rPr>
              <w:t>A</w:t>
            </w:r>
            <w:proofErr w:type="spellEnd"/>
            <w:r>
              <w:rPr>
                <w:b/>
                <w:bCs/>
              </w:rPr>
              <w:t xml:space="preserve"> </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ED6419">
            <w:pPr>
              <w:rPr>
                <w:b/>
                <w:bCs/>
              </w:rPr>
            </w:pPr>
            <w:bookmarkStart w:id="5" w:name="title"/>
            <w:bookmarkEnd w:id="5"/>
            <w:r>
              <w:rPr>
                <w:b/>
                <w:bCs/>
              </w:rPr>
              <w:t xml:space="preserve">                                                               DECISION</w:t>
            </w:r>
          </w:p>
        </w:tc>
      </w:tr>
    </w:tbl>
    <w:p w:rsidR="003D3B12" w:rsidRDefault="003D3B12">
      <w:pPr>
        <w:spacing w:line="480" w:lineRule="auto"/>
      </w:pPr>
    </w:p>
    <w:p w:rsidR="00C634F2" w:rsidRPr="00C634F2" w:rsidRDefault="00C634F2" w:rsidP="00C634F2">
      <w:pPr>
        <w:spacing w:line="480" w:lineRule="auto"/>
        <w:jc w:val="center"/>
        <w:rPr>
          <w:b/>
        </w:rPr>
      </w:pPr>
      <w:r w:rsidRPr="00C634F2">
        <w:rPr>
          <w:b/>
        </w:rPr>
        <w:t>I.  Introduction</w:t>
      </w:r>
    </w:p>
    <w:p w:rsidR="00A27DF5" w:rsidRDefault="00A27DF5" w:rsidP="00C45B5D">
      <w:pPr>
        <w:spacing w:line="480" w:lineRule="auto"/>
        <w:ind w:firstLine="720"/>
      </w:pPr>
      <w:r w:rsidRPr="00A27DF5">
        <w:t xml:space="preserve">In this contested disciplinary proceeding, respondent </w:t>
      </w:r>
      <w:r w:rsidRPr="00A27DF5">
        <w:rPr>
          <w:b/>
        </w:rPr>
        <w:t xml:space="preserve">Robert Michael </w:t>
      </w:r>
      <w:proofErr w:type="spellStart"/>
      <w:r w:rsidRPr="00A27DF5">
        <w:rPr>
          <w:b/>
        </w:rPr>
        <w:t>Yaspan</w:t>
      </w:r>
      <w:proofErr w:type="spellEnd"/>
      <w:r w:rsidRPr="00A27DF5">
        <w:t xml:space="preserve"> is charged </w:t>
      </w:r>
      <w:r>
        <w:t>with one count of</w:t>
      </w:r>
      <w:r w:rsidRPr="00A27DF5">
        <w:t xml:space="preserve"> violating rule 3-</w:t>
      </w:r>
      <w:r>
        <w:t>3</w:t>
      </w:r>
      <w:r w:rsidRPr="00A27DF5">
        <w:t>10(</w:t>
      </w:r>
      <w:r>
        <w:t>C</w:t>
      </w:r>
      <w:r w:rsidRPr="00A27DF5">
        <w:t>)</w:t>
      </w:r>
      <w:r>
        <w:t>(2)</w:t>
      </w:r>
      <w:r w:rsidRPr="00A27DF5">
        <w:t xml:space="preserve"> of the State Bar Rules of Professional Conduct (</w:t>
      </w:r>
      <w:r w:rsidR="009E79E6">
        <w:t>avoiding actual conflict</w:t>
      </w:r>
      <w:r w:rsidR="00A3210D">
        <w:t>s</w:t>
      </w:r>
      <w:r w:rsidR="009E79E6">
        <w:t xml:space="preserve"> of interests</w:t>
      </w:r>
      <w:r w:rsidR="00A3210D">
        <w:t xml:space="preserve"> among multiple clients</w:t>
      </w:r>
      <w:r w:rsidR="009E79E6">
        <w:t>)</w:t>
      </w:r>
      <w:r w:rsidRPr="00A27DF5">
        <w:t xml:space="preserve">.  The Office of the Chief Trial Counsel of the State Bar of California (State Bar) has the burden of proving </w:t>
      </w:r>
      <w:r w:rsidR="00A3210D">
        <w:t>the</w:t>
      </w:r>
      <w:r w:rsidRPr="00A27DF5">
        <w:t xml:space="preserve"> afore-cited charge by clear and convincing evidence.  Because the</w:t>
      </w:r>
      <w:r w:rsidR="00A3210D">
        <w:t xml:space="preserve"> </w:t>
      </w:r>
      <w:r w:rsidRPr="00A27DF5">
        <w:t>evidence</w:t>
      </w:r>
      <w:r w:rsidR="00A3210D">
        <w:t xml:space="preserve"> presented by the State Bar </w:t>
      </w:r>
      <w:r w:rsidRPr="00A27DF5">
        <w:t xml:space="preserve">falls short of satisfying that standard, this court finds respondent not culpable of </w:t>
      </w:r>
      <w:r w:rsidR="00A3210D">
        <w:t>the</w:t>
      </w:r>
      <w:r w:rsidR="000E52DB">
        <w:t xml:space="preserve"> single</w:t>
      </w:r>
      <w:r w:rsidR="00A3210D">
        <w:t xml:space="preserve"> count with which he is charged</w:t>
      </w:r>
      <w:r w:rsidRPr="00A27DF5">
        <w:t xml:space="preserve"> and dismisses the proceeding against him with prejudice.</w:t>
      </w:r>
    </w:p>
    <w:p w:rsidR="006D6FFF" w:rsidRDefault="006D6FFF" w:rsidP="00C45B5D">
      <w:pPr>
        <w:spacing w:line="480" w:lineRule="auto"/>
        <w:ind w:firstLine="720"/>
      </w:pPr>
    </w:p>
    <w:p w:rsidR="006D6FFF" w:rsidRDefault="006D6FFF" w:rsidP="00C45B5D">
      <w:pPr>
        <w:spacing w:line="480" w:lineRule="auto"/>
        <w:ind w:firstLine="720"/>
      </w:pPr>
    </w:p>
    <w:p w:rsidR="006D6FFF" w:rsidRDefault="006D6FFF" w:rsidP="00C45B5D">
      <w:pPr>
        <w:spacing w:line="480" w:lineRule="auto"/>
        <w:ind w:firstLine="720"/>
      </w:pPr>
    </w:p>
    <w:p w:rsidR="006D6FFF" w:rsidRDefault="006D6FFF" w:rsidP="00C45B5D">
      <w:pPr>
        <w:spacing w:line="480" w:lineRule="auto"/>
        <w:ind w:firstLine="720"/>
      </w:pPr>
    </w:p>
    <w:p w:rsidR="006D6FFF" w:rsidRDefault="00472004" w:rsidP="006D6FFF">
      <w:pPr>
        <w:pStyle w:val="Header"/>
        <w:spacing w:line="480" w:lineRule="auto"/>
        <w:jc w:val="center"/>
        <w:rPr>
          <w:b/>
        </w:rPr>
      </w:pPr>
      <w:r w:rsidRPr="00472004">
        <w:rPr>
          <w:b/>
        </w:rPr>
        <w:lastRenderedPageBreak/>
        <w:t>II</w:t>
      </w:r>
      <w:proofErr w:type="gramStart"/>
      <w:r w:rsidRPr="00472004">
        <w:rPr>
          <w:b/>
        </w:rPr>
        <w:t>.  Pertinent</w:t>
      </w:r>
      <w:proofErr w:type="gramEnd"/>
      <w:r w:rsidRPr="00472004">
        <w:rPr>
          <w:b/>
        </w:rPr>
        <w:t xml:space="preserve"> Procedural History</w:t>
      </w:r>
    </w:p>
    <w:p w:rsidR="006D6FFF" w:rsidRDefault="00CB6471" w:rsidP="006D6FFF">
      <w:pPr>
        <w:pStyle w:val="Header"/>
        <w:spacing w:line="480" w:lineRule="auto"/>
        <w:ind w:firstLine="720"/>
      </w:pPr>
      <w:r>
        <w:t>On December 22, 2008, the State Bar filed and properly served on respondent a six-count Notice of Disciplinary Charges (</w:t>
      </w:r>
      <w:proofErr w:type="spellStart"/>
      <w:r>
        <w:t>NDC</w:t>
      </w:r>
      <w:proofErr w:type="spellEnd"/>
      <w:r>
        <w:t>).</w:t>
      </w:r>
      <w:r>
        <w:rPr>
          <w:rStyle w:val="FootnoteReference"/>
        </w:rPr>
        <w:footnoteReference w:id="1"/>
      </w:r>
      <w:r>
        <w:t xml:space="preserve">  On February 9, 2009, respondent filed a response to the </w:t>
      </w:r>
      <w:proofErr w:type="spellStart"/>
      <w:r>
        <w:t>NDC</w:t>
      </w:r>
      <w:proofErr w:type="spellEnd"/>
      <w:r>
        <w:t>.  Approximately six months later, on</w:t>
      </w:r>
      <w:r w:rsidR="008628CE">
        <w:t xml:space="preserve"> July 14, 2009, the State Bar filed a motion to amend the </w:t>
      </w:r>
      <w:proofErr w:type="spellStart"/>
      <w:r w:rsidR="008628CE">
        <w:t>NDC</w:t>
      </w:r>
      <w:proofErr w:type="spellEnd"/>
      <w:r w:rsidR="008628CE">
        <w:t xml:space="preserve"> “on the grounds of insufficient evidence for Counts One, Two, Three, Five, and Six, and in the furtherance of justice for Count Four.”</w:t>
      </w:r>
    </w:p>
    <w:p w:rsidR="00CB6471" w:rsidRDefault="008628CE" w:rsidP="006D6FFF">
      <w:pPr>
        <w:pStyle w:val="Header"/>
        <w:spacing w:line="480" w:lineRule="auto"/>
        <w:ind w:firstLine="720"/>
      </w:pPr>
      <w:r>
        <w:t xml:space="preserve">The First Amended Notice of Disciplinary Charges (First Amended </w:t>
      </w:r>
      <w:proofErr w:type="spellStart"/>
      <w:r>
        <w:t>NDC</w:t>
      </w:r>
      <w:proofErr w:type="spellEnd"/>
      <w:r>
        <w:t>), which was filed</w:t>
      </w:r>
      <w:r w:rsidR="00D85D3C">
        <w:t xml:space="preserve"> on July 29, 2009, consists of one count, not alleged in the original six-count </w:t>
      </w:r>
      <w:proofErr w:type="spellStart"/>
      <w:r w:rsidR="00D85D3C">
        <w:t>NDC</w:t>
      </w:r>
      <w:proofErr w:type="spellEnd"/>
      <w:r w:rsidR="00D85D3C">
        <w:t xml:space="preserve">.  The new count in the First Amended </w:t>
      </w:r>
      <w:proofErr w:type="spellStart"/>
      <w:r w:rsidR="00D85D3C">
        <w:t>NDC</w:t>
      </w:r>
      <w:proofErr w:type="spellEnd"/>
      <w:r w:rsidR="00D85D3C">
        <w:t xml:space="preserve"> alleges that respondent</w:t>
      </w:r>
      <w:r w:rsidR="00F84974">
        <w:t xml:space="preserve"> violated rule 3-310(C</w:t>
      </w:r>
      <w:proofErr w:type="gramStart"/>
      <w:r w:rsidR="00F84974">
        <w:t>)(</w:t>
      </w:r>
      <w:proofErr w:type="gramEnd"/>
      <w:r w:rsidR="00F84974">
        <w:t>2)of the State Bar Rules of Professional Conduct by</w:t>
      </w:r>
      <w:r w:rsidR="00D85D3C">
        <w:t xml:space="preserve"> represent</w:t>
      </w:r>
      <w:r w:rsidR="00F84974">
        <w:t>ing</w:t>
      </w:r>
      <w:r w:rsidR="00D85D3C">
        <w:t xml:space="preserve"> two clients, who had an actual conflict of interest for which a waiver was not obtained.  </w:t>
      </w:r>
    </w:p>
    <w:p w:rsidR="00CB6471" w:rsidRDefault="00CB6471" w:rsidP="00CB6471">
      <w:pPr>
        <w:pStyle w:val="Header"/>
        <w:spacing w:line="480" w:lineRule="auto"/>
        <w:ind w:firstLine="720"/>
      </w:pPr>
      <w:r>
        <w:t xml:space="preserve">On August 21, 2009, the parties filed a factual stipulation.  </w:t>
      </w:r>
    </w:p>
    <w:p w:rsidR="00C13E85" w:rsidRDefault="00CB6471" w:rsidP="00CB6471">
      <w:pPr>
        <w:pStyle w:val="Header"/>
        <w:spacing w:line="480" w:lineRule="auto"/>
        <w:ind w:firstLine="720"/>
      </w:pPr>
      <w:r>
        <w:tab/>
        <w:t xml:space="preserve">A one-day trial was held on August 21, 2009.  David A. Clare represented </w:t>
      </w:r>
      <w:r w:rsidR="00C13E85">
        <w:t>r</w:t>
      </w:r>
      <w:r>
        <w:t>espondent.  Deputy Trial Counsel (</w:t>
      </w:r>
      <w:proofErr w:type="spellStart"/>
      <w:r>
        <w:t>DTC</w:t>
      </w:r>
      <w:proofErr w:type="spellEnd"/>
      <w:r>
        <w:t>) Larry DeSha represented the State Bar.</w:t>
      </w:r>
    </w:p>
    <w:p w:rsidR="00CB6471" w:rsidRDefault="00126BB8" w:rsidP="00CB6471">
      <w:pPr>
        <w:pStyle w:val="Header"/>
        <w:spacing w:line="480" w:lineRule="auto"/>
        <w:ind w:firstLine="720"/>
      </w:pPr>
      <w:r>
        <w:t>On September 21, 2009, a</w:t>
      </w:r>
      <w:r w:rsidR="00CB6471">
        <w:t>fter the parties presented their closing arguments</w:t>
      </w:r>
      <w:r w:rsidR="00C13E85">
        <w:t>, the court took this matter under submission for decision</w:t>
      </w:r>
      <w:r w:rsidR="00CB6471">
        <w:t>.</w:t>
      </w:r>
    </w:p>
    <w:p w:rsidR="00BF3535" w:rsidRPr="00BF3535" w:rsidRDefault="00BF3535" w:rsidP="00BF3535">
      <w:pPr>
        <w:pStyle w:val="Header"/>
        <w:spacing w:line="480" w:lineRule="auto"/>
        <w:jc w:val="center"/>
        <w:rPr>
          <w:b/>
        </w:rPr>
      </w:pPr>
      <w:r w:rsidRPr="00BF3535">
        <w:rPr>
          <w:b/>
        </w:rPr>
        <w:t>III</w:t>
      </w:r>
      <w:proofErr w:type="gramStart"/>
      <w:r>
        <w:rPr>
          <w:b/>
        </w:rPr>
        <w:t>.</w:t>
      </w:r>
      <w:r w:rsidR="00720AA1">
        <w:rPr>
          <w:b/>
        </w:rPr>
        <w:t xml:space="preserve"> </w:t>
      </w:r>
      <w:r w:rsidRPr="00BF3535">
        <w:rPr>
          <w:b/>
        </w:rPr>
        <w:t xml:space="preserve"> Findings</w:t>
      </w:r>
      <w:proofErr w:type="gramEnd"/>
      <w:r w:rsidRPr="00BF3535">
        <w:rPr>
          <w:b/>
        </w:rPr>
        <w:t xml:space="preserve"> of Fact and Conclusions of Law</w:t>
      </w:r>
    </w:p>
    <w:p w:rsidR="00126BB8" w:rsidRDefault="00126BB8" w:rsidP="009E10D4">
      <w:pPr>
        <w:pStyle w:val="Header"/>
        <w:tabs>
          <w:tab w:val="clear" w:pos="4320"/>
          <w:tab w:val="clear" w:pos="8640"/>
        </w:tabs>
        <w:spacing w:line="480" w:lineRule="auto"/>
        <w:ind w:firstLine="720"/>
      </w:pPr>
      <w:r>
        <w:t xml:space="preserve">The following findings of fact are based on the evidence and testimony introduced at this proceeding and on the parties’ factual stipulation.  In this proceeding, </w:t>
      </w:r>
      <w:r w:rsidR="007158A7">
        <w:t>the State Bar called respondent as its only witness.  R</w:t>
      </w:r>
      <w:r>
        <w:t>espondent</w:t>
      </w:r>
      <w:r w:rsidR="009E10D4">
        <w:t>, who</w:t>
      </w:r>
      <w:r w:rsidR="007158A7">
        <w:t xml:space="preserve"> </w:t>
      </w:r>
      <w:r>
        <w:t>testified</w:t>
      </w:r>
      <w:r w:rsidR="007158A7">
        <w:t xml:space="preserve"> on his own behalf</w:t>
      </w:r>
      <w:r w:rsidR="00715A7B">
        <w:t>,</w:t>
      </w:r>
      <w:r w:rsidR="006D6FFF">
        <w:t xml:space="preserve"> also </w:t>
      </w:r>
      <w:r w:rsidR="009E10D4">
        <w:t>called</w:t>
      </w:r>
      <w:r w:rsidR="007158A7">
        <w:t xml:space="preserve"> Robert </w:t>
      </w:r>
      <w:proofErr w:type="spellStart"/>
      <w:r w:rsidR="007158A7">
        <w:t>Lorsch</w:t>
      </w:r>
      <w:proofErr w:type="spellEnd"/>
      <w:r w:rsidR="007158A7">
        <w:t xml:space="preserve"> as a witness. </w:t>
      </w:r>
      <w:r>
        <w:t xml:space="preserve"> The court f</w:t>
      </w:r>
      <w:r w:rsidR="00331BBE">
        <w:t>inds</w:t>
      </w:r>
      <w:r>
        <w:t xml:space="preserve"> the testimony of respondent and h</w:t>
      </w:r>
      <w:r w:rsidR="007158A7">
        <w:t>is</w:t>
      </w:r>
      <w:r>
        <w:t xml:space="preserve"> witness to be credible.</w:t>
      </w:r>
    </w:p>
    <w:p w:rsidR="001B6381" w:rsidRDefault="001B6381" w:rsidP="007158A7">
      <w:pPr>
        <w:pStyle w:val="Header"/>
        <w:tabs>
          <w:tab w:val="clear" w:pos="4320"/>
          <w:tab w:val="clear" w:pos="8640"/>
        </w:tabs>
        <w:spacing w:line="480" w:lineRule="auto"/>
        <w:rPr>
          <w:b/>
        </w:rPr>
      </w:pPr>
    </w:p>
    <w:p w:rsidR="007158A7" w:rsidRPr="007158A7" w:rsidRDefault="007158A7" w:rsidP="007158A7">
      <w:pPr>
        <w:pStyle w:val="Header"/>
        <w:tabs>
          <w:tab w:val="clear" w:pos="4320"/>
          <w:tab w:val="clear" w:pos="8640"/>
        </w:tabs>
        <w:spacing w:line="480" w:lineRule="auto"/>
        <w:rPr>
          <w:b/>
        </w:rPr>
      </w:pPr>
      <w:r w:rsidRPr="007158A7">
        <w:rPr>
          <w:b/>
        </w:rPr>
        <w:lastRenderedPageBreak/>
        <w:t>A.</w:t>
      </w:r>
      <w:r w:rsidRPr="007158A7">
        <w:rPr>
          <w:b/>
        </w:rPr>
        <w:tab/>
        <w:t>Jurisdiction</w:t>
      </w:r>
    </w:p>
    <w:p w:rsidR="00BF3535" w:rsidRDefault="00126BB8" w:rsidP="007158A7">
      <w:pPr>
        <w:pStyle w:val="Header"/>
        <w:tabs>
          <w:tab w:val="clear" w:pos="4320"/>
          <w:tab w:val="clear" w:pos="8640"/>
        </w:tabs>
        <w:spacing w:line="480" w:lineRule="auto"/>
        <w:ind w:firstLine="720"/>
      </w:pPr>
      <w:r>
        <w:t xml:space="preserve">Respondent was admitted to the practice of law in California on </w:t>
      </w:r>
      <w:r w:rsidR="007158A7">
        <w:t>January 5, 1</w:t>
      </w:r>
      <w:r w:rsidR="000A7A20">
        <w:t>9</w:t>
      </w:r>
      <w:r w:rsidR="007158A7">
        <w:t>72,</w:t>
      </w:r>
      <w:r>
        <w:t xml:space="preserve"> and has been a member of the State Bar of California since that time.</w:t>
      </w:r>
    </w:p>
    <w:p w:rsidR="007158A7" w:rsidRPr="007158A7" w:rsidRDefault="007158A7" w:rsidP="007158A7">
      <w:pPr>
        <w:pStyle w:val="Header"/>
        <w:tabs>
          <w:tab w:val="clear" w:pos="4320"/>
          <w:tab w:val="clear" w:pos="8640"/>
        </w:tabs>
        <w:spacing w:line="480" w:lineRule="auto"/>
        <w:rPr>
          <w:b/>
        </w:rPr>
      </w:pPr>
      <w:r w:rsidRPr="007158A7">
        <w:rPr>
          <w:b/>
        </w:rPr>
        <w:t>B.</w:t>
      </w:r>
      <w:r w:rsidRPr="007158A7">
        <w:rPr>
          <w:b/>
        </w:rPr>
        <w:tab/>
        <w:t>Findings of Fact</w:t>
      </w:r>
    </w:p>
    <w:p w:rsidR="00B01AA0" w:rsidRDefault="00B01AA0" w:rsidP="00B21647">
      <w:pPr>
        <w:pStyle w:val="Header"/>
        <w:spacing w:line="480" w:lineRule="auto"/>
        <w:ind w:firstLine="720"/>
      </w:pPr>
      <w:r>
        <w:t xml:space="preserve">In or about 2002, Robert </w:t>
      </w:r>
      <w:proofErr w:type="spellStart"/>
      <w:r>
        <w:t>Lorsch</w:t>
      </w:r>
      <w:proofErr w:type="spellEnd"/>
      <w:r>
        <w:t xml:space="preserve"> (</w:t>
      </w:r>
      <w:proofErr w:type="spellStart"/>
      <w:r>
        <w:t>Lorsch</w:t>
      </w:r>
      <w:proofErr w:type="spellEnd"/>
      <w:r>
        <w:t>) a highly successful businessman met respondent at a hearing</w:t>
      </w:r>
      <w:r w:rsidR="00715A7B">
        <w:t>.  R</w:t>
      </w:r>
      <w:r>
        <w:t>espondent represented the developer in a dispute with a homeowners’ association</w:t>
      </w:r>
      <w:r w:rsidR="006642AA">
        <w:t>;</w:t>
      </w:r>
      <w:r>
        <w:t xml:space="preserve"> </w:t>
      </w:r>
      <w:proofErr w:type="spellStart"/>
      <w:r>
        <w:t>Lorsch</w:t>
      </w:r>
      <w:proofErr w:type="spellEnd"/>
      <w:r>
        <w:t xml:space="preserve"> was the chairman</w:t>
      </w:r>
      <w:r w:rsidR="006642AA">
        <w:t xml:space="preserve"> of the homeowners’ association</w:t>
      </w:r>
      <w:r>
        <w:t xml:space="preserve">.  </w:t>
      </w:r>
      <w:proofErr w:type="spellStart"/>
      <w:r>
        <w:t>Lorsch</w:t>
      </w:r>
      <w:proofErr w:type="spellEnd"/>
      <w:r>
        <w:t>, who was impressed by respondent, retained respondent to represent a business entity that he owned and controlled in</w:t>
      </w:r>
      <w:r w:rsidR="001B6381">
        <w:t xml:space="preserve"> </w:t>
      </w:r>
      <w:r>
        <w:t xml:space="preserve">2002.  Respondent, however, was not retained by </w:t>
      </w:r>
      <w:proofErr w:type="spellStart"/>
      <w:r>
        <w:t>Lorsch</w:t>
      </w:r>
      <w:proofErr w:type="spellEnd"/>
      <w:r>
        <w:t xml:space="preserve"> in his individual capacity for any purpose in 2002.</w:t>
      </w:r>
    </w:p>
    <w:p w:rsidR="00B21647" w:rsidRDefault="00B21647" w:rsidP="00B21647">
      <w:pPr>
        <w:pStyle w:val="Header"/>
        <w:spacing w:line="480" w:lineRule="auto"/>
        <w:ind w:firstLine="720"/>
      </w:pPr>
      <w:r>
        <w:t xml:space="preserve">On March 26, 2002, attorney J. Rivers (Rivers) filed a civil rights lawsuit in federal court on behalf of Cynthia </w:t>
      </w:r>
      <w:proofErr w:type="spellStart"/>
      <w:r>
        <w:t>Truhan</w:t>
      </w:r>
      <w:proofErr w:type="spellEnd"/>
      <w:r>
        <w:t xml:space="preserve"> (</w:t>
      </w:r>
      <w:proofErr w:type="spellStart"/>
      <w:r>
        <w:t>Truhan</w:t>
      </w:r>
      <w:proofErr w:type="spellEnd"/>
      <w:r>
        <w:t xml:space="preserve">).  Rivers and </w:t>
      </w:r>
      <w:proofErr w:type="spellStart"/>
      <w:r>
        <w:t>Truhan</w:t>
      </w:r>
      <w:proofErr w:type="spellEnd"/>
      <w:r>
        <w:t xml:space="preserve"> had a contingency fee agreement, which </w:t>
      </w:r>
      <w:r w:rsidR="000E52DB">
        <w:t xml:space="preserve">provided that </w:t>
      </w:r>
      <w:r>
        <w:t>Rivers</w:t>
      </w:r>
      <w:r w:rsidR="000E52DB">
        <w:t xml:space="preserve"> would be paid </w:t>
      </w:r>
      <w:r>
        <w:t xml:space="preserve">45% of </w:t>
      </w:r>
      <w:r w:rsidR="00A811BB">
        <w:t>the</w:t>
      </w:r>
      <w:r>
        <w:t xml:space="preserve"> funds</w:t>
      </w:r>
      <w:r w:rsidR="00A811BB">
        <w:t xml:space="preserve"> recovered</w:t>
      </w:r>
      <w:r>
        <w:t>.</w:t>
      </w:r>
    </w:p>
    <w:p w:rsidR="00B21647" w:rsidRDefault="00B21647" w:rsidP="00A811BB">
      <w:pPr>
        <w:pStyle w:val="Header"/>
        <w:spacing w:line="480" w:lineRule="auto"/>
        <w:ind w:firstLine="720"/>
      </w:pPr>
      <w:r>
        <w:t xml:space="preserve">In June 2002, </w:t>
      </w:r>
      <w:proofErr w:type="spellStart"/>
      <w:r w:rsidR="000E52DB">
        <w:t>Truhan</w:t>
      </w:r>
      <w:proofErr w:type="spellEnd"/>
      <w:r w:rsidR="000E52DB">
        <w:t xml:space="preserve"> </w:t>
      </w:r>
      <w:r>
        <w:t>became engaged to marry</w:t>
      </w:r>
      <w:r w:rsidR="000E52DB">
        <w:t xml:space="preserve"> </w:t>
      </w:r>
      <w:proofErr w:type="spellStart"/>
      <w:r w:rsidR="000E52DB">
        <w:t>Lorsch</w:t>
      </w:r>
      <w:proofErr w:type="spellEnd"/>
      <w:r w:rsidR="00B01AA0">
        <w:t xml:space="preserve">.  </w:t>
      </w:r>
      <w:r>
        <w:t xml:space="preserve">In July 2002, </w:t>
      </w:r>
      <w:proofErr w:type="spellStart"/>
      <w:r>
        <w:t>Lorsch</w:t>
      </w:r>
      <w:proofErr w:type="spellEnd"/>
      <w:r>
        <w:t xml:space="preserve"> and </w:t>
      </w:r>
      <w:proofErr w:type="spellStart"/>
      <w:r>
        <w:t>Truhan</w:t>
      </w:r>
      <w:proofErr w:type="spellEnd"/>
      <w:r>
        <w:t xml:space="preserve"> entered into an oral agreement</w:t>
      </w:r>
      <w:r w:rsidR="00A811BB">
        <w:t>,</w:t>
      </w:r>
      <w:r>
        <w:t xml:space="preserve"> whereby </w:t>
      </w:r>
      <w:proofErr w:type="spellStart"/>
      <w:r>
        <w:t>Lorsch</w:t>
      </w:r>
      <w:proofErr w:type="spellEnd"/>
      <w:r w:rsidR="00A811BB">
        <w:t xml:space="preserve"> </w:t>
      </w:r>
      <w:r>
        <w:t xml:space="preserve">would advance funds for </w:t>
      </w:r>
      <w:proofErr w:type="spellStart"/>
      <w:r>
        <w:t>Truhan</w:t>
      </w:r>
      <w:r w:rsidR="00A811BB">
        <w:t>’</w:t>
      </w:r>
      <w:r>
        <w:t>s</w:t>
      </w:r>
      <w:proofErr w:type="spellEnd"/>
      <w:r>
        <w:t xml:space="preserve"> attorney fees and costs in several civil litigation matters in which </w:t>
      </w:r>
      <w:proofErr w:type="spellStart"/>
      <w:r>
        <w:t>Truhan</w:t>
      </w:r>
      <w:proofErr w:type="spellEnd"/>
      <w:r>
        <w:t xml:space="preserve"> was a party</w:t>
      </w:r>
      <w:r w:rsidR="00085C68">
        <w:t xml:space="preserve">; </w:t>
      </w:r>
      <w:proofErr w:type="spellStart"/>
      <w:r>
        <w:t>Lorsch</w:t>
      </w:r>
      <w:proofErr w:type="spellEnd"/>
      <w:r>
        <w:t xml:space="preserve"> would</w:t>
      </w:r>
      <w:r w:rsidR="00085C68">
        <w:t xml:space="preserve"> also</w:t>
      </w:r>
      <w:r>
        <w:t xml:space="preserve"> act as </w:t>
      </w:r>
      <w:proofErr w:type="spellStart"/>
      <w:r>
        <w:t>Truhan</w:t>
      </w:r>
      <w:r w:rsidR="00A811BB">
        <w:t>’</w:t>
      </w:r>
      <w:r>
        <w:t>s</w:t>
      </w:r>
      <w:proofErr w:type="spellEnd"/>
      <w:r>
        <w:t xml:space="preserve"> </w:t>
      </w:r>
      <w:r w:rsidR="00085C68">
        <w:t>“</w:t>
      </w:r>
      <w:r>
        <w:t>case manager</w:t>
      </w:r>
      <w:r w:rsidR="00085C68">
        <w:t>”</w:t>
      </w:r>
      <w:r>
        <w:t xml:space="preserve"> </w:t>
      </w:r>
      <w:r w:rsidR="00085C68">
        <w:t xml:space="preserve">for those </w:t>
      </w:r>
      <w:r>
        <w:t>cases</w:t>
      </w:r>
      <w:r w:rsidR="00085C68">
        <w:t xml:space="preserve">.  While </w:t>
      </w:r>
      <w:proofErr w:type="spellStart"/>
      <w:r w:rsidR="00085C68">
        <w:t>Lorsch’s</w:t>
      </w:r>
      <w:proofErr w:type="spellEnd"/>
      <w:r>
        <w:t xml:space="preserve"> duties</w:t>
      </w:r>
      <w:r w:rsidR="00085C68">
        <w:t xml:space="preserve"> were </w:t>
      </w:r>
      <w:r>
        <w:t>not clearly defined</w:t>
      </w:r>
      <w:r w:rsidR="00085C68">
        <w:t>, they did include</w:t>
      </w:r>
      <w:r>
        <w:t xml:space="preserve"> giving advice</w:t>
      </w:r>
      <w:r w:rsidR="00085C68">
        <w:t xml:space="preserve"> to </w:t>
      </w:r>
      <w:proofErr w:type="spellStart"/>
      <w:r w:rsidR="00085C68">
        <w:t>Truhan</w:t>
      </w:r>
      <w:proofErr w:type="spellEnd"/>
      <w:r>
        <w:t xml:space="preserve"> on selection of attorneys and other strategic decisions.  In case of a recovery for damages, the oral agreement provided that </w:t>
      </w:r>
      <w:proofErr w:type="spellStart"/>
      <w:r>
        <w:t>Lorsch</w:t>
      </w:r>
      <w:proofErr w:type="spellEnd"/>
      <w:r>
        <w:t xml:space="preserve"> would be repaid for his cash advances on </w:t>
      </w:r>
      <w:proofErr w:type="spellStart"/>
      <w:r>
        <w:t>Truhan</w:t>
      </w:r>
      <w:r w:rsidR="00085C68">
        <w:t>’</w:t>
      </w:r>
      <w:r>
        <w:t>s</w:t>
      </w:r>
      <w:proofErr w:type="spellEnd"/>
      <w:r>
        <w:t xml:space="preserve"> behalf</w:t>
      </w:r>
      <w:r w:rsidR="001F0EE7">
        <w:t xml:space="preserve"> and</w:t>
      </w:r>
      <w:r>
        <w:t xml:space="preserve"> would receive a percentage of the recovery funds after payment of all costs.</w:t>
      </w:r>
    </w:p>
    <w:p w:rsidR="00B21647" w:rsidRDefault="00B21647" w:rsidP="00B21647">
      <w:pPr>
        <w:pStyle w:val="Header"/>
        <w:spacing w:line="480" w:lineRule="auto"/>
        <w:ind w:firstLine="720"/>
      </w:pPr>
      <w:proofErr w:type="spellStart"/>
      <w:r>
        <w:t>Lorsch</w:t>
      </w:r>
      <w:proofErr w:type="spellEnd"/>
      <w:r>
        <w:t xml:space="preserve"> and </w:t>
      </w:r>
      <w:proofErr w:type="spellStart"/>
      <w:r>
        <w:t>Truhan</w:t>
      </w:r>
      <w:proofErr w:type="spellEnd"/>
      <w:r>
        <w:t xml:space="preserve"> orally agreed that any</w:t>
      </w:r>
      <w:r w:rsidR="001F0EE7">
        <w:t xml:space="preserve"> </w:t>
      </w:r>
      <w:r>
        <w:t xml:space="preserve">funds recovered would be used to reimburse </w:t>
      </w:r>
      <w:proofErr w:type="spellStart"/>
      <w:r>
        <w:t>Lorsch</w:t>
      </w:r>
      <w:proofErr w:type="spellEnd"/>
      <w:r>
        <w:t xml:space="preserve"> for the funds he had expended on </w:t>
      </w:r>
      <w:proofErr w:type="spellStart"/>
      <w:r w:rsidR="00A942CD">
        <w:t>Truhan’s</w:t>
      </w:r>
      <w:proofErr w:type="spellEnd"/>
      <w:r>
        <w:t xml:space="preserve"> behalf</w:t>
      </w:r>
      <w:r w:rsidR="00A942CD">
        <w:t xml:space="preserve"> for the federal civil rights lawsuit</w:t>
      </w:r>
      <w:r>
        <w:t xml:space="preserve"> and three other cases</w:t>
      </w:r>
      <w:r w:rsidR="00A942CD">
        <w:t xml:space="preserve">.  </w:t>
      </w:r>
      <w:proofErr w:type="spellStart"/>
      <w:r w:rsidR="00A942CD">
        <w:t>Lorsch</w:t>
      </w:r>
      <w:proofErr w:type="spellEnd"/>
      <w:r w:rsidR="00A942CD">
        <w:t xml:space="preserve"> and </w:t>
      </w:r>
      <w:proofErr w:type="spellStart"/>
      <w:r w:rsidR="00A942CD">
        <w:t>Truhan</w:t>
      </w:r>
      <w:proofErr w:type="spellEnd"/>
      <w:r w:rsidR="00A942CD">
        <w:t xml:space="preserve"> also agreed that any funds recovered would be used </w:t>
      </w:r>
      <w:r w:rsidR="00A942CD">
        <w:lastRenderedPageBreak/>
        <w:t>to</w:t>
      </w:r>
      <w:r>
        <w:t xml:space="preserve"> pay</w:t>
      </w:r>
      <w:r w:rsidR="00A942CD">
        <w:t xml:space="preserve"> </w:t>
      </w:r>
      <w:r>
        <w:t>legal fees still owed on those cases.</w:t>
      </w:r>
      <w:r w:rsidR="001F0EE7">
        <w:t xml:space="preserve"> </w:t>
      </w:r>
      <w:r>
        <w:t xml:space="preserve"> </w:t>
      </w:r>
      <w:r w:rsidR="00A942CD">
        <w:t xml:space="preserve">Additionally, </w:t>
      </w:r>
      <w:proofErr w:type="spellStart"/>
      <w:r>
        <w:t>Lorsch</w:t>
      </w:r>
      <w:proofErr w:type="spellEnd"/>
      <w:r>
        <w:t xml:space="preserve"> would receive 22.5% of </w:t>
      </w:r>
      <w:r w:rsidR="00A942CD">
        <w:t>any</w:t>
      </w:r>
      <w:r>
        <w:t xml:space="preserve"> remaining funds for</w:t>
      </w:r>
      <w:r w:rsidR="00C93D8A">
        <w:t xml:space="preserve"> his</w:t>
      </w:r>
      <w:r>
        <w:t xml:space="preserve"> case management</w:t>
      </w:r>
      <w:r w:rsidR="00A942CD">
        <w:t xml:space="preserve"> services</w:t>
      </w:r>
      <w:r w:rsidR="00C93D8A">
        <w:t>.</w:t>
      </w:r>
    </w:p>
    <w:p w:rsidR="00B21647" w:rsidRDefault="00B21647" w:rsidP="00B21647">
      <w:pPr>
        <w:pStyle w:val="Header"/>
        <w:spacing w:line="480" w:lineRule="auto"/>
        <w:ind w:firstLine="720"/>
      </w:pPr>
      <w:r>
        <w:t xml:space="preserve">By September 2002, </w:t>
      </w:r>
      <w:proofErr w:type="spellStart"/>
      <w:r>
        <w:t>Lorsch</w:t>
      </w:r>
      <w:proofErr w:type="spellEnd"/>
      <w:r>
        <w:t xml:space="preserve"> had reviewed </w:t>
      </w:r>
      <w:proofErr w:type="spellStart"/>
      <w:r>
        <w:t>Truhan</w:t>
      </w:r>
      <w:r w:rsidR="001F0EE7">
        <w:t>’</w:t>
      </w:r>
      <w:r>
        <w:t>s</w:t>
      </w:r>
      <w:proofErr w:type="spellEnd"/>
      <w:r>
        <w:t xml:space="preserve"> federal civil rights case and</w:t>
      </w:r>
      <w:r w:rsidR="001F0EE7">
        <w:t xml:space="preserve"> </w:t>
      </w:r>
      <w:r>
        <w:t xml:space="preserve">had determined that he could arrange a better legal fee deal for </w:t>
      </w:r>
      <w:proofErr w:type="spellStart"/>
      <w:r>
        <w:t>Truhan</w:t>
      </w:r>
      <w:proofErr w:type="spellEnd"/>
      <w:r>
        <w:t>.</w:t>
      </w:r>
      <w:r w:rsidR="001F0EE7">
        <w:t xml:space="preserve"> </w:t>
      </w:r>
      <w:r>
        <w:t xml:space="preserve"> He recommended to </w:t>
      </w:r>
      <w:proofErr w:type="spellStart"/>
      <w:r>
        <w:t>Truhan</w:t>
      </w:r>
      <w:proofErr w:type="spellEnd"/>
      <w:r>
        <w:t xml:space="preserve"> that they negotiate a new contract with Rivers and hire </w:t>
      </w:r>
      <w:r w:rsidR="001F0EE7">
        <w:t>r</w:t>
      </w:r>
      <w:r>
        <w:t xml:space="preserve">espondent to (1) assist Rivers as needed and (2) disburse any funds recovered for the case.  </w:t>
      </w:r>
      <w:proofErr w:type="spellStart"/>
      <w:r>
        <w:t>Truhan</w:t>
      </w:r>
      <w:proofErr w:type="spellEnd"/>
      <w:r>
        <w:t xml:space="preserve"> then hired </w:t>
      </w:r>
      <w:r w:rsidR="001F0EE7">
        <w:t>r</w:t>
      </w:r>
      <w:r>
        <w:t>espondent on or about September 15, 2002</w:t>
      </w:r>
      <w:r w:rsidR="001F0EE7">
        <w:t>,</w:t>
      </w:r>
      <w:r>
        <w:t xml:space="preserve"> </w:t>
      </w:r>
      <w:r w:rsidRPr="006642AA">
        <w:t>on an hourly rate basis</w:t>
      </w:r>
      <w:r>
        <w:t>.</w:t>
      </w:r>
    </w:p>
    <w:p w:rsidR="00B21647" w:rsidRDefault="00B21647" w:rsidP="00B21647">
      <w:pPr>
        <w:pStyle w:val="Header"/>
        <w:spacing w:line="480" w:lineRule="auto"/>
        <w:ind w:firstLine="720"/>
      </w:pPr>
      <w:r>
        <w:tab/>
      </w:r>
      <w:proofErr w:type="spellStart"/>
      <w:r>
        <w:t>Lorsch</w:t>
      </w:r>
      <w:proofErr w:type="spellEnd"/>
      <w:r>
        <w:t xml:space="preserve"> negotiated a new fee agreement with Rivers, whereby Rivers accepted</w:t>
      </w:r>
      <w:r w:rsidR="001F0EE7">
        <w:t xml:space="preserve"> </w:t>
      </w:r>
      <w:r>
        <w:t>cash in exchange for reducing his contingency fee from 45% to 17.5% of the recovery after costs.</w:t>
      </w:r>
    </w:p>
    <w:p w:rsidR="004F63E3" w:rsidRDefault="00B21647" w:rsidP="00B21647">
      <w:pPr>
        <w:pStyle w:val="Header"/>
        <w:spacing w:line="480" w:lineRule="auto"/>
        <w:ind w:firstLine="720"/>
      </w:pPr>
      <w:r>
        <w:t xml:space="preserve">On October 21, 2002, Rivers sent the new retainer agreement to </w:t>
      </w:r>
      <w:proofErr w:type="spellStart"/>
      <w:r>
        <w:t>Truhan</w:t>
      </w:r>
      <w:proofErr w:type="spellEnd"/>
      <w:r>
        <w:t xml:space="preserve"> for her signature.  The retainer agreement provided that</w:t>
      </w:r>
      <w:r w:rsidR="00C2511F">
        <w:t xml:space="preserve"> any funds recovered would be paid into respondent’s </w:t>
      </w:r>
      <w:r w:rsidR="00BC57B6">
        <w:t>client trust ac</w:t>
      </w:r>
      <w:r w:rsidR="00C2511F">
        <w:t xml:space="preserve">count; and respondent would disburse the funds recovered as described in the agreement.  </w:t>
      </w:r>
      <w:r w:rsidR="00FD35EA">
        <w:t>Pursuant to the</w:t>
      </w:r>
      <w:r w:rsidR="00C2511F">
        <w:t xml:space="preserve"> retainer agreement</w:t>
      </w:r>
      <w:r>
        <w:t xml:space="preserve"> recovered funds</w:t>
      </w:r>
      <w:r w:rsidR="00FD35EA">
        <w:t xml:space="preserve"> </w:t>
      </w:r>
      <w:r>
        <w:t xml:space="preserve">would be used </w:t>
      </w:r>
      <w:r w:rsidR="00C93D8A">
        <w:t xml:space="preserve">first </w:t>
      </w:r>
      <w:r>
        <w:t xml:space="preserve">to reimburse costs incurred, </w:t>
      </w:r>
      <w:r w:rsidR="001F0EE7">
        <w:t xml:space="preserve">respondent’s </w:t>
      </w:r>
      <w:r>
        <w:t xml:space="preserve">legal fees, </w:t>
      </w:r>
      <w:r w:rsidR="001F0EE7">
        <w:t>another attorney’s l</w:t>
      </w:r>
      <w:r>
        <w:t>egal fees</w:t>
      </w:r>
      <w:r w:rsidR="001F0EE7">
        <w:t>,</w:t>
      </w:r>
      <w:r>
        <w:t xml:space="preserve"> and payments to </w:t>
      </w:r>
      <w:proofErr w:type="spellStart"/>
      <w:r>
        <w:t>Lorsch</w:t>
      </w:r>
      <w:proofErr w:type="spellEnd"/>
      <w:r>
        <w:t xml:space="preserve"> for his</w:t>
      </w:r>
      <w:r w:rsidR="001F0EE7">
        <w:t xml:space="preserve"> time incurred,</w:t>
      </w:r>
      <w:r>
        <w:t xml:space="preserve"> consulting services,</w:t>
      </w:r>
      <w:r w:rsidR="001F0EE7">
        <w:t xml:space="preserve"> and </w:t>
      </w:r>
      <w:r>
        <w:t>funds</w:t>
      </w:r>
      <w:r w:rsidR="001F0EE7">
        <w:t xml:space="preserve"> he had</w:t>
      </w:r>
      <w:r>
        <w:t xml:space="preserve"> advanced.  After those payments</w:t>
      </w:r>
      <w:r w:rsidR="00027250">
        <w:t xml:space="preserve"> were made</w:t>
      </w:r>
      <w:r>
        <w:t xml:space="preserve">, </w:t>
      </w:r>
      <w:r w:rsidR="00027250">
        <w:t>17.5% of the</w:t>
      </w:r>
      <w:r>
        <w:t xml:space="preserve"> balance would be </w:t>
      </w:r>
      <w:r w:rsidR="00C2511F">
        <w:t>disbursed</w:t>
      </w:r>
      <w:r>
        <w:t xml:space="preserve"> to Rivers.  </w:t>
      </w:r>
    </w:p>
    <w:p w:rsidR="00B21647" w:rsidRDefault="004F63E3" w:rsidP="004F63E3">
      <w:pPr>
        <w:pStyle w:val="Header"/>
        <w:tabs>
          <w:tab w:val="clear" w:pos="4320"/>
          <w:tab w:val="clear" w:pos="8640"/>
        </w:tabs>
        <w:spacing w:line="480" w:lineRule="auto"/>
        <w:ind w:firstLine="720"/>
      </w:pPr>
      <w:proofErr w:type="spellStart"/>
      <w:r>
        <w:t>T</w:t>
      </w:r>
      <w:r w:rsidR="00B21647">
        <w:t>ruhan</w:t>
      </w:r>
      <w:proofErr w:type="spellEnd"/>
      <w:r w:rsidR="00B21647">
        <w:t xml:space="preserve"> subsequently instructed </w:t>
      </w:r>
      <w:r w:rsidR="0031681F">
        <w:t>r</w:t>
      </w:r>
      <w:r w:rsidR="00B21647">
        <w:t xml:space="preserve">espondent to modify the fee agreement </w:t>
      </w:r>
      <w:r w:rsidR="00E96B91">
        <w:t>to reflect</w:t>
      </w:r>
      <w:r w:rsidR="00C93D8A">
        <w:t xml:space="preserve"> the</w:t>
      </w:r>
      <w:r w:rsidR="00E96B91">
        <w:t xml:space="preserve"> oral agreement she had made with </w:t>
      </w:r>
      <w:proofErr w:type="spellStart"/>
      <w:r w:rsidR="00E96B91">
        <w:t>Lorsch</w:t>
      </w:r>
      <w:proofErr w:type="spellEnd"/>
      <w:r w:rsidR="00E96B91">
        <w:t xml:space="preserve">, </w:t>
      </w:r>
      <w:r w:rsidR="0008776B">
        <w:t>i.e., to</w:t>
      </w:r>
      <w:r w:rsidR="00E96B91">
        <w:t xml:space="preserve"> </w:t>
      </w:r>
      <w:r w:rsidR="00B21647">
        <w:t>defin</w:t>
      </w:r>
      <w:r w:rsidR="00BC57B6">
        <w:t xml:space="preserve">e </w:t>
      </w:r>
      <w:r w:rsidR="00B21647">
        <w:t xml:space="preserve">the </w:t>
      </w:r>
      <w:r w:rsidR="0031681F">
        <w:t>“</w:t>
      </w:r>
      <w:r w:rsidR="00B21647">
        <w:t>case management fee</w:t>
      </w:r>
      <w:r w:rsidR="0031681F">
        <w:t xml:space="preserve">” to be paid to </w:t>
      </w:r>
      <w:proofErr w:type="spellStart"/>
      <w:r w:rsidR="0031681F">
        <w:t>Lorsch</w:t>
      </w:r>
      <w:proofErr w:type="spellEnd"/>
      <w:r w:rsidR="0031681F">
        <w:t xml:space="preserve"> </w:t>
      </w:r>
      <w:r w:rsidR="00B21647">
        <w:t>as</w:t>
      </w:r>
      <w:r w:rsidR="0031681F">
        <w:t xml:space="preserve"> a contingency fee amounting to</w:t>
      </w:r>
      <w:r w:rsidR="00B21647">
        <w:t xml:space="preserve"> 22.5% of the recovery after deductions for costs and non-contingent legal fees owed on the federal case and three other lawsuits.</w:t>
      </w:r>
    </w:p>
    <w:p w:rsidR="00B21647" w:rsidRDefault="00E7102C" w:rsidP="00E14392">
      <w:pPr>
        <w:pStyle w:val="Header"/>
        <w:tabs>
          <w:tab w:val="clear" w:pos="4320"/>
          <w:tab w:val="clear" w:pos="8640"/>
        </w:tabs>
        <w:spacing w:line="480" w:lineRule="auto"/>
        <w:ind w:firstLine="720"/>
      </w:pPr>
      <w:r>
        <w:t xml:space="preserve">On November 29, 2002, respondent sent </w:t>
      </w:r>
      <w:proofErr w:type="spellStart"/>
      <w:r>
        <w:t>Truhan</w:t>
      </w:r>
      <w:proofErr w:type="spellEnd"/>
      <w:r>
        <w:t xml:space="preserve"> a letter</w:t>
      </w:r>
      <w:r w:rsidR="00F84974">
        <w:t xml:space="preserve"> (</w:t>
      </w:r>
      <w:proofErr w:type="spellStart"/>
      <w:r w:rsidR="00F84974">
        <w:t>Exh</w:t>
      </w:r>
      <w:proofErr w:type="spellEnd"/>
      <w:r w:rsidR="00F84974">
        <w:t>. 2)</w:t>
      </w:r>
      <w:r>
        <w:t xml:space="preserve"> containing the proposed modifications to the fund disbursement section of the retainer agreement.  As instructed by </w:t>
      </w:r>
      <w:proofErr w:type="spellStart"/>
      <w:r>
        <w:t>Truhan</w:t>
      </w:r>
      <w:proofErr w:type="spellEnd"/>
      <w:r>
        <w:t xml:space="preserve">, </w:t>
      </w:r>
      <w:r w:rsidR="006642AA">
        <w:t>the proposed changes in respondent’s letter</w:t>
      </w:r>
      <w:r>
        <w:t xml:space="preserve"> </w:t>
      </w:r>
      <w:r w:rsidR="001715B7">
        <w:t>stated</w:t>
      </w:r>
      <w:r>
        <w:t xml:space="preserve"> that </w:t>
      </w:r>
      <w:proofErr w:type="spellStart"/>
      <w:r>
        <w:t>Lorsch’s</w:t>
      </w:r>
      <w:proofErr w:type="spellEnd"/>
      <w:r>
        <w:t xml:space="preserve"> case management fee w</w:t>
      </w:r>
      <w:r w:rsidR="006642AA">
        <w:t>ould</w:t>
      </w:r>
      <w:r>
        <w:t xml:space="preserve"> be 22.5% of the recovery after </w:t>
      </w:r>
      <w:r w:rsidR="001715B7">
        <w:t xml:space="preserve">the </w:t>
      </w:r>
      <w:r>
        <w:t>specified deductions.</w:t>
      </w:r>
      <w:r w:rsidR="00B21647">
        <w:t xml:space="preserve"> </w:t>
      </w:r>
    </w:p>
    <w:p w:rsidR="001715B7" w:rsidRDefault="00F27E90" w:rsidP="002074C2">
      <w:pPr>
        <w:pStyle w:val="Header"/>
        <w:tabs>
          <w:tab w:val="clear" w:pos="4320"/>
          <w:tab w:val="clear" w:pos="8640"/>
        </w:tabs>
        <w:spacing w:line="480" w:lineRule="auto"/>
        <w:ind w:firstLine="720"/>
      </w:pPr>
      <w:r>
        <w:lastRenderedPageBreak/>
        <w:t>O</w:t>
      </w:r>
      <w:r w:rsidR="004D2D0C">
        <w:t>n page four of th</w:t>
      </w:r>
      <w:r>
        <w:t>at</w:t>
      </w:r>
      <w:r w:rsidR="004D2D0C">
        <w:t xml:space="preserve"> November 29, 2002 letter to </w:t>
      </w:r>
      <w:proofErr w:type="spellStart"/>
      <w:r w:rsidR="004D2D0C">
        <w:t>Truhan</w:t>
      </w:r>
      <w:proofErr w:type="spellEnd"/>
      <w:r w:rsidR="004D2D0C">
        <w:t xml:space="preserve">, respondent </w:t>
      </w:r>
      <w:r w:rsidR="00E7102C">
        <w:t>wrote,</w:t>
      </w:r>
      <w:r w:rsidR="004D2D0C">
        <w:t xml:space="preserve"> “If this is acceptable please sign below.”  </w:t>
      </w:r>
      <w:r w:rsidR="0008776B">
        <w:t>Respondent</w:t>
      </w:r>
      <w:r w:rsidR="004D2D0C">
        <w:t xml:space="preserve"> affixed his</w:t>
      </w:r>
      <w:r w:rsidR="001715B7">
        <w:t xml:space="preserve"> own</w:t>
      </w:r>
      <w:r w:rsidR="004D2D0C">
        <w:t xml:space="preserve"> signature to the letter, </w:t>
      </w:r>
      <w:r w:rsidR="00D02A96">
        <w:t>immediately following</w:t>
      </w:r>
      <w:r w:rsidR="004D2D0C">
        <w:t xml:space="preserve"> the closing</w:t>
      </w:r>
      <w:r w:rsidR="00E5759E">
        <w:t>,</w:t>
      </w:r>
      <w:r w:rsidR="004D2D0C">
        <w:t xml:space="preserve"> “Sincerely yours.”  Beneath that</w:t>
      </w:r>
      <w:r>
        <w:t xml:space="preserve"> closing</w:t>
      </w:r>
      <w:r w:rsidR="00D02A96">
        <w:t xml:space="preserve"> and respondent’s signature  </w:t>
      </w:r>
      <w:r w:rsidR="006A2163">
        <w:t xml:space="preserve"> were the words, “</w:t>
      </w:r>
      <w:r w:rsidR="006A2163">
        <w:rPr>
          <w:color w:val="000000"/>
        </w:rPr>
        <w:t>ACCEPTED AND AGREED AND SO DIRECTED</w:t>
      </w:r>
      <w:r w:rsidR="00AD350E">
        <w:rPr>
          <w:color w:val="000000"/>
        </w:rPr>
        <w:t>,</w:t>
      </w:r>
      <w:r w:rsidR="006A2163">
        <w:rPr>
          <w:color w:val="000000"/>
        </w:rPr>
        <w:t>”</w:t>
      </w:r>
      <w:r w:rsidR="00AD350E">
        <w:rPr>
          <w:color w:val="000000"/>
        </w:rPr>
        <w:t xml:space="preserve"> </w:t>
      </w:r>
      <w:r w:rsidR="006A2163">
        <w:t xml:space="preserve">followed by a signature line for Cynthia </w:t>
      </w:r>
      <w:proofErr w:type="spellStart"/>
      <w:r w:rsidR="006A2163">
        <w:t>Truhan</w:t>
      </w:r>
      <w:proofErr w:type="spellEnd"/>
      <w:r w:rsidR="006A2163">
        <w:t xml:space="preserve">.  Underneath the signature line for </w:t>
      </w:r>
      <w:proofErr w:type="spellStart"/>
      <w:r w:rsidR="006A2163">
        <w:t>Truhan</w:t>
      </w:r>
      <w:proofErr w:type="spellEnd"/>
      <w:r w:rsidR="006A2163">
        <w:t xml:space="preserve"> are the words, “ACCEPTED AND AGREED,” followed by a signature line for Robert H. </w:t>
      </w:r>
      <w:proofErr w:type="spellStart"/>
      <w:r w:rsidR="006A2163">
        <w:t>Lorsch</w:t>
      </w:r>
      <w:proofErr w:type="spellEnd"/>
      <w:r w:rsidR="006A2163">
        <w:t>.</w:t>
      </w:r>
      <w:r w:rsidR="00D34483">
        <w:rPr>
          <w:rStyle w:val="FootnoteReference"/>
        </w:rPr>
        <w:footnoteReference w:id="2"/>
      </w:r>
      <w:r w:rsidR="001F21B5">
        <w:t xml:space="preserve">  Thus,</w:t>
      </w:r>
      <w:r w:rsidR="00ED6B7F">
        <w:t xml:space="preserve"> in his November 29, 2002 letter to </w:t>
      </w:r>
      <w:proofErr w:type="spellStart"/>
      <w:r w:rsidR="00ED6B7F">
        <w:t>Truhan</w:t>
      </w:r>
      <w:proofErr w:type="spellEnd"/>
      <w:r w:rsidR="00ED6B7F">
        <w:t>,</w:t>
      </w:r>
      <w:r w:rsidR="001F21B5">
        <w:t xml:space="preserve"> respondent requested that both she and </w:t>
      </w:r>
      <w:proofErr w:type="spellStart"/>
      <w:r w:rsidR="001F21B5">
        <w:t>Lorsch</w:t>
      </w:r>
      <w:proofErr w:type="spellEnd"/>
      <w:r w:rsidR="001F21B5">
        <w:t xml:space="preserve"> sign the proposed modification, if said modification</w:t>
      </w:r>
      <w:r w:rsidR="00E7102C">
        <w:t xml:space="preserve"> was found to be</w:t>
      </w:r>
      <w:r w:rsidR="001F21B5">
        <w:t xml:space="preserve"> acceptable.</w:t>
      </w:r>
    </w:p>
    <w:p w:rsidR="006A2163" w:rsidRDefault="00D02A96" w:rsidP="002074C2">
      <w:pPr>
        <w:pStyle w:val="Header"/>
        <w:tabs>
          <w:tab w:val="clear" w:pos="4320"/>
          <w:tab w:val="clear" w:pos="8640"/>
        </w:tabs>
        <w:spacing w:line="480" w:lineRule="auto"/>
        <w:ind w:firstLine="720"/>
      </w:pPr>
      <w:r>
        <w:t>Respondent’s request</w:t>
      </w:r>
      <w:r w:rsidR="001715B7">
        <w:t xml:space="preserve"> that</w:t>
      </w:r>
      <w:r w:rsidR="001B6381">
        <w:t xml:space="preserve"> both</w:t>
      </w:r>
      <w:r w:rsidR="001715B7">
        <w:t xml:space="preserve"> </w:t>
      </w:r>
      <w:proofErr w:type="spellStart"/>
      <w:r w:rsidR="001715B7">
        <w:t>Truhan</w:t>
      </w:r>
      <w:proofErr w:type="spellEnd"/>
      <w:r w:rsidR="001715B7">
        <w:t xml:space="preserve"> and </w:t>
      </w:r>
      <w:proofErr w:type="spellStart"/>
      <w:r w:rsidR="001715B7">
        <w:t>Lorsch</w:t>
      </w:r>
      <w:proofErr w:type="spellEnd"/>
      <w:r w:rsidR="001715B7">
        <w:t xml:space="preserve"> sign the modification</w:t>
      </w:r>
      <w:r>
        <w:t xml:space="preserve"> is made in a letter that is </w:t>
      </w:r>
      <w:r w:rsidR="00F140F8">
        <w:t xml:space="preserve">addressed and </w:t>
      </w:r>
      <w:r>
        <w:t>directed</w:t>
      </w:r>
      <w:r w:rsidR="00F140F8">
        <w:t xml:space="preserve"> only</w:t>
      </w:r>
      <w:r>
        <w:t xml:space="preserve"> to </w:t>
      </w:r>
      <w:proofErr w:type="spellStart"/>
      <w:r>
        <w:t>Truhan</w:t>
      </w:r>
      <w:proofErr w:type="spellEnd"/>
      <w:r w:rsidR="00ED6B7F">
        <w:t>; neither the letter, nor the request is</w:t>
      </w:r>
      <w:r w:rsidR="00F140F8">
        <w:t xml:space="preserve"> addressed or</w:t>
      </w:r>
      <w:r w:rsidR="00ED6B7F">
        <w:t xml:space="preserve"> directed</w:t>
      </w:r>
      <w:r>
        <w:t xml:space="preserve"> to </w:t>
      </w:r>
      <w:proofErr w:type="spellStart"/>
      <w:r>
        <w:t>Lorsch</w:t>
      </w:r>
      <w:proofErr w:type="spellEnd"/>
      <w:r>
        <w:t xml:space="preserve">.  </w:t>
      </w:r>
      <w:r w:rsidR="007C6918">
        <w:t>In his letter</w:t>
      </w:r>
      <w:r w:rsidR="00E7102C">
        <w:t xml:space="preserve"> to </w:t>
      </w:r>
      <w:proofErr w:type="spellStart"/>
      <w:r>
        <w:t>Truhan</w:t>
      </w:r>
      <w:proofErr w:type="spellEnd"/>
      <w:r w:rsidR="00E7102C">
        <w:t xml:space="preserve">, </w:t>
      </w:r>
      <w:r w:rsidR="007C6918">
        <w:t xml:space="preserve">respondent is advising/requesting </w:t>
      </w:r>
      <w:r w:rsidR="00BF46CC">
        <w:t xml:space="preserve">that </w:t>
      </w:r>
      <w:proofErr w:type="spellStart"/>
      <w:r w:rsidR="00FB4373">
        <w:t>Truhan</w:t>
      </w:r>
      <w:proofErr w:type="spellEnd"/>
      <w:r w:rsidR="00FB4373">
        <w:t xml:space="preserve"> </w:t>
      </w:r>
      <w:r w:rsidR="007C6918">
        <w:t xml:space="preserve">get </w:t>
      </w:r>
      <w:proofErr w:type="spellStart"/>
      <w:r w:rsidR="007C6918">
        <w:t>Lorsch’s</w:t>
      </w:r>
      <w:proofErr w:type="spellEnd"/>
      <w:r w:rsidR="007C6918">
        <w:t xml:space="preserve"> signature on the modification</w:t>
      </w:r>
      <w:r>
        <w:t>, which was drafted per her instructions and which</w:t>
      </w:r>
      <w:r w:rsidR="007C6918">
        <w:t xml:space="preserve"> define</w:t>
      </w:r>
      <w:r w:rsidR="00ED6B7F">
        <w:t>d and limited</w:t>
      </w:r>
      <w:r w:rsidR="007C6918">
        <w:t xml:space="preserve"> </w:t>
      </w:r>
      <w:r>
        <w:t>the</w:t>
      </w:r>
      <w:r w:rsidR="007C6918">
        <w:t xml:space="preserve"> fees to which </w:t>
      </w:r>
      <w:proofErr w:type="spellStart"/>
      <w:r>
        <w:t>Lorsch</w:t>
      </w:r>
      <w:proofErr w:type="spellEnd"/>
      <w:r w:rsidR="007C6918">
        <w:t xml:space="preserve"> m</w:t>
      </w:r>
      <w:r>
        <w:t>ight</w:t>
      </w:r>
      <w:r w:rsidR="007C6918">
        <w:t xml:space="preserve"> be entitled.  </w:t>
      </w:r>
    </w:p>
    <w:p w:rsidR="002D6E81" w:rsidRPr="00C67A29" w:rsidRDefault="002D6E81" w:rsidP="002D6E81">
      <w:pPr>
        <w:spacing w:line="480" w:lineRule="auto"/>
        <w:rPr>
          <w:b/>
          <w:i/>
        </w:rPr>
      </w:pPr>
      <w:r w:rsidRPr="00C67A29">
        <w:rPr>
          <w:b/>
          <w:i/>
        </w:rPr>
        <w:t xml:space="preserve">Count </w:t>
      </w:r>
      <w:r>
        <w:rPr>
          <w:b/>
          <w:i/>
        </w:rPr>
        <w:t>1</w:t>
      </w:r>
      <w:r w:rsidRPr="00C67A29">
        <w:rPr>
          <w:b/>
          <w:i/>
        </w:rPr>
        <w:t xml:space="preserve">:  </w:t>
      </w:r>
      <w:r>
        <w:rPr>
          <w:b/>
          <w:i/>
        </w:rPr>
        <w:t>Avoiding the Representation of Conflicting Interests</w:t>
      </w:r>
      <w:r w:rsidRPr="00C67A29">
        <w:rPr>
          <w:b/>
          <w:i/>
        </w:rPr>
        <w:t xml:space="preserve"> (</w:t>
      </w:r>
      <w:r w:rsidRPr="003873FA">
        <w:rPr>
          <w:b/>
          <w:i/>
        </w:rPr>
        <w:t>Rul</w:t>
      </w:r>
      <w:r>
        <w:rPr>
          <w:b/>
          <w:i/>
        </w:rPr>
        <w:t>es Prof. Conduct,</w:t>
      </w:r>
      <w:r w:rsidRPr="00C67A29">
        <w:rPr>
          <w:b/>
          <w:i/>
        </w:rPr>
        <w:t xml:space="preserve"> Rule 3-</w:t>
      </w:r>
      <w:r>
        <w:rPr>
          <w:b/>
          <w:i/>
        </w:rPr>
        <w:t>310</w:t>
      </w:r>
      <w:r w:rsidR="00870B0A">
        <w:rPr>
          <w:b/>
          <w:i/>
        </w:rPr>
        <w:t>(C</w:t>
      </w:r>
      <w:proofErr w:type="gramStart"/>
      <w:r w:rsidR="00870B0A">
        <w:rPr>
          <w:b/>
          <w:i/>
        </w:rPr>
        <w:t>)(</w:t>
      </w:r>
      <w:proofErr w:type="gramEnd"/>
      <w:r w:rsidR="00870B0A">
        <w:rPr>
          <w:b/>
          <w:i/>
        </w:rPr>
        <w:t>2</w:t>
      </w:r>
      <w:r>
        <w:rPr>
          <w:b/>
          <w:i/>
        </w:rPr>
        <w:t>)</w:t>
      </w:r>
      <w:r>
        <w:rPr>
          <w:rStyle w:val="FootnoteReference"/>
          <w:b/>
          <w:i/>
        </w:rPr>
        <w:footnoteReference w:id="3"/>
      </w:r>
    </w:p>
    <w:p w:rsidR="002D6E81" w:rsidRDefault="002D6E81" w:rsidP="002D6E81">
      <w:pPr>
        <w:spacing w:line="480" w:lineRule="auto"/>
        <w:ind w:firstLine="720"/>
      </w:pPr>
      <w:r w:rsidRPr="00C67A29">
        <w:t>Rule 3-</w:t>
      </w:r>
      <w:r>
        <w:t>310</w:t>
      </w:r>
      <w:r w:rsidRPr="00C67A29">
        <w:t>(</w:t>
      </w:r>
      <w:r w:rsidR="00870B0A">
        <w:t>C</w:t>
      </w:r>
      <w:r w:rsidRPr="00C67A29">
        <w:t>)</w:t>
      </w:r>
      <w:r w:rsidR="00870B0A">
        <w:t>(2)</w:t>
      </w:r>
      <w:r>
        <w:t xml:space="preserve"> provides that an attorney must not, without the informed written consent of </w:t>
      </w:r>
      <w:r w:rsidR="00870B0A">
        <w:t>each</w:t>
      </w:r>
      <w:r>
        <w:t xml:space="preserve"> client, accept</w:t>
      </w:r>
      <w:r w:rsidR="00870B0A">
        <w:t xml:space="preserve"> or continue representation of more than one client in a matter in which the interests of the clients actually conflict.</w:t>
      </w:r>
    </w:p>
    <w:p w:rsidR="00F82879" w:rsidRDefault="00087185" w:rsidP="00AF17E2">
      <w:pPr>
        <w:pStyle w:val="Header"/>
        <w:spacing w:line="480" w:lineRule="auto"/>
        <w:ind w:firstLine="720"/>
      </w:pPr>
      <w:r>
        <w:t>Specifically,</w:t>
      </w:r>
      <w:r w:rsidR="00D366AE">
        <w:t xml:space="preserve"> in this proceeding,</w:t>
      </w:r>
      <w:r>
        <w:t xml:space="preserve"> the State Bar</w:t>
      </w:r>
      <w:r w:rsidR="00373B8A">
        <w:t>, first,</w:t>
      </w:r>
      <w:r>
        <w:t xml:space="preserve"> must prove by clear and convincing evidence that respondent represented not only </w:t>
      </w:r>
      <w:proofErr w:type="spellStart"/>
      <w:r>
        <w:t>Truhan</w:t>
      </w:r>
      <w:proofErr w:type="spellEnd"/>
      <w:r>
        <w:t xml:space="preserve">, but </w:t>
      </w:r>
      <w:proofErr w:type="spellStart"/>
      <w:r>
        <w:t>Lorsch</w:t>
      </w:r>
      <w:proofErr w:type="spellEnd"/>
      <w:r>
        <w:t xml:space="preserve"> regarding the November 29, 2002 letter transaction in order to establish a violation of rule </w:t>
      </w:r>
      <w:r w:rsidRPr="00C67A29">
        <w:t>3-</w:t>
      </w:r>
      <w:r>
        <w:t>310</w:t>
      </w:r>
      <w:r w:rsidRPr="00C67A29">
        <w:t>(</w:t>
      </w:r>
      <w:r>
        <w:t>C</w:t>
      </w:r>
      <w:r w:rsidRPr="00C67A29">
        <w:t>)</w:t>
      </w:r>
      <w:r>
        <w:t xml:space="preserve">(2). </w:t>
      </w:r>
      <w:r w:rsidR="00E54221">
        <w:t xml:space="preserve"> </w:t>
      </w:r>
    </w:p>
    <w:p w:rsidR="00F82879" w:rsidRDefault="00965353" w:rsidP="00D366AE">
      <w:pPr>
        <w:pStyle w:val="Header"/>
        <w:tabs>
          <w:tab w:val="clear" w:pos="4320"/>
          <w:tab w:val="clear" w:pos="8640"/>
        </w:tabs>
        <w:spacing w:line="480" w:lineRule="auto"/>
        <w:ind w:firstLine="720"/>
      </w:pPr>
      <w:r>
        <w:lastRenderedPageBreak/>
        <w:t>The State Bar allege</w:t>
      </w:r>
      <w:r w:rsidR="002B4DE0">
        <w:t>s</w:t>
      </w:r>
      <w:r>
        <w:t xml:space="preserve"> that</w:t>
      </w:r>
      <w:r w:rsidR="00073FB7">
        <w:t xml:space="preserve"> r</w:t>
      </w:r>
      <w:r>
        <w:t xml:space="preserve">espondent provided legal representation to </w:t>
      </w:r>
      <w:proofErr w:type="spellStart"/>
      <w:r>
        <w:t>Truhan</w:t>
      </w:r>
      <w:proofErr w:type="spellEnd"/>
      <w:r>
        <w:t xml:space="preserve"> and </w:t>
      </w:r>
      <w:proofErr w:type="spellStart"/>
      <w:r>
        <w:t>Lorsch</w:t>
      </w:r>
      <w:proofErr w:type="spellEnd"/>
      <w:r>
        <w:t xml:space="preserve"> by</w:t>
      </w:r>
      <w:r w:rsidR="00073FB7">
        <w:t xml:space="preserve"> preparing the retainer modification for both </w:t>
      </w:r>
      <w:proofErr w:type="spellStart"/>
      <w:r w:rsidR="00073FB7">
        <w:t>Truhan</w:t>
      </w:r>
      <w:proofErr w:type="spellEnd"/>
      <w:r w:rsidR="00073FB7">
        <w:t xml:space="preserve"> and </w:t>
      </w:r>
      <w:proofErr w:type="spellStart"/>
      <w:r w:rsidR="00073FB7">
        <w:t>Lorsch</w:t>
      </w:r>
      <w:proofErr w:type="spellEnd"/>
      <w:r w:rsidR="00073FB7">
        <w:t xml:space="preserve"> and</w:t>
      </w:r>
      <w:r>
        <w:t xml:space="preserve"> obtaining </w:t>
      </w:r>
      <w:r w:rsidR="00073FB7">
        <w:t xml:space="preserve">both of their signatures on the November 29, 2002 letter that respondent addressed to </w:t>
      </w:r>
      <w:proofErr w:type="spellStart"/>
      <w:r w:rsidR="00073FB7">
        <w:t>Truhan</w:t>
      </w:r>
      <w:proofErr w:type="spellEnd"/>
      <w:r w:rsidR="002B4DE0">
        <w:t xml:space="preserve">.  (First Amended </w:t>
      </w:r>
      <w:proofErr w:type="spellStart"/>
      <w:r w:rsidR="002B4DE0">
        <w:t>NDC</w:t>
      </w:r>
      <w:proofErr w:type="spellEnd"/>
      <w:r w:rsidR="002B4DE0">
        <w:t xml:space="preserve">, ¶14.)  </w:t>
      </w:r>
      <w:r w:rsidR="00073FB7">
        <w:t xml:space="preserve"> </w:t>
      </w:r>
    </w:p>
    <w:p w:rsidR="00F01C7A" w:rsidRDefault="00F01C7A" w:rsidP="00616417">
      <w:pPr>
        <w:pStyle w:val="Header"/>
        <w:tabs>
          <w:tab w:val="clear" w:pos="4320"/>
          <w:tab w:val="clear" w:pos="8640"/>
        </w:tabs>
        <w:spacing w:line="480" w:lineRule="auto"/>
        <w:ind w:firstLine="720"/>
      </w:pPr>
      <w:r>
        <w:t>The November 29, 2002 letter (</w:t>
      </w:r>
      <w:proofErr w:type="spellStart"/>
      <w:r>
        <w:t>Exh</w:t>
      </w:r>
      <w:proofErr w:type="spellEnd"/>
      <w:r>
        <w:t xml:space="preserve">. 2), however, shows that respondent’s request to obtain the signatures of </w:t>
      </w:r>
      <w:proofErr w:type="spellStart"/>
      <w:r>
        <w:t>Truhan</w:t>
      </w:r>
      <w:proofErr w:type="spellEnd"/>
      <w:r>
        <w:t xml:space="preserve"> and </w:t>
      </w:r>
      <w:proofErr w:type="spellStart"/>
      <w:r>
        <w:t>Lorsch</w:t>
      </w:r>
      <w:proofErr w:type="spellEnd"/>
      <w:r>
        <w:t xml:space="preserve"> was addressed and directed solely to </w:t>
      </w:r>
      <w:proofErr w:type="spellStart"/>
      <w:r>
        <w:t>Truhan</w:t>
      </w:r>
      <w:proofErr w:type="spellEnd"/>
      <w:r>
        <w:t xml:space="preserve">.  That </w:t>
      </w:r>
      <w:proofErr w:type="spellStart"/>
      <w:r>
        <w:t>Lorsch</w:t>
      </w:r>
      <w:proofErr w:type="spellEnd"/>
      <w:r>
        <w:t xml:space="preserve"> signed the letter, which was directed and addressed to </w:t>
      </w:r>
      <w:proofErr w:type="spellStart"/>
      <w:r>
        <w:t>Truhan</w:t>
      </w:r>
      <w:proofErr w:type="spellEnd"/>
      <w:r>
        <w:t>, is insufficient to show that responden</w:t>
      </w:r>
      <w:r w:rsidR="00D5711C">
        <w:t xml:space="preserve">t advised </w:t>
      </w:r>
      <w:proofErr w:type="spellStart"/>
      <w:r w:rsidR="00D5711C">
        <w:t>Lorsch</w:t>
      </w:r>
      <w:proofErr w:type="spellEnd"/>
      <w:r w:rsidR="00D5711C">
        <w:t xml:space="preserve"> regarding the letter transaction or </w:t>
      </w:r>
      <w:r>
        <w:t xml:space="preserve">made or directed a request to </w:t>
      </w:r>
      <w:r w:rsidR="00D5711C">
        <w:t>him</w:t>
      </w:r>
      <w:r>
        <w:t xml:space="preserve"> </w:t>
      </w:r>
      <w:r w:rsidR="00D5711C">
        <w:t>regarding the modification to the fee agreement.</w:t>
      </w:r>
      <w:r>
        <w:t xml:space="preserve">  Nor do respondent’s requests or advice to his client, </w:t>
      </w:r>
      <w:proofErr w:type="spellStart"/>
      <w:proofErr w:type="gramStart"/>
      <w:r>
        <w:t>Truhan</w:t>
      </w:r>
      <w:proofErr w:type="spellEnd"/>
      <w:r>
        <w:t>,</w:t>
      </w:r>
      <w:proofErr w:type="gramEnd"/>
      <w:r>
        <w:t xml:space="preserve"> create an attorney-client relationship between him and </w:t>
      </w:r>
      <w:proofErr w:type="spellStart"/>
      <w:r>
        <w:t>Lorsch</w:t>
      </w:r>
      <w:proofErr w:type="spellEnd"/>
      <w:r>
        <w:t>.</w:t>
      </w:r>
    </w:p>
    <w:p w:rsidR="00AF25E8" w:rsidRDefault="00F01C7A" w:rsidP="001941BD">
      <w:pPr>
        <w:pStyle w:val="Header"/>
        <w:tabs>
          <w:tab w:val="clear" w:pos="4320"/>
          <w:tab w:val="clear" w:pos="8640"/>
        </w:tabs>
        <w:spacing w:line="480" w:lineRule="auto"/>
        <w:ind w:firstLine="720"/>
      </w:pPr>
      <w:r>
        <w:t>Moreover</w:t>
      </w:r>
      <w:r w:rsidR="00F140F8">
        <w:t>, the evidence presented at trial fail</w:t>
      </w:r>
      <w:r w:rsidR="002B4DE0">
        <w:t>s</w:t>
      </w:r>
      <w:r w:rsidR="00F140F8">
        <w:t xml:space="preserve"> to demonstrate that respondent</w:t>
      </w:r>
      <w:r w:rsidR="0099434A">
        <w:t xml:space="preserve"> performed any services for</w:t>
      </w:r>
      <w:r w:rsidR="00F140F8">
        <w:t xml:space="preserve"> </w:t>
      </w:r>
      <w:proofErr w:type="spellStart"/>
      <w:r w:rsidR="00F140F8">
        <w:t>Lorsch</w:t>
      </w:r>
      <w:proofErr w:type="spellEnd"/>
      <w:r w:rsidR="0099434A">
        <w:t xml:space="preserve"> or represented him</w:t>
      </w:r>
      <w:r w:rsidR="00F140F8">
        <w:t xml:space="preserve">.  </w:t>
      </w:r>
      <w:r w:rsidR="00AF25E8">
        <w:t xml:space="preserve">To the contrary, </w:t>
      </w:r>
      <w:proofErr w:type="spellStart"/>
      <w:r w:rsidR="00622A8E">
        <w:t>Lorsch</w:t>
      </w:r>
      <w:proofErr w:type="spellEnd"/>
      <w:r w:rsidR="00622A8E">
        <w:t xml:space="preserve"> testified that in his individual capacity, he did not retain respondent for any purpose in 2002, which would include the November 29, 2002 letter transaction</w:t>
      </w:r>
      <w:r>
        <w:t xml:space="preserve">.  Respondent testified that </w:t>
      </w:r>
      <w:r w:rsidR="00AF25E8">
        <w:t xml:space="preserve">only </w:t>
      </w:r>
      <w:proofErr w:type="spellStart"/>
      <w:r w:rsidR="00AF25E8">
        <w:t>Truhan</w:t>
      </w:r>
      <w:proofErr w:type="spellEnd"/>
      <w:r w:rsidR="00AF25E8">
        <w:t xml:space="preserve"> was his client</w:t>
      </w:r>
      <w:r w:rsidR="00183CAF">
        <w:t>.  He also testified that</w:t>
      </w:r>
      <w:r w:rsidR="00CB64E9">
        <w:t xml:space="preserve"> he</w:t>
      </w:r>
      <w:r>
        <w:t xml:space="preserve"> wanted </w:t>
      </w:r>
      <w:proofErr w:type="spellStart"/>
      <w:r>
        <w:t>Lorsch</w:t>
      </w:r>
      <w:proofErr w:type="spellEnd"/>
      <w:r>
        <w:t xml:space="preserve"> to sign the</w:t>
      </w:r>
      <w:r w:rsidR="00183CAF">
        <w:t xml:space="preserve"> November 29, 2002</w:t>
      </w:r>
      <w:r>
        <w:t xml:space="preserve"> letter in order to bind </w:t>
      </w:r>
      <w:proofErr w:type="spellStart"/>
      <w:r>
        <w:t>Lorsch</w:t>
      </w:r>
      <w:proofErr w:type="spellEnd"/>
      <w:r>
        <w:t xml:space="preserve"> to the modification for </w:t>
      </w:r>
      <w:proofErr w:type="spellStart"/>
      <w:r>
        <w:t>Truhan’s</w:t>
      </w:r>
      <w:proofErr w:type="spellEnd"/>
      <w:r>
        <w:t xml:space="preserve"> protection.</w:t>
      </w:r>
    </w:p>
    <w:p w:rsidR="00D50E13" w:rsidRDefault="00F01C7A" w:rsidP="001941BD">
      <w:pPr>
        <w:pStyle w:val="Header"/>
        <w:tabs>
          <w:tab w:val="clear" w:pos="4320"/>
          <w:tab w:val="clear" w:pos="8640"/>
        </w:tabs>
        <w:spacing w:line="480" w:lineRule="auto"/>
        <w:ind w:firstLine="720"/>
      </w:pPr>
      <w:r>
        <w:t xml:space="preserve">Respondent’s conduct supports his testimony.  Respondent addressed the November 29, 2002 letter only to </w:t>
      </w:r>
      <w:proofErr w:type="spellStart"/>
      <w:r>
        <w:t>Truhan</w:t>
      </w:r>
      <w:proofErr w:type="spellEnd"/>
      <w:r>
        <w:t xml:space="preserve">, </w:t>
      </w:r>
      <w:r w:rsidR="00AF25E8">
        <w:t>because, as he testified,</w:t>
      </w:r>
      <w:r>
        <w:t xml:space="preserve"> only she was his client; and only she requested that respondent prepare the modification.  Neither respondent’s testimony, nor </w:t>
      </w:r>
      <w:proofErr w:type="spellStart"/>
      <w:r w:rsidR="00622A8E">
        <w:t>Lorsch</w:t>
      </w:r>
      <w:r>
        <w:t>’s</w:t>
      </w:r>
      <w:proofErr w:type="spellEnd"/>
      <w:r>
        <w:t xml:space="preserve"> testimony was</w:t>
      </w:r>
      <w:r w:rsidR="00622A8E">
        <w:t xml:space="preserve"> contradict</w:t>
      </w:r>
      <w:r>
        <w:t xml:space="preserve">ed; </w:t>
      </w:r>
      <w:r w:rsidR="00087185">
        <w:t xml:space="preserve">and the court finds </w:t>
      </w:r>
      <w:r>
        <w:t>their testimony</w:t>
      </w:r>
      <w:r w:rsidR="00087185">
        <w:t xml:space="preserve"> credible</w:t>
      </w:r>
      <w:r w:rsidR="00D50E13">
        <w:t>.</w:t>
      </w:r>
    </w:p>
    <w:p w:rsidR="00EE6C88" w:rsidRDefault="00333FD5" w:rsidP="00A052AB">
      <w:pPr>
        <w:pStyle w:val="Header"/>
        <w:tabs>
          <w:tab w:val="clear" w:pos="4320"/>
          <w:tab w:val="clear" w:pos="8640"/>
        </w:tabs>
        <w:spacing w:line="480" w:lineRule="auto"/>
        <w:ind w:firstLine="720"/>
      </w:pPr>
      <w:r>
        <w:t xml:space="preserve">That </w:t>
      </w:r>
      <w:proofErr w:type="spellStart"/>
      <w:r>
        <w:t>Lorsch</w:t>
      </w:r>
      <w:proofErr w:type="spellEnd"/>
      <w:r>
        <w:t xml:space="preserve"> agreed to be bound by the modification</w:t>
      </w:r>
      <w:r w:rsidR="00243F87">
        <w:t xml:space="preserve"> </w:t>
      </w:r>
      <w:r>
        <w:t xml:space="preserve">does not establish that an attorney-client relationship existed between him and respondent.  In fact, no evidence was presented to show that respondent had any communication with </w:t>
      </w:r>
      <w:proofErr w:type="spellStart"/>
      <w:r>
        <w:t>Lorsch</w:t>
      </w:r>
      <w:proofErr w:type="spellEnd"/>
      <w:r>
        <w:t xml:space="preserve"> regarding the letter transaction.</w:t>
      </w:r>
      <w:r w:rsidR="00A052AB">
        <w:t xml:space="preserve">  In sum, t</w:t>
      </w:r>
      <w:r>
        <w:t xml:space="preserve">he evidence presented at trial is insufficient to support the allegation that respondent </w:t>
      </w:r>
      <w:r>
        <w:lastRenderedPageBreak/>
        <w:t xml:space="preserve">represented </w:t>
      </w:r>
      <w:proofErr w:type="spellStart"/>
      <w:r>
        <w:t>Lorsch</w:t>
      </w:r>
      <w:proofErr w:type="spellEnd"/>
      <w:r>
        <w:t xml:space="preserve"> </w:t>
      </w:r>
      <w:r w:rsidR="00A052AB">
        <w:t xml:space="preserve">or anyone other than </w:t>
      </w:r>
      <w:proofErr w:type="spellStart"/>
      <w:r w:rsidR="00A052AB">
        <w:t>Truhan</w:t>
      </w:r>
      <w:proofErr w:type="spellEnd"/>
      <w:r w:rsidR="00A052AB">
        <w:t xml:space="preserve"> regarding the </w:t>
      </w:r>
      <w:r w:rsidR="008F4100">
        <w:t>November 29, 2002 letter transaction</w:t>
      </w:r>
      <w:r>
        <w:t>.</w:t>
      </w:r>
      <w:r w:rsidR="00EE6C88">
        <w:t xml:space="preserve">  </w:t>
      </w:r>
    </w:p>
    <w:p w:rsidR="00B21647" w:rsidRDefault="00425A6E" w:rsidP="006C3A7F">
      <w:pPr>
        <w:pStyle w:val="Header"/>
        <w:spacing w:line="480" w:lineRule="auto"/>
        <w:ind w:firstLine="720"/>
      </w:pPr>
      <w:r>
        <w:t>Accordingly, the court concludes that th</w:t>
      </w:r>
      <w:r w:rsidR="00CF0E1E">
        <w:t>e</w:t>
      </w:r>
      <w:r>
        <w:t xml:space="preserve"> State Bar failed to prove by clear and convincing evidence that respondent is culpable of violating rule 3-310(C)(2).</w:t>
      </w:r>
    </w:p>
    <w:p w:rsidR="007C612D" w:rsidRPr="007C612D" w:rsidRDefault="007C612D" w:rsidP="007C612D">
      <w:pPr>
        <w:pStyle w:val="Header"/>
        <w:spacing w:line="480" w:lineRule="auto"/>
        <w:jc w:val="center"/>
        <w:rPr>
          <w:b/>
        </w:rPr>
      </w:pPr>
      <w:r w:rsidRPr="007C612D">
        <w:rPr>
          <w:b/>
        </w:rPr>
        <w:t>I</w:t>
      </w:r>
      <w:r w:rsidR="008D306A">
        <w:rPr>
          <w:b/>
        </w:rPr>
        <w:t>V</w:t>
      </w:r>
      <w:proofErr w:type="gramStart"/>
      <w:r w:rsidRPr="007C612D">
        <w:rPr>
          <w:b/>
        </w:rPr>
        <w:t xml:space="preserve">. </w:t>
      </w:r>
      <w:r w:rsidR="00720AA1">
        <w:rPr>
          <w:b/>
        </w:rPr>
        <w:t xml:space="preserve"> </w:t>
      </w:r>
      <w:r w:rsidR="00425A6E">
        <w:rPr>
          <w:b/>
        </w:rPr>
        <w:t>Disposition</w:t>
      </w:r>
      <w:proofErr w:type="gramEnd"/>
    </w:p>
    <w:p w:rsidR="007C612D" w:rsidRDefault="00425A6E" w:rsidP="007C612D">
      <w:pPr>
        <w:pStyle w:val="Header"/>
        <w:spacing w:line="480" w:lineRule="auto"/>
        <w:ind w:firstLine="720"/>
      </w:pPr>
      <w:r>
        <w:t>In light of the foregoing,</w:t>
      </w:r>
      <w:r w:rsidR="0099434A">
        <w:t xml:space="preserve"> </w:t>
      </w:r>
      <w:r w:rsidRPr="00425A6E">
        <w:rPr>
          <w:b/>
        </w:rPr>
        <w:t>IT IS HEREBY ORDERED</w:t>
      </w:r>
      <w:r>
        <w:t xml:space="preserve"> that the above-entitled disciplinary proceeding against respondent </w:t>
      </w:r>
      <w:r w:rsidRPr="00594BB9">
        <w:rPr>
          <w:b/>
        </w:rPr>
        <w:t xml:space="preserve">Robert Michael </w:t>
      </w:r>
      <w:proofErr w:type="spellStart"/>
      <w:r w:rsidRPr="00594BB9">
        <w:rPr>
          <w:b/>
        </w:rPr>
        <w:t>Yaspan</w:t>
      </w:r>
      <w:proofErr w:type="spellEnd"/>
      <w:r>
        <w:t xml:space="preserve"> is </w:t>
      </w:r>
      <w:r w:rsidRPr="00425A6E">
        <w:rPr>
          <w:b/>
        </w:rPr>
        <w:t>DISMISSED WITH PREJUDICE IN ITS ENTIRETY</w:t>
      </w:r>
      <w:r>
        <w:t>.</w:t>
      </w:r>
      <w:r w:rsidR="007C612D">
        <w:t xml:space="preserve">  </w:t>
      </w:r>
    </w:p>
    <w:p w:rsidR="0036179C" w:rsidRPr="001C6F4D" w:rsidRDefault="00720AA1" w:rsidP="00CD7D08">
      <w:pPr>
        <w:pStyle w:val="Header"/>
        <w:tabs>
          <w:tab w:val="clear" w:pos="4320"/>
          <w:tab w:val="clear" w:pos="8640"/>
        </w:tabs>
        <w:spacing w:line="480" w:lineRule="auto"/>
        <w:jc w:val="center"/>
        <w:rPr>
          <w:b/>
        </w:rPr>
      </w:pPr>
      <w:r w:rsidRPr="001C6F4D">
        <w:rPr>
          <w:b/>
        </w:rPr>
        <w:t xml:space="preserve">V.  </w:t>
      </w:r>
      <w:r w:rsidR="00CD7D08">
        <w:rPr>
          <w:b/>
        </w:rPr>
        <w:t>Costs</w:t>
      </w:r>
    </w:p>
    <w:p w:rsidR="00FF73CE" w:rsidRDefault="00B879D2" w:rsidP="00B879D2">
      <w:pPr>
        <w:pStyle w:val="Header"/>
        <w:tabs>
          <w:tab w:val="clear" w:pos="4320"/>
          <w:tab w:val="clear" w:pos="8640"/>
        </w:tabs>
        <w:spacing w:line="480" w:lineRule="auto"/>
        <w:ind w:firstLine="720"/>
      </w:pPr>
      <w:r>
        <w:t xml:space="preserve">Because respondent has been exonerated of the charge against him following a trial on the merits, he may file a motion seeking reimbursement from the </w:t>
      </w:r>
      <w:r w:rsidR="001C6F4D">
        <w:t>State Bar</w:t>
      </w:r>
      <w:r>
        <w:t xml:space="preserve"> for reasonable expenses, other than fees for attorneys or experts, of preparing for trial as authorized by Business and Professions Code section 6086.10, subdivision (d).  (See Rules Proc. of State Bar, rule 283</w:t>
      </w:r>
      <w:r w:rsidR="00EF3A63">
        <w:t>.)</w:t>
      </w:r>
      <w:r w:rsidR="003E45A8">
        <w:t xml:space="preserve">  </w:t>
      </w:r>
    </w:p>
    <w:p w:rsidR="00FF73CE" w:rsidRDefault="00FF73CE" w:rsidP="00B879D2">
      <w:pPr>
        <w:pStyle w:val="Header"/>
        <w:tabs>
          <w:tab w:val="clear" w:pos="4320"/>
          <w:tab w:val="clear" w:pos="8640"/>
        </w:tabs>
        <w:spacing w:line="480" w:lineRule="auto"/>
        <w:ind w:firstLine="720"/>
      </w:pPr>
    </w:p>
    <w:p w:rsidR="008F4100" w:rsidRDefault="008F4100" w:rsidP="00B879D2">
      <w:pPr>
        <w:pStyle w:val="Header"/>
        <w:tabs>
          <w:tab w:val="clear" w:pos="4320"/>
          <w:tab w:val="clear" w:pos="8640"/>
        </w:tabs>
        <w:spacing w:line="480" w:lineRule="auto"/>
        <w:ind w:firstLine="720"/>
      </w:pPr>
    </w:p>
    <w:p w:rsidR="008F4100" w:rsidRDefault="008F4100" w:rsidP="00B879D2">
      <w:pPr>
        <w:pStyle w:val="Header"/>
        <w:tabs>
          <w:tab w:val="clear" w:pos="4320"/>
          <w:tab w:val="clear" w:pos="8640"/>
        </w:tabs>
        <w:spacing w:line="480" w:lineRule="auto"/>
        <w:ind w:firstLine="720"/>
      </w:pPr>
    </w:p>
    <w:p w:rsidR="0099434A" w:rsidRDefault="0099434A" w:rsidP="00B879D2">
      <w:pPr>
        <w:pStyle w:val="Header"/>
        <w:tabs>
          <w:tab w:val="clear" w:pos="4320"/>
          <w:tab w:val="clear" w:pos="8640"/>
        </w:tabs>
        <w:spacing w:line="480" w:lineRule="auto"/>
        <w:ind w:firstLine="720"/>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695"/>
        <w:gridCol w:w="4480"/>
      </w:tblGrid>
      <w:tr w:rsidR="003D3B12" w:rsidTr="00EF3A63">
        <w:tc>
          <w:tcPr>
            <w:tcW w:w="4695"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E24DEB">
                <w:rPr>
                  <w:noProof/>
                </w:rPr>
                <w:t>January _____, 2010</w:t>
              </w:r>
            </w:fldSimple>
          </w:p>
        </w:tc>
        <w:tc>
          <w:tcPr>
            <w:tcW w:w="4480" w:type="dxa"/>
            <w:tcBorders>
              <w:top w:val="single" w:sz="4" w:space="0" w:color="auto"/>
              <w:bottom w:val="nil"/>
              <w:right w:val="nil"/>
            </w:tcBorders>
          </w:tcPr>
          <w:p w:rsidR="003D3B12" w:rsidRDefault="00B879D2" w:rsidP="00B879D2">
            <w:bookmarkStart w:id="6" w:name="judge"/>
            <w:bookmarkEnd w:id="6"/>
            <w:r>
              <w:t>LUCY ARMENDARIZ</w:t>
            </w:r>
          </w:p>
        </w:tc>
      </w:tr>
      <w:tr w:rsidR="003D3B12" w:rsidTr="00EF3A63">
        <w:tc>
          <w:tcPr>
            <w:tcW w:w="4695" w:type="dxa"/>
            <w:tcBorders>
              <w:left w:val="nil"/>
              <w:bottom w:val="nil"/>
            </w:tcBorders>
          </w:tcPr>
          <w:p w:rsidR="003D3B12" w:rsidRDefault="003D3B12"/>
        </w:tc>
        <w:tc>
          <w:tcPr>
            <w:tcW w:w="4480"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C634F2">
      <w:footerReference w:type="even" r:id="rId8"/>
      <w:footerReference w:type="default" r:id="rId9"/>
      <w:footerReference w:type="first" r:id="rId10"/>
      <w:pgSz w:w="12240" w:h="15840" w:code="1"/>
      <w:pgMar w:top="1440" w:right="1440" w:bottom="360" w:left="162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86D" w:rsidRDefault="00E5586D">
      <w:r>
        <w:separator/>
      </w:r>
    </w:p>
  </w:endnote>
  <w:endnote w:type="continuationSeparator" w:id="0">
    <w:p w:rsidR="00E5586D" w:rsidRDefault="00E558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FD5" w:rsidRDefault="00220E34" w:rsidP="003B44D5">
    <w:pPr>
      <w:pStyle w:val="Footer"/>
      <w:framePr w:wrap="around" w:vAnchor="text" w:hAnchor="margin" w:xAlign="center" w:y="1"/>
      <w:rPr>
        <w:rStyle w:val="PageNumber"/>
      </w:rPr>
    </w:pPr>
    <w:r>
      <w:rPr>
        <w:rStyle w:val="PageNumber"/>
      </w:rPr>
      <w:fldChar w:fldCharType="begin"/>
    </w:r>
    <w:r w:rsidR="00333FD5">
      <w:rPr>
        <w:rStyle w:val="PageNumber"/>
      </w:rPr>
      <w:instrText xml:space="preserve">PAGE  </w:instrText>
    </w:r>
    <w:r>
      <w:rPr>
        <w:rStyle w:val="PageNumber"/>
      </w:rPr>
      <w:fldChar w:fldCharType="end"/>
    </w:r>
  </w:p>
  <w:p w:rsidR="00333FD5" w:rsidRDefault="00333F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FD5" w:rsidRDefault="00220E34" w:rsidP="00200B09">
    <w:pPr>
      <w:pStyle w:val="Footer"/>
      <w:framePr w:wrap="around" w:vAnchor="text" w:hAnchor="margin" w:xAlign="center" w:y="1"/>
      <w:rPr>
        <w:rStyle w:val="PageNumber"/>
      </w:rPr>
    </w:pPr>
    <w:r>
      <w:rPr>
        <w:rStyle w:val="PageNumber"/>
      </w:rPr>
      <w:fldChar w:fldCharType="begin"/>
    </w:r>
    <w:r w:rsidR="00333FD5">
      <w:rPr>
        <w:rStyle w:val="PageNumber"/>
      </w:rPr>
      <w:instrText xml:space="preserve">PAGE  </w:instrText>
    </w:r>
    <w:r>
      <w:rPr>
        <w:rStyle w:val="PageNumber"/>
      </w:rPr>
      <w:fldChar w:fldCharType="separate"/>
    </w:r>
    <w:r w:rsidR="00E24DEB">
      <w:rPr>
        <w:rStyle w:val="PageNumber"/>
        <w:noProof/>
      </w:rPr>
      <w:t>- 2 -</w:t>
    </w:r>
    <w:r>
      <w:rPr>
        <w:rStyle w:val="PageNumber"/>
      </w:rPr>
      <w:fldChar w:fldCharType="end"/>
    </w:r>
  </w:p>
  <w:p w:rsidR="00333FD5" w:rsidRDefault="00333FD5" w:rsidP="00CF203F">
    <w:pPr>
      <w:pStyle w:val="Footer"/>
      <w:tabs>
        <w:tab w:val="left" w:pos="4770"/>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FD5" w:rsidRDefault="00333FD5">
    <w:pPr>
      <w:pStyle w:val="Footer"/>
      <w:framePr w:wrap="around" w:vAnchor="text" w:hAnchor="margin" w:xAlign="center" w:y="1"/>
      <w:rPr>
        <w:rStyle w:val="PageNumber"/>
      </w:rPr>
    </w:pPr>
  </w:p>
  <w:p w:rsidR="00333FD5" w:rsidRDefault="00333F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86D" w:rsidRDefault="00E5586D">
      <w:r>
        <w:separator/>
      </w:r>
    </w:p>
  </w:footnote>
  <w:footnote w:type="continuationSeparator" w:id="0">
    <w:p w:rsidR="00E5586D" w:rsidRDefault="00E5586D">
      <w:r>
        <w:continuationSeparator/>
      </w:r>
    </w:p>
  </w:footnote>
  <w:footnote w:id="1">
    <w:p w:rsidR="00333FD5" w:rsidRDefault="00333FD5">
      <w:pPr>
        <w:pStyle w:val="FootnoteText"/>
      </w:pPr>
      <w:r>
        <w:rPr>
          <w:rStyle w:val="FootnoteReference"/>
        </w:rPr>
        <w:footnoteRef/>
      </w:r>
      <w:r>
        <w:t xml:space="preserve"> Attorney Robert </w:t>
      </w:r>
      <w:proofErr w:type="spellStart"/>
      <w:r>
        <w:t>Thau</w:t>
      </w:r>
      <w:proofErr w:type="spellEnd"/>
      <w:r>
        <w:t xml:space="preserve"> was also named as a respondent in the six-count </w:t>
      </w:r>
      <w:proofErr w:type="spellStart"/>
      <w:r>
        <w:t>NDC</w:t>
      </w:r>
      <w:proofErr w:type="spellEnd"/>
      <w:r>
        <w:t>, but the State Bar dropped all counts against him.</w:t>
      </w:r>
    </w:p>
  </w:footnote>
  <w:footnote w:id="2">
    <w:p w:rsidR="00333FD5" w:rsidRDefault="00333FD5">
      <w:pPr>
        <w:pStyle w:val="FootnoteText"/>
      </w:pPr>
      <w:r>
        <w:rPr>
          <w:rStyle w:val="FootnoteReference"/>
        </w:rPr>
        <w:footnoteRef/>
      </w:r>
      <w:r>
        <w:t xml:space="preserve"> On the November 29, 2002 letter, submitted into evidence as the State Bar’s exhibit 2, the signature “Cynthia </w:t>
      </w:r>
      <w:proofErr w:type="spellStart"/>
      <w:r>
        <w:t>Truhan</w:t>
      </w:r>
      <w:proofErr w:type="spellEnd"/>
      <w:r>
        <w:t xml:space="preserve">” appears on her signature line; and the signature line of Robert </w:t>
      </w:r>
      <w:proofErr w:type="spellStart"/>
      <w:r>
        <w:t>Lorsch</w:t>
      </w:r>
      <w:proofErr w:type="spellEnd"/>
      <w:r>
        <w:t xml:space="preserve"> bears his signature and the date, “12-1-02.”   </w:t>
      </w:r>
    </w:p>
  </w:footnote>
  <w:footnote w:id="3">
    <w:p w:rsidR="00333FD5" w:rsidRDefault="00333FD5" w:rsidP="002D6E81">
      <w:pPr>
        <w:pStyle w:val="FootnoteText"/>
      </w:pPr>
      <w:r>
        <w:rPr>
          <w:rStyle w:val="FootnoteReference"/>
        </w:rPr>
        <w:footnoteRef/>
      </w:r>
      <w:r>
        <w:t xml:space="preserve"> References to rules are to the current Rules of Professional Conduct.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3E07"/>
    <w:multiLevelType w:val="multilevel"/>
    <w:tmpl w:val="9496EB26"/>
    <w:lvl w:ilvl="0">
      <w:start w:val="50"/>
      <w:numFmt w:val="decimal"/>
      <w:lvlText w:val="%1."/>
      <w:lvlJc w:val="left"/>
      <w:pPr>
        <w:tabs>
          <w:tab w:val="num" w:pos="432"/>
        </w:tabs>
        <w:ind w:left="720"/>
      </w:pPr>
      <w:rPr>
        <w:rFonts w:ascii="Times New Roman"/>
        <w:strike w:val="0"/>
        <w:color w:val="000000"/>
        <w:spacing w:val="-7"/>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192849"/>
    <w:rsid w:val="00003A13"/>
    <w:rsid w:val="00006281"/>
    <w:rsid w:val="000125FD"/>
    <w:rsid w:val="00014C23"/>
    <w:rsid w:val="00017D08"/>
    <w:rsid w:val="00027250"/>
    <w:rsid w:val="00033C28"/>
    <w:rsid w:val="00034EFA"/>
    <w:rsid w:val="00050652"/>
    <w:rsid w:val="00051472"/>
    <w:rsid w:val="00051BBC"/>
    <w:rsid w:val="0005530F"/>
    <w:rsid w:val="00060228"/>
    <w:rsid w:val="00073FB7"/>
    <w:rsid w:val="00082B7D"/>
    <w:rsid w:val="0008336A"/>
    <w:rsid w:val="00085C68"/>
    <w:rsid w:val="00087185"/>
    <w:rsid w:val="0008776B"/>
    <w:rsid w:val="00091E8E"/>
    <w:rsid w:val="000A551A"/>
    <w:rsid w:val="000A770A"/>
    <w:rsid w:val="000A7A20"/>
    <w:rsid w:val="000C1C9E"/>
    <w:rsid w:val="000D22DE"/>
    <w:rsid w:val="000D6B45"/>
    <w:rsid w:val="000E0FBB"/>
    <w:rsid w:val="000E52DB"/>
    <w:rsid w:val="000E6363"/>
    <w:rsid w:val="000F22D6"/>
    <w:rsid w:val="000F5167"/>
    <w:rsid w:val="000F6FC3"/>
    <w:rsid w:val="00103E48"/>
    <w:rsid w:val="001076AA"/>
    <w:rsid w:val="00107D15"/>
    <w:rsid w:val="00111F8E"/>
    <w:rsid w:val="0011592C"/>
    <w:rsid w:val="00116E22"/>
    <w:rsid w:val="00126288"/>
    <w:rsid w:val="00126BB8"/>
    <w:rsid w:val="00130A22"/>
    <w:rsid w:val="0014117D"/>
    <w:rsid w:val="00142676"/>
    <w:rsid w:val="00145071"/>
    <w:rsid w:val="00161D3B"/>
    <w:rsid w:val="001715B7"/>
    <w:rsid w:val="00174192"/>
    <w:rsid w:val="001776F0"/>
    <w:rsid w:val="00177F74"/>
    <w:rsid w:val="00183CAF"/>
    <w:rsid w:val="00184DC7"/>
    <w:rsid w:val="00192849"/>
    <w:rsid w:val="001941BD"/>
    <w:rsid w:val="001A01FF"/>
    <w:rsid w:val="001A3918"/>
    <w:rsid w:val="001A5C5B"/>
    <w:rsid w:val="001B199D"/>
    <w:rsid w:val="001B27E0"/>
    <w:rsid w:val="001B33AE"/>
    <w:rsid w:val="001B6381"/>
    <w:rsid w:val="001C2E74"/>
    <w:rsid w:val="001C6F4D"/>
    <w:rsid w:val="001E136C"/>
    <w:rsid w:val="001E2451"/>
    <w:rsid w:val="001E4E10"/>
    <w:rsid w:val="001E59C2"/>
    <w:rsid w:val="001F0EE7"/>
    <w:rsid w:val="001F212C"/>
    <w:rsid w:val="001F21B5"/>
    <w:rsid w:val="001F6C00"/>
    <w:rsid w:val="00200B09"/>
    <w:rsid w:val="002031EC"/>
    <w:rsid w:val="002074C2"/>
    <w:rsid w:val="002101D1"/>
    <w:rsid w:val="00216729"/>
    <w:rsid w:val="002202E9"/>
    <w:rsid w:val="00220E34"/>
    <w:rsid w:val="00221158"/>
    <w:rsid w:val="00225A0B"/>
    <w:rsid w:val="0023276A"/>
    <w:rsid w:val="00234161"/>
    <w:rsid w:val="00234E68"/>
    <w:rsid w:val="00242F71"/>
    <w:rsid w:val="002431DD"/>
    <w:rsid w:val="00243F87"/>
    <w:rsid w:val="00246BF4"/>
    <w:rsid w:val="002474FA"/>
    <w:rsid w:val="0025310F"/>
    <w:rsid w:val="002617E1"/>
    <w:rsid w:val="00262E3F"/>
    <w:rsid w:val="00264A8C"/>
    <w:rsid w:val="00265242"/>
    <w:rsid w:val="00271D8E"/>
    <w:rsid w:val="00286941"/>
    <w:rsid w:val="002873E6"/>
    <w:rsid w:val="00293738"/>
    <w:rsid w:val="00293C3D"/>
    <w:rsid w:val="002A1380"/>
    <w:rsid w:val="002A67A3"/>
    <w:rsid w:val="002B40B1"/>
    <w:rsid w:val="002B4DE0"/>
    <w:rsid w:val="002B5D6D"/>
    <w:rsid w:val="002B7C4F"/>
    <w:rsid w:val="002C102F"/>
    <w:rsid w:val="002C117B"/>
    <w:rsid w:val="002C6952"/>
    <w:rsid w:val="002D316C"/>
    <w:rsid w:val="002D6E81"/>
    <w:rsid w:val="002E5664"/>
    <w:rsid w:val="003010BA"/>
    <w:rsid w:val="00307BFA"/>
    <w:rsid w:val="00313E26"/>
    <w:rsid w:val="0031681F"/>
    <w:rsid w:val="00316AB9"/>
    <w:rsid w:val="00321D06"/>
    <w:rsid w:val="00321E99"/>
    <w:rsid w:val="00331BBE"/>
    <w:rsid w:val="00333FD5"/>
    <w:rsid w:val="00353AF0"/>
    <w:rsid w:val="00353E8A"/>
    <w:rsid w:val="0036179C"/>
    <w:rsid w:val="00361E1D"/>
    <w:rsid w:val="00364060"/>
    <w:rsid w:val="00373B8A"/>
    <w:rsid w:val="0037466A"/>
    <w:rsid w:val="00375E3D"/>
    <w:rsid w:val="00377A36"/>
    <w:rsid w:val="00383753"/>
    <w:rsid w:val="00385A10"/>
    <w:rsid w:val="00385C70"/>
    <w:rsid w:val="00387E8D"/>
    <w:rsid w:val="003A2F25"/>
    <w:rsid w:val="003A544C"/>
    <w:rsid w:val="003B10ED"/>
    <w:rsid w:val="003B44D5"/>
    <w:rsid w:val="003B4CC0"/>
    <w:rsid w:val="003C0ECB"/>
    <w:rsid w:val="003C18BC"/>
    <w:rsid w:val="003C51C3"/>
    <w:rsid w:val="003C6473"/>
    <w:rsid w:val="003D241C"/>
    <w:rsid w:val="003D2D51"/>
    <w:rsid w:val="003D3B12"/>
    <w:rsid w:val="003E243E"/>
    <w:rsid w:val="003E45A8"/>
    <w:rsid w:val="003E5A87"/>
    <w:rsid w:val="003F098D"/>
    <w:rsid w:val="003F1514"/>
    <w:rsid w:val="003F25B8"/>
    <w:rsid w:val="00402E13"/>
    <w:rsid w:val="00403895"/>
    <w:rsid w:val="00405C3A"/>
    <w:rsid w:val="004103CB"/>
    <w:rsid w:val="00412763"/>
    <w:rsid w:val="00414E3B"/>
    <w:rsid w:val="004215FE"/>
    <w:rsid w:val="00421915"/>
    <w:rsid w:val="00423F5D"/>
    <w:rsid w:val="00425A6E"/>
    <w:rsid w:val="00430752"/>
    <w:rsid w:val="00434356"/>
    <w:rsid w:val="00436F8D"/>
    <w:rsid w:val="00440152"/>
    <w:rsid w:val="0044783A"/>
    <w:rsid w:val="00452EC3"/>
    <w:rsid w:val="004578C7"/>
    <w:rsid w:val="00466402"/>
    <w:rsid w:val="00471324"/>
    <w:rsid w:val="00471693"/>
    <w:rsid w:val="00472004"/>
    <w:rsid w:val="004846DC"/>
    <w:rsid w:val="00485139"/>
    <w:rsid w:val="00486197"/>
    <w:rsid w:val="00494955"/>
    <w:rsid w:val="004B5A63"/>
    <w:rsid w:val="004C5A02"/>
    <w:rsid w:val="004D1E74"/>
    <w:rsid w:val="004D2D0C"/>
    <w:rsid w:val="004D72EA"/>
    <w:rsid w:val="004E76B4"/>
    <w:rsid w:val="004F4DA5"/>
    <w:rsid w:val="004F63E3"/>
    <w:rsid w:val="00515E49"/>
    <w:rsid w:val="00523CE0"/>
    <w:rsid w:val="005318DA"/>
    <w:rsid w:val="00543D8B"/>
    <w:rsid w:val="00544C8C"/>
    <w:rsid w:val="00550C5A"/>
    <w:rsid w:val="00554AC3"/>
    <w:rsid w:val="00566E77"/>
    <w:rsid w:val="0058262A"/>
    <w:rsid w:val="00585806"/>
    <w:rsid w:val="00594BB9"/>
    <w:rsid w:val="005974E2"/>
    <w:rsid w:val="005A4093"/>
    <w:rsid w:val="005B04EB"/>
    <w:rsid w:val="005D1179"/>
    <w:rsid w:val="005D216A"/>
    <w:rsid w:val="005E2C09"/>
    <w:rsid w:val="005E3B78"/>
    <w:rsid w:val="005F09B0"/>
    <w:rsid w:val="005F6333"/>
    <w:rsid w:val="0060188B"/>
    <w:rsid w:val="00615FC0"/>
    <w:rsid w:val="00616417"/>
    <w:rsid w:val="0061693E"/>
    <w:rsid w:val="00622A8E"/>
    <w:rsid w:val="00623C08"/>
    <w:rsid w:val="006303C7"/>
    <w:rsid w:val="00642873"/>
    <w:rsid w:val="0065041E"/>
    <w:rsid w:val="006523C5"/>
    <w:rsid w:val="006564EB"/>
    <w:rsid w:val="00660642"/>
    <w:rsid w:val="00660C6E"/>
    <w:rsid w:val="0066163C"/>
    <w:rsid w:val="006642AA"/>
    <w:rsid w:val="0066707C"/>
    <w:rsid w:val="00680E92"/>
    <w:rsid w:val="006918EE"/>
    <w:rsid w:val="006A2163"/>
    <w:rsid w:val="006C1BB7"/>
    <w:rsid w:val="006C3A7F"/>
    <w:rsid w:val="006D12BC"/>
    <w:rsid w:val="006D3F65"/>
    <w:rsid w:val="006D47C8"/>
    <w:rsid w:val="006D6FFF"/>
    <w:rsid w:val="006E271D"/>
    <w:rsid w:val="006E3FDD"/>
    <w:rsid w:val="006F2F03"/>
    <w:rsid w:val="006F319E"/>
    <w:rsid w:val="006F42C3"/>
    <w:rsid w:val="006F49EF"/>
    <w:rsid w:val="006F51EC"/>
    <w:rsid w:val="007069A2"/>
    <w:rsid w:val="0071216E"/>
    <w:rsid w:val="007158A7"/>
    <w:rsid w:val="00715A7B"/>
    <w:rsid w:val="0071684F"/>
    <w:rsid w:val="007205E4"/>
    <w:rsid w:val="00720AA1"/>
    <w:rsid w:val="007434AB"/>
    <w:rsid w:val="00744366"/>
    <w:rsid w:val="00760848"/>
    <w:rsid w:val="0076085E"/>
    <w:rsid w:val="0076185D"/>
    <w:rsid w:val="00793C93"/>
    <w:rsid w:val="007A573A"/>
    <w:rsid w:val="007B32AC"/>
    <w:rsid w:val="007C28F3"/>
    <w:rsid w:val="007C5B1B"/>
    <w:rsid w:val="007C612D"/>
    <w:rsid w:val="007C6918"/>
    <w:rsid w:val="007E1E0D"/>
    <w:rsid w:val="007E402D"/>
    <w:rsid w:val="007E5469"/>
    <w:rsid w:val="007E6C5F"/>
    <w:rsid w:val="00806AB8"/>
    <w:rsid w:val="00807270"/>
    <w:rsid w:val="008105B2"/>
    <w:rsid w:val="00816007"/>
    <w:rsid w:val="008223FB"/>
    <w:rsid w:val="00823C26"/>
    <w:rsid w:val="0082572C"/>
    <w:rsid w:val="00826201"/>
    <w:rsid w:val="00840213"/>
    <w:rsid w:val="00857977"/>
    <w:rsid w:val="00862223"/>
    <w:rsid w:val="008628CE"/>
    <w:rsid w:val="00870B0A"/>
    <w:rsid w:val="0087565B"/>
    <w:rsid w:val="0087614E"/>
    <w:rsid w:val="00892286"/>
    <w:rsid w:val="00893DE7"/>
    <w:rsid w:val="008954A8"/>
    <w:rsid w:val="008A1280"/>
    <w:rsid w:val="008A71AC"/>
    <w:rsid w:val="008B4811"/>
    <w:rsid w:val="008D306A"/>
    <w:rsid w:val="008E220A"/>
    <w:rsid w:val="008E7FEF"/>
    <w:rsid w:val="008F4100"/>
    <w:rsid w:val="00911F88"/>
    <w:rsid w:val="00914E9C"/>
    <w:rsid w:val="00922ED7"/>
    <w:rsid w:val="00923B39"/>
    <w:rsid w:val="00924E73"/>
    <w:rsid w:val="009365FD"/>
    <w:rsid w:val="00940FF8"/>
    <w:rsid w:val="009418E2"/>
    <w:rsid w:val="00945F55"/>
    <w:rsid w:val="00965353"/>
    <w:rsid w:val="00967D33"/>
    <w:rsid w:val="00971725"/>
    <w:rsid w:val="00972247"/>
    <w:rsid w:val="00973D11"/>
    <w:rsid w:val="00976667"/>
    <w:rsid w:val="00977BFF"/>
    <w:rsid w:val="00983AC5"/>
    <w:rsid w:val="00983B6B"/>
    <w:rsid w:val="00992D01"/>
    <w:rsid w:val="0099434A"/>
    <w:rsid w:val="009A71D1"/>
    <w:rsid w:val="009A7C05"/>
    <w:rsid w:val="009C639E"/>
    <w:rsid w:val="009E10D4"/>
    <w:rsid w:val="009E1ECE"/>
    <w:rsid w:val="009E4929"/>
    <w:rsid w:val="009E79E6"/>
    <w:rsid w:val="00A00C06"/>
    <w:rsid w:val="00A01584"/>
    <w:rsid w:val="00A02CB2"/>
    <w:rsid w:val="00A052AB"/>
    <w:rsid w:val="00A115CA"/>
    <w:rsid w:val="00A164AC"/>
    <w:rsid w:val="00A27DF5"/>
    <w:rsid w:val="00A3210D"/>
    <w:rsid w:val="00A544B5"/>
    <w:rsid w:val="00A57583"/>
    <w:rsid w:val="00A65048"/>
    <w:rsid w:val="00A811BB"/>
    <w:rsid w:val="00A85094"/>
    <w:rsid w:val="00A91AE8"/>
    <w:rsid w:val="00A942CD"/>
    <w:rsid w:val="00AC2E3F"/>
    <w:rsid w:val="00AC7ECC"/>
    <w:rsid w:val="00AD350E"/>
    <w:rsid w:val="00AE2CF9"/>
    <w:rsid w:val="00AE635F"/>
    <w:rsid w:val="00AF17E2"/>
    <w:rsid w:val="00AF25E8"/>
    <w:rsid w:val="00AF2BA4"/>
    <w:rsid w:val="00AF4F58"/>
    <w:rsid w:val="00B01AA0"/>
    <w:rsid w:val="00B04981"/>
    <w:rsid w:val="00B15B14"/>
    <w:rsid w:val="00B17413"/>
    <w:rsid w:val="00B21647"/>
    <w:rsid w:val="00B24616"/>
    <w:rsid w:val="00B24C2B"/>
    <w:rsid w:val="00B25C6A"/>
    <w:rsid w:val="00B314B9"/>
    <w:rsid w:val="00B31CEC"/>
    <w:rsid w:val="00B510E4"/>
    <w:rsid w:val="00B52B2A"/>
    <w:rsid w:val="00B546A5"/>
    <w:rsid w:val="00B54777"/>
    <w:rsid w:val="00B62CEF"/>
    <w:rsid w:val="00B67829"/>
    <w:rsid w:val="00B71780"/>
    <w:rsid w:val="00B76DF8"/>
    <w:rsid w:val="00B8543A"/>
    <w:rsid w:val="00B879D2"/>
    <w:rsid w:val="00BA5630"/>
    <w:rsid w:val="00BB2942"/>
    <w:rsid w:val="00BC57B6"/>
    <w:rsid w:val="00BD2588"/>
    <w:rsid w:val="00BE2531"/>
    <w:rsid w:val="00BE2ECE"/>
    <w:rsid w:val="00BE68F8"/>
    <w:rsid w:val="00BF3535"/>
    <w:rsid w:val="00BF46CC"/>
    <w:rsid w:val="00C01C1E"/>
    <w:rsid w:val="00C02796"/>
    <w:rsid w:val="00C05548"/>
    <w:rsid w:val="00C06922"/>
    <w:rsid w:val="00C13E85"/>
    <w:rsid w:val="00C14170"/>
    <w:rsid w:val="00C17255"/>
    <w:rsid w:val="00C213DE"/>
    <w:rsid w:val="00C2511F"/>
    <w:rsid w:val="00C3297E"/>
    <w:rsid w:val="00C35FA8"/>
    <w:rsid w:val="00C4460A"/>
    <w:rsid w:val="00C45B5D"/>
    <w:rsid w:val="00C45B8B"/>
    <w:rsid w:val="00C5082E"/>
    <w:rsid w:val="00C54543"/>
    <w:rsid w:val="00C634F2"/>
    <w:rsid w:val="00C65774"/>
    <w:rsid w:val="00C66ABC"/>
    <w:rsid w:val="00C87647"/>
    <w:rsid w:val="00C90BC4"/>
    <w:rsid w:val="00C93D8A"/>
    <w:rsid w:val="00C968AC"/>
    <w:rsid w:val="00C97B0A"/>
    <w:rsid w:val="00CA1BC0"/>
    <w:rsid w:val="00CA6818"/>
    <w:rsid w:val="00CB425E"/>
    <w:rsid w:val="00CB6471"/>
    <w:rsid w:val="00CB64E9"/>
    <w:rsid w:val="00CC3D80"/>
    <w:rsid w:val="00CC6D87"/>
    <w:rsid w:val="00CC6F0B"/>
    <w:rsid w:val="00CD7D08"/>
    <w:rsid w:val="00CE1DE9"/>
    <w:rsid w:val="00CE3AFD"/>
    <w:rsid w:val="00CE5252"/>
    <w:rsid w:val="00CF0E1E"/>
    <w:rsid w:val="00CF1733"/>
    <w:rsid w:val="00CF203F"/>
    <w:rsid w:val="00CF44AB"/>
    <w:rsid w:val="00CF4A37"/>
    <w:rsid w:val="00CF4E22"/>
    <w:rsid w:val="00D02A96"/>
    <w:rsid w:val="00D066FE"/>
    <w:rsid w:val="00D0771C"/>
    <w:rsid w:val="00D2676C"/>
    <w:rsid w:val="00D269DD"/>
    <w:rsid w:val="00D322CB"/>
    <w:rsid w:val="00D34483"/>
    <w:rsid w:val="00D366AE"/>
    <w:rsid w:val="00D50E13"/>
    <w:rsid w:val="00D52D89"/>
    <w:rsid w:val="00D5711C"/>
    <w:rsid w:val="00D8083E"/>
    <w:rsid w:val="00D83AB5"/>
    <w:rsid w:val="00D85D3C"/>
    <w:rsid w:val="00D92C7B"/>
    <w:rsid w:val="00D97E84"/>
    <w:rsid w:val="00DA21EF"/>
    <w:rsid w:val="00DB0A09"/>
    <w:rsid w:val="00DC350A"/>
    <w:rsid w:val="00DC4446"/>
    <w:rsid w:val="00DD08CF"/>
    <w:rsid w:val="00DE1F24"/>
    <w:rsid w:val="00DE4444"/>
    <w:rsid w:val="00E00C4B"/>
    <w:rsid w:val="00E14392"/>
    <w:rsid w:val="00E230C1"/>
    <w:rsid w:val="00E23435"/>
    <w:rsid w:val="00E24DEB"/>
    <w:rsid w:val="00E24F30"/>
    <w:rsid w:val="00E27321"/>
    <w:rsid w:val="00E310BE"/>
    <w:rsid w:val="00E32AEB"/>
    <w:rsid w:val="00E401C7"/>
    <w:rsid w:val="00E4513F"/>
    <w:rsid w:val="00E54221"/>
    <w:rsid w:val="00E54492"/>
    <w:rsid w:val="00E5586D"/>
    <w:rsid w:val="00E5759E"/>
    <w:rsid w:val="00E7102C"/>
    <w:rsid w:val="00E84BB4"/>
    <w:rsid w:val="00E91C57"/>
    <w:rsid w:val="00E954EE"/>
    <w:rsid w:val="00E96B91"/>
    <w:rsid w:val="00EB7A3C"/>
    <w:rsid w:val="00EC3D83"/>
    <w:rsid w:val="00EC5AF2"/>
    <w:rsid w:val="00ED6419"/>
    <w:rsid w:val="00ED6B7F"/>
    <w:rsid w:val="00EE1951"/>
    <w:rsid w:val="00EE20AB"/>
    <w:rsid w:val="00EE27DA"/>
    <w:rsid w:val="00EE3AFC"/>
    <w:rsid w:val="00EE6C88"/>
    <w:rsid w:val="00EF3A63"/>
    <w:rsid w:val="00F01C7A"/>
    <w:rsid w:val="00F04C3B"/>
    <w:rsid w:val="00F04CCA"/>
    <w:rsid w:val="00F115FE"/>
    <w:rsid w:val="00F140F8"/>
    <w:rsid w:val="00F23917"/>
    <w:rsid w:val="00F26FB1"/>
    <w:rsid w:val="00F27E90"/>
    <w:rsid w:val="00F347CA"/>
    <w:rsid w:val="00F42B12"/>
    <w:rsid w:val="00F510CB"/>
    <w:rsid w:val="00F65BF8"/>
    <w:rsid w:val="00F6795D"/>
    <w:rsid w:val="00F76147"/>
    <w:rsid w:val="00F82879"/>
    <w:rsid w:val="00F836F0"/>
    <w:rsid w:val="00F83E0F"/>
    <w:rsid w:val="00F84974"/>
    <w:rsid w:val="00FA2A71"/>
    <w:rsid w:val="00FA7DAF"/>
    <w:rsid w:val="00FB4373"/>
    <w:rsid w:val="00FB616A"/>
    <w:rsid w:val="00FD35EA"/>
    <w:rsid w:val="00FE5E87"/>
    <w:rsid w:val="00FE7E77"/>
    <w:rsid w:val="00FF73CE"/>
    <w:rsid w:val="00FF74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6F0"/>
    <w:rPr>
      <w:sz w:val="24"/>
      <w:szCs w:val="24"/>
    </w:rPr>
  </w:style>
  <w:style w:type="paragraph" w:styleId="Heading1">
    <w:name w:val="heading 1"/>
    <w:basedOn w:val="Normal"/>
    <w:next w:val="Normal"/>
    <w:qFormat/>
    <w:rsid w:val="00F836F0"/>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836F0"/>
    <w:pPr>
      <w:spacing w:before="28"/>
      <w:ind w:right="90"/>
    </w:pPr>
    <w:rPr>
      <w:sz w:val="19"/>
      <w:szCs w:val="19"/>
    </w:rPr>
  </w:style>
  <w:style w:type="paragraph" w:styleId="Header">
    <w:name w:val="header"/>
    <w:basedOn w:val="Normal"/>
    <w:semiHidden/>
    <w:rsid w:val="00F836F0"/>
    <w:pPr>
      <w:tabs>
        <w:tab w:val="center" w:pos="4320"/>
        <w:tab w:val="right" w:pos="8640"/>
      </w:tabs>
    </w:pPr>
  </w:style>
  <w:style w:type="paragraph" w:styleId="Footer">
    <w:name w:val="footer"/>
    <w:basedOn w:val="Normal"/>
    <w:semiHidden/>
    <w:rsid w:val="00F836F0"/>
    <w:pPr>
      <w:tabs>
        <w:tab w:val="center" w:pos="4320"/>
        <w:tab w:val="right" w:pos="8640"/>
      </w:tabs>
    </w:pPr>
  </w:style>
  <w:style w:type="character" w:styleId="PageNumber">
    <w:name w:val="page number"/>
    <w:basedOn w:val="DefaultParagraphFont"/>
    <w:semiHidden/>
    <w:rsid w:val="00F836F0"/>
  </w:style>
  <w:style w:type="paragraph" w:styleId="FootnoteText">
    <w:name w:val="footnote text"/>
    <w:basedOn w:val="Normal"/>
    <w:link w:val="FootnoteTextChar"/>
    <w:semiHidden/>
    <w:rsid w:val="00F836F0"/>
    <w:pPr>
      <w:ind w:firstLine="720"/>
    </w:pPr>
    <w:rPr>
      <w:szCs w:val="20"/>
    </w:rPr>
  </w:style>
  <w:style w:type="character" w:styleId="FootnoteReference">
    <w:name w:val="footnote reference"/>
    <w:basedOn w:val="DefaultParagraphFont"/>
    <w:rsid w:val="00F836F0"/>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semiHidden/>
    <w:rsid w:val="006F319E"/>
    <w:rPr>
      <w:sz w:val="24"/>
    </w:rPr>
  </w:style>
  <w:style w:type="paragraph" w:styleId="ListParagraph">
    <w:name w:val="List Paragraph"/>
    <w:basedOn w:val="Normal"/>
    <w:uiPriority w:val="34"/>
    <w:qFormat/>
    <w:rsid w:val="003C51C3"/>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F04CCA"/>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EB1B8-414C-4A5F-9ECB-AF7C34BF2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2</TotalTime>
  <Pages>7</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Ellen Biberfeld</dc:creator>
  <cp:keywords/>
  <dc:description/>
  <cp:lastModifiedBy>Laine Silber</cp:lastModifiedBy>
  <cp:revision>2</cp:revision>
  <cp:lastPrinted>2009-12-07T21:03:00Z</cp:lastPrinted>
  <dcterms:created xsi:type="dcterms:W3CDTF">2010-01-06T18:35:00Z</dcterms:created>
  <dcterms:modified xsi:type="dcterms:W3CDTF">2010-01-06T18:35:00Z</dcterms:modified>
</cp:coreProperties>
</file>