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54" w:rsidRPr="00C11CC8" w:rsidRDefault="00E40230" w:rsidP="002E2AD3">
      <w:pPr>
        <w:pStyle w:val="Footnote"/>
      </w:pPr>
      <w:r>
        <w:t xml:space="preserve">PUBLIC MATTER - </w:t>
      </w:r>
      <w:r w:rsidRPr="00CA67FC">
        <w:t>DESIGNATED FOR PUBLICATION</w:t>
      </w:r>
      <w:r w:rsidR="00210CE7">
        <w:tab/>
      </w:r>
    </w:p>
    <w:p w:rsidR="00146FAE" w:rsidRDefault="00146FAE" w:rsidP="00C11CC8">
      <w:pPr>
        <w:spacing w:line="240" w:lineRule="auto"/>
        <w:jc w:val="center"/>
        <w:rPr>
          <w:b/>
        </w:rPr>
      </w:pPr>
    </w:p>
    <w:p w:rsidR="00755A71" w:rsidRDefault="00755A71" w:rsidP="00C11CC8">
      <w:pPr>
        <w:spacing w:line="240" w:lineRule="auto"/>
        <w:jc w:val="center"/>
        <w:rPr>
          <w:b/>
        </w:rPr>
      </w:pPr>
    </w:p>
    <w:p w:rsidR="00040DF5" w:rsidRDefault="008D592C" w:rsidP="008D592C">
      <w:pPr>
        <w:spacing w:line="240" w:lineRule="auto"/>
        <w:jc w:val="right"/>
        <w:rPr>
          <w:b/>
        </w:rPr>
      </w:pPr>
      <w:r>
        <w:rPr>
          <w:b/>
        </w:rPr>
        <w:t>FILED NOVEMBER 19, 2010</w:t>
      </w:r>
    </w:p>
    <w:p w:rsidR="00755A71" w:rsidRDefault="00755A71" w:rsidP="00C11CC8">
      <w:pPr>
        <w:spacing w:line="240" w:lineRule="auto"/>
        <w:jc w:val="center"/>
        <w:rPr>
          <w:b/>
        </w:rPr>
      </w:pPr>
    </w:p>
    <w:p w:rsidR="00146FAE" w:rsidRDefault="00146FAE" w:rsidP="00C11CC8">
      <w:pPr>
        <w:spacing w:line="240" w:lineRule="auto"/>
        <w:jc w:val="center"/>
        <w:rPr>
          <w:b/>
        </w:rPr>
      </w:pPr>
    </w:p>
    <w:p w:rsidR="00146FAE" w:rsidRDefault="00146FAE" w:rsidP="00C11CC8">
      <w:pPr>
        <w:spacing w:line="240" w:lineRule="auto"/>
        <w:jc w:val="center"/>
        <w:rPr>
          <w:b/>
        </w:rPr>
      </w:pPr>
    </w:p>
    <w:p w:rsidR="00C11CC8" w:rsidRPr="00C11CC8" w:rsidRDefault="00C11CC8" w:rsidP="00C11CC8">
      <w:pPr>
        <w:spacing w:line="240" w:lineRule="auto"/>
        <w:jc w:val="center"/>
        <w:rPr>
          <w:b/>
        </w:rPr>
      </w:pPr>
      <w:r w:rsidRPr="00C11CC8">
        <w:rPr>
          <w:b/>
        </w:rPr>
        <w:t>REVIEW DEPARTMENT OF THE STATE BAR COURT</w:t>
      </w:r>
    </w:p>
    <w:p w:rsidR="00C11CC8" w:rsidRPr="00C11CC8" w:rsidRDefault="00C11CC8" w:rsidP="00C11CC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7"/>
        <w:gridCol w:w="899"/>
        <w:gridCol w:w="4202"/>
      </w:tblGrid>
      <w:tr w:rsidR="00C11CC8" w:rsidRPr="00C11CC8">
        <w:tc>
          <w:tcPr>
            <w:tcW w:w="4416" w:type="dxa"/>
            <w:tcBorders>
              <w:top w:val="nil"/>
              <w:left w:val="nil"/>
              <w:right w:val="nil"/>
            </w:tcBorders>
            <w:tcMar>
              <w:left w:w="0" w:type="dxa"/>
              <w:right w:w="0" w:type="dxa"/>
            </w:tcMar>
          </w:tcPr>
          <w:p w:rsidR="00C11CC8" w:rsidRDefault="00C11CC8" w:rsidP="000251CB">
            <w:pPr>
              <w:spacing w:line="240" w:lineRule="auto"/>
            </w:pPr>
            <w:r>
              <w:t>In the Matter of</w:t>
            </w:r>
          </w:p>
          <w:p w:rsidR="009216E0" w:rsidRDefault="009216E0" w:rsidP="000251CB">
            <w:pPr>
              <w:spacing w:line="240" w:lineRule="auto"/>
            </w:pPr>
          </w:p>
          <w:p w:rsidR="00C11CC8" w:rsidRDefault="007B1238" w:rsidP="000251CB">
            <w:pPr>
              <w:spacing w:line="240" w:lineRule="auto"/>
              <w:rPr>
                <w:b/>
              </w:rPr>
            </w:pPr>
            <w:bookmarkStart w:id="0" w:name="Respondent"/>
            <w:bookmarkEnd w:id="0"/>
            <w:r w:rsidRPr="000251CB">
              <w:rPr>
                <w:b/>
              </w:rPr>
              <w:t>MARIE DARLENE ALLEN</w:t>
            </w:r>
            <w:r w:rsidR="00C11CC8" w:rsidRPr="000251CB">
              <w:rPr>
                <w:b/>
              </w:rPr>
              <w:t>,</w:t>
            </w:r>
          </w:p>
          <w:p w:rsidR="002B72E9" w:rsidRDefault="002B72E9" w:rsidP="000251CB">
            <w:pPr>
              <w:spacing w:line="240" w:lineRule="auto"/>
            </w:pPr>
          </w:p>
          <w:p w:rsidR="009216E0" w:rsidRDefault="00CA67FC" w:rsidP="000251CB">
            <w:pPr>
              <w:spacing w:line="240" w:lineRule="auto"/>
            </w:pPr>
            <w:r>
              <w:t xml:space="preserve">Member </w:t>
            </w:r>
            <w:r w:rsidR="00CF1FDF" w:rsidRPr="002B72E9">
              <w:t>No.</w:t>
            </w:r>
            <w:r w:rsidR="002B72E9" w:rsidRPr="002B72E9">
              <w:t xml:space="preserve"> </w:t>
            </w:r>
            <w:r w:rsidR="00CF1FDF" w:rsidRPr="002B72E9">
              <w:t>138</w:t>
            </w:r>
            <w:r w:rsidR="002B72E9" w:rsidRPr="002B72E9">
              <w:t>263</w:t>
            </w:r>
          </w:p>
          <w:p w:rsidR="00CA67FC" w:rsidRDefault="00CA67FC" w:rsidP="000251CB">
            <w:pPr>
              <w:spacing w:line="240" w:lineRule="auto"/>
            </w:pPr>
          </w:p>
          <w:p w:rsidR="009216E0" w:rsidRPr="009216E0" w:rsidRDefault="00E40230" w:rsidP="000251CB">
            <w:pPr>
              <w:spacing w:line="240" w:lineRule="auto"/>
            </w:pPr>
            <w:bookmarkStart w:id="1" w:name="type"/>
            <w:bookmarkEnd w:id="1"/>
            <w:r>
              <w:t>A Member of the State Bar.</w:t>
            </w:r>
          </w:p>
          <w:p w:rsidR="009216E0" w:rsidRPr="00C11CC8" w:rsidRDefault="009216E0" w:rsidP="000251CB">
            <w:pPr>
              <w:spacing w:line="240" w:lineRule="auto"/>
            </w:pPr>
          </w:p>
        </w:tc>
        <w:tc>
          <w:tcPr>
            <w:tcW w:w="912" w:type="dxa"/>
            <w:tcBorders>
              <w:top w:val="nil"/>
              <w:left w:val="nil"/>
              <w:bottom w:val="nil"/>
              <w:right w:val="nil"/>
            </w:tcBorders>
            <w:tcMar>
              <w:left w:w="0" w:type="dxa"/>
              <w:right w:w="0" w:type="dxa"/>
            </w:tcMar>
          </w:tcPr>
          <w:p w:rsidR="00C11CC8" w:rsidRPr="000251CB" w:rsidRDefault="00C11CC8" w:rsidP="000251CB">
            <w:pPr>
              <w:spacing w:line="240" w:lineRule="auto"/>
              <w:rPr>
                <w:b/>
              </w:rPr>
            </w:pPr>
            <w:r w:rsidRPr="000251CB">
              <w:rPr>
                <w:b/>
              </w:rPr>
              <w:t>)</w:t>
            </w:r>
          </w:p>
          <w:p w:rsidR="009216E0" w:rsidRDefault="009216E0" w:rsidP="000251CB">
            <w:pPr>
              <w:spacing w:line="240" w:lineRule="auto"/>
              <w:rPr>
                <w:b/>
              </w:rPr>
            </w:pPr>
            <w:r w:rsidRPr="000251CB">
              <w:rPr>
                <w:b/>
              </w:rPr>
              <w:t>)</w:t>
            </w:r>
            <w:r w:rsidRPr="000251CB">
              <w:rPr>
                <w:b/>
              </w:rPr>
              <w:br/>
              <w:t>)</w:t>
            </w:r>
            <w:r w:rsidRPr="000251CB">
              <w:rPr>
                <w:b/>
              </w:rPr>
              <w:br/>
              <w:t>)</w:t>
            </w:r>
            <w:r w:rsidRPr="000251CB">
              <w:rPr>
                <w:b/>
              </w:rPr>
              <w:br/>
              <w:t>)</w:t>
            </w:r>
            <w:r w:rsidRPr="000251CB">
              <w:rPr>
                <w:b/>
              </w:rPr>
              <w:br/>
              <w:t>)</w:t>
            </w:r>
          </w:p>
          <w:p w:rsidR="001E7139" w:rsidRDefault="001E7139" w:rsidP="000251CB">
            <w:pPr>
              <w:spacing w:line="240" w:lineRule="auto"/>
              <w:rPr>
                <w:b/>
              </w:rPr>
            </w:pPr>
            <w:r>
              <w:rPr>
                <w:b/>
              </w:rPr>
              <w:t>)</w:t>
            </w:r>
          </w:p>
          <w:p w:rsidR="001E7139" w:rsidRPr="000251CB" w:rsidRDefault="001E7139" w:rsidP="000251CB">
            <w:pPr>
              <w:spacing w:line="240" w:lineRule="auto"/>
              <w:rPr>
                <w:b/>
              </w:rPr>
            </w:pPr>
            <w:r>
              <w:rPr>
                <w:b/>
              </w:rPr>
              <w:t>)</w:t>
            </w:r>
          </w:p>
        </w:tc>
        <w:tc>
          <w:tcPr>
            <w:tcW w:w="4248" w:type="dxa"/>
            <w:tcBorders>
              <w:top w:val="nil"/>
              <w:left w:val="nil"/>
              <w:bottom w:val="nil"/>
              <w:right w:val="nil"/>
            </w:tcBorders>
          </w:tcPr>
          <w:p w:rsidR="00C11CC8" w:rsidRPr="000251CB" w:rsidRDefault="00C11CC8" w:rsidP="000251CB">
            <w:pPr>
              <w:spacing w:line="240" w:lineRule="auto"/>
              <w:rPr>
                <w:b/>
              </w:rPr>
            </w:pPr>
            <w:r>
              <w:t>No</w:t>
            </w:r>
            <w:r w:rsidRPr="000251CB">
              <w:rPr>
                <w:b/>
              </w:rPr>
              <w:t>.</w:t>
            </w:r>
            <w:r w:rsidR="009216E0" w:rsidRPr="000251CB">
              <w:rPr>
                <w:b/>
              </w:rPr>
              <w:t xml:space="preserve"> </w:t>
            </w:r>
            <w:bookmarkStart w:id="2" w:name="caseno"/>
            <w:bookmarkEnd w:id="2"/>
            <w:r w:rsidR="00E40230" w:rsidRPr="000251CB">
              <w:rPr>
                <w:b/>
              </w:rPr>
              <w:t>06-O-13329</w:t>
            </w:r>
          </w:p>
          <w:p w:rsidR="009216E0" w:rsidRDefault="009216E0" w:rsidP="000251CB">
            <w:pPr>
              <w:spacing w:line="240" w:lineRule="auto"/>
            </w:pPr>
          </w:p>
          <w:p w:rsidR="007F537A" w:rsidRPr="000251CB" w:rsidRDefault="00E40230" w:rsidP="000251CB">
            <w:pPr>
              <w:spacing w:line="240" w:lineRule="auto"/>
              <w:rPr>
                <w:b/>
              </w:rPr>
            </w:pPr>
            <w:bookmarkStart w:id="3" w:name="title"/>
            <w:bookmarkEnd w:id="3"/>
            <w:r w:rsidRPr="000251CB">
              <w:rPr>
                <w:b/>
              </w:rPr>
              <w:t xml:space="preserve">OPINION </w:t>
            </w:r>
          </w:p>
          <w:p w:rsidR="00010A5B" w:rsidRPr="000251CB" w:rsidRDefault="00010A5B" w:rsidP="00AB2DCA">
            <w:pPr>
              <w:spacing w:line="240" w:lineRule="auto"/>
              <w:rPr>
                <w:b/>
              </w:rPr>
            </w:pPr>
          </w:p>
        </w:tc>
      </w:tr>
    </w:tbl>
    <w:p w:rsidR="00C11CC8" w:rsidRDefault="00C11CC8" w:rsidP="00C11CC8"/>
    <w:p w:rsidR="002B72E9" w:rsidRDefault="00783AF1" w:rsidP="002B72E9">
      <w:pPr>
        <w:pStyle w:val="Level1"/>
        <w:tabs>
          <w:tab w:val="clear" w:pos="720"/>
          <w:tab w:val="left" w:pos="-1440"/>
        </w:tabs>
        <w:spacing w:line="480" w:lineRule="auto"/>
        <w:ind w:left="0" w:firstLine="0"/>
      </w:pPr>
      <w:r>
        <w:tab/>
      </w:r>
      <w:r w:rsidR="003F2548">
        <w:t xml:space="preserve">The </w:t>
      </w:r>
      <w:r w:rsidR="001E7139">
        <w:t xml:space="preserve">Office of the Chief Trial Counsel </w:t>
      </w:r>
      <w:r w:rsidR="00704A24">
        <w:t xml:space="preserve">(OCTC) </w:t>
      </w:r>
      <w:r w:rsidR="001E7139">
        <w:t xml:space="preserve">of the </w:t>
      </w:r>
      <w:r w:rsidR="003F2548">
        <w:t>State Bar is appealing the hearing judge’s dismissal of</w:t>
      </w:r>
      <w:r w:rsidR="00714602">
        <w:t xml:space="preserve"> </w:t>
      </w:r>
      <w:r w:rsidR="00EC2215">
        <w:t>a Notice of Disciplinary Charge (NDC) charging</w:t>
      </w:r>
      <w:r w:rsidR="00EC2215" w:rsidRPr="00EC2215">
        <w:t xml:space="preserve"> </w:t>
      </w:r>
      <w:r w:rsidR="00EC2215">
        <w:t xml:space="preserve">respondent, </w:t>
      </w:r>
      <w:r w:rsidR="00EC2215">
        <w:rPr>
          <w:bCs/>
        </w:rPr>
        <w:t>Marie Darlene Allen,</w:t>
      </w:r>
      <w:r w:rsidR="00EC2215" w:rsidRPr="00EB65A5">
        <w:rPr>
          <w:bCs/>
        </w:rPr>
        <w:t xml:space="preserve"> </w:t>
      </w:r>
      <w:r w:rsidR="00EC2215">
        <w:rPr>
          <w:bCs/>
        </w:rPr>
        <w:t>with</w:t>
      </w:r>
      <w:r w:rsidR="006B6387">
        <w:rPr>
          <w:bCs/>
        </w:rPr>
        <w:t xml:space="preserve"> </w:t>
      </w:r>
      <w:r w:rsidR="00AF44E9" w:rsidRPr="00EB65A5">
        <w:rPr>
          <w:bCs/>
        </w:rPr>
        <w:t xml:space="preserve">a single </w:t>
      </w:r>
      <w:r w:rsidR="00EC2215">
        <w:rPr>
          <w:bCs/>
        </w:rPr>
        <w:t>count</w:t>
      </w:r>
      <w:r w:rsidR="00AF44E9" w:rsidRPr="00EB65A5">
        <w:rPr>
          <w:bCs/>
        </w:rPr>
        <w:t xml:space="preserve"> of </w:t>
      </w:r>
      <w:r w:rsidR="001B3BDD">
        <w:rPr>
          <w:bCs/>
        </w:rPr>
        <w:t xml:space="preserve">misconduct </w:t>
      </w:r>
      <w:r w:rsidR="00714602">
        <w:rPr>
          <w:bCs/>
        </w:rPr>
        <w:t xml:space="preserve">due to </w:t>
      </w:r>
      <w:r w:rsidR="006264A1">
        <w:rPr>
          <w:bCs/>
        </w:rPr>
        <w:t xml:space="preserve">her </w:t>
      </w:r>
      <w:r w:rsidR="00714602">
        <w:rPr>
          <w:bCs/>
        </w:rPr>
        <w:t xml:space="preserve">purchase of a residential duplex </w:t>
      </w:r>
      <w:r w:rsidR="001B3BDD">
        <w:t>from a longtime friend and occasional client</w:t>
      </w:r>
      <w:r w:rsidR="00EC2215">
        <w:t xml:space="preserve">, Supara </w:t>
      </w:r>
      <w:r w:rsidR="009C032B" w:rsidRPr="009C032B">
        <w:t xml:space="preserve">Ratanasadudi </w:t>
      </w:r>
      <w:r w:rsidR="00EC2215">
        <w:t>(Supara)</w:t>
      </w:r>
      <w:r w:rsidR="001B3BDD">
        <w:t xml:space="preserve">.  </w:t>
      </w:r>
      <w:r w:rsidR="00EC2215">
        <w:t>T</w:t>
      </w:r>
      <w:r w:rsidR="009E5622">
        <w:rPr>
          <w:bCs/>
        </w:rPr>
        <w:t xml:space="preserve">he hearing judge found that the State Bar failed to </w:t>
      </w:r>
      <w:r w:rsidR="009E5622">
        <w:t>establish</w:t>
      </w:r>
      <w:r w:rsidR="001B3BDD">
        <w:t xml:space="preserve"> that Allen</w:t>
      </w:r>
      <w:r w:rsidR="009E5622">
        <w:t xml:space="preserve"> </w:t>
      </w:r>
      <w:r w:rsidR="001B3BDD">
        <w:rPr>
          <w:bCs/>
        </w:rPr>
        <w:t xml:space="preserve">willfully violated Rules </w:t>
      </w:r>
      <w:r w:rsidR="00090BCD">
        <w:rPr>
          <w:bCs/>
        </w:rPr>
        <w:t xml:space="preserve">of </w:t>
      </w:r>
      <w:r w:rsidR="001B3BDD">
        <w:rPr>
          <w:bCs/>
        </w:rPr>
        <w:t xml:space="preserve">Professional Conduct, </w:t>
      </w:r>
      <w:r w:rsidR="001B3BDD">
        <w:t>rule 3</w:t>
      </w:r>
      <w:r w:rsidR="00090BCD">
        <w:t>-</w:t>
      </w:r>
      <w:r w:rsidR="001B3BDD">
        <w:t>300,</w:t>
      </w:r>
      <w:r w:rsidR="001B3BDD">
        <w:rPr>
          <w:rStyle w:val="FootnoteReference"/>
        </w:rPr>
        <w:footnoteReference w:id="2"/>
      </w:r>
      <w:r w:rsidR="001B3BDD">
        <w:t xml:space="preserve"> which</w:t>
      </w:r>
      <w:r w:rsidR="001B3BDD">
        <w:rPr>
          <w:bCs/>
        </w:rPr>
        <w:t xml:space="preserve"> governs business transactions with clients</w:t>
      </w:r>
      <w:r w:rsidR="00146FAE">
        <w:rPr>
          <w:bCs/>
        </w:rPr>
        <w:t>,</w:t>
      </w:r>
      <w:r w:rsidR="00C12A2E">
        <w:rPr>
          <w:bCs/>
        </w:rPr>
        <w:t xml:space="preserve"> because it</w:t>
      </w:r>
      <w:r w:rsidR="001B3BDD">
        <w:rPr>
          <w:bCs/>
        </w:rPr>
        <w:t xml:space="preserve"> did not present </w:t>
      </w:r>
      <w:r w:rsidR="001B3BDD">
        <w:t xml:space="preserve">clear and convincing evidence that Allen </w:t>
      </w:r>
      <w:r w:rsidR="009E5622">
        <w:t xml:space="preserve">was acting within an </w:t>
      </w:r>
      <w:r w:rsidR="00817FF2">
        <w:t>attorney/</w:t>
      </w:r>
      <w:r w:rsidR="009E5622">
        <w:t xml:space="preserve">client relationship at the time </w:t>
      </w:r>
      <w:r w:rsidR="00B73FBE">
        <w:t>she entered into the agreement to purchase</w:t>
      </w:r>
      <w:r w:rsidR="009E5622">
        <w:t xml:space="preserve"> </w:t>
      </w:r>
      <w:r w:rsidR="001B3BDD">
        <w:t>the duplex</w:t>
      </w:r>
      <w:r w:rsidR="00100266">
        <w:t>.</w:t>
      </w:r>
      <w:r w:rsidR="002B72E9">
        <w:t xml:space="preserve">  </w:t>
      </w:r>
      <w:r w:rsidR="00EC2215">
        <w:t>B</w:t>
      </w:r>
      <w:r w:rsidR="00022210">
        <w:t>ased on our de novo review of the record</w:t>
      </w:r>
      <w:r w:rsidR="005B7B01">
        <w:t xml:space="preserve"> (</w:t>
      </w:r>
      <w:r w:rsidR="00633092">
        <w:t xml:space="preserve">Cal. Rules of Court, </w:t>
      </w:r>
      <w:r w:rsidR="00090BCD">
        <w:t>r</w:t>
      </w:r>
      <w:r w:rsidR="00633092">
        <w:t>ule 9.12</w:t>
      </w:r>
      <w:r w:rsidR="005B7B01" w:rsidRPr="008272EB">
        <w:t>)</w:t>
      </w:r>
      <w:r w:rsidR="005B7B01">
        <w:t xml:space="preserve">, we </w:t>
      </w:r>
      <w:r w:rsidR="00EC2215">
        <w:t xml:space="preserve">agree </w:t>
      </w:r>
      <w:r w:rsidR="00267E03">
        <w:t xml:space="preserve">that the State Bar did not meet its </w:t>
      </w:r>
      <w:r w:rsidR="002C658A">
        <w:t xml:space="preserve">evidentiary </w:t>
      </w:r>
      <w:r w:rsidR="00267E03">
        <w:t>burden</w:t>
      </w:r>
      <w:r w:rsidR="005E1586">
        <w:t>,</w:t>
      </w:r>
      <w:r w:rsidR="002B72E9">
        <w:t xml:space="preserve"> and </w:t>
      </w:r>
      <w:r w:rsidR="005B7B01">
        <w:t xml:space="preserve">we </w:t>
      </w:r>
      <w:r w:rsidR="00A26D13">
        <w:t xml:space="preserve">affirm the hearing judge’s </w:t>
      </w:r>
      <w:r w:rsidR="00370558">
        <w:t>dismiss</w:t>
      </w:r>
      <w:r w:rsidR="00A26D13">
        <w:t>al of</w:t>
      </w:r>
      <w:r w:rsidR="00370558">
        <w:t xml:space="preserve"> </w:t>
      </w:r>
      <w:r w:rsidR="00090BCD">
        <w:t>t</w:t>
      </w:r>
      <w:r w:rsidR="00370558">
        <w:t>his matter with prejudice.</w:t>
      </w:r>
    </w:p>
    <w:p w:rsidR="002B72E9" w:rsidRDefault="002B72E9" w:rsidP="002B72E9">
      <w:pPr>
        <w:pStyle w:val="Level1"/>
        <w:tabs>
          <w:tab w:val="clear" w:pos="720"/>
          <w:tab w:val="left" w:pos="-1440"/>
        </w:tabs>
        <w:spacing w:line="480" w:lineRule="auto"/>
        <w:ind w:left="0" w:firstLine="0"/>
      </w:pPr>
    </w:p>
    <w:p w:rsidR="001E7139" w:rsidRDefault="001E7139" w:rsidP="002B72E9">
      <w:pPr>
        <w:pStyle w:val="Level1"/>
        <w:tabs>
          <w:tab w:val="clear" w:pos="720"/>
          <w:tab w:val="left" w:pos="-1440"/>
        </w:tabs>
        <w:spacing w:line="480" w:lineRule="auto"/>
        <w:ind w:left="0" w:firstLine="0"/>
      </w:pPr>
    </w:p>
    <w:p w:rsidR="00FA062A" w:rsidRDefault="002B72E9" w:rsidP="002B72E9">
      <w:pPr>
        <w:pStyle w:val="Level1"/>
        <w:tabs>
          <w:tab w:val="clear" w:pos="720"/>
          <w:tab w:val="left" w:pos="-1440"/>
        </w:tabs>
        <w:spacing w:line="480" w:lineRule="auto"/>
        <w:ind w:left="0" w:firstLine="0"/>
      </w:pPr>
      <w:r>
        <w:lastRenderedPageBreak/>
        <w:tab/>
      </w:r>
      <w:r>
        <w:tab/>
      </w:r>
      <w:r>
        <w:tab/>
      </w:r>
      <w:r>
        <w:tab/>
      </w:r>
      <w:r w:rsidR="00FA062A">
        <w:rPr>
          <w:b/>
        </w:rPr>
        <w:t xml:space="preserve">I.  EVIDENTIARY BURDEN </w:t>
      </w:r>
    </w:p>
    <w:p w:rsidR="00831290" w:rsidRDefault="00FA062A" w:rsidP="00831290">
      <w:pPr>
        <w:pStyle w:val="Header"/>
        <w:tabs>
          <w:tab w:val="left" w:pos="720"/>
        </w:tabs>
        <w:ind w:firstLine="720"/>
      </w:pPr>
      <w:r>
        <w:tab/>
      </w:r>
      <w:r w:rsidR="0043670C">
        <w:t>The parties submitted</w:t>
      </w:r>
      <w:r w:rsidR="00090BCD">
        <w:t xml:space="preserve"> the</w:t>
      </w:r>
      <w:r w:rsidR="00C12A2E">
        <w:t xml:space="preserve"> issue of </w:t>
      </w:r>
      <w:r w:rsidR="00090BCD">
        <w:t>culpability based on</w:t>
      </w:r>
      <w:r w:rsidR="00CD1B82">
        <w:t xml:space="preserve"> an extensive</w:t>
      </w:r>
      <w:r w:rsidR="00EC2215">
        <w:t xml:space="preserve"> Stipulation </w:t>
      </w:r>
      <w:r w:rsidR="00090BCD">
        <w:t>a</w:t>
      </w:r>
      <w:r w:rsidR="00EC2215">
        <w:t xml:space="preserve">s to Facts, filed on </w:t>
      </w:r>
      <w:smartTag w:uri="urn:schemas-microsoft-com:office:smarttags" w:element="date">
        <w:smartTagPr>
          <w:attr w:name="Year" w:val="2009"/>
          <w:attr w:name="Day" w:val="29"/>
          <w:attr w:name="Month" w:val="4"/>
        </w:smartTagPr>
        <w:r w:rsidR="00EC2215">
          <w:t>April 29, 2009</w:t>
        </w:r>
      </w:smartTag>
      <w:r w:rsidR="00EC2215">
        <w:t xml:space="preserve">, </w:t>
      </w:r>
      <w:r w:rsidR="00EC2215" w:rsidRPr="00744DBA">
        <w:t>as modified in June 2009</w:t>
      </w:r>
      <w:r w:rsidR="00EC2215">
        <w:t xml:space="preserve"> (Stipulation).</w:t>
      </w:r>
      <w:r w:rsidR="00072C8D">
        <w:rPr>
          <w:rStyle w:val="FootnoteReference"/>
        </w:rPr>
        <w:footnoteReference w:id="3"/>
      </w:r>
      <w:r w:rsidR="00072C8D" w:rsidRPr="008272EB">
        <w:t xml:space="preserve"> </w:t>
      </w:r>
      <w:r w:rsidR="00EC2215">
        <w:t xml:space="preserve"> </w:t>
      </w:r>
      <w:r w:rsidR="00F81812">
        <w:t>The burden is on the State Bar t</w:t>
      </w:r>
      <w:r w:rsidR="0043670C" w:rsidRPr="00CF2CFE">
        <w:t xml:space="preserve">o </w:t>
      </w:r>
      <w:r w:rsidR="005E1586">
        <w:t xml:space="preserve">prove </w:t>
      </w:r>
      <w:r w:rsidR="0043670C" w:rsidRPr="00CF2CFE">
        <w:t>misconduct</w:t>
      </w:r>
      <w:r w:rsidR="005E1586">
        <w:t xml:space="preserve"> by </w:t>
      </w:r>
      <w:r w:rsidR="00FE0516">
        <w:t>c</w:t>
      </w:r>
      <w:r w:rsidR="0043670C" w:rsidRPr="00CF2CFE">
        <w:t>lear and</w:t>
      </w:r>
      <w:r w:rsidR="0043670C" w:rsidRPr="008272EB">
        <w:t xml:space="preserve"> convincing </w:t>
      </w:r>
      <w:r w:rsidR="005E1586">
        <w:t>evidence</w:t>
      </w:r>
      <w:r w:rsidR="0043670C" w:rsidRPr="008272EB">
        <w:t>.</w:t>
      </w:r>
      <w:r w:rsidR="00072C8D">
        <w:t xml:space="preserve">  </w:t>
      </w:r>
      <w:r w:rsidR="0043670C" w:rsidRPr="008272EB">
        <w:t>(Rules Proc. of State Bar, rule 213</w:t>
      </w:r>
      <w:r w:rsidR="00463C2C">
        <w:t>.</w:t>
      </w:r>
      <w:r w:rsidR="0043670C" w:rsidRPr="008272EB">
        <w:t>)</w:t>
      </w:r>
      <w:r w:rsidR="00CD1B82">
        <w:t xml:space="preserve">  This </w:t>
      </w:r>
      <w:r w:rsidR="005E1586">
        <w:t>showing</w:t>
      </w:r>
      <w:r w:rsidR="00CD1B82">
        <w:t xml:space="preserve"> </w:t>
      </w:r>
      <w:r w:rsidR="00C12A2E">
        <w:t>requires that</w:t>
      </w:r>
      <w:r w:rsidR="000D7BE7">
        <w:t xml:space="preserve"> </w:t>
      </w:r>
      <w:r w:rsidR="0043670C">
        <w:t xml:space="preserve">the </w:t>
      </w:r>
      <w:r w:rsidR="0043670C" w:rsidRPr="008272EB">
        <w:t>evidence</w:t>
      </w:r>
      <w:r w:rsidR="00463C2C">
        <w:t xml:space="preserve"> must</w:t>
      </w:r>
      <w:r w:rsidR="0043670C" w:rsidRPr="008272EB">
        <w:t xml:space="preserve"> be </w:t>
      </w:r>
      <w:r w:rsidR="000D7BE7">
        <w:t>“</w:t>
      </w:r>
      <w:r w:rsidR="00463C2C">
        <w:t xml:space="preserve"> ‘</w:t>
      </w:r>
      <w:r w:rsidR="0043670C" w:rsidRPr="008272EB">
        <w:t>so clear as to leave no substantial doubt</w:t>
      </w:r>
      <w:r w:rsidR="00463C2C">
        <w:t xml:space="preserve">’ </w:t>
      </w:r>
      <w:r w:rsidR="000D7BE7">
        <w:t>”</w:t>
      </w:r>
      <w:r w:rsidR="0043670C" w:rsidRPr="008272EB">
        <w:t xml:space="preserve"> and </w:t>
      </w:r>
      <w:r w:rsidR="000D7BE7">
        <w:t>“</w:t>
      </w:r>
      <w:r w:rsidR="00463C2C">
        <w:t xml:space="preserve"> ‘</w:t>
      </w:r>
      <w:r w:rsidR="0043670C" w:rsidRPr="008272EB">
        <w:t>sufficiently strong to command the unhesitating assent of every reasonable mind.</w:t>
      </w:r>
      <w:r w:rsidR="00463C2C">
        <w:t xml:space="preserve">’ </w:t>
      </w:r>
      <w:r w:rsidR="000D7BE7">
        <w:t>”</w:t>
      </w:r>
      <w:r w:rsidR="0043670C" w:rsidRPr="008272EB">
        <w:t xml:space="preserve">  (</w:t>
      </w:r>
      <w:r w:rsidR="0043670C" w:rsidRPr="006D4B04">
        <w:rPr>
          <w:i/>
        </w:rPr>
        <w:t>Sheehan v. Sullivan</w:t>
      </w:r>
      <w:r w:rsidR="0043670C" w:rsidRPr="008272EB">
        <w:t xml:space="preserve"> (1899) 126 Cal. 189, 193.)</w:t>
      </w:r>
      <w:r w:rsidR="005248D9">
        <w:t xml:space="preserve">  </w:t>
      </w:r>
      <w:r w:rsidR="005E1586">
        <w:t>Moreover</w:t>
      </w:r>
      <w:r w:rsidR="005248D9">
        <w:t>, we</w:t>
      </w:r>
      <w:r w:rsidR="00F66778">
        <w:t xml:space="preserve"> </w:t>
      </w:r>
      <w:r w:rsidR="0079614D">
        <w:t xml:space="preserve">resolve all reasonable doubts in </w:t>
      </w:r>
      <w:r w:rsidR="000D7BE7">
        <w:t>Allen’s</w:t>
      </w:r>
      <w:r w:rsidR="0079614D">
        <w:t xml:space="preserve"> favor</w:t>
      </w:r>
      <w:r w:rsidR="00302E5A">
        <w:t>, and w</w:t>
      </w:r>
      <w:r w:rsidR="0079614D" w:rsidRPr="00F66778">
        <w:t xml:space="preserve">hen equally reasonable inferences may be drawn from the stipulated facts, </w:t>
      </w:r>
      <w:r w:rsidR="00F66778">
        <w:t>we</w:t>
      </w:r>
      <w:r w:rsidR="0079614D" w:rsidRPr="00F66778">
        <w:t xml:space="preserve"> accept th</w:t>
      </w:r>
      <w:r w:rsidR="000D7BE7">
        <w:t>os</w:t>
      </w:r>
      <w:r w:rsidR="0079614D" w:rsidRPr="00F66778">
        <w:t xml:space="preserve">e </w:t>
      </w:r>
      <w:r w:rsidR="00C12A2E">
        <w:t xml:space="preserve">inferences </w:t>
      </w:r>
      <w:r w:rsidR="0079614D" w:rsidRPr="00F66778">
        <w:t>that lead to a conclusion of innocence</w:t>
      </w:r>
      <w:r w:rsidR="00302E5A">
        <w:t>.</w:t>
      </w:r>
      <w:r w:rsidR="00F66778" w:rsidRPr="00CF2CFE">
        <w:t xml:space="preserve"> </w:t>
      </w:r>
      <w:r w:rsidR="00302E5A">
        <w:t xml:space="preserve"> </w:t>
      </w:r>
      <w:r w:rsidR="00302E5A" w:rsidRPr="00F66778">
        <w:t>(</w:t>
      </w:r>
      <w:r w:rsidR="00302E5A" w:rsidRPr="00F66778">
        <w:rPr>
          <w:i/>
          <w:iCs/>
        </w:rPr>
        <w:t>Young v. State Bar</w:t>
      </w:r>
      <w:r w:rsidR="00302E5A" w:rsidRPr="00F66778">
        <w:t xml:space="preserve"> (1990) 50 Cal.3d 1204, 1216</w:t>
      </w:r>
      <w:r w:rsidR="00302E5A">
        <w:t>.</w:t>
      </w:r>
      <w:r w:rsidR="00302E5A" w:rsidRPr="00F66778">
        <w:t>)</w:t>
      </w:r>
      <w:r w:rsidR="00302E5A">
        <w:t xml:space="preserve">  </w:t>
      </w:r>
    </w:p>
    <w:p w:rsidR="00B671A0" w:rsidRPr="00CA67FC" w:rsidRDefault="00CA67FC" w:rsidP="00CA67FC">
      <w:pPr>
        <w:pStyle w:val="PlainText"/>
        <w:spacing w:line="480" w:lineRule="auto"/>
        <w:ind w:left="1440"/>
        <w:rPr>
          <w:rFonts w:ascii="Times New Roman" w:hAnsi="Times New Roman"/>
          <w:b/>
          <w:sz w:val="24"/>
          <w:szCs w:val="24"/>
        </w:rPr>
      </w:pPr>
      <w:r>
        <w:rPr>
          <w:rFonts w:ascii="Times New Roman" w:hAnsi="Times New Roman"/>
          <w:sz w:val="24"/>
          <w:szCs w:val="24"/>
        </w:rPr>
        <w:t xml:space="preserve">        </w:t>
      </w:r>
      <w:r w:rsidR="00C36412">
        <w:rPr>
          <w:rFonts w:ascii="Times New Roman" w:hAnsi="Times New Roman"/>
          <w:sz w:val="24"/>
          <w:szCs w:val="24"/>
        </w:rPr>
        <w:t xml:space="preserve"> </w:t>
      </w:r>
      <w:r w:rsidR="00FA062A" w:rsidRPr="00CA67FC">
        <w:rPr>
          <w:rFonts w:ascii="Times New Roman" w:hAnsi="Times New Roman"/>
          <w:b/>
          <w:sz w:val="24"/>
          <w:szCs w:val="24"/>
        </w:rPr>
        <w:t>I</w:t>
      </w:r>
      <w:r w:rsidR="001E0BB0" w:rsidRPr="00CA67FC">
        <w:rPr>
          <w:rFonts w:ascii="Times New Roman" w:hAnsi="Times New Roman"/>
          <w:b/>
          <w:sz w:val="24"/>
          <w:szCs w:val="24"/>
        </w:rPr>
        <w:t>I.</w:t>
      </w:r>
      <w:r w:rsidR="001E0BB0" w:rsidRPr="00CA67FC">
        <w:rPr>
          <w:rFonts w:ascii="Times New Roman" w:hAnsi="Times New Roman"/>
          <w:sz w:val="24"/>
          <w:szCs w:val="24"/>
        </w:rPr>
        <w:t xml:space="preserve">  </w:t>
      </w:r>
      <w:r w:rsidR="00B671A0" w:rsidRPr="00CA67FC">
        <w:rPr>
          <w:rFonts w:ascii="Times New Roman" w:hAnsi="Times New Roman"/>
          <w:b/>
          <w:sz w:val="24"/>
          <w:szCs w:val="24"/>
        </w:rPr>
        <w:t>PROCEDURAL</w:t>
      </w:r>
      <w:r w:rsidR="001E0BB0" w:rsidRPr="00CA67FC">
        <w:rPr>
          <w:rFonts w:ascii="Times New Roman" w:hAnsi="Times New Roman"/>
          <w:b/>
          <w:sz w:val="24"/>
          <w:szCs w:val="24"/>
        </w:rPr>
        <w:t xml:space="preserve"> </w:t>
      </w:r>
      <w:r w:rsidR="00A6393A" w:rsidRPr="00CA67FC">
        <w:rPr>
          <w:rFonts w:ascii="Times New Roman" w:hAnsi="Times New Roman"/>
          <w:b/>
          <w:sz w:val="24"/>
          <w:szCs w:val="24"/>
        </w:rPr>
        <w:t>AND</w:t>
      </w:r>
      <w:r w:rsidR="001E0BB0" w:rsidRPr="00CA67FC">
        <w:rPr>
          <w:rFonts w:ascii="Times New Roman" w:hAnsi="Times New Roman"/>
          <w:b/>
          <w:sz w:val="24"/>
          <w:szCs w:val="24"/>
        </w:rPr>
        <w:t xml:space="preserve"> FACTUAL</w:t>
      </w:r>
      <w:r w:rsidR="00B671A0" w:rsidRPr="00CA67FC">
        <w:rPr>
          <w:rFonts w:ascii="Times New Roman" w:hAnsi="Times New Roman"/>
          <w:b/>
          <w:sz w:val="24"/>
          <w:szCs w:val="24"/>
        </w:rPr>
        <w:t xml:space="preserve"> HISTORY</w:t>
      </w:r>
    </w:p>
    <w:p w:rsidR="00431915" w:rsidRDefault="00B671A0" w:rsidP="00EF3660">
      <w:r>
        <w:tab/>
      </w:r>
      <w:r w:rsidR="00431915">
        <w:t xml:space="preserve">The facts in this matter are set forth with particularity in the Stipulation and </w:t>
      </w:r>
      <w:r w:rsidR="00184622">
        <w:t xml:space="preserve">are </w:t>
      </w:r>
      <w:r w:rsidR="00431915">
        <w:t>accurately recited in the hearing judge’s decision filed on</w:t>
      </w:r>
      <w:r w:rsidR="00431915" w:rsidRPr="0003105A">
        <w:t xml:space="preserve"> </w:t>
      </w:r>
      <w:smartTag w:uri="urn:schemas-microsoft-com:office:smarttags" w:element="date">
        <w:smartTagPr>
          <w:attr w:name="Year" w:val="2009"/>
          <w:attr w:name="Day" w:val="22"/>
          <w:attr w:name="Month" w:val="12"/>
        </w:smartTagPr>
        <w:r w:rsidR="00431915">
          <w:t>December 22, 2009</w:t>
        </w:r>
      </w:smartTag>
      <w:r w:rsidR="00431915">
        <w:t xml:space="preserve">.  We adopt the hearing judge’s factual findings, and </w:t>
      </w:r>
      <w:r w:rsidR="001E0D20">
        <w:t xml:space="preserve">summarize below </w:t>
      </w:r>
      <w:r w:rsidR="00431915">
        <w:t xml:space="preserve">those facts which </w:t>
      </w:r>
      <w:r w:rsidR="001E0D20">
        <w:t>are pertinent to</w:t>
      </w:r>
      <w:r w:rsidR="00431915">
        <w:t xml:space="preserve"> our analysis.    </w:t>
      </w:r>
    </w:p>
    <w:p w:rsidR="003428DE" w:rsidRDefault="003F2548" w:rsidP="00431915">
      <w:pPr>
        <w:ind w:firstLine="720"/>
      </w:pPr>
      <w:r>
        <w:t>A</w:t>
      </w:r>
      <w:r w:rsidR="00F67D05">
        <w:t>l</w:t>
      </w:r>
      <w:r>
        <w:t xml:space="preserve">len </w:t>
      </w:r>
      <w:r w:rsidRPr="00B355F0">
        <w:t xml:space="preserve">was admitted to the practice of law on </w:t>
      </w:r>
      <w:smartTag w:uri="urn:schemas-microsoft-com:office:smarttags" w:element="date">
        <w:smartTagPr>
          <w:attr w:name="Year" w:val="1988"/>
          <w:attr w:name="Day" w:val="12"/>
          <w:attr w:name="Month" w:val="12"/>
        </w:smartTagPr>
        <w:r>
          <w:t>December 12, 1988</w:t>
        </w:r>
      </w:smartTag>
      <w:r>
        <w:t xml:space="preserve">, </w:t>
      </w:r>
      <w:r w:rsidRPr="00B355F0">
        <w:t>and has been a member of the State Bar</w:t>
      </w:r>
      <w:r>
        <w:t xml:space="preserve"> of California since that time.  She has no prior record of discipline in more than 21</w:t>
      </w:r>
      <w:r w:rsidR="00F304DA">
        <w:t>-</w:t>
      </w:r>
      <w:r>
        <w:t>year</w:t>
      </w:r>
      <w:r w:rsidR="00AB2DCA">
        <w:t xml:space="preserve">s of </w:t>
      </w:r>
      <w:r>
        <w:t>practice</w:t>
      </w:r>
      <w:r w:rsidR="007234AD">
        <w:t>, which is</w:t>
      </w:r>
      <w:r w:rsidR="00DC5DC7">
        <w:t xml:space="preserve"> </w:t>
      </w:r>
      <w:r w:rsidR="007234AD">
        <w:t xml:space="preserve">primarily in the areas of real estate and family law.  </w:t>
      </w:r>
      <w:r w:rsidR="00EF3660">
        <w:t xml:space="preserve"> </w:t>
      </w:r>
    </w:p>
    <w:p w:rsidR="00694AD1" w:rsidRDefault="00DC30F9" w:rsidP="003428DE">
      <w:pPr>
        <w:ind w:firstLine="720"/>
      </w:pPr>
      <w:r>
        <w:t xml:space="preserve">Allen and </w:t>
      </w:r>
      <w:r w:rsidR="00101989">
        <w:t>Supara</w:t>
      </w:r>
      <w:r>
        <w:t xml:space="preserve"> </w:t>
      </w:r>
      <w:r w:rsidR="007234AD">
        <w:t>met in 1997 or 1998</w:t>
      </w:r>
      <w:r w:rsidR="001E7139">
        <w:t>,</w:t>
      </w:r>
      <w:r w:rsidR="007234AD">
        <w:t xml:space="preserve"> and developed a close personal relationship</w:t>
      </w:r>
      <w:r w:rsidR="00AD41B7">
        <w:t>.</w:t>
      </w:r>
      <w:r w:rsidR="00054BCF">
        <w:rPr>
          <w:b/>
        </w:rPr>
        <w:t xml:space="preserve">  </w:t>
      </w:r>
      <w:r w:rsidR="00D03B24">
        <w:t>Allen provided</w:t>
      </w:r>
      <w:r w:rsidR="005E1586">
        <w:t xml:space="preserve"> </w:t>
      </w:r>
      <w:r w:rsidR="00AB2DCA">
        <w:t xml:space="preserve">occasional </w:t>
      </w:r>
      <w:r>
        <w:t xml:space="preserve">legal services to </w:t>
      </w:r>
      <w:r w:rsidR="00101989">
        <w:t>Supara</w:t>
      </w:r>
      <w:r w:rsidR="007234AD">
        <w:t xml:space="preserve"> between July 199</w:t>
      </w:r>
      <w:r w:rsidR="009F7533">
        <w:t xml:space="preserve">9 and October 2002.  </w:t>
      </w:r>
      <w:r w:rsidR="00D96ED3">
        <w:t>I</w:t>
      </w:r>
      <w:r w:rsidR="009F7533">
        <w:t xml:space="preserve">n </w:t>
      </w:r>
      <w:r w:rsidR="009F7533">
        <w:lastRenderedPageBreak/>
        <w:t>1999</w:t>
      </w:r>
      <w:r w:rsidR="00D96ED3">
        <w:t>,</w:t>
      </w:r>
      <w:r w:rsidR="009F7533">
        <w:t xml:space="preserve"> </w:t>
      </w:r>
      <w:r w:rsidR="00D03B24">
        <w:t>Allen</w:t>
      </w:r>
      <w:r w:rsidR="00733DF5">
        <w:t xml:space="preserve"> </w:t>
      </w:r>
      <w:r w:rsidR="009F7533">
        <w:t>prepared a grant deed and change of ownership for a timeshare owned by Supara</w:t>
      </w:r>
      <w:r w:rsidR="00054BCF">
        <w:t xml:space="preserve"> in </w:t>
      </w:r>
      <w:smartTag w:uri="urn:schemas-microsoft-com:office:smarttags" w:element="place">
        <w:smartTag w:uri="urn:schemas-microsoft-com:office:smarttags" w:element="City">
          <w:r w:rsidR="00054BCF">
            <w:t>Big Bear Lake</w:t>
          </w:r>
        </w:smartTag>
        <w:r w:rsidR="00054BCF">
          <w:t xml:space="preserve">, </w:t>
        </w:r>
        <w:smartTag w:uri="urn:schemas-microsoft-com:office:smarttags" w:element="State">
          <w:r w:rsidR="00054BCF">
            <w:t>California</w:t>
          </w:r>
        </w:smartTag>
      </w:smartTag>
      <w:r w:rsidR="001E0D20">
        <w:t xml:space="preserve">.  </w:t>
      </w:r>
      <w:r w:rsidR="00F304DA">
        <w:t>Also</w:t>
      </w:r>
      <w:r w:rsidR="009F7533">
        <w:t xml:space="preserve"> in 1999</w:t>
      </w:r>
      <w:r w:rsidR="00007226">
        <w:t>,</w:t>
      </w:r>
      <w:r w:rsidR="009F7533">
        <w:t xml:space="preserve"> </w:t>
      </w:r>
      <w:r w:rsidR="00D03B24">
        <w:t>she</w:t>
      </w:r>
      <w:r w:rsidR="009F7533">
        <w:t xml:space="preserve"> prepared a land sales contract for </w:t>
      </w:r>
      <w:r w:rsidR="001E0D20">
        <w:t xml:space="preserve">Supara for </w:t>
      </w:r>
      <w:r w:rsidR="009F7533">
        <w:t>property</w:t>
      </w:r>
      <w:r w:rsidR="00AC215C">
        <w:t xml:space="preserve"> in </w:t>
      </w:r>
      <w:smartTag w:uri="urn:schemas-microsoft-com:office:smarttags" w:element="place">
        <w:smartTag w:uri="urn:schemas-microsoft-com:office:smarttags" w:element="City">
          <w:r w:rsidR="00AC215C">
            <w:t>Lakewood</w:t>
          </w:r>
        </w:smartTag>
        <w:r w:rsidR="00AC215C">
          <w:t xml:space="preserve">, </w:t>
        </w:r>
        <w:smartTag w:uri="urn:schemas-microsoft-com:office:smarttags" w:element="State">
          <w:r w:rsidR="00AC215C">
            <w:t>California</w:t>
          </w:r>
        </w:smartTag>
      </w:smartTag>
      <w:r w:rsidR="009F7533">
        <w:t xml:space="preserve">.  </w:t>
      </w:r>
      <w:r w:rsidR="00C16EFE">
        <w:t>In</w:t>
      </w:r>
      <w:r w:rsidR="009F7533">
        <w:t xml:space="preserve"> </w:t>
      </w:r>
      <w:r w:rsidR="007E4AA8">
        <w:t xml:space="preserve">early </w:t>
      </w:r>
      <w:r w:rsidR="009F7533">
        <w:t xml:space="preserve">2002, Allen drafted two letters </w:t>
      </w:r>
      <w:r w:rsidR="00AC215C">
        <w:t xml:space="preserve">to the purchasers of the </w:t>
      </w:r>
      <w:smartTag w:uri="urn:schemas-microsoft-com:office:smarttags" w:element="City">
        <w:smartTag w:uri="urn:schemas-microsoft-com:office:smarttags" w:element="place">
          <w:r w:rsidR="00AC215C">
            <w:t>Lakewood</w:t>
          </w:r>
        </w:smartTag>
      </w:smartTag>
      <w:r w:rsidR="00AC215C">
        <w:t xml:space="preserve"> property and their attorney</w:t>
      </w:r>
      <w:r w:rsidR="00B3185B">
        <w:t>.  She also</w:t>
      </w:r>
      <w:r w:rsidR="00422030">
        <w:t xml:space="preserve"> prepared two notices to pay rent or quit,</w:t>
      </w:r>
      <w:r w:rsidR="00B3185B">
        <w:t xml:space="preserve"> and</w:t>
      </w:r>
      <w:r w:rsidR="00422030">
        <w:t xml:space="preserve"> reviewed the </w:t>
      </w:r>
      <w:smartTag w:uri="urn:schemas-microsoft-com:office:smarttags" w:element="City">
        <w:smartTag w:uri="urn:schemas-microsoft-com:office:smarttags" w:element="place">
          <w:r w:rsidR="00422030">
            <w:t>Lakewood</w:t>
          </w:r>
        </w:smartTag>
      </w:smartTag>
      <w:r w:rsidR="00422030">
        <w:t xml:space="preserve"> property escrow instructions</w:t>
      </w:r>
      <w:r w:rsidR="007E4AA8">
        <w:t xml:space="preserve"> and communications from the purchasers</w:t>
      </w:r>
      <w:r w:rsidR="00F67D05">
        <w:t>’</w:t>
      </w:r>
      <w:r w:rsidR="007E4AA8">
        <w:t xml:space="preserve"> attorney.  Later</w:t>
      </w:r>
      <w:r w:rsidR="00B3185B">
        <w:t>,</w:t>
      </w:r>
      <w:r w:rsidR="007E4AA8">
        <w:t xml:space="preserve"> in </w:t>
      </w:r>
      <w:r w:rsidR="00694AD1">
        <w:t xml:space="preserve">October </w:t>
      </w:r>
      <w:r w:rsidR="007E4AA8">
        <w:t>2002</w:t>
      </w:r>
      <w:r w:rsidR="00F67D05">
        <w:t>,</w:t>
      </w:r>
      <w:r w:rsidR="007E4AA8">
        <w:t xml:space="preserve"> Allen drafted a memorandum of agreement for property owned by Supara at Leisure World</w:t>
      </w:r>
      <w:r w:rsidR="00F67D05">
        <w:t>,</w:t>
      </w:r>
      <w:r w:rsidR="007E4AA8">
        <w:t xml:space="preserve"> and</w:t>
      </w:r>
      <w:r w:rsidR="003D7A7D">
        <w:t xml:space="preserve"> she</w:t>
      </w:r>
      <w:r w:rsidR="007E4AA8">
        <w:t xml:space="preserve"> </w:t>
      </w:r>
      <w:r w:rsidR="003D7A7D">
        <w:t>consulted with Supara about enforcement of a judgment against an entity that later filed for bankruptcy.</w:t>
      </w:r>
      <w:r w:rsidR="00694AD1">
        <w:t xml:space="preserve"> </w:t>
      </w:r>
      <w:r w:rsidR="0028339E">
        <w:t xml:space="preserve"> </w:t>
      </w:r>
      <w:r w:rsidR="00D03B24">
        <w:t xml:space="preserve">In each of these instances, Allen’s services were limited to a specific matter.  There was no retainer agreement between </w:t>
      </w:r>
      <w:r w:rsidR="00D96ED3">
        <w:t>Supara and Allen</w:t>
      </w:r>
      <w:r w:rsidR="00C16EFE">
        <w:t>, and</w:t>
      </w:r>
      <w:r w:rsidR="00D03B24">
        <w:t xml:space="preserve"> </w:t>
      </w:r>
      <w:r w:rsidR="00D96ED3">
        <w:t xml:space="preserve">Allen </w:t>
      </w:r>
      <w:r w:rsidR="00F304DA">
        <w:t>did not issue</w:t>
      </w:r>
      <w:r w:rsidR="00D96ED3">
        <w:t xml:space="preserve"> formal billing statements</w:t>
      </w:r>
      <w:r w:rsidR="00C16EFE">
        <w:t>.  In fact, Allen</w:t>
      </w:r>
      <w:r w:rsidR="00D03B24">
        <w:t xml:space="preserve"> received modest compensation for her services. </w:t>
      </w:r>
      <w:r w:rsidR="00AB2DCA">
        <w:t xml:space="preserve"> On one occasion, Allen was paid $150 in cash, and in other instances, Supara</w:t>
      </w:r>
      <w:r w:rsidR="00AB2DCA" w:rsidRPr="00E53396">
        <w:t xml:space="preserve"> </w:t>
      </w:r>
      <w:r w:rsidR="00AB2DCA">
        <w:t xml:space="preserve">paid for dinner or arranged for discounted lodging for Allen at various Hilton Hotels.  </w:t>
      </w:r>
      <w:r w:rsidR="00694AD1">
        <w:t xml:space="preserve">Allen provided no other legal services </w:t>
      </w:r>
      <w:r w:rsidR="008D5BA6">
        <w:t xml:space="preserve">to </w:t>
      </w:r>
      <w:r w:rsidR="00101989">
        <w:t>Supara</w:t>
      </w:r>
      <w:r w:rsidR="008D5BA6">
        <w:t xml:space="preserve"> </w:t>
      </w:r>
      <w:r w:rsidR="00AD41B7">
        <w:t>between</w:t>
      </w:r>
      <w:r w:rsidR="00694AD1">
        <w:t xml:space="preserve"> October 2002</w:t>
      </w:r>
      <w:r w:rsidR="00AD41B7">
        <w:t xml:space="preserve"> and February 2005</w:t>
      </w:r>
      <w:r w:rsidR="008D5BA6">
        <w:t xml:space="preserve">, although their </w:t>
      </w:r>
      <w:r w:rsidR="001E0D20">
        <w:t>friendship</w:t>
      </w:r>
      <w:r w:rsidR="008D5BA6">
        <w:t xml:space="preserve"> continued.</w:t>
      </w:r>
      <w:r w:rsidR="003D7A7D">
        <w:t xml:space="preserve"> </w:t>
      </w:r>
      <w:r w:rsidR="007E4AA8">
        <w:t xml:space="preserve">  </w:t>
      </w:r>
      <w:r w:rsidR="00422030">
        <w:t xml:space="preserve"> </w:t>
      </w:r>
    </w:p>
    <w:p w:rsidR="000D65FE" w:rsidRDefault="00801247" w:rsidP="00073B04">
      <w:pPr>
        <w:ind w:firstLine="720"/>
      </w:pPr>
      <w:r>
        <w:t>In 2004</w:t>
      </w:r>
      <w:r w:rsidR="00653783">
        <w:t>,</w:t>
      </w:r>
      <w:r>
        <w:t xml:space="preserve"> Supara vacated a duplex</w:t>
      </w:r>
      <w:r w:rsidR="00513DBD">
        <w:t xml:space="preserve"> she owned</w:t>
      </w:r>
      <w:r>
        <w:t xml:space="preserve"> in </w:t>
      </w:r>
      <w:smartTag w:uri="urn:schemas-microsoft-com:office:smarttags" w:element="place">
        <w:smartTag w:uri="urn:schemas-microsoft-com:office:smarttags" w:element="City">
          <w:r>
            <w:t>Long Beach</w:t>
          </w:r>
        </w:smartTag>
        <w:r>
          <w:t xml:space="preserve">, </w:t>
        </w:r>
        <w:smartTag w:uri="urn:schemas-microsoft-com:office:smarttags" w:element="State">
          <w:r>
            <w:t>California</w:t>
          </w:r>
        </w:smartTag>
      </w:smartTag>
      <w:r w:rsidR="00653783">
        <w:t>, when she</w:t>
      </w:r>
      <w:r w:rsidR="007954CD">
        <w:t xml:space="preserve"> </w:t>
      </w:r>
      <w:r>
        <w:t xml:space="preserve">moved to Leisure World.  She </w:t>
      </w:r>
      <w:r w:rsidR="00072052">
        <w:t xml:space="preserve">initially </w:t>
      </w:r>
      <w:r>
        <w:t>listed the duplex for sale for $789,000 and then reduced</w:t>
      </w:r>
      <w:r w:rsidR="00072052">
        <w:t xml:space="preserve"> the price</w:t>
      </w:r>
      <w:r>
        <w:t xml:space="preserve"> to $735,000.  But the duplex still did not sell and the listing expired in September 2004.  </w:t>
      </w:r>
      <w:r w:rsidR="00E4442A">
        <w:t>Supara knew that Allen’s daughter suffer</w:t>
      </w:r>
      <w:r w:rsidR="00653783">
        <w:t>ed</w:t>
      </w:r>
      <w:r w:rsidR="00E4442A">
        <w:t xml:space="preserve"> from multiple sclerosis and wanted to move from </w:t>
      </w:r>
      <w:smartTag w:uri="urn:schemas-microsoft-com:office:smarttags" w:element="State">
        <w:smartTag w:uri="urn:schemas-microsoft-com:office:smarttags" w:element="place">
          <w:r w:rsidR="00E4442A">
            <w:t>Vermont</w:t>
          </w:r>
        </w:smartTag>
      </w:smartTag>
      <w:r w:rsidR="00E4442A">
        <w:t xml:space="preserve"> to </w:t>
      </w:r>
      <w:smartTag w:uri="urn:schemas-microsoft-com:office:smarttags" w:element="State">
        <w:smartTag w:uri="urn:schemas-microsoft-com:office:smarttags" w:element="place">
          <w:r w:rsidR="00E4442A">
            <w:t>California</w:t>
          </w:r>
        </w:smartTag>
      </w:smartTag>
      <w:r w:rsidR="00E4442A">
        <w:t xml:space="preserve"> to be close</w:t>
      </w:r>
      <w:r w:rsidR="001E0D20">
        <w:t>r</w:t>
      </w:r>
      <w:r w:rsidR="00E4442A">
        <w:t xml:space="preserve"> to Allen.  With this in mind, i</w:t>
      </w:r>
      <w:r w:rsidR="00DC30F9">
        <w:t xml:space="preserve">n </w:t>
      </w:r>
      <w:r w:rsidR="00B16853">
        <w:t xml:space="preserve">February </w:t>
      </w:r>
      <w:r w:rsidR="00DC30F9">
        <w:t>200</w:t>
      </w:r>
      <w:r w:rsidR="00B16853">
        <w:t>5</w:t>
      </w:r>
      <w:r w:rsidR="00653783">
        <w:t>,</w:t>
      </w:r>
      <w:r w:rsidR="00DC30F9">
        <w:t xml:space="preserve"> </w:t>
      </w:r>
      <w:r w:rsidR="003B4DCA">
        <w:t xml:space="preserve">Supara offered </w:t>
      </w:r>
      <w:r w:rsidR="00B16853">
        <w:t xml:space="preserve">to sell </w:t>
      </w:r>
      <w:r w:rsidR="003A75A3">
        <w:t>the</w:t>
      </w:r>
      <w:r w:rsidR="003B4DCA">
        <w:t xml:space="preserve"> duplex</w:t>
      </w:r>
      <w:r w:rsidR="00C509BA" w:rsidRPr="00C509BA">
        <w:t xml:space="preserve"> </w:t>
      </w:r>
      <w:r w:rsidR="00DF7035">
        <w:t>to Allen for $700,000</w:t>
      </w:r>
      <w:r w:rsidR="00E4442A">
        <w:t xml:space="preserve"> and </w:t>
      </w:r>
      <w:r w:rsidR="00653783">
        <w:t xml:space="preserve">to </w:t>
      </w:r>
      <w:r w:rsidR="00E4442A">
        <w:t>finance the entire transaction</w:t>
      </w:r>
      <w:r w:rsidR="00DF7035">
        <w:t>.</w:t>
      </w:r>
      <w:r w:rsidR="000D65FE">
        <w:t xml:space="preserve">  Allen agreed to the proposal and o</w:t>
      </w:r>
      <w:r w:rsidR="001E0D20">
        <w:t xml:space="preserve">n </w:t>
      </w:r>
      <w:r w:rsidR="00DF7035" w:rsidRPr="00674F33">
        <w:t xml:space="preserve">March </w:t>
      </w:r>
      <w:r w:rsidR="006C52A9" w:rsidRPr="00674F33">
        <w:t>7</w:t>
      </w:r>
      <w:r w:rsidR="00DF7035" w:rsidRPr="00674F33">
        <w:t>, 2005</w:t>
      </w:r>
      <w:r w:rsidR="00DF7035">
        <w:t xml:space="preserve">, </w:t>
      </w:r>
      <w:r w:rsidR="000D65FE">
        <w:t>they</w:t>
      </w:r>
      <w:r w:rsidR="0085639A">
        <w:t xml:space="preserve"> </w:t>
      </w:r>
      <w:r w:rsidR="00DF7035">
        <w:t>signed</w:t>
      </w:r>
      <w:r w:rsidR="000D65FE">
        <w:t xml:space="preserve"> a</w:t>
      </w:r>
      <w:r w:rsidR="00DF7035">
        <w:t xml:space="preserve"> purchase agreemen</w:t>
      </w:r>
      <w:r w:rsidR="00B7143C">
        <w:t>t</w:t>
      </w:r>
      <w:r w:rsidR="00D35438">
        <w:t xml:space="preserve"> </w:t>
      </w:r>
      <w:r w:rsidR="000D65FE">
        <w:t xml:space="preserve">which was a pre-printed </w:t>
      </w:r>
      <w:r w:rsidR="00D35438">
        <w:t>form</w:t>
      </w:r>
      <w:r w:rsidR="00D96ED3">
        <w:t xml:space="preserve"> </w:t>
      </w:r>
      <w:r w:rsidR="00D35438">
        <w:t>that</w:t>
      </w:r>
      <w:r w:rsidR="00D96ED3">
        <w:t xml:space="preserve"> was </w:t>
      </w:r>
      <w:r w:rsidR="000F4996">
        <w:t>chosen</w:t>
      </w:r>
      <w:r w:rsidR="00D96ED3">
        <w:t xml:space="preserve"> by Allen</w:t>
      </w:r>
      <w:r w:rsidR="00B7143C">
        <w:t xml:space="preserve"> (Purchase Agreement)</w:t>
      </w:r>
      <w:r w:rsidR="000F4996">
        <w:t>.  At Allen’s suggestion, the arbitration clause was deleted on the form</w:t>
      </w:r>
      <w:r>
        <w:t xml:space="preserve">.  </w:t>
      </w:r>
      <w:r w:rsidR="00072052">
        <w:t xml:space="preserve">  </w:t>
      </w:r>
    </w:p>
    <w:p w:rsidR="001E7139" w:rsidRDefault="00072052" w:rsidP="00073B04">
      <w:pPr>
        <w:ind w:firstLine="720"/>
      </w:pPr>
      <w:r>
        <w:lastRenderedPageBreak/>
        <w:t>T</w:t>
      </w:r>
      <w:r w:rsidR="000A748B">
        <w:t>he duplex had a problem tenant in one of the units</w:t>
      </w:r>
      <w:r w:rsidR="00653783">
        <w:t>,</w:t>
      </w:r>
      <w:r>
        <w:t xml:space="preserve"> so</w:t>
      </w:r>
      <w:r w:rsidR="000A748B" w:rsidRPr="000A748B">
        <w:t xml:space="preserve"> </w:t>
      </w:r>
      <w:r w:rsidR="000A748B">
        <w:t>after discussi</w:t>
      </w:r>
      <w:r w:rsidR="00653783">
        <w:t>o</w:t>
      </w:r>
      <w:r w:rsidR="000A748B">
        <w:t xml:space="preserve">n with Supra, </w:t>
      </w:r>
      <w:r w:rsidR="00AF2A72">
        <w:t xml:space="preserve">Allen prepared </w:t>
      </w:r>
      <w:r w:rsidR="00E43F2A">
        <w:t xml:space="preserve">three notices </w:t>
      </w:r>
      <w:r w:rsidR="00653783">
        <w:t>to pay rent or vacate the premises</w:t>
      </w:r>
      <w:r w:rsidR="00E43F2A">
        <w:t xml:space="preserve"> and </w:t>
      </w:r>
      <w:r w:rsidR="00D35438">
        <w:t>had</w:t>
      </w:r>
      <w:r w:rsidR="00E43F2A">
        <w:t xml:space="preserve"> them</w:t>
      </w:r>
      <w:r w:rsidR="00653783">
        <w:t xml:space="preserve"> </w:t>
      </w:r>
      <w:r w:rsidR="00AF2A72">
        <w:t>served</w:t>
      </w:r>
      <w:r w:rsidR="000A748B" w:rsidRPr="000A748B">
        <w:t xml:space="preserve"> </w:t>
      </w:r>
      <w:r w:rsidR="000A748B">
        <w:t>on th</w:t>
      </w:r>
      <w:r w:rsidR="00E43F2A">
        <w:t xml:space="preserve">e </w:t>
      </w:r>
      <w:r w:rsidR="000A748B">
        <w:t>tenant</w:t>
      </w:r>
      <w:r w:rsidR="000A748B" w:rsidRPr="000A748B">
        <w:t xml:space="preserve"> </w:t>
      </w:r>
      <w:r w:rsidR="000A748B">
        <w:t>on April 7</w:t>
      </w:r>
      <w:r w:rsidR="00D35438">
        <w:t>th</w:t>
      </w:r>
      <w:r w:rsidR="00653783">
        <w:t xml:space="preserve"> and</w:t>
      </w:r>
      <w:r w:rsidR="007954CD">
        <w:t xml:space="preserve"> </w:t>
      </w:r>
      <w:r w:rsidR="000A748B">
        <w:t>8</w:t>
      </w:r>
      <w:r w:rsidR="00D35438">
        <w:t>th</w:t>
      </w:r>
      <w:r w:rsidR="000A748B">
        <w:t xml:space="preserve"> and May 3</w:t>
      </w:r>
      <w:r w:rsidR="00653783">
        <w:t>r</w:t>
      </w:r>
      <w:r w:rsidR="000A748B">
        <w:t>d</w:t>
      </w:r>
      <w:r w:rsidR="00AF2A72">
        <w:t>.</w:t>
      </w:r>
      <w:r w:rsidR="000A748B">
        <w:t xml:space="preserve">  </w:t>
      </w:r>
      <w:r w:rsidR="001E7139">
        <w:t>The State Bar and Allen stipulated that the</w:t>
      </w:r>
      <w:r w:rsidR="00C1543D">
        <w:t>se</w:t>
      </w:r>
      <w:r w:rsidR="001E7139">
        <w:t xml:space="preserve"> “instruments were prepared by [Allen] on behalf of Supara.”  However, the Stipulation also stated that Allen’s purpose in preparing the notices was “to facilitate both the removal of a problem tenant and to allow [Allen’s] daughter to occupy the premises.”</w:t>
      </w:r>
    </w:p>
    <w:p w:rsidR="00D96ED3" w:rsidRDefault="00B7143C" w:rsidP="00073B04">
      <w:pPr>
        <w:ind w:firstLine="720"/>
      </w:pPr>
      <w:r>
        <w:t>I</w:t>
      </w:r>
      <w:r w:rsidR="00073B04">
        <w:t xml:space="preserve">n </w:t>
      </w:r>
      <w:r>
        <w:t xml:space="preserve">late </w:t>
      </w:r>
      <w:r w:rsidR="00B37B7B">
        <w:t>April 2005</w:t>
      </w:r>
      <w:r w:rsidR="00073B04">
        <w:t>,</w:t>
      </w:r>
      <w:r w:rsidR="00B37B7B">
        <w:t xml:space="preserve"> Supara</w:t>
      </w:r>
      <w:r w:rsidR="003A3DF8">
        <w:t xml:space="preserve"> </w:t>
      </w:r>
      <w:r w:rsidR="00DF7035">
        <w:t xml:space="preserve">asked Allen to attend a meeting with Supara’s accountant to </w:t>
      </w:r>
      <w:r w:rsidR="00B37B7B">
        <w:t>discuss the tax consequences</w:t>
      </w:r>
      <w:r w:rsidR="00072052">
        <w:t xml:space="preserve"> of the transaction</w:t>
      </w:r>
      <w:r w:rsidR="001E0D20">
        <w:t xml:space="preserve">, including </w:t>
      </w:r>
      <w:r w:rsidR="0085639A">
        <w:t xml:space="preserve">the feasibility of </w:t>
      </w:r>
      <w:r w:rsidR="00DF7035">
        <w:t>a</w:t>
      </w:r>
      <w:r w:rsidR="00AA1C2E">
        <w:t>n Internal Revenue Code Section</w:t>
      </w:r>
      <w:r w:rsidR="00DF7035">
        <w:t xml:space="preserve"> 1031 </w:t>
      </w:r>
      <w:r w:rsidR="0056505D">
        <w:t xml:space="preserve">like-kind </w:t>
      </w:r>
      <w:r w:rsidR="00DF7035">
        <w:t>exchange</w:t>
      </w:r>
      <w:r w:rsidR="0056505D">
        <w:t xml:space="preserve"> of the property for Supara</w:t>
      </w:r>
      <w:r w:rsidR="00DF7035">
        <w:t>.  At that meeting</w:t>
      </w:r>
      <w:r w:rsidR="0056505D">
        <w:t>,</w:t>
      </w:r>
      <w:r w:rsidR="00DF7035">
        <w:t xml:space="preserve"> Supara introduced Allen to her accountant as her</w:t>
      </w:r>
      <w:r w:rsidR="00B37B7B">
        <w:t xml:space="preserve"> </w:t>
      </w:r>
      <w:r w:rsidR="00174C87">
        <w:t>“</w:t>
      </w:r>
      <w:r w:rsidR="00B37B7B">
        <w:t>friend</w:t>
      </w:r>
      <w:r w:rsidR="00174C87">
        <w:t>”</w:t>
      </w:r>
      <w:r w:rsidR="00B37B7B">
        <w:t xml:space="preserve"> and </w:t>
      </w:r>
      <w:r w:rsidR="00174C87">
        <w:t>“</w:t>
      </w:r>
      <w:r w:rsidR="00DF7035">
        <w:t>attorney</w:t>
      </w:r>
      <w:r w:rsidR="00174C87">
        <w:t>.”  Allen did not repudiate this description of her</w:t>
      </w:r>
      <w:r w:rsidR="003A75A3">
        <w:t>self</w:t>
      </w:r>
      <w:r w:rsidR="00174C87">
        <w:t>.  Allen and Supara</w:t>
      </w:r>
      <w:r w:rsidR="0085639A">
        <w:t xml:space="preserve"> each paid one-half of the accountant’s fee</w:t>
      </w:r>
      <w:r w:rsidR="00DF7035">
        <w:t>.</w:t>
      </w:r>
      <w:r w:rsidR="00FD14AE">
        <w:t xml:space="preserve">  After this meeting, t</w:t>
      </w:r>
      <w:r w:rsidR="00B37B7B">
        <w:t>he terms of the deal changed on several occasions</w:t>
      </w:r>
      <w:r w:rsidR="0056505D">
        <w:t xml:space="preserve">.  </w:t>
      </w:r>
      <w:r w:rsidR="00F70016">
        <w:t>Supara suggested m</w:t>
      </w:r>
      <w:r w:rsidR="0056505D">
        <w:t>ost</w:t>
      </w:r>
      <w:r w:rsidR="00B37B7B">
        <w:t xml:space="preserve"> of the changes</w:t>
      </w:r>
      <w:r w:rsidR="00F70016">
        <w:t>, which</w:t>
      </w:r>
      <w:r w:rsidR="00B37B7B">
        <w:t xml:space="preserve"> were favorable to</w:t>
      </w:r>
      <w:r w:rsidR="00EB5FF0">
        <w:t xml:space="preserve"> her</w:t>
      </w:r>
      <w:r w:rsidR="00B37B7B">
        <w:t xml:space="preserve">, including </w:t>
      </w:r>
      <w:r w:rsidR="0089657C">
        <w:t>the obligation</w:t>
      </w:r>
      <w:r w:rsidR="00F70016">
        <w:t xml:space="preserve"> of Allen</w:t>
      </w:r>
      <w:r w:rsidR="0089657C">
        <w:t xml:space="preserve"> to obtain </w:t>
      </w:r>
      <w:r w:rsidR="00B37B7B">
        <w:t>financing</w:t>
      </w:r>
      <w:r w:rsidR="00F70016">
        <w:t xml:space="preserve">.  </w:t>
      </w:r>
      <w:r w:rsidR="0056505D">
        <w:t xml:space="preserve">Both </w:t>
      </w:r>
      <w:r>
        <w:t xml:space="preserve">parties agreed to extend escrow beyond the contemplated closing date of </w:t>
      </w:r>
      <w:smartTag w:uri="urn:schemas-microsoft-com:office:smarttags" w:element="date">
        <w:smartTagPr>
          <w:attr w:name="Year" w:val="2005"/>
          <w:attr w:name="Day" w:val="30"/>
          <w:attr w:name="Month" w:val="4"/>
        </w:smartTagPr>
        <w:r>
          <w:t>April 30, 2005</w:t>
        </w:r>
      </w:smartTag>
      <w:r w:rsidR="0056505D">
        <w:t>,</w:t>
      </w:r>
      <w:r>
        <w:t xml:space="preserve"> so that Allen could obtain financing and Supara could locate a property for a 1031 </w:t>
      </w:r>
      <w:r w:rsidR="0056505D">
        <w:t xml:space="preserve">like-kind </w:t>
      </w:r>
      <w:r>
        <w:t xml:space="preserve">exchange.  </w:t>
      </w:r>
    </w:p>
    <w:p w:rsidR="00224365" w:rsidRDefault="00FD14AE" w:rsidP="00224365">
      <w:pPr>
        <w:ind w:firstLine="720"/>
      </w:pPr>
      <w:r>
        <w:t xml:space="preserve">On </w:t>
      </w:r>
      <w:smartTag w:uri="urn:schemas-microsoft-com:office:smarttags" w:element="date">
        <w:smartTagPr>
          <w:attr w:name="Year" w:val="2005"/>
          <w:attr w:name="Day" w:val="1"/>
          <w:attr w:name="Month" w:val="6"/>
        </w:smartTagPr>
        <w:r>
          <w:t>June 1, 2005</w:t>
        </w:r>
      </w:smartTag>
      <w:r>
        <w:t xml:space="preserve">, the parties signed an “interim occupancy agreement pending close of escrow” </w:t>
      </w:r>
      <w:r w:rsidR="0056505D">
        <w:t xml:space="preserve">allowing </w:t>
      </w:r>
      <w:r>
        <w:t xml:space="preserve">Allen </w:t>
      </w:r>
      <w:r w:rsidR="0056505D">
        <w:t xml:space="preserve">to </w:t>
      </w:r>
      <w:r>
        <w:t>assume management of the premises as well as responsibility for repair and alterations</w:t>
      </w:r>
      <w:r w:rsidR="0056505D">
        <w:t xml:space="preserve"> without notice to Supara</w:t>
      </w:r>
      <w:r>
        <w:t xml:space="preserve">.  </w:t>
      </w:r>
      <w:r w:rsidR="00802C37">
        <w:t>Allen</w:t>
      </w:r>
      <w:r w:rsidR="003A5DFA">
        <w:t xml:space="preserve"> </w:t>
      </w:r>
      <w:r w:rsidR="00802C37">
        <w:t>repainted, installed new carpet, bathroom flooring, wallboard and tile</w:t>
      </w:r>
      <w:r w:rsidR="0056505D">
        <w:t>,</w:t>
      </w:r>
      <w:r w:rsidR="00802C37">
        <w:t xml:space="preserve"> </w:t>
      </w:r>
      <w:r w:rsidR="0056505D">
        <w:t xml:space="preserve">replaced </w:t>
      </w:r>
      <w:r w:rsidR="00802C37">
        <w:t>window</w:t>
      </w:r>
      <w:r w:rsidR="0056505D">
        <w:t>s and kitchen cabinets</w:t>
      </w:r>
      <w:r w:rsidR="00B22146">
        <w:t>,</w:t>
      </w:r>
      <w:r w:rsidR="0056505D">
        <w:t xml:space="preserve"> made repairs to the </w:t>
      </w:r>
      <w:r w:rsidR="00802C37">
        <w:t>stucco</w:t>
      </w:r>
      <w:r w:rsidR="0056505D">
        <w:t xml:space="preserve"> and</w:t>
      </w:r>
      <w:r w:rsidR="00802C37">
        <w:t xml:space="preserve"> </w:t>
      </w:r>
      <w:r w:rsidR="000B4D3E">
        <w:t xml:space="preserve">rewired the </w:t>
      </w:r>
      <w:r w:rsidR="00802C37">
        <w:t>electrical</w:t>
      </w:r>
      <w:r w:rsidR="000B4D3E">
        <w:t xml:space="preserve"> system.</w:t>
      </w:r>
      <w:r w:rsidR="00802C37">
        <w:rPr>
          <w:rStyle w:val="FootnoteReference"/>
        </w:rPr>
        <w:footnoteReference w:id="4"/>
      </w:r>
      <w:r w:rsidR="00802C37">
        <w:t xml:space="preserve">  Allen’s daughter and her family moved into the duplex in July 2005.</w:t>
      </w:r>
      <w:r w:rsidR="00D96ED3">
        <w:t xml:space="preserve">  </w:t>
      </w:r>
      <w:r w:rsidR="003A5DFA">
        <w:t xml:space="preserve">Allen </w:t>
      </w:r>
      <w:r w:rsidR="00D96ED3">
        <w:t xml:space="preserve">was unsuccessful at </w:t>
      </w:r>
      <w:r w:rsidR="003A5DFA">
        <w:t>obtain</w:t>
      </w:r>
      <w:r w:rsidR="00D96ED3">
        <w:t xml:space="preserve">ing </w:t>
      </w:r>
      <w:r w:rsidR="003A5DFA">
        <w:t>financing</w:t>
      </w:r>
      <w:r w:rsidR="00A22DA9">
        <w:t xml:space="preserve">, </w:t>
      </w:r>
      <w:r w:rsidR="00AB2DCA">
        <w:t>but</w:t>
      </w:r>
      <w:r w:rsidR="00440C25">
        <w:t xml:space="preserve"> believing she had </w:t>
      </w:r>
      <w:r w:rsidR="001E7139">
        <w:t>secured</w:t>
      </w:r>
      <w:r w:rsidR="00440C25">
        <w:t xml:space="preserve"> an </w:t>
      </w:r>
      <w:r w:rsidR="00440C25">
        <w:lastRenderedPageBreak/>
        <w:t xml:space="preserve">ownership interest in the duplex under the Purchase Agreement, </w:t>
      </w:r>
      <w:r w:rsidR="00051299">
        <w:t>Allen</w:t>
      </w:r>
      <w:r w:rsidR="003A5DFA">
        <w:t xml:space="preserve"> list</w:t>
      </w:r>
      <w:r w:rsidR="00B22146">
        <w:t>ed</w:t>
      </w:r>
      <w:r w:rsidR="003A5DFA">
        <w:t xml:space="preserve"> the property for</w:t>
      </w:r>
      <w:r w:rsidR="00D241E5">
        <w:t xml:space="preserve"> sale for $959,000</w:t>
      </w:r>
      <w:r w:rsidR="00B22146">
        <w:t xml:space="preserve"> without</w:t>
      </w:r>
      <w:r w:rsidR="000E61DE">
        <w:t xml:space="preserve"> notify</w:t>
      </w:r>
      <w:r w:rsidR="00B22146">
        <w:t>ing</w:t>
      </w:r>
      <w:r w:rsidR="000E61DE">
        <w:t xml:space="preserve"> </w:t>
      </w:r>
      <w:r w:rsidR="00D241E5">
        <w:t xml:space="preserve">Supara.  </w:t>
      </w:r>
      <w:r w:rsidR="00A22DA9">
        <w:t xml:space="preserve">On </w:t>
      </w:r>
      <w:smartTag w:uri="urn:schemas-microsoft-com:office:smarttags" w:element="date">
        <w:smartTagPr>
          <w:attr w:name="Year" w:val="2006"/>
          <w:attr w:name="Day" w:val="3"/>
          <w:attr w:name="Month" w:val="4"/>
        </w:smartTagPr>
        <w:r w:rsidR="00A22DA9">
          <w:t>April 3, 2006</w:t>
        </w:r>
      </w:smartTag>
      <w:r w:rsidR="00A22DA9">
        <w:t>, s</w:t>
      </w:r>
      <w:r w:rsidR="00D241E5">
        <w:t xml:space="preserve">hortly after the duplex was listed, Allen accepted a written offer of $895,000, subject to the close of escrow of the </w:t>
      </w:r>
      <w:r w:rsidR="00A22DA9">
        <w:t>sale between</w:t>
      </w:r>
      <w:r w:rsidR="00D241E5">
        <w:t xml:space="preserve"> Allen </w:t>
      </w:r>
      <w:r w:rsidR="00A22DA9">
        <w:t>and</w:t>
      </w:r>
      <w:r w:rsidR="003A5DFA">
        <w:t xml:space="preserve"> </w:t>
      </w:r>
      <w:r w:rsidR="00D241E5">
        <w:t xml:space="preserve">Supara.  </w:t>
      </w:r>
      <w:r w:rsidR="00A22DA9">
        <w:t xml:space="preserve">When </w:t>
      </w:r>
      <w:r w:rsidR="00DA7620">
        <w:t>Supara</w:t>
      </w:r>
      <w:r w:rsidR="00194BD1">
        <w:t xml:space="preserve"> learned about the sale</w:t>
      </w:r>
      <w:r w:rsidR="00051299" w:rsidRPr="00051299">
        <w:t xml:space="preserve"> </w:t>
      </w:r>
      <w:r w:rsidR="00051299">
        <w:t>on April 5, 2006</w:t>
      </w:r>
      <w:r w:rsidR="00194BD1">
        <w:t xml:space="preserve">, she instructed the escrow agent </w:t>
      </w:r>
      <w:r w:rsidR="001E7139">
        <w:t xml:space="preserve">to stop the sale and cancel </w:t>
      </w:r>
      <w:r w:rsidR="00786383">
        <w:t xml:space="preserve">the joint </w:t>
      </w:r>
      <w:r w:rsidR="00194BD1">
        <w:t>escrow.</w:t>
      </w:r>
      <w:r w:rsidR="00E549E3">
        <w:t xml:space="preserve">  </w:t>
      </w:r>
    </w:p>
    <w:p w:rsidR="00817FF2" w:rsidRDefault="004174C5" w:rsidP="00224365">
      <w:r>
        <w:tab/>
      </w:r>
      <w:r w:rsidR="00E549E3">
        <w:t>Two days later</w:t>
      </w:r>
      <w:r w:rsidR="00051299">
        <w:t>,</w:t>
      </w:r>
      <w:r w:rsidR="00E549E3">
        <w:t xml:space="preserve"> o</w:t>
      </w:r>
      <w:r w:rsidR="002003BA">
        <w:t xml:space="preserve">n April </w:t>
      </w:r>
      <w:r w:rsidR="00E549E3">
        <w:t>7</w:t>
      </w:r>
      <w:r w:rsidR="00D35438">
        <w:t>th</w:t>
      </w:r>
      <w:r w:rsidR="00C34D67">
        <w:t xml:space="preserve">, </w:t>
      </w:r>
      <w:r w:rsidR="00E549E3">
        <w:t>A</w:t>
      </w:r>
      <w:r w:rsidR="003B4DCA">
        <w:t>llen sued Supara for breach of contract and</w:t>
      </w:r>
      <w:r w:rsidR="002003BA">
        <w:t xml:space="preserve"> specific performance</w:t>
      </w:r>
      <w:r w:rsidR="00DA7620">
        <w:t xml:space="preserve"> </w:t>
      </w:r>
      <w:r w:rsidR="00224365">
        <w:t xml:space="preserve">in Los Angeles County Superior Court </w:t>
      </w:r>
      <w:r w:rsidR="00DA7620">
        <w:t>(</w:t>
      </w:r>
      <w:r w:rsidR="00DA7620" w:rsidRPr="00B22146">
        <w:rPr>
          <w:i/>
        </w:rPr>
        <w:t>Allen v. Ratanasadudi</w:t>
      </w:r>
      <w:r w:rsidR="00DA7620">
        <w:t xml:space="preserve"> lawsuit)</w:t>
      </w:r>
      <w:r w:rsidR="002003BA">
        <w:t xml:space="preserve">.  </w:t>
      </w:r>
      <w:r w:rsidR="003B4DCA">
        <w:t xml:space="preserve">Supara cross-complained for breach of fiduciary duty and </w:t>
      </w:r>
      <w:r w:rsidR="0003105A">
        <w:t>fraud</w:t>
      </w:r>
      <w:r w:rsidR="003B4DCA">
        <w:t xml:space="preserve">.  After a </w:t>
      </w:r>
      <w:r w:rsidR="00E549E3">
        <w:t>15</w:t>
      </w:r>
      <w:r w:rsidR="00E11921">
        <w:t>-</w:t>
      </w:r>
      <w:r w:rsidR="003B4DCA">
        <w:t>day trial, the jury found for Allen and against Supara</w:t>
      </w:r>
      <w:r w:rsidR="00E549E3">
        <w:t>, and made the following specific findings</w:t>
      </w:r>
      <w:r w:rsidR="00007EA5">
        <w:t xml:space="preserve"> in its Special Verdict</w:t>
      </w:r>
      <w:r w:rsidR="00E549E3">
        <w:t>:</w:t>
      </w:r>
      <w:r w:rsidR="00D35438">
        <w:t xml:space="preserve"> </w:t>
      </w:r>
      <w:r w:rsidR="00B22146">
        <w:t>(</w:t>
      </w:r>
      <w:r w:rsidR="00224365">
        <w:t>1</w:t>
      </w:r>
      <w:r w:rsidR="00E549E3">
        <w:t xml:space="preserve">) </w:t>
      </w:r>
      <w:r w:rsidR="00B22146">
        <w:t>a</w:t>
      </w:r>
      <w:r w:rsidR="00E549E3">
        <w:t>t the time of the negotiation and sale of the duplex</w:t>
      </w:r>
      <w:r w:rsidR="00B22146">
        <w:t>,</w:t>
      </w:r>
      <w:r w:rsidR="00E549E3">
        <w:t xml:space="preserve"> an attorney/client relationship </w:t>
      </w:r>
      <w:r>
        <w:t>did not</w:t>
      </w:r>
      <w:r w:rsidR="00E549E3">
        <w:t xml:space="preserve"> exist between Allen and Supara;</w:t>
      </w:r>
      <w:r>
        <w:t xml:space="preserve"> </w:t>
      </w:r>
      <w:r w:rsidR="00B22146">
        <w:t>(</w:t>
      </w:r>
      <w:r w:rsidR="00224365">
        <w:t>2</w:t>
      </w:r>
      <w:r w:rsidR="00E549E3">
        <w:t xml:space="preserve">) </w:t>
      </w:r>
      <w:r w:rsidR="00B22146">
        <w:t>a</w:t>
      </w:r>
      <w:r w:rsidR="00E549E3">
        <w:t xml:space="preserve">t the time of the negotiation and sale of the duplex, Allen was not providing legal services for Supara; </w:t>
      </w:r>
      <w:r w:rsidR="00B22146">
        <w:t>(</w:t>
      </w:r>
      <w:r w:rsidR="00224365">
        <w:t>3</w:t>
      </w:r>
      <w:r w:rsidR="00E549E3">
        <w:t xml:space="preserve">) Allen’s prior attorney/client relationship with Supara did not cause </w:t>
      </w:r>
      <w:r w:rsidR="00B22146">
        <w:t>her</w:t>
      </w:r>
      <w:r w:rsidR="00E549E3">
        <w:t xml:space="preserve"> to have influence</w:t>
      </w:r>
      <w:r>
        <w:t xml:space="preserve"> or</w:t>
      </w:r>
      <w:r w:rsidR="00E549E3">
        <w:t xml:space="preserve"> to obtain any advantage over Supara at the time of the </w:t>
      </w:r>
      <w:r>
        <w:t>negotiations and purchase of the duplex</w:t>
      </w:r>
      <w:r w:rsidR="00224365">
        <w:t>; and (4) Allen did not exercise undue influence over Supara such that the Purchase Agreement should be unenforceable</w:t>
      </w:r>
      <w:r>
        <w:t>.</w:t>
      </w:r>
      <w:r w:rsidR="00486744">
        <w:t xml:space="preserve">  The jury </w:t>
      </w:r>
      <w:r w:rsidR="00E549E3">
        <w:t xml:space="preserve">awarded </w:t>
      </w:r>
      <w:r w:rsidR="003B4DCA">
        <w:t xml:space="preserve">Allen </w:t>
      </w:r>
      <w:r w:rsidR="00890B91">
        <w:t>$207,000</w:t>
      </w:r>
      <w:r w:rsidR="00486744">
        <w:t xml:space="preserve"> in damages</w:t>
      </w:r>
      <w:r w:rsidR="00B22146">
        <w:t>,</w:t>
      </w:r>
      <w:r w:rsidR="00486744">
        <w:t xml:space="preserve"> </w:t>
      </w:r>
      <w:r w:rsidR="00890B91">
        <w:t xml:space="preserve">plus </w:t>
      </w:r>
      <w:r w:rsidR="003B4DCA">
        <w:t>interest of $20,926</w:t>
      </w:r>
      <w:r w:rsidR="00890B91">
        <w:t xml:space="preserve">.85 and $144,767 in </w:t>
      </w:r>
      <w:r w:rsidR="0003105A">
        <w:t>attorney</w:t>
      </w:r>
      <w:r w:rsidR="00486744">
        <w:t>s’</w:t>
      </w:r>
      <w:r w:rsidR="0003105A">
        <w:t xml:space="preserve"> fees </w:t>
      </w:r>
    </w:p>
    <w:p w:rsidR="00E11921" w:rsidRDefault="0003105A" w:rsidP="00486744">
      <w:pPr>
        <w:pStyle w:val="Level1"/>
        <w:tabs>
          <w:tab w:val="clear" w:pos="720"/>
          <w:tab w:val="left" w:pos="-1440"/>
        </w:tabs>
        <w:spacing w:line="480" w:lineRule="auto"/>
        <w:ind w:left="0" w:firstLine="0"/>
      </w:pPr>
      <w:r>
        <w:t xml:space="preserve">and </w:t>
      </w:r>
      <w:r w:rsidR="00890B91">
        <w:t>costs</w:t>
      </w:r>
      <w:r w:rsidR="00B22146">
        <w:t>,</w:t>
      </w:r>
      <w:r w:rsidR="00890B91">
        <w:t xml:space="preserve"> for a total award of </w:t>
      </w:r>
      <w:r>
        <w:t>$</w:t>
      </w:r>
      <w:r w:rsidR="00890B91">
        <w:t>372,693.85</w:t>
      </w:r>
      <w:r w:rsidR="00486744">
        <w:t xml:space="preserve">.  </w:t>
      </w:r>
      <w:r w:rsidR="00890B91">
        <w:t>Supara appealed to the Court of Appeal, which affirmed the judgment</w:t>
      </w:r>
      <w:r w:rsidR="0055418D">
        <w:t xml:space="preserve"> </w:t>
      </w:r>
      <w:r w:rsidR="00EB5FF0">
        <w:t xml:space="preserve">due to </w:t>
      </w:r>
      <w:r w:rsidR="0055418D">
        <w:t>Supara’s failure to designate the record</w:t>
      </w:r>
      <w:r w:rsidR="00890BDB">
        <w:t xml:space="preserve"> on appeal</w:t>
      </w:r>
      <w:r w:rsidR="0055418D">
        <w:t>.</w:t>
      </w:r>
      <w:r w:rsidR="00890B91">
        <w:t xml:space="preserve">  </w:t>
      </w:r>
    </w:p>
    <w:p w:rsidR="00A6393A" w:rsidRDefault="00EF3660" w:rsidP="00A6393A">
      <w:pPr>
        <w:ind w:firstLine="720"/>
      </w:pPr>
      <w:r>
        <w:t xml:space="preserve">On September 24, 2008, the </w:t>
      </w:r>
      <w:r w:rsidR="00786383">
        <w:t>State Bar</w:t>
      </w:r>
      <w:r w:rsidR="008B0757">
        <w:t xml:space="preserve"> </w:t>
      </w:r>
      <w:r w:rsidR="00B671A0">
        <w:t xml:space="preserve">filed </w:t>
      </w:r>
      <w:r w:rsidR="00786383">
        <w:t>the</w:t>
      </w:r>
      <w:r w:rsidR="00187427">
        <w:t xml:space="preserve"> </w:t>
      </w:r>
      <w:r w:rsidR="00B671A0">
        <w:t>NDC</w:t>
      </w:r>
      <w:r w:rsidR="00D35438">
        <w:t xml:space="preserve"> against</w:t>
      </w:r>
      <w:r w:rsidR="008D6D0E">
        <w:t xml:space="preserve"> Allen </w:t>
      </w:r>
      <w:r w:rsidR="00D35438">
        <w:t>for</w:t>
      </w:r>
      <w:r w:rsidR="008D6D0E">
        <w:t xml:space="preserve"> </w:t>
      </w:r>
      <w:r w:rsidR="008F5FE9">
        <w:t xml:space="preserve">one count of </w:t>
      </w:r>
      <w:r w:rsidR="003428DE">
        <w:t xml:space="preserve">violating rule 3-300 </w:t>
      </w:r>
      <w:r w:rsidR="00B22146">
        <w:t>by</w:t>
      </w:r>
      <w:r w:rsidR="003428DE">
        <w:t xml:space="preserve"> her negotiation and purchase of the duplex.  Rule 3-300 provides </w:t>
      </w:r>
      <w:r w:rsidR="00222C36">
        <w:t xml:space="preserve">that “[a] member shall not enter into a business transaction with a client” unless certain requirements </w:t>
      </w:r>
      <w:r w:rsidR="00C02099">
        <w:t>have been</w:t>
      </w:r>
      <w:r w:rsidR="00222C36">
        <w:t xml:space="preserve"> satisfied.</w:t>
      </w:r>
      <w:r w:rsidR="00C02099">
        <w:rPr>
          <w:rStyle w:val="FootnoteReference"/>
        </w:rPr>
        <w:footnoteReference w:id="5"/>
      </w:r>
      <w:r w:rsidR="00C02099">
        <w:t xml:space="preserve">  </w:t>
      </w:r>
      <w:r w:rsidR="008D6D0E">
        <w:t xml:space="preserve">In August 2009, </w:t>
      </w:r>
      <w:r>
        <w:t xml:space="preserve">the parties agreed </w:t>
      </w:r>
      <w:r w:rsidR="008D6D0E">
        <w:t xml:space="preserve">to have the </w:t>
      </w:r>
      <w:r>
        <w:t>matter</w:t>
      </w:r>
      <w:r w:rsidR="008D6D0E">
        <w:t xml:space="preserve"> adjudicated as to Allen’s </w:t>
      </w:r>
      <w:r w:rsidR="008D6D0E">
        <w:lastRenderedPageBreak/>
        <w:t xml:space="preserve">culpability </w:t>
      </w:r>
      <w:r>
        <w:t>based upon the Stipulation.  After briefing by the parties, the hearing judge filed his decision</w:t>
      </w:r>
      <w:r w:rsidR="0003105A">
        <w:t xml:space="preserve"> and order</w:t>
      </w:r>
      <w:r w:rsidR="0055418D">
        <w:t xml:space="preserve"> on </w:t>
      </w:r>
      <w:smartTag w:uri="urn:schemas-microsoft-com:office:smarttags" w:element="date">
        <w:smartTagPr>
          <w:attr w:name="Year" w:val="2009"/>
          <w:attr w:name="Day" w:val="22"/>
          <w:attr w:name="Month" w:val="12"/>
        </w:smartTagPr>
        <w:r w:rsidR="0055418D">
          <w:t>December 22, 2009</w:t>
        </w:r>
      </w:smartTag>
      <w:r w:rsidR="008D6D0E">
        <w:t xml:space="preserve">, dismissing </w:t>
      </w:r>
      <w:r w:rsidR="00082BFE">
        <w:t>this case</w:t>
      </w:r>
      <w:r w:rsidR="008D6D0E">
        <w:t xml:space="preserve"> for </w:t>
      </w:r>
      <w:r w:rsidR="00B22146">
        <w:t>lack</w:t>
      </w:r>
      <w:r w:rsidR="008D6D0E">
        <w:t xml:space="preserve"> of proof</w:t>
      </w:r>
      <w:r w:rsidR="007A3727">
        <w:t>.</w:t>
      </w:r>
      <w:r w:rsidR="008D6D0E">
        <w:t xml:space="preserve"> </w:t>
      </w:r>
    </w:p>
    <w:p w:rsidR="00255985" w:rsidRPr="009F511B" w:rsidRDefault="00255985" w:rsidP="00255985">
      <w:pPr>
        <w:pStyle w:val="PlainText"/>
        <w:spacing w:line="480" w:lineRule="auto"/>
        <w:ind w:left="1440" w:firstLine="720"/>
        <w:rPr>
          <w:rFonts w:ascii="Times New Roman" w:hAnsi="Times New Roman"/>
          <w:b/>
          <w:sz w:val="24"/>
          <w:szCs w:val="24"/>
        </w:rPr>
      </w:pPr>
      <w:r w:rsidRPr="009F511B">
        <w:rPr>
          <w:rFonts w:ascii="Times New Roman" w:hAnsi="Times New Roman"/>
          <w:b/>
          <w:sz w:val="24"/>
          <w:szCs w:val="24"/>
        </w:rPr>
        <w:t>I</w:t>
      </w:r>
      <w:r>
        <w:rPr>
          <w:rFonts w:ascii="Times New Roman" w:hAnsi="Times New Roman"/>
          <w:b/>
          <w:sz w:val="24"/>
          <w:szCs w:val="24"/>
        </w:rPr>
        <w:t>I</w:t>
      </w:r>
      <w:r w:rsidRPr="009F511B">
        <w:rPr>
          <w:rFonts w:ascii="Times New Roman" w:hAnsi="Times New Roman"/>
          <w:b/>
          <w:sz w:val="24"/>
          <w:szCs w:val="24"/>
        </w:rPr>
        <w:t xml:space="preserve">I.  </w:t>
      </w:r>
      <w:r>
        <w:rPr>
          <w:rFonts w:ascii="Times New Roman" w:hAnsi="Times New Roman"/>
          <w:b/>
          <w:sz w:val="24"/>
          <w:szCs w:val="24"/>
        </w:rPr>
        <w:t xml:space="preserve">JURY’S FINDINGS IN </w:t>
      </w:r>
      <w:r w:rsidRPr="009F511B">
        <w:rPr>
          <w:rFonts w:ascii="Times New Roman" w:hAnsi="Times New Roman"/>
          <w:b/>
          <w:i/>
          <w:sz w:val="24"/>
          <w:szCs w:val="24"/>
        </w:rPr>
        <w:t>A</w:t>
      </w:r>
      <w:r w:rsidR="00786383">
        <w:rPr>
          <w:rFonts w:ascii="Times New Roman" w:hAnsi="Times New Roman"/>
          <w:b/>
          <w:i/>
          <w:sz w:val="24"/>
          <w:szCs w:val="24"/>
        </w:rPr>
        <w:t xml:space="preserve">LLEN </w:t>
      </w:r>
      <w:r w:rsidR="00C1543D">
        <w:rPr>
          <w:rFonts w:ascii="Times New Roman" w:hAnsi="Times New Roman"/>
          <w:b/>
          <w:i/>
          <w:sz w:val="24"/>
          <w:szCs w:val="24"/>
        </w:rPr>
        <w:t>v.</w:t>
      </w:r>
      <w:r w:rsidR="00786383">
        <w:rPr>
          <w:rFonts w:ascii="Times New Roman" w:hAnsi="Times New Roman"/>
          <w:b/>
          <w:i/>
          <w:sz w:val="24"/>
          <w:szCs w:val="24"/>
        </w:rPr>
        <w:t xml:space="preserve"> RANTANASAUDI</w:t>
      </w:r>
    </w:p>
    <w:p w:rsidR="00255985" w:rsidRDefault="00B56142" w:rsidP="00255985">
      <w:pPr>
        <w:pStyle w:val="PlainText"/>
        <w:spacing w:line="480" w:lineRule="auto"/>
        <w:ind w:firstLine="720"/>
        <w:rPr>
          <w:rFonts w:ascii="Times New Roman" w:hAnsi="Times New Roman"/>
          <w:sz w:val="24"/>
          <w:szCs w:val="24"/>
        </w:rPr>
      </w:pPr>
      <w:r>
        <w:rPr>
          <w:rFonts w:ascii="Times New Roman" w:hAnsi="Times New Roman"/>
          <w:sz w:val="24"/>
          <w:szCs w:val="24"/>
        </w:rPr>
        <w:t>In reaching our conclusion, w</w:t>
      </w:r>
      <w:r w:rsidR="00255985">
        <w:rPr>
          <w:rFonts w:ascii="Times New Roman" w:hAnsi="Times New Roman"/>
          <w:sz w:val="24"/>
          <w:szCs w:val="24"/>
        </w:rPr>
        <w:t>e</w:t>
      </w:r>
      <w:r>
        <w:rPr>
          <w:rFonts w:ascii="Times New Roman" w:hAnsi="Times New Roman"/>
          <w:sz w:val="24"/>
          <w:szCs w:val="24"/>
        </w:rPr>
        <w:t xml:space="preserve"> have</w:t>
      </w:r>
      <w:r w:rsidR="00255985">
        <w:rPr>
          <w:rFonts w:ascii="Times New Roman" w:hAnsi="Times New Roman"/>
          <w:sz w:val="24"/>
          <w:szCs w:val="24"/>
        </w:rPr>
        <w:t xml:space="preserve"> consider</w:t>
      </w:r>
      <w:r>
        <w:rPr>
          <w:rFonts w:ascii="Times New Roman" w:hAnsi="Times New Roman"/>
          <w:sz w:val="24"/>
          <w:szCs w:val="24"/>
        </w:rPr>
        <w:t>ed</w:t>
      </w:r>
      <w:r w:rsidR="00255985">
        <w:rPr>
          <w:rFonts w:ascii="Times New Roman" w:hAnsi="Times New Roman"/>
          <w:sz w:val="24"/>
          <w:szCs w:val="24"/>
        </w:rPr>
        <w:t xml:space="preserve"> </w:t>
      </w:r>
      <w:r w:rsidR="00255985" w:rsidRPr="00A72E7E">
        <w:rPr>
          <w:rFonts w:ascii="Times New Roman" w:hAnsi="Times New Roman"/>
          <w:sz w:val="24"/>
          <w:szCs w:val="24"/>
        </w:rPr>
        <w:t>the findings</w:t>
      </w:r>
      <w:r w:rsidR="00255985">
        <w:rPr>
          <w:rFonts w:ascii="Times New Roman" w:hAnsi="Times New Roman"/>
          <w:sz w:val="24"/>
          <w:szCs w:val="24"/>
        </w:rPr>
        <w:t xml:space="preserve"> contained</w:t>
      </w:r>
      <w:r w:rsidR="00255985" w:rsidRPr="00A72E7E">
        <w:rPr>
          <w:rFonts w:ascii="Times New Roman" w:hAnsi="Times New Roman"/>
          <w:sz w:val="24"/>
          <w:szCs w:val="24"/>
        </w:rPr>
        <w:t xml:space="preserve"> in </w:t>
      </w:r>
      <w:r w:rsidR="0000004D">
        <w:rPr>
          <w:rFonts w:ascii="Times New Roman" w:hAnsi="Times New Roman"/>
          <w:sz w:val="24"/>
          <w:szCs w:val="24"/>
        </w:rPr>
        <w:t>the jury’s</w:t>
      </w:r>
      <w:r w:rsidR="00255985" w:rsidRPr="00A72E7E">
        <w:rPr>
          <w:rFonts w:ascii="Times New Roman" w:hAnsi="Times New Roman"/>
          <w:sz w:val="24"/>
          <w:szCs w:val="24"/>
        </w:rPr>
        <w:t xml:space="preserve"> Special</w:t>
      </w:r>
      <w:r w:rsidR="00255985">
        <w:rPr>
          <w:rFonts w:ascii="Times New Roman" w:hAnsi="Times New Roman"/>
          <w:sz w:val="24"/>
          <w:szCs w:val="24"/>
        </w:rPr>
        <w:t xml:space="preserve"> </w:t>
      </w:r>
      <w:r w:rsidR="00255985" w:rsidRPr="00A72E7E">
        <w:rPr>
          <w:rFonts w:ascii="Times New Roman" w:hAnsi="Times New Roman"/>
          <w:sz w:val="24"/>
          <w:szCs w:val="24"/>
        </w:rPr>
        <w:t xml:space="preserve">Verdict in </w:t>
      </w:r>
      <w:r w:rsidR="00255985">
        <w:rPr>
          <w:rFonts w:ascii="Times New Roman" w:hAnsi="Times New Roman"/>
          <w:sz w:val="24"/>
          <w:szCs w:val="24"/>
        </w:rPr>
        <w:t>t</w:t>
      </w:r>
      <w:r w:rsidR="00255985" w:rsidRPr="00A72E7E">
        <w:rPr>
          <w:rFonts w:ascii="Times New Roman" w:hAnsi="Times New Roman"/>
          <w:sz w:val="24"/>
          <w:szCs w:val="24"/>
        </w:rPr>
        <w:t>he</w:t>
      </w:r>
      <w:r w:rsidR="00255985">
        <w:rPr>
          <w:rFonts w:ascii="Times New Roman" w:hAnsi="Times New Roman"/>
          <w:sz w:val="24"/>
          <w:szCs w:val="24"/>
        </w:rPr>
        <w:t xml:space="preserve"> </w:t>
      </w:r>
      <w:r w:rsidR="00255985">
        <w:rPr>
          <w:rFonts w:ascii="Times New Roman" w:hAnsi="Times New Roman"/>
          <w:i/>
          <w:sz w:val="24"/>
          <w:szCs w:val="24"/>
        </w:rPr>
        <w:t>Allen v. Ratanasadudi</w:t>
      </w:r>
      <w:r>
        <w:rPr>
          <w:rFonts w:ascii="Times New Roman" w:hAnsi="Times New Roman"/>
          <w:sz w:val="24"/>
          <w:szCs w:val="24"/>
        </w:rPr>
        <w:t xml:space="preserve"> lawsuit, which</w:t>
      </w:r>
      <w:r w:rsidR="00255985">
        <w:rPr>
          <w:rFonts w:ascii="Times New Roman" w:hAnsi="Times New Roman"/>
          <w:sz w:val="24"/>
          <w:szCs w:val="24"/>
        </w:rPr>
        <w:t xml:space="preserve"> are entitled to </w:t>
      </w:r>
      <w:r w:rsidR="00255985" w:rsidRPr="00A72E7E">
        <w:rPr>
          <w:rFonts w:ascii="Times New Roman" w:hAnsi="Times New Roman"/>
          <w:sz w:val="24"/>
          <w:szCs w:val="24"/>
        </w:rPr>
        <w:t>a strong presumption of validity</w:t>
      </w:r>
      <w:r w:rsidR="00255985">
        <w:rPr>
          <w:rFonts w:ascii="Times New Roman" w:hAnsi="Times New Roman"/>
          <w:sz w:val="24"/>
          <w:szCs w:val="24"/>
        </w:rPr>
        <w:t>.</w:t>
      </w:r>
      <w:r w:rsidR="00255985">
        <w:rPr>
          <w:rStyle w:val="FootnoteReference"/>
          <w:rFonts w:ascii="Times New Roman" w:hAnsi="Times New Roman"/>
          <w:sz w:val="24"/>
          <w:szCs w:val="24"/>
        </w:rPr>
        <w:footnoteReference w:id="6"/>
      </w:r>
      <w:r w:rsidR="00255985">
        <w:rPr>
          <w:rFonts w:ascii="Times New Roman" w:hAnsi="Times New Roman"/>
          <w:sz w:val="24"/>
          <w:szCs w:val="24"/>
        </w:rPr>
        <w:t xml:space="preserve">  </w:t>
      </w:r>
      <w:r w:rsidR="00255985" w:rsidRPr="00A72E7E">
        <w:rPr>
          <w:rFonts w:ascii="Times New Roman" w:hAnsi="Times New Roman"/>
          <w:sz w:val="24"/>
          <w:szCs w:val="24"/>
        </w:rPr>
        <w:t>(</w:t>
      </w:r>
      <w:r w:rsidR="00255985" w:rsidRPr="00A72E7E">
        <w:rPr>
          <w:rFonts w:ascii="Times New Roman" w:hAnsi="Times New Roman"/>
          <w:i/>
          <w:sz w:val="24"/>
          <w:szCs w:val="24"/>
        </w:rPr>
        <w:t>In the Matter of Scott</w:t>
      </w:r>
      <w:r w:rsidR="00255985">
        <w:rPr>
          <w:rFonts w:ascii="Times New Roman" w:hAnsi="Times New Roman"/>
          <w:sz w:val="24"/>
          <w:szCs w:val="24"/>
        </w:rPr>
        <w:t xml:space="preserve"> (Review Dept. 2002) </w:t>
      </w:r>
      <w:r w:rsidR="004155CC">
        <w:rPr>
          <w:rFonts w:ascii="Times New Roman" w:hAnsi="Times New Roman"/>
          <w:sz w:val="24"/>
          <w:szCs w:val="24"/>
        </w:rPr>
        <w:t xml:space="preserve">4 </w:t>
      </w:r>
      <w:r w:rsidR="00255985" w:rsidRPr="00A72E7E">
        <w:rPr>
          <w:rFonts w:ascii="Times New Roman" w:hAnsi="Times New Roman"/>
          <w:sz w:val="24"/>
          <w:szCs w:val="24"/>
        </w:rPr>
        <w:t xml:space="preserve">Cal. State Bar Ct. Rptr. </w:t>
      </w:r>
      <w:r w:rsidR="00255985">
        <w:rPr>
          <w:rFonts w:ascii="Times New Roman" w:hAnsi="Times New Roman"/>
          <w:sz w:val="24"/>
          <w:szCs w:val="24"/>
        </w:rPr>
        <w:t xml:space="preserve">446, </w:t>
      </w:r>
      <w:r w:rsidR="00255985" w:rsidRPr="00A72E7E">
        <w:rPr>
          <w:rFonts w:ascii="Times New Roman" w:hAnsi="Times New Roman"/>
          <w:sz w:val="24"/>
          <w:szCs w:val="24"/>
        </w:rPr>
        <w:t>455</w:t>
      </w:r>
      <w:r w:rsidR="00255985">
        <w:rPr>
          <w:rFonts w:ascii="Times New Roman" w:hAnsi="Times New Roman"/>
          <w:sz w:val="24"/>
          <w:szCs w:val="24"/>
        </w:rPr>
        <w:t xml:space="preserve"> [c</w:t>
      </w:r>
      <w:r w:rsidR="00255985" w:rsidRPr="00A72E7E">
        <w:rPr>
          <w:rFonts w:ascii="Times New Roman" w:hAnsi="Times New Roman"/>
          <w:sz w:val="24"/>
          <w:szCs w:val="24"/>
        </w:rPr>
        <w:t>ivil verdicts, judgments and findings</w:t>
      </w:r>
      <w:r w:rsidR="00255985">
        <w:rPr>
          <w:rFonts w:ascii="Times New Roman" w:hAnsi="Times New Roman"/>
          <w:sz w:val="24"/>
          <w:szCs w:val="24"/>
        </w:rPr>
        <w:t xml:space="preserve"> entitled to strong presumption of validity].)  We recognize that the purpose of a civil proceeding is different from a disciplinary matter.  (</w:t>
      </w:r>
      <w:r w:rsidR="00255985">
        <w:rPr>
          <w:rFonts w:ascii="Times New Roman" w:hAnsi="Times New Roman"/>
          <w:i/>
          <w:sz w:val="24"/>
          <w:szCs w:val="24"/>
        </w:rPr>
        <w:t>In the Matter of Lais</w:t>
      </w:r>
      <w:r w:rsidR="00255985">
        <w:rPr>
          <w:rFonts w:ascii="Times New Roman" w:hAnsi="Times New Roman"/>
          <w:sz w:val="24"/>
          <w:szCs w:val="24"/>
        </w:rPr>
        <w:t xml:space="preserve"> (Review Dept. 2000) 4 </w:t>
      </w:r>
      <w:smartTag w:uri="urn:schemas-microsoft-com:office:smarttags" w:element="State">
        <w:smartTag w:uri="urn:schemas-microsoft-com:office:smarttags" w:element="place">
          <w:r w:rsidR="00255985">
            <w:rPr>
              <w:rFonts w:ascii="Times New Roman" w:hAnsi="Times New Roman"/>
              <w:sz w:val="24"/>
              <w:szCs w:val="24"/>
            </w:rPr>
            <w:t>Cal.</w:t>
          </w:r>
        </w:smartTag>
      </w:smartTag>
      <w:r w:rsidR="00255985">
        <w:rPr>
          <w:rFonts w:ascii="Times New Roman" w:hAnsi="Times New Roman"/>
          <w:sz w:val="24"/>
          <w:szCs w:val="24"/>
        </w:rPr>
        <w:t xml:space="preserve"> State Bar Ct. Rptr. 112, 117.)  “However, civil matters do arise which bear a strong similarity, if not identity, to the charged disciplinary conduct.”  (</w:t>
      </w:r>
      <w:r w:rsidR="00255985" w:rsidRPr="00D16571">
        <w:rPr>
          <w:rFonts w:ascii="Times New Roman" w:hAnsi="Times New Roman"/>
          <w:i/>
          <w:sz w:val="24"/>
          <w:szCs w:val="24"/>
        </w:rPr>
        <w:t>I</w:t>
      </w:r>
      <w:r w:rsidR="004155CC">
        <w:rPr>
          <w:rFonts w:ascii="Times New Roman" w:hAnsi="Times New Roman"/>
          <w:i/>
          <w:sz w:val="24"/>
          <w:szCs w:val="24"/>
        </w:rPr>
        <w:t>bi</w:t>
      </w:r>
      <w:r w:rsidR="00255985" w:rsidRPr="00D16571">
        <w:rPr>
          <w:rFonts w:ascii="Times New Roman" w:hAnsi="Times New Roman"/>
          <w:i/>
          <w:sz w:val="24"/>
          <w:szCs w:val="24"/>
        </w:rPr>
        <w:t>d</w:t>
      </w:r>
      <w:r w:rsidR="00255985">
        <w:rPr>
          <w:rFonts w:ascii="Times New Roman" w:hAnsi="Times New Roman"/>
          <w:sz w:val="24"/>
          <w:szCs w:val="24"/>
        </w:rPr>
        <w:t xml:space="preserve">.)  This is just such an instance.  </w:t>
      </w:r>
    </w:p>
    <w:p w:rsidR="00255985" w:rsidRDefault="00530B7D" w:rsidP="00255985">
      <w:pPr>
        <w:pStyle w:val="PlainText"/>
        <w:spacing w:line="480" w:lineRule="auto"/>
        <w:ind w:firstLine="720"/>
        <w:rPr>
          <w:b/>
        </w:rPr>
      </w:pPr>
      <w:r>
        <w:rPr>
          <w:rFonts w:ascii="Times New Roman" w:hAnsi="Times New Roman"/>
          <w:sz w:val="24"/>
          <w:szCs w:val="24"/>
        </w:rPr>
        <w:t>T</w:t>
      </w:r>
      <w:r w:rsidR="00255985">
        <w:rPr>
          <w:rFonts w:ascii="Times New Roman" w:hAnsi="Times New Roman"/>
          <w:sz w:val="24"/>
          <w:szCs w:val="24"/>
        </w:rPr>
        <w:t xml:space="preserve">he </w:t>
      </w:r>
      <w:r w:rsidR="00255985" w:rsidRPr="00A72E18">
        <w:rPr>
          <w:rFonts w:ascii="Times New Roman" w:hAnsi="Times New Roman"/>
          <w:i/>
          <w:sz w:val="24"/>
          <w:szCs w:val="24"/>
        </w:rPr>
        <w:t>Allen v. Ratanasadudi</w:t>
      </w:r>
      <w:r w:rsidR="00255985" w:rsidRPr="00A72E7E">
        <w:rPr>
          <w:rFonts w:ascii="Times New Roman" w:hAnsi="Times New Roman"/>
          <w:sz w:val="24"/>
          <w:szCs w:val="24"/>
        </w:rPr>
        <w:t xml:space="preserve"> </w:t>
      </w:r>
      <w:r>
        <w:rPr>
          <w:rFonts w:ascii="Times New Roman" w:hAnsi="Times New Roman"/>
          <w:sz w:val="24"/>
          <w:szCs w:val="24"/>
        </w:rPr>
        <w:t xml:space="preserve">lawsuit </w:t>
      </w:r>
      <w:r w:rsidR="00255985">
        <w:rPr>
          <w:rFonts w:ascii="Times New Roman" w:hAnsi="Times New Roman"/>
          <w:sz w:val="24"/>
          <w:szCs w:val="24"/>
        </w:rPr>
        <w:t>involv</w:t>
      </w:r>
      <w:r>
        <w:rPr>
          <w:rFonts w:ascii="Times New Roman" w:hAnsi="Times New Roman"/>
          <w:sz w:val="24"/>
          <w:szCs w:val="24"/>
        </w:rPr>
        <w:t xml:space="preserve">ed </w:t>
      </w:r>
      <w:r w:rsidR="00255985">
        <w:rPr>
          <w:rFonts w:ascii="Times New Roman" w:hAnsi="Times New Roman"/>
          <w:sz w:val="24"/>
          <w:szCs w:val="24"/>
        </w:rPr>
        <w:t xml:space="preserve"> the same sales transaction that is the focus of these disciplinary proceedings.  At the civil trial, which lasted 15 days, both Allen and Supara presented expert witnesses who testified about the nature of the attorney/client relationship between them and the ramifications of their relationship to the sale of the duplex.  In addition to this expert testimony, the jury considered the same</w:t>
      </w:r>
      <w:r>
        <w:rPr>
          <w:rFonts w:ascii="Times New Roman" w:hAnsi="Times New Roman"/>
          <w:sz w:val="24"/>
          <w:szCs w:val="24"/>
        </w:rPr>
        <w:t xml:space="preserve"> facts</w:t>
      </w:r>
      <w:r w:rsidR="00255985">
        <w:rPr>
          <w:rFonts w:ascii="Times New Roman" w:hAnsi="Times New Roman"/>
          <w:sz w:val="24"/>
          <w:szCs w:val="24"/>
        </w:rPr>
        <w:t xml:space="preserve"> that are contained in the Stipulation filed in the instant matter.  At the trial’s conclusion, the jury found in favor </w:t>
      </w:r>
      <w:r w:rsidR="00786383">
        <w:rPr>
          <w:rFonts w:ascii="Times New Roman" w:hAnsi="Times New Roman"/>
          <w:sz w:val="24"/>
          <w:szCs w:val="24"/>
        </w:rPr>
        <w:t xml:space="preserve">of </w:t>
      </w:r>
      <w:r w:rsidR="00255985">
        <w:rPr>
          <w:rFonts w:ascii="Times New Roman" w:hAnsi="Times New Roman"/>
          <w:sz w:val="24"/>
          <w:szCs w:val="24"/>
        </w:rPr>
        <w:t>Allen</w:t>
      </w:r>
      <w:r w:rsidR="005762A3">
        <w:rPr>
          <w:rFonts w:ascii="Times New Roman" w:hAnsi="Times New Roman"/>
          <w:sz w:val="24"/>
          <w:szCs w:val="24"/>
        </w:rPr>
        <w:t xml:space="preserve">.  </w:t>
      </w:r>
      <w:r w:rsidR="00255985" w:rsidRPr="001A5278">
        <w:rPr>
          <w:rFonts w:ascii="Times New Roman" w:hAnsi="Times New Roman"/>
          <w:sz w:val="24"/>
          <w:szCs w:val="24"/>
        </w:rPr>
        <w:t xml:space="preserve">Supara moved for a new trial and a judgment notwithstanding the verdict on the </w:t>
      </w:r>
      <w:r w:rsidR="00255985">
        <w:rPr>
          <w:rFonts w:ascii="Times New Roman" w:hAnsi="Times New Roman"/>
          <w:sz w:val="24"/>
          <w:szCs w:val="24"/>
        </w:rPr>
        <w:t xml:space="preserve">specific </w:t>
      </w:r>
      <w:r w:rsidR="00255985" w:rsidRPr="001A5278">
        <w:rPr>
          <w:rFonts w:ascii="Times New Roman" w:hAnsi="Times New Roman"/>
          <w:sz w:val="24"/>
          <w:szCs w:val="24"/>
        </w:rPr>
        <w:t>ground</w:t>
      </w:r>
      <w:r w:rsidR="00255985">
        <w:rPr>
          <w:rFonts w:ascii="Times New Roman" w:hAnsi="Times New Roman"/>
          <w:sz w:val="24"/>
          <w:szCs w:val="24"/>
        </w:rPr>
        <w:t>s</w:t>
      </w:r>
      <w:r w:rsidR="00255985" w:rsidRPr="001A5278">
        <w:rPr>
          <w:rFonts w:ascii="Times New Roman" w:hAnsi="Times New Roman"/>
          <w:sz w:val="24"/>
          <w:szCs w:val="24"/>
        </w:rPr>
        <w:t xml:space="preserve"> that</w:t>
      </w:r>
      <w:r w:rsidR="00255985">
        <w:rPr>
          <w:rFonts w:ascii="Times New Roman" w:hAnsi="Times New Roman"/>
          <w:sz w:val="24"/>
          <w:szCs w:val="24"/>
        </w:rPr>
        <w:t xml:space="preserve"> Allen did not present </w:t>
      </w:r>
      <w:r w:rsidR="00255985" w:rsidRPr="001A5278">
        <w:rPr>
          <w:rFonts w:ascii="Times New Roman" w:hAnsi="Times New Roman"/>
          <w:sz w:val="24"/>
          <w:szCs w:val="24"/>
        </w:rPr>
        <w:t>substantial evidence</w:t>
      </w:r>
      <w:r w:rsidR="00255985">
        <w:rPr>
          <w:rFonts w:ascii="Times New Roman" w:hAnsi="Times New Roman"/>
          <w:sz w:val="24"/>
          <w:szCs w:val="24"/>
        </w:rPr>
        <w:t xml:space="preserve"> in support of </w:t>
      </w:r>
      <w:r w:rsidR="00255985" w:rsidRPr="001A5278">
        <w:rPr>
          <w:rFonts w:ascii="Times New Roman" w:hAnsi="Times New Roman"/>
          <w:sz w:val="24"/>
          <w:szCs w:val="24"/>
        </w:rPr>
        <w:t>the verdict</w:t>
      </w:r>
      <w:r w:rsidR="00255985">
        <w:rPr>
          <w:rFonts w:ascii="Times New Roman" w:hAnsi="Times New Roman"/>
          <w:sz w:val="24"/>
          <w:szCs w:val="24"/>
        </w:rPr>
        <w:t xml:space="preserve">.  The </w:t>
      </w:r>
      <w:r w:rsidR="00255985" w:rsidRPr="001A5278">
        <w:rPr>
          <w:rFonts w:ascii="Times New Roman" w:hAnsi="Times New Roman"/>
          <w:sz w:val="24"/>
          <w:szCs w:val="24"/>
        </w:rPr>
        <w:t>trial court denied</w:t>
      </w:r>
      <w:r w:rsidR="00255985">
        <w:rPr>
          <w:rFonts w:ascii="Times New Roman" w:hAnsi="Times New Roman"/>
          <w:sz w:val="24"/>
          <w:szCs w:val="24"/>
        </w:rPr>
        <w:t xml:space="preserve"> Supara’s </w:t>
      </w:r>
      <w:r w:rsidR="00255985" w:rsidRPr="001A5278">
        <w:rPr>
          <w:rFonts w:ascii="Times New Roman" w:hAnsi="Times New Roman"/>
          <w:sz w:val="24"/>
          <w:szCs w:val="24"/>
        </w:rPr>
        <w:t>motion</w:t>
      </w:r>
      <w:r w:rsidR="00255985">
        <w:rPr>
          <w:rFonts w:ascii="Times New Roman" w:hAnsi="Times New Roman"/>
          <w:sz w:val="24"/>
          <w:szCs w:val="24"/>
        </w:rPr>
        <w:t xml:space="preserve">.  We thus find that the issues presented in the </w:t>
      </w:r>
      <w:r w:rsidR="00255985" w:rsidRPr="0077082A">
        <w:rPr>
          <w:rFonts w:ascii="Times New Roman" w:hAnsi="Times New Roman"/>
          <w:i/>
          <w:sz w:val="24"/>
          <w:szCs w:val="24"/>
        </w:rPr>
        <w:t>Allen v. Ratanasadudi</w:t>
      </w:r>
      <w:r w:rsidR="00255985" w:rsidRPr="00A72E7E">
        <w:rPr>
          <w:rFonts w:ascii="Times New Roman" w:hAnsi="Times New Roman"/>
          <w:sz w:val="24"/>
          <w:szCs w:val="24"/>
        </w:rPr>
        <w:t xml:space="preserve"> </w:t>
      </w:r>
      <w:r w:rsidR="00255985">
        <w:rPr>
          <w:rFonts w:ascii="Times New Roman" w:hAnsi="Times New Roman"/>
          <w:sz w:val="24"/>
          <w:szCs w:val="24"/>
        </w:rPr>
        <w:t xml:space="preserve">matter bear </w:t>
      </w:r>
      <w:r w:rsidR="00255985">
        <w:rPr>
          <w:rFonts w:ascii="Times New Roman" w:hAnsi="Times New Roman"/>
          <w:sz w:val="24"/>
          <w:szCs w:val="24"/>
        </w:rPr>
        <w:lastRenderedPageBreak/>
        <w:t xml:space="preserve">a strong identity with the issues raised here, and that the jury’s findings, which were made </w:t>
      </w:r>
      <w:r w:rsidR="00255985" w:rsidRPr="00A72E7E">
        <w:rPr>
          <w:rFonts w:ascii="Times New Roman" w:hAnsi="Times New Roman"/>
          <w:sz w:val="24"/>
          <w:szCs w:val="24"/>
        </w:rPr>
        <w:t xml:space="preserve">under a preponderance of the evidence </w:t>
      </w:r>
      <w:r w:rsidR="00255985">
        <w:rPr>
          <w:rFonts w:ascii="Times New Roman" w:hAnsi="Times New Roman"/>
          <w:sz w:val="24"/>
          <w:szCs w:val="24"/>
        </w:rPr>
        <w:t xml:space="preserve">standard, were </w:t>
      </w:r>
      <w:r w:rsidR="00255985" w:rsidRPr="00A72E7E">
        <w:rPr>
          <w:rFonts w:ascii="Times New Roman" w:hAnsi="Times New Roman"/>
          <w:sz w:val="24"/>
          <w:szCs w:val="24"/>
        </w:rPr>
        <w:t>supported by substantial evidence</w:t>
      </w:r>
      <w:r w:rsidR="00255985">
        <w:rPr>
          <w:rFonts w:ascii="Times New Roman" w:hAnsi="Times New Roman"/>
          <w:sz w:val="24"/>
          <w:szCs w:val="24"/>
        </w:rPr>
        <w:t>.  (</w:t>
      </w:r>
      <w:r w:rsidR="00255985">
        <w:rPr>
          <w:rFonts w:ascii="Times New Roman" w:hAnsi="Times New Roman"/>
          <w:i/>
          <w:sz w:val="24"/>
          <w:szCs w:val="24"/>
        </w:rPr>
        <w:t>Maltaman v. State Bar</w:t>
      </w:r>
      <w:r w:rsidR="00255985">
        <w:rPr>
          <w:rFonts w:ascii="Times New Roman" w:hAnsi="Times New Roman"/>
          <w:sz w:val="24"/>
          <w:szCs w:val="24"/>
        </w:rPr>
        <w:t xml:space="preserve"> (1987) 43 Cal.3d 924, 948 [civil findings entitled to strong presumption of validity if supported by substantial evidence].)</w:t>
      </w:r>
      <w:r w:rsidR="00255985" w:rsidRPr="00E07709">
        <w:rPr>
          <w:rStyle w:val="FootnoteReference"/>
          <w:rFonts w:ascii="Times New Roman" w:hAnsi="Times New Roman"/>
          <w:sz w:val="24"/>
          <w:szCs w:val="24"/>
        </w:rPr>
        <w:t xml:space="preserve"> </w:t>
      </w:r>
      <w:r w:rsidR="00255985">
        <w:rPr>
          <w:rStyle w:val="FootnoteReference"/>
          <w:rFonts w:ascii="Times New Roman" w:hAnsi="Times New Roman"/>
          <w:sz w:val="24"/>
          <w:szCs w:val="24"/>
        </w:rPr>
        <w:footnoteReference w:id="7"/>
      </w:r>
      <w:r w:rsidR="00255985">
        <w:rPr>
          <w:rFonts w:ascii="Times New Roman" w:hAnsi="Times New Roman"/>
          <w:sz w:val="24"/>
          <w:szCs w:val="24"/>
        </w:rPr>
        <w:t xml:space="preserve">   </w:t>
      </w:r>
    </w:p>
    <w:p w:rsidR="007922BC" w:rsidRPr="00A6393A" w:rsidRDefault="007922BC" w:rsidP="00A6393A">
      <w:pPr>
        <w:jc w:val="center"/>
      </w:pPr>
      <w:r w:rsidRPr="00CB3297">
        <w:rPr>
          <w:b/>
        </w:rPr>
        <w:t>I</w:t>
      </w:r>
      <w:r w:rsidR="00255985">
        <w:rPr>
          <w:b/>
        </w:rPr>
        <w:t>V</w:t>
      </w:r>
      <w:r w:rsidRPr="00CB3297">
        <w:rPr>
          <w:b/>
        </w:rPr>
        <w:t xml:space="preserve">.  </w:t>
      </w:r>
      <w:r>
        <w:rPr>
          <w:b/>
        </w:rPr>
        <w:t>APPLICABILITY OF RULE 3-300</w:t>
      </w:r>
    </w:p>
    <w:p w:rsidR="007922BC" w:rsidRDefault="007922BC" w:rsidP="007922BC">
      <w:pPr>
        <w:pStyle w:val="Level1"/>
        <w:tabs>
          <w:tab w:val="clear" w:pos="720"/>
          <w:tab w:val="left" w:pos="-1440"/>
        </w:tabs>
        <w:spacing w:line="480" w:lineRule="auto"/>
        <w:ind w:left="0" w:firstLine="0"/>
      </w:pPr>
      <w:r>
        <w:tab/>
        <w:t xml:space="preserve">The State Bar asserts that “[t]he fundamental issue raised within this request for review is whether, </w:t>
      </w:r>
      <w:r w:rsidRPr="002F1268">
        <w:rPr>
          <w:i/>
        </w:rPr>
        <w:t>based upon the stipulated facts submitted</w:t>
      </w:r>
      <w:r>
        <w:t>, there existed the requisite attorney/client relationship and its concomitant inherent influence at the time of the proposal, without which the rule [3-300] has no application.”</w:t>
      </w:r>
      <w:r w:rsidR="002F1268">
        <w:t xml:space="preserve">  (</w:t>
      </w:r>
      <w:r w:rsidR="00D35438">
        <w:t>Italics</w:t>
      </w:r>
      <w:r w:rsidR="002F1268">
        <w:t xml:space="preserve"> added.)</w:t>
      </w:r>
      <w:r>
        <w:t xml:space="preserve">  Simply put, the answer is no.</w:t>
      </w:r>
    </w:p>
    <w:p w:rsidR="00C34255" w:rsidRDefault="00625FF3" w:rsidP="006D5AB2">
      <w:pPr>
        <w:ind w:firstLine="720"/>
      </w:pPr>
      <w:r>
        <w:t>Nowhere in the Stipulation does it state that in 2005 Allen was acting as Supara’s attorney at the time of the purchase</w:t>
      </w:r>
      <w:r w:rsidR="00A302C6">
        <w:t xml:space="preserve"> of the duplex</w:t>
      </w:r>
      <w:r>
        <w:t xml:space="preserve"> or that an attorney/client relationship continued past October 2002.</w:t>
      </w:r>
      <w:r w:rsidR="00165F8D">
        <w:t xml:space="preserve">  </w:t>
      </w:r>
      <w:r w:rsidR="00A302C6">
        <w:t>T</w:t>
      </w:r>
      <w:r w:rsidR="00062D80">
        <w:t>he State Bar</w:t>
      </w:r>
      <w:r w:rsidR="00610C15">
        <w:t xml:space="preserve"> </w:t>
      </w:r>
      <w:r w:rsidR="00A302C6">
        <w:t>argues that we may infer from</w:t>
      </w:r>
      <w:r w:rsidR="00610C15">
        <w:t xml:space="preserve"> </w:t>
      </w:r>
      <w:r w:rsidR="00062D80">
        <w:t xml:space="preserve">the informal nature of Allen’s </w:t>
      </w:r>
      <w:r w:rsidR="00610C15">
        <w:t xml:space="preserve">earlier </w:t>
      </w:r>
      <w:r w:rsidR="00062D80">
        <w:t xml:space="preserve">representation </w:t>
      </w:r>
      <w:r w:rsidR="00623AB2">
        <w:t>that an</w:t>
      </w:r>
      <w:r w:rsidR="00623AB2" w:rsidRPr="00610C15">
        <w:t xml:space="preserve"> </w:t>
      </w:r>
      <w:r w:rsidR="00623AB2">
        <w:t xml:space="preserve">attorney/client relationship existed </w:t>
      </w:r>
      <w:r w:rsidR="007F4D71">
        <w:t xml:space="preserve">in 2005 </w:t>
      </w:r>
      <w:r w:rsidR="00623AB2">
        <w:t>when Allen purchased the duplex</w:t>
      </w:r>
      <w:r w:rsidR="00165F8D">
        <w:t xml:space="preserve">.  </w:t>
      </w:r>
      <w:r w:rsidR="00623AB2">
        <w:t>I</w:t>
      </w:r>
      <w:r w:rsidR="00610C15">
        <w:t xml:space="preserve">t </w:t>
      </w:r>
      <w:r w:rsidR="00A302C6">
        <w:t>posits</w:t>
      </w:r>
      <w:r w:rsidR="00610C15">
        <w:t xml:space="preserve"> </w:t>
      </w:r>
      <w:r w:rsidR="00623AB2">
        <w:t xml:space="preserve">that this informality </w:t>
      </w:r>
      <w:r w:rsidR="00062D80">
        <w:t>“served only to cloud the extent and duration of the existent attorney/client relatio</w:t>
      </w:r>
      <w:r w:rsidR="00EA09A0">
        <w:t>nsh</w:t>
      </w:r>
      <w:r w:rsidR="00062D80">
        <w:t>ip.”</w:t>
      </w:r>
      <w:r w:rsidR="00EA09A0">
        <w:t xml:space="preserve">  </w:t>
      </w:r>
      <w:r w:rsidR="00165F8D">
        <w:t>Indeed, t</w:t>
      </w:r>
      <w:r w:rsidR="006D5AB2">
        <w:t xml:space="preserve">he State Bar </w:t>
      </w:r>
      <w:r w:rsidR="00165F8D">
        <w:t>contends</w:t>
      </w:r>
      <w:r w:rsidR="006D5AB2">
        <w:t xml:space="preserve"> that “the mere fact that the parties enjoyed an attorney client relationship at some time prior to this real estate sale </w:t>
      </w:r>
      <w:r w:rsidR="006D5AB2">
        <w:lastRenderedPageBreak/>
        <w:t xml:space="preserve">transaction proposal, suffices to trigger the application of the rule [3-300].”  </w:t>
      </w:r>
      <w:r w:rsidR="00165F8D">
        <w:t>At</w:t>
      </w:r>
      <w:r w:rsidR="00610C15">
        <w:t xml:space="preserve"> oral argument, the State Bar </w:t>
      </w:r>
      <w:r w:rsidR="00165F8D">
        <w:t xml:space="preserve">summarized its position, stating </w:t>
      </w:r>
      <w:r w:rsidR="00610C15">
        <w:t>that</w:t>
      </w:r>
      <w:r w:rsidR="00623AB2">
        <w:t>,</w:t>
      </w:r>
      <w:r w:rsidR="00610C15">
        <w:t xml:space="preserve"> under </w:t>
      </w:r>
      <w:r w:rsidR="00C34255">
        <w:t xml:space="preserve">rule 3-300, “once a client, always a client.”  </w:t>
      </w:r>
    </w:p>
    <w:p w:rsidR="007A3727" w:rsidRDefault="00C34255" w:rsidP="00E43F2A">
      <w:pPr>
        <w:ind w:firstLine="720"/>
      </w:pPr>
      <w:r>
        <w:t xml:space="preserve">We do not agree with this proposition.  </w:t>
      </w:r>
      <w:r w:rsidR="00F41B19">
        <w:t xml:space="preserve">The duration of an attorney/client relationship is dependent upon the </w:t>
      </w:r>
      <w:r>
        <w:t xml:space="preserve">nature and </w:t>
      </w:r>
      <w:r w:rsidR="00F41B19">
        <w:t>scope of the relationship</w:t>
      </w:r>
      <w:r w:rsidR="008822C4">
        <w:t>.  (</w:t>
      </w:r>
      <w:r w:rsidR="00C970F4">
        <w:t xml:space="preserve">Vapnek et. al., Cal. Practice Guide: Professional Responsibility (The </w:t>
      </w:r>
      <w:r w:rsidR="00F41B19">
        <w:t>Rutter Group</w:t>
      </w:r>
      <w:r w:rsidR="00C970F4">
        <w:t xml:space="preserve"> 2008) para. </w:t>
      </w:r>
      <w:r w:rsidR="00F41B19">
        <w:t>3:29.5</w:t>
      </w:r>
      <w:r w:rsidR="00C970F4">
        <w:t>, p. 10-11</w:t>
      </w:r>
      <w:r w:rsidR="008822C4">
        <w:t>.</w:t>
      </w:r>
      <w:r w:rsidR="00F41B19">
        <w:t>)</w:t>
      </w:r>
      <w:r w:rsidR="008822C4">
        <w:t xml:space="preserve">  </w:t>
      </w:r>
      <w:r w:rsidR="00414AAC">
        <w:t>I</w:t>
      </w:r>
      <w:r w:rsidR="00F41B19">
        <w:t>n this case</w:t>
      </w:r>
      <w:r w:rsidR="00817FF2">
        <w:t>,</w:t>
      </w:r>
      <w:r w:rsidR="00F41B19">
        <w:t xml:space="preserve"> t</w:t>
      </w:r>
      <w:r w:rsidR="00D84079">
        <w:t>he</w:t>
      </w:r>
      <w:r w:rsidR="0091760F">
        <w:t xml:space="preserve"> </w:t>
      </w:r>
      <w:r w:rsidR="008822C4">
        <w:t xml:space="preserve">sporadic </w:t>
      </w:r>
      <w:r w:rsidR="0091760F">
        <w:t xml:space="preserve">legal </w:t>
      </w:r>
      <w:r w:rsidR="008822C4">
        <w:t>services</w:t>
      </w:r>
      <w:r w:rsidR="0091760F">
        <w:t xml:space="preserve"> that </w:t>
      </w:r>
      <w:r w:rsidR="00614353">
        <w:t xml:space="preserve">Allen </w:t>
      </w:r>
      <w:r w:rsidR="008822C4">
        <w:t>provided</w:t>
      </w:r>
      <w:r w:rsidR="00816644">
        <w:t xml:space="preserve"> between 1999 and 2002</w:t>
      </w:r>
      <w:r w:rsidR="008822C4">
        <w:t xml:space="preserve"> were </w:t>
      </w:r>
      <w:r w:rsidR="005F516F">
        <w:t>limited</w:t>
      </w:r>
      <w:r w:rsidR="00614353">
        <w:t xml:space="preserve"> </w:t>
      </w:r>
      <w:r w:rsidR="005F516F">
        <w:t xml:space="preserve">to </w:t>
      </w:r>
      <w:r w:rsidR="00816644">
        <w:t xml:space="preserve">four </w:t>
      </w:r>
      <w:r w:rsidR="007C0C0C">
        <w:t xml:space="preserve">minor </w:t>
      </w:r>
      <w:r w:rsidR="0091760F">
        <w:t>ma</w:t>
      </w:r>
      <w:r w:rsidR="005F516F">
        <w:t>tters</w:t>
      </w:r>
      <w:r w:rsidR="007C0C0C">
        <w:t xml:space="preserve"> for which Allen received a total of $150</w:t>
      </w:r>
      <w:r w:rsidR="00962521">
        <w:t>, a few dinners and some discounts on hotel rooms</w:t>
      </w:r>
      <w:r w:rsidR="005F516F">
        <w:t xml:space="preserve">.  </w:t>
      </w:r>
      <w:r>
        <w:t>Although each of the</w:t>
      </w:r>
      <w:r w:rsidR="00952647">
        <w:t>se</w:t>
      </w:r>
      <w:r>
        <w:t xml:space="preserve"> </w:t>
      </w:r>
      <w:r w:rsidR="005F516F">
        <w:t>matters</w:t>
      </w:r>
      <w:r>
        <w:t xml:space="preserve"> concerned real property issues, none of them</w:t>
      </w:r>
      <w:r w:rsidR="005F516F">
        <w:t xml:space="preserve"> had any relationship to the purchase</w:t>
      </w:r>
      <w:r w:rsidR="008822C4">
        <w:t xml:space="preserve"> of the duplex</w:t>
      </w:r>
      <w:r w:rsidR="005F516F">
        <w:t xml:space="preserve"> and Allen</w:t>
      </w:r>
      <w:r w:rsidR="00962521">
        <w:t xml:space="preserve"> did not</w:t>
      </w:r>
      <w:r w:rsidR="005F516F">
        <w:t xml:space="preserve"> obtain any confidential </w:t>
      </w:r>
      <w:r w:rsidR="005B0CF7">
        <w:t xml:space="preserve">or financial </w:t>
      </w:r>
      <w:r w:rsidR="005F516F">
        <w:t xml:space="preserve">information during </w:t>
      </w:r>
      <w:r w:rsidR="00E11BDA">
        <w:t>her earlier representation</w:t>
      </w:r>
      <w:r w:rsidR="0091760F">
        <w:t xml:space="preserve"> of </w:t>
      </w:r>
      <w:r w:rsidR="00101989">
        <w:t>Supara</w:t>
      </w:r>
      <w:r w:rsidR="0091760F">
        <w:t xml:space="preserve"> </w:t>
      </w:r>
      <w:r w:rsidR="00E11BDA">
        <w:t xml:space="preserve">that </w:t>
      </w:r>
      <w:r w:rsidR="005F516F">
        <w:t xml:space="preserve">was </w:t>
      </w:r>
      <w:r w:rsidR="00414AAC">
        <w:t>used in</w:t>
      </w:r>
      <w:r w:rsidR="00E11BDA">
        <w:t xml:space="preserve"> </w:t>
      </w:r>
      <w:r w:rsidR="008822C4">
        <w:t xml:space="preserve">the </w:t>
      </w:r>
      <w:r w:rsidR="00E11BDA">
        <w:t xml:space="preserve">subsequent </w:t>
      </w:r>
      <w:r w:rsidR="005F516F">
        <w:t>negotiations.</w:t>
      </w:r>
      <w:r w:rsidR="00E11BDA">
        <w:t xml:space="preserve"> </w:t>
      </w:r>
      <w:r w:rsidR="005B0CF7">
        <w:t xml:space="preserve"> Nor </w:t>
      </w:r>
      <w:r w:rsidR="00962521">
        <w:t xml:space="preserve">did </w:t>
      </w:r>
      <w:r w:rsidR="00414AAC">
        <w:t>Allen</w:t>
      </w:r>
      <w:r w:rsidR="005B0CF7">
        <w:t xml:space="preserve"> use any financial or personal information she otherwise learned about Supara </w:t>
      </w:r>
      <w:r w:rsidR="00414AAC">
        <w:t>through their</w:t>
      </w:r>
      <w:r>
        <w:t xml:space="preserve"> prior</w:t>
      </w:r>
      <w:r w:rsidR="005B0CF7">
        <w:t xml:space="preserve"> </w:t>
      </w:r>
      <w:r w:rsidR="00817FF2">
        <w:t>attorney/</w:t>
      </w:r>
      <w:r w:rsidR="005B0CF7">
        <w:t>client relationship.</w:t>
      </w:r>
      <w:r w:rsidR="007A3727">
        <w:t xml:space="preserve">  </w:t>
      </w:r>
      <w:r w:rsidR="00D84079">
        <w:t xml:space="preserve">Moreover, almost two and a half years </w:t>
      </w:r>
      <w:r w:rsidR="00414AAC">
        <w:t xml:space="preserve">elapsed </w:t>
      </w:r>
      <w:r w:rsidR="00D84079">
        <w:t xml:space="preserve">between the services provided and the purchase of the duplex.  </w:t>
      </w:r>
    </w:p>
    <w:p w:rsidR="00A217A7" w:rsidRDefault="00344912" w:rsidP="007A3727">
      <w:pPr>
        <w:ind w:firstLine="720"/>
      </w:pPr>
      <w:r>
        <w:t>T</w:t>
      </w:r>
      <w:r w:rsidR="00FF50C7">
        <w:t>he</w:t>
      </w:r>
      <w:r w:rsidR="005B7486">
        <w:t xml:space="preserve"> State Bar</w:t>
      </w:r>
      <w:r w:rsidR="00623AB2">
        <w:t xml:space="preserve"> </w:t>
      </w:r>
      <w:r>
        <w:t>contends</w:t>
      </w:r>
      <w:r w:rsidR="00623AB2">
        <w:t xml:space="preserve"> that</w:t>
      </w:r>
      <w:r>
        <w:t xml:space="preserve"> even if the</w:t>
      </w:r>
      <w:r w:rsidR="00623AB2">
        <w:t xml:space="preserve"> prior relationship</w:t>
      </w:r>
      <w:r>
        <w:t xml:space="preserve"> ended in 2002, it</w:t>
      </w:r>
      <w:r w:rsidR="00623AB2">
        <w:t xml:space="preserve"> was “resurrected” </w:t>
      </w:r>
      <w:r w:rsidR="00641806">
        <w:t xml:space="preserve">in 2005.  </w:t>
      </w:r>
      <w:r w:rsidR="00D21A98">
        <w:t xml:space="preserve">The State Bar cites to the fact that Allen did not repudiate Supara’s introduction of her to the accountant as Supara’s attorney as evidence of their attorney/client relationship in 2005.  </w:t>
      </w:r>
      <w:r w:rsidR="00641806">
        <w:t>We find this evidence to be in</w:t>
      </w:r>
      <w:r w:rsidR="00962521">
        <w:t>con</w:t>
      </w:r>
      <w:r w:rsidR="00641806">
        <w:t>clusive at best and in</w:t>
      </w:r>
      <w:r w:rsidR="00641806" w:rsidRPr="008272EB">
        <w:t>sufficient</w:t>
      </w:r>
      <w:r w:rsidR="00641806">
        <w:t xml:space="preserve"> </w:t>
      </w:r>
      <w:r w:rsidR="00641806" w:rsidRPr="008272EB">
        <w:t xml:space="preserve">to </w:t>
      </w:r>
      <w:r w:rsidR="0032594D">
        <w:t xml:space="preserve">satisfy the clear and convincing standard.  </w:t>
      </w:r>
      <w:r w:rsidR="00641806">
        <w:t>The State Bar also cites</w:t>
      </w:r>
      <w:r w:rsidR="005F24AD">
        <w:t xml:space="preserve"> to</w:t>
      </w:r>
      <w:r w:rsidR="00641806">
        <w:t xml:space="preserve"> Allen’s preparation in April and May 2005 of </w:t>
      </w:r>
      <w:r w:rsidR="00641806" w:rsidRPr="00E43F2A">
        <w:t xml:space="preserve">three </w:t>
      </w:r>
      <w:r w:rsidR="00641806">
        <w:t xml:space="preserve">tenant </w:t>
      </w:r>
      <w:r w:rsidR="00641806" w:rsidRPr="00E43F2A">
        <w:t xml:space="preserve">notices </w:t>
      </w:r>
      <w:r w:rsidR="00641806">
        <w:t xml:space="preserve">to </w:t>
      </w:r>
      <w:r w:rsidR="00641806" w:rsidRPr="00E43F2A">
        <w:t xml:space="preserve">vacate the premises </w:t>
      </w:r>
      <w:r w:rsidR="00641806">
        <w:t xml:space="preserve">as evidence of the resurrection of the attorney/client relationship.  </w:t>
      </w:r>
      <w:r w:rsidR="00FF50C7">
        <w:t xml:space="preserve">However, </w:t>
      </w:r>
      <w:r w:rsidR="00952647">
        <w:t>the stipulated facts are in conflict</w:t>
      </w:r>
      <w:r w:rsidR="005B7486">
        <w:t xml:space="preserve"> </w:t>
      </w:r>
      <w:r w:rsidR="001F0B9D">
        <w:t xml:space="preserve">as to </w:t>
      </w:r>
      <w:r w:rsidR="005B7486">
        <w:t xml:space="preserve">whether Allen drafted the </w:t>
      </w:r>
      <w:r w:rsidR="00EF5565">
        <w:t xml:space="preserve">three </w:t>
      </w:r>
      <w:r w:rsidR="005B7486">
        <w:t xml:space="preserve">notices on behalf of </w:t>
      </w:r>
      <w:r w:rsidR="00101989">
        <w:t>Supara</w:t>
      </w:r>
      <w:r w:rsidR="005B7486">
        <w:t xml:space="preserve"> or </w:t>
      </w:r>
      <w:r w:rsidR="00D21A98">
        <w:t xml:space="preserve">herself </w:t>
      </w:r>
      <w:r w:rsidR="00E43F2A">
        <w:t>to facilitate her daughter</w:t>
      </w:r>
      <w:r w:rsidR="00D21A98">
        <w:t>’s occupancy of the duplex.  When</w:t>
      </w:r>
      <w:r w:rsidR="00212EEE">
        <w:t xml:space="preserve"> </w:t>
      </w:r>
      <w:r w:rsidR="00212EEE" w:rsidRPr="00F66778">
        <w:t>equally reasonable inferences may be drawn from the stipulated facts</w:t>
      </w:r>
      <w:r w:rsidR="00212EEE">
        <w:t>, w</w:t>
      </w:r>
      <w:r w:rsidR="0091760F">
        <w:t>e are obliged to resolve reasonable doubts in Allen’s favor</w:t>
      </w:r>
      <w:r w:rsidR="00212EEE">
        <w:t>.</w:t>
      </w:r>
      <w:r w:rsidR="0091760F">
        <w:t xml:space="preserve"> </w:t>
      </w:r>
      <w:r w:rsidR="00212EEE">
        <w:t xml:space="preserve"> </w:t>
      </w:r>
      <w:r w:rsidR="0091760F" w:rsidRPr="00F66778">
        <w:t>(</w:t>
      </w:r>
      <w:r w:rsidR="0091760F" w:rsidRPr="00F66778">
        <w:rPr>
          <w:i/>
          <w:iCs/>
        </w:rPr>
        <w:t>Young v. State Bar</w:t>
      </w:r>
      <w:r w:rsidR="0091760F">
        <w:rPr>
          <w:i/>
          <w:iCs/>
        </w:rPr>
        <w:t>, supra</w:t>
      </w:r>
      <w:r w:rsidR="0091760F">
        <w:rPr>
          <w:iCs/>
        </w:rPr>
        <w:t>,</w:t>
      </w:r>
      <w:r w:rsidR="0091760F" w:rsidRPr="00F66778">
        <w:t xml:space="preserve"> 50 Cal.3d </w:t>
      </w:r>
      <w:r w:rsidR="0091760F">
        <w:t xml:space="preserve">at p. </w:t>
      </w:r>
      <w:r w:rsidR="0091760F" w:rsidRPr="00F66778">
        <w:lastRenderedPageBreak/>
        <w:t>1216</w:t>
      </w:r>
      <w:r w:rsidR="00212EEE">
        <w:t>.</w:t>
      </w:r>
      <w:r w:rsidR="0091760F" w:rsidRPr="00F66778">
        <w:t>)</w:t>
      </w:r>
      <w:r w:rsidR="00641806">
        <w:t xml:space="preserve">  </w:t>
      </w:r>
      <w:r w:rsidR="004F48DC">
        <w:t xml:space="preserve">More importantly, </w:t>
      </w:r>
      <w:r w:rsidR="00E14C78">
        <w:t>the</w:t>
      </w:r>
      <w:r w:rsidR="004F48DC">
        <w:t xml:space="preserve"> </w:t>
      </w:r>
      <w:r w:rsidR="00E14C78">
        <w:t xml:space="preserve">competing </w:t>
      </w:r>
      <w:r w:rsidR="004F48DC">
        <w:t>inference</w:t>
      </w:r>
      <w:r w:rsidR="00E14C78">
        <w:t xml:space="preserve">s as to the existence of the </w:t>
      </w:r>
      <w:r w:rsidR="004F48DC">
        <w:t>attorney</w:t>
      </w:r>
      <w:r w:rsidR="000A4115">
        <w:t>/</w:t>
      </w:r>
      <w:r w:rsidR="004F48DC">
        <w:t>client relationship</w:t>
      </w:r>
      <w:r w:rsidR="00641806">
        <w:t xml:space="preserve"> </w:t>
      </w:r>
      <w:r w:rsidR="00E14C78">
        <w:t xml:space="preserve">are </w:t>
      </w:r>
      <w:r w:rsidR="00786383">
        <w:t xml:space="preserve">outweighed </w:t>
      </w:r>
      <w:r w:rsidR="004F48DC">
        <w:t xml:space="preserve">by </w:t>
      </w:r>
      <w:r w:rsidR="00212EEE">
        <w:t xml:space="preserve">the </w:t>
      </w:r>
      <w:r w:rsidR="00786383">
        <w:t xml:space="preserve">presumption of validity we give to the </w:t>
      </w:r>
      <w:r w:rsidR="0091760F">
        <w:t>jury</w:t>
      </w:r>
      <w:r w:rsidR="00212EEE">
        <w:t>’s</w:t>
      </w:r>
      <w:r w:rsidR="0091760F">
        <w:t xml:space="preserve"> </w:t>
      </w:r>
      <w:r w:rsidR="005F24AD">
        <w:t xml:space="preserve">specific findings </w:t>
      </w:r>
      <w:r w:rsidR="00212EEE">
        <w:t xml:space="preserve">in the </w:t>
      </w:r>
      <w:r w:rsidR="00212EEE">
        <w:rPr>
          <w:i/>
        </w:rPr>
        <w:t>Allen v. Ratanasadudi</w:t>
      </w:r>
      <w:r w:rsidR="00212EEE">
        <w:t xml:space="preserve"> </w:t>
      </w:r>
      <w:r w:rsidR="0032594D">
        <w:t xml:space="preserve">lawsuit that </w:t>
      </w:r>
      <w:r w:rsidR="00463A15">
        <w:t>there was</w:t>
      </w:r>
      <w:r w:rsidR="0091760F">
        <w:t xml:space="preserve"> </w:t>
      </w:r>
      <w:r w:rsidR="00F0437C">
        <w:t xml:space="preserve">no attorney/client relationship between </w:t>
      </w:r>
      <w:r w:rsidR="0091760F">
        <w:t>Allen</w:t>
      </w:r>
      <w:r w:rsidR="00F0437C">
        <w:t xml:space="preserve"> and </w:t>
      </w:r>
      <w:r w:rsidR="00101989">
        <w:t>Supara</w:t>
      </w:r>
      <w:r w:rsidR="00B427BA">
        <w:t xml:space="preserve"> </w:t>
      </w:r>
      <w:r w:rsidR="0032594D">
        <w:t>during</w:t>
      </w:r>
      <w:r w:rsidR="00B427BA">
        <w:t xml:space="preserve"> the negotiation and sale of the duplex</w:t>
      </w:r>
      <w:r w:rsidR="00F0437C">
        <w:t xml:space="preserve"> and</w:t>
      </w:r>
      <w:r w:rsidR="00FF50C7">
        <w:t xml:space="preserve"> that</w:t>
      </w:r>
      <w:r w:rsidR="004F48DC">
        <w:t xml:space="preserve"> no </w:t>
      </w:r>
      <w:r w:rsidR="00F0437C">
        <w:t>legal services</w:t>
      </w:r>
      <w:r w:rsidR="004F48DC">
        <w:t xml:space="preserve"> were provided</w:t>
      </w:r>
      <w:r w:rsidR="00F0437C">
        <w:t xml:space="preserve"> to </w:t>
      </w:r>
      <w:r w:rsidR="00101989">
        <w:t>Supara</w:t>
      </w:r>
      <w:r w:rsidR="00F0437C">
        <w:t xml:space="preserve"> at that time.</w:t>
      </w:r>
      <w:r w:rsidR="009740E7">
        <w:t xml:space="preserve">  </w:t>
      </w:r>
    </w:p>
    <w:p w:rsidR="006502E7" w:rsidRDefault="009740E7" w:rsidP="007922BC">
      <w:r>
        <w:t xml:space="preserve">  </w:t>
      </w:r>
      <w:r>
        <w:tab/>
      </w:r>
      <w:r w:rsidR="00D21A98">
        <w:t xml:space="preserve">In the alternative, </w:t>
      </w:r>
      <w:r w:rsidR="001F0B9D">
        <w:t>the State Bar seeks to extend rule 3-300 to apply</w:t>
      </w:r>
      <w:r w:rsidR="00F0437C">
        <w:t xml:space="preserve"> to </w:t>
      </w:r>
      <w:r w:rsidR="00101989">
        <w:t>Supara</w:t>
      </w:r>
      <w:r w:rsidR="001F0B9D">
        <w:t xml:space="preserve"> as a </w:t>
      </w:r>
      <w:r w:rsidR="001F0B9D" w:rsidRPr="00F0437C">
        <w:rPr>
          <w:i/>
        </w:rPr>
        <w:t>former</w:t>
      </w:r>
      <w:r w:rsidR="00F0437C">
        <w:t xml:space="preserve"> client because </w:t>
      </w:r>
      <w:r w:rsidR="001F0B9D">
        <w:t>“the established long-standing personal friendship and multiple prior attorney/client re</w:t>
      </w:r>
      <w:r w:rsidR="00F0437C">
        <w:t>l</w:t>
      </w:r>
      <w:r w:rsidR="001F0B9D">
        <w:t>ations</w:t>
      </w:r>
      <w:r w:rsidR="00C970F4">
        <w:t xml:space="preserve"> </w:t>
      </w:r>
      <w:r w:rsidR="001F0B9D">
        <w:t>. . .</w:t>
      </w:r>
      <w:r w:rsidR="00F0437C">
        <w:t xml:space="preserve"> carried with it an ongoing aura of inherent influence associated with the prior history of representation in real property matters.”</w:t>
      </w:r>
      <w:r w:rsidR="00E17829">
        <w:t xml:space="preserve">  </w:t>
      </w:r>
      <w:r w:rsidR="006502E7">
        <w:t xml:space="preserve">Again, this is rebutted by the specific findings of the jury in </w:t>
      </w:r>
      <w:r w:rsidR="006502E7">
        <w:rPr>
          <w:i/>
        </w:rPr>
        <w:t>Allen v. Ratanasadudi</w:t>
      </w:r>
      <w:r w:rsidR="006502E7">
        <w:t xml:space="preserve"> </w:t>
      </w:r>
      <w:r w:rsidR="006502E7" w:rsidRPr="008017C8">
        <w:t xml:space="preserve">that Allen did not exercise undue influence over </w:t>
      </w:r>
      <w:r w:rsidR="006502E7">
        <w:t>Supara</w:t>
      </w:r>
      <w:r w:rsidR="006502E7" w:rsidRPr="008017C8">
        <w:t xml:space="preserve"> </w:t>
      </w:r>
      <w:r w:rsidR="006502E7">
        <w:t xml:space="preserve">regarding </w:t>
      </w:r>
      <w:r w:rsidR="006502E7" w:rsidRPr="008017C8">
        <w:t>the Purchase Agreement and that</w:t>
      </w:r>
      <w:r w:rsidR="006502E7">
        <w:t xml:space="preserve"> their prior attorney/client relationship did not give Allen any advantage over Supara.  </w:t>
      </w:r>
    </w:p>
    <w:p w:rsidR="002F0494" w:rsidRDefault="006502E7" w:rsidP="002136CA">
      <w:pPr>
        <w:ind w:firstLine="720"/>
      </w:pPr>
      <w:r>
        <w:t>Furthermore, w</w:t>
      </w:r>
      <w:r w:rsidR="009E7E19">
        <w:t>e do not find support for</w:t>
      </w:r>
      <w:r>
        <w:t xml:space="preserve"> the State Bar’s </w:t>
      </w:r>
      <w:r w:rsidR="009E7E19">
        <w:t>broad interpretation of r</w:t>
      </w:r>
      <w:r w:rsidR="00A462CB">
        <w:t>ule 3-300</w:t>
      </w:r>
      <w:r w:rsidR="00F56EDD">
        <w:t>,</w:t>
      </w:r>
      <w:r w:rsidR="009E7E19">
        <w:t xml:space="preserve"> either in </w:t>
      </w:r>
      <w:r w:rsidR="00AE18A9">
        <w:t>its</w:t>
      </w:r>
      <w:r w:rsidR="009E7E19">
        <w:t xml:space="preserve"> language or in the decisional law</w:t>
      </w:r>
      <w:r w:rsidR="00557D25">
        <w:t>.</w:t>
      </w:r>
      <w:r>
        <w:t xml:space="preserve">  </w:t>
      </w:r>
      <w:r w:rsidR="00557D25">
        <w:t xml:space="preserve">Rule 3-300 </w:t>
      </w:r>
      <w:r w:rsidR="00A462CB">
        <w:t xml:space="preserve">imposes </w:t>
      </w:r>
      <w:r w:rsidR="00557D25">
        <w:t>r</w:t>
      </w:r>
      <w:r w:rsidR="00A462CB">
        <w:t>estrictions on an attorney’s business transaction</w:t>
      </w:r>
      <w:r w:rsidR="00691DFD">
        <w:t>s with a “client.”</w:t>
      </w:r>
      <w:r w:rsidR="007E4A73">
        <w:t xml:space="preserve">  </w:t>
      </w:r>
      <w:r>
        <w:t>In limited circumstances, t</w:t>
      </w:r>
      <w:r w:rsidR="007922BC">
        <w:t>he courts</w:t>
      </w:r>
      <w:r w:rsidR="00A470B1">
        <w:t xml:space="preserve"> </w:t>
      </w:r>
      <w:r w:rsidR="00BB2954">
        <w:t xml:space="preserve">have </w:t>
      </w:r>
      <w:r w:rsidR="007922BC">
        <w:t>appli</w:t>
      </w:r>
      <w:r w:rsidR="00691DFD">
        <w:t>ed</w:t>
      </w:r>
      <w:r w:rsidR="007E4A73">
        <w:t xml:space="preserve"> </w:t>
      </w:r>
      <w:r w:rsidR="00691DFD">
        <w:t>rule</w:t>
      </w:r>
      <w:r w:rsidR="00A470B1">
        <w:t xml:space="preserve"> 3-300 </w:t>
      </w:r>
      <w:r w:rsidR="00691DFD">
        <w:t>and</w:t>
      </w:r>
      <w:r w:rsidR="007922BC">
        <w:t xml:space="preserve"> its predecessor</w:t>
      </w:r>
      <w:r w:rsidR="00691DFD">
        <w:t>,</w:t>
      </w:r>
      <w:r w:rsidR="007922BC" w:rsidRPr="007C29DA">
        <w:t xml:space="preserve"> </w:t>
      </w:r>
      <w:r w:rsidR="00786383">
        <w:t xml:space="preserve">former </w:t>
      </w:r>
      <w:r w:rsidR="007922BC">
        <w:t>rule 5-101</w:t>
      </w:r>
      <w:r w:rsidR="007E4A73">
        <w:t>,</w:t>
      </w:r>
      <w:r w:rsidR="007922BC">
        <w:t xml:space="preserve"> </w:t>
      </w:r>
      <w:r w:rsidR="009342AF">
        <w:t>“</w:t>
      </w:r>
      <w:r w:rsidR="00F56EDD">
        <w:t xml:space="preserve">to a transaction between </w:t>
      </w:r>
      <w:r w:rsidR="00CD7502">
        <w:t>an attorney</w:t>
      </w:r>
      <w:r>
        <w:t xml:space="preserve"> </w:t>
      </w:r>
      <w:r w:rsidR="00F56EDD">
        <w:t xml:space="preserve">and a former client </w:t>
      </w:r>
      <w:r w:rsidR="00F90662" w:rsidRPr="00F90662">
        <w:t>involving the fruits of the attorney’s representation</w:t>
      </w:r>
      <w:r w:rsidR="00F90662">
        <w:t xml:space="preserve">, if there is evidence that the client placed his trust in the attorney because of that representation . . . .” </w:t>
      </w:r>
      <w:r w:rsidR="00CD7502">
        <w:t>(</w:t>
      </w:r>
      <w:r w:rsidR="00CD7502">
        <w:rPr>
          <w:i/>
        </w:rPr>
        <w:t>Hunniecutt v. State Bar</w:t>
      </w:r>
      <w:r w:rsidR="00CD7502">
        <w:t xml:space="preserve"> (1988) 44 Cal.3d 362, 37</w:t>
      </w:r>
      <w:r w:rsidR="00C970F4">
        <w:t>2</w:t>
      </w:r>
      <w:r w:rsidR="00CD7502">
        <w:t xml:space="preserve">; accord, </w:t>
      </w:r>
      <w:r w:rsidR="00AF3BDF" w:rsidRPr="00707733">
        <w:rPr>
          <w:i/>
        </w:rPr>
        <w:t>Beery v. State Bar</w:t>
      </w:r>
      <w:r w:rsidR="00AF3BDF">
        <w:t xml:space="preserve"> (1987) 43 Cal.3d 802 [</w:t>
      </w:r>
      <w:r w:rsidR="004C37F5">
        <w:t xml:space="preserve">attorney solicited investment from former client in precarious venture </w:t>
      </w:r>
      <w:r w:rsidR="004C37F5" w:rsidRPr="00A07CAF">
        <w:rPr>
          <w:i/>
        </w:rPr>
        <w:t>before</w:t>
      </w:r>
      <w:r w:rsidR="004C37F5">
        <w:t xml:space="preserve"> final distribution of litigation proceeds]; </w:t>
      </w:r>
      <w:r w:rsidR="007922BC">
        <w:rPr>
          <w:i/>
        </w:rPr>
        <w:t xml:space="preserve">In the Matter of </w:t>
      </w:r>
      <w:r w:rsidR="007922BC" w:rsidRPr="00420D8C">
        <w:rPr>
          <w:i/>
        </w:rPr>
        <w:t>Johnson</w:t>
      </w:r>
      <w:r w:rsidR="007922BC">
        <w:t xml:space="preserve"> (Review Dept. 1995) 3 Cal. State Bar Ct. Rptr. 233, 243</w:t>
      </w:r>
      <w:r w:rsidR="00D60B71">
        <w:t xml:space="preserve"> [attorney culpable for solicitation of loan or investment “</w:t>
      </w:r>
      <w:r w:rsidR="00D60B71" w:rsidRPr="00CD7502">
        <w:t>on the heels</w:t>
      </w:r>
      <w:r w:rsidR="00D60B71">
        <w:t xml:space="preserve">” of client’s receipt of settlement].)  </w:t>
      </w:r>
      <w:r w:rsidR="002F0494" w:rsidRPr="002F0494">
        <w:t>The State Bar</w:t>
      </w:r>
      <w:r w:rsidR="00F90662">
        <w:t xml:space="preserve">’s reliance on </w:t>
      </w:r>
      <w:r w:rsidR="002F0494" w:rsidRPr="002F0494">
        <w:rPr>
          <w:i/>
        </w:rPr>
        <w:t>In the Matter of Peavey</w:t>
      </w:r>
      <w:r w:rsidR="002F0494" w:rsidRPr="002F0494">
        <w:t xml:space="preserve"> (Review Dept. 2002) </w:t>
      </w:r>
      <w:r w:rsidR="00F02FF5">
        <w:t>4 Cal. State Bar Ct. Rptr. 483</w:t>
      </w:r>
      <w:r w:rsidR="00F90662">
        <w:t xml:space="preserve"> in support of </w:t>
      </w:r>
      <w:r w:rsidR="002F0494" w:rsidRPr="002F0494">
        <w:t xml:space="preserve">its </w:t>
      </w:r>
      <w:r w:rsidR="00F90662">
        <w:t xml:space="preserve">extension of </w:t>
      </w:r>
      <w:r w:rsidR="002F0494" w:rsidRPr="002F0494">
        <w:t>rule 3-300</w:t>
      </w:r>
      <w:r w:rsidR="00F90662">
        <w:t xml:space="preserve"> to </w:t>
      </w:r>
      <w:r w:rsidR="002F0494" w:rsidRPr="002F0494">
        <w:t>former clients</w:t>
      </w:r>
      <w:r w:rsidR="00F90662">
        <w:t xml:space="preserve"> </w:t>
      </w:r>
      <w:r w:rsidR="00CC7718">
        <w:t xml:space="preserve">is </w:t>
      </w:r>
      <w:r w:rsidR="005F24AD">
        <w:t>misplaced</w:t>
      </w:r>
      <w:r w:rsidR="00CC7718">
        <w:t xml:space="preserve"> </w:t>
      </w:r>
      <w:r w:rsidR="00F90662">
        <w:lastRenderedPageBreak/>
        <w:t xml:space="preserve">because </w:t>
      </w:r>
      <w:r w:rsidR="00F56EDD">
        <w:t xml:space="preserve">in </w:t>
      </w:r>
      <w:r w:rsidR="00CC7718" w:rsidRPr="002F0494">
        <w:rPr>
          <w:i/>
        </w:rPr>
        <w:t>Peavey</w:t>
      </w:r>
      <w:r w:rsidR="00CC7718" w:rsidRPr="002F0494">
        <w:t xml:space="preserve"> </w:t>
      </w:r>
      <w:r w:rsidR="002F0494" w:rsidRPr="002F0494">
        <w:t xml:space="preserve">the attorney entered into a business transaction with </w:t>
      </w:r>
      <w:r w:rsidR="00F56EDD">
        <w:t>his</w:t>
      </w:r>
      <w:r w:rsidR="002F0494" w:rsidRPr="002F0494">
        <w:t xml:space="preserve"> client while he was still representing the clients</w:t>
      </w:r>
      <w:r w:rsidR="00F56EDD">
        <w:t>’</w:t>
      </w:r>
      <w:r w:rsidR="002F0494" w:rsidRPr="002F0494">
        <w:t xml:space="preserve"> interests in litigation (</w:t>
      </w:r>
      <w:r w:rsidR="00951445">
        <w:rPr>
          <w:i/>
        </w:rPr>
        <w:t>i</w:t>
      </w:r>
      <w:r w:rsidR="002F0494" w:rsidRPr="002F0494">
        <w:rPr>
          <w:i/>
        </w:rPr>
        <w:t>d</w:t>
      </w:r>
      <w:r w:rsidR="002F0494" w:rsidRPr="002F0494">
        <w:t xml:space="preserve">. at </w:t>
      </w:r>
      <w:r w:rsidR="00951445">
        <w:t xml:space="preserve">p. </w:t>
      </w:r>
      <w:r w:rsidR="002F0494" w:rsidRPr="002F0494">
        <w:t xml:space="preserve">486), and in </w:t>
      </w:r>
      <w:r w:rsidR="00CC7718">
        <w:t xml:space="preserve">a second </w:t>
      </w:r>
      <w:r w:rsidR="002F0494" w:rsidRPr="002F0494">
        <w:t xml:space="preserve">instance, </w:t>
      </w:r>
      <w:r w:rsidR="00F56EDD">
        <w:t xml:space="preserve">the attorney </w:t>
      </w:r>
      <w:r w:rsidR="002F0494" w:rsidRPr="002F0494">
        <w:t>entered into a business transaction while the clients were still seeking his assistance and advice in an ongoing relationship.  (</w:t>
      </w:r>
      <w:r w:rsidR="002F0494" w:rsidRPr="002F0494">
        <w:rPr>
          <w:i/>
        </w:rPr>
        <w:t>Id</w:t>
      </w:r>
      <w:r w:rsidR="002F0494" w:rsidRPr="002F0494">
        <w:t>. at p.</w:t>
      </w:r>
      <w:r w:rsidR="00CD28AC">
        <w:t xml:space="preserve"> </w:t>
      </w:r>
      <w:r w:rsidR="002F0494" w:rsidRPr="002F0494">
        <w:t>489</w:t>
      </w:r>
      <w:r w:rsidR="002F0494">
        <w:t>.)</w:t>
      </w:r>
    </w:p>
    <w:p w:rsidR="005B0CF7" w:rsidRDefault="002136CA" w:rsidP="00143E80">
      <w:pPr>
        <w:ind w:firstLine="720"/>
      </w:pPr>
      <w:r>
        <w:t>T</w:t>
      </w:r>
      <w:r w:rsidR="00D60B71">
        <w:t xml:space="preserve">he </w:t>
      </w:r>
      <w:r w:rsidR="00E34D35">
        <w:t xml:space="preserve">Supreme Court has not been </w:t>
      </w:r>
      <w:r w:rsidR="00D60B71">
        <w:t>inclined to “dramatically extend the definition of an ‘attorney-client relationship’ beyond its common understanding</w:t>
      </w:r>
      <w:r w:rsidR="00E34D35">
        <w:t>. . . .</w:t>
      </w:r>
      <w:r w:rsidR="00D60B71">
        <w:t>” (</w:t>
      </w:r>
      <w:r w:rsidR="00951445">
        <w:rPr>
          <w:i/>
        </w:rPr>
        <w:t xml:space="preserve">Hunniecutt v. State Bar, supra, </w:t>
      </w:r>
      <w:r w:rsidR="00951445">
        <w:t xml:space="preserve">44 Cal.3d at </w:t>
      </w:r>
      <w:r w:rsidR="00D60B71">
        <w:t>p. 372</w:t>
      </w:r>
      <w:r w:rsidR="00E34D35">
        <w:t>.</w:t>
      </w:r>
      <w:r w:rsidR="00D60B71">
        <w:t>)</w:t>
      </w:r>
      <w:r w:rsidR="00E34D35">
        <w:t xml:space="preserve">  </w:t>
      </w:r>
      <w:r w:rsidR="00BB2954">
        <w:t xml:space="preserve">We, too, </w:t>
      </w:r>
      <w:r w:rsidR="00A33D31">
        <w:t>decline</w:t>
      </w:r>
      <w:r w:rsidR="00BB2954">
        <w:t xml:space="preserve"> to expand the meaning of attorney/client relationship </w:t>
      </w:r>
      <w:r w:rsidR="00C34656">
        <w:t xml:space="preserve">to include Allen’s prior representation of </w:t>
      </w:r>
      <w:r w:rsidR="00101989">
        <w:t>Supara</w:t>
      </w:r>
      <w:r w:rsidR="00714296">
        <w:t xml:space="preserve">.  </w:t>
      </w:r>
    </w:p>
    <w:p w:rsidR="0016450C" w:rsidRPr="0016450C" w:rsidRDefault="0016450C" w:rsidP="00A33D31">
      <w:pPr>
        <w:ind w:firstLine="720"/>
        <w:rPr>
          <w:b/>
        </w:rPr>
      </w:pPr>
      <w:r>
        <w:tab/>
      </w:r>
      <w:r>
        <w:tab/>
      </w:r>
      <w:r>
        <w:tab/>
        <w:t xml:space="preserve">      </w:t>
      </w:r>
      <w:r w:rsidR="00A362F1">
        <w:t xml:space="preserve">     </w:t>
      </w:r>
      <w:r w:rsidRPr="0016450C">
        <w:rPr>
          <w:b/>
        </w:rPr>
        <w:t>V</w:t>
      </w:r>
      <w:r w:rsidR="00A362F1">
        <w:rPr>
          <w:b/>
        </w:rPr>
        <w:t>.</w:t>
      </w:r>
      <w:r w:rsidRPr="0016450C">
        <w:rPr>
          <w:b/>
        </w:rPr>
        <w:t xml:space="preserve">  CONCLUSION</w:t>
      </w:r>
    </w:p>
    <w:p w:rsidR="007922BC" w:rsidRDefault="00460FA5" w:rsidP="00A33D31">
      <w:pPr>
        <w:ind w:firstLine="720"/>
      </w:pPr>
      <w:r>
        <w:t xml:space="preserve">Whether an </w:t>
      </w:r>
      <w:r w:rsidR="00817FF2">
        <w:t>attorney/</w:t>
      </w:r>
      <w:r>
        <w:t xml:space="preserve">client relationship exists is a question of law, although we </w:t>
      </w:r>
      <w:r w:rsidR="00D2775D">
        <w:t xml:space="preserve">have </w:t>
      </w:r>
      <w:r>
        <w:t>consider</w:t>
      </w:r>
      <w:r w:rsidR="00D2775D">
        <w:t>ed</w:t>
      </w:r>
      <w:r>
        <w:t xml:space="preserve"> the evidence adduced in the hearing below in arriving at our legal conclusion.  (</w:t>
      </w:r>
      <w:r w:rsidRPr="00EE11DD">
        <w:rPr>
          <w:i/>
        </w:rPr>
        <w:t>Meehan v. Hopps</w:t>
      </w:r>
      <w:r>
        <w:t xml:space="preserve"> (1956) 144 Cal.App.2d 284, 287.)  </w:t>
      </w:r>
      <w:r w:rsidR="00D2775D">
        <w:t>In so doing</w:t>
      </w:r>
      <w:r w:rsidR="007922BC" w:rsidRPr="0027231E">
        <w:t xml:space="preserve">, </w:t>
      </w:r>
      <w:r w:rsidR="00A0635C">
        <w:t xml:space="preserve">we </w:t>
      </w:r>
      <w:r w:rsidR="00D2775D">
        <w:t xml:space="preserve">conclude </w:t>
      </w:r>
      <w:r w:rsidR="007922BC">
        <w:t>that the</w:t>
      </w:r>
      <w:r w:rsidR="00A0635C">
        <w:t xml:space="preserve"> State Bar did not </w:t>
      </w:r>
      <w:r w:rsidR="00F4660E">
        <w:t>establish</w:t>
      </w:r>
      <w:r w:rsidR="007922BC">
        <w:t xml:space="preserve"> by clear and convincing evidence that</w:t>
      </w:r>
      <w:r w:rsidR="00A33D31">
        <w:t xml:space="preserve"> Allen and Supara had</w:t>
      </w:r>
      <w:r w:rsidR="007922BC">
        <w:t xml:space="preserve"> </w:t>
      </w:r>
      <w:r w:rsidR="00143E80">
        <w:t xml:space="preserve">an attorney/client relationship at the time of the purchase of the duplex, </w:t>
      </w:r>
      <w:r w:rsidR="005F24AD">
        <w:t xml:space="preserve">which is an essential element of a rule 3-300 violation.  Accordingly, </w:t>
      </w:r>
      <w:r w:rsidR="004D622C">
        <w:t xml:space="preserve">we affirm the order dismissing </w:t>
      </w:r>
      <w:r w:rsidR="00DB7C8A">
        <w:t xml:space="preserve">the NDC </w:t>
      </w:r>
      <w:r w:rsidR="004D622C">
        <w:t>with prejudice</w:t>
      </w:r>
      <w:r w:rsidR="00DB7C8A">
        <w:t>.</w:t>
      </w:r>
      <w:r w:rsidR="007922BC">
        <w:t xml:space="preserve">  Because </w:t>
      </w:r>
      <w:r w:rsidR="00A04745">
        <w:t>Marie Darlene Allen</w:t>
      </w:r>
      <w:r w:rsidR="007922BC">
        <w:t xml:space="preserve"> has been </w:t>
      </w:r>
      <w:r w:rsidR="00A04745">
        <w:t>exonerated</w:t>
      </w:r>
      <w:r w:rsidR="007922BC">
        <w:t xml:space="preserve"> of all charges following a judicial determination on the merits, she may, upon the finality of this </w:t>
      </w:r>
      <w:r w:rsidR="004D622C">
        <w:t>opinion</w:t>
      </w:r>
      <w:r w:rsidR="007922BC">
        <w:t>, file a motion seeking reimbursement for costs as authorized by Business and Professions Code section 6086.10, subdivision (d).  (Rules Proc. of State Bar, rule 283.)</w:t>
      </w:r>
    </w:p>
    <w:p w:rsidR="00A33D31" w:rsidRDefault="00A33D31" w:rsidP="007922BC"/>
    <w:p w:rsidR="007922BC" w:rsidRDefault="007922BC" w:rsidP="007922BC">
      <w:r w:rsidRPr="007768C9">
        <w:tab/>
      </w:r>
      <w:r w:rsidRPr="007768C9">
        <w:tab/>
      </w:r>
      <w:r w:rsidRPr="007768C9">
        <w:tab/>
      </w:r>
      <w:r w:rsidRPr="007768C9">
        <w:tab/>
      </w:r>
      <w:r w:rsidRPr="007768C9">
        <w:tab/>
      </w:r>
      <w:r w:rsidRPr="007768C9">
        <w:tab/>
      </w:r>
      <w:r w:rsidRPr="007768C9">
        <w:tab/>
      </w:r>
      <w:bookmarkStart w:id="4" w:name="judge"/>
      <w:bookmarkEnd w:id="4"/>
      <w:r>
        <w:t>EPSTEIN, J.</w:t>
      </w:r>
    </w:p>
    <w:p w:rsidR="007922BC" w:rsidRDefault="007922BC" w:rsidP="00755A71">
      <w:r>
        <w:t>We concur:</w:t>
      </w:r>
    </w:p>
    <w:p w:rsidR="00755A71" w:rsidRDefault="00755A71" w:rsidP="00755A71">
      <w:r>
        <w:t>REMKE, P. J.</w:t>
      </w:r>
    </w:p>
    <w:p w:rsidR="00755A71" w:rsidRDefault="00755A71" w:rsidP="00755A71">
      <w:r>
        <w:t>PURCELL, J.</w:t>
      </w:r>
    </w:p>
    <w:p w:rsidR="00F5670A" w:rsidRDefault="00F5670A" w:rsidP="00F5670A">
      <w:pPr>
        <w:spacing w:line="240" w:lineRule="auto"/>
      </w:pPr>
    </w:p>
    <w:p w:rsidR="00F5670A" w:rsidRDefault="00F5670A" w:rsidP="00F5670A">
      <w:pPr>
        <w:spacing w:line="240" w:lineRule="auto"/>
      </w:pPr>
    </w:p>
    <w:p w:rsidR="00F5670A" w:rsidRPr="00384D9C" w:rsidRDefault="00F5670A" w:rsidP="00F5670A">
      <w:pPr>
        <w:spacing w:line="240" w:lineRule="auto"/>
        <w:rPr>
          <w:sz w:val="28"/>
          <w:szCs w:val="28"/>
        </w:rPr>
      </w:pPr>
    </w:p>
    <w:p w:rsidR="00F5670A" w:rsidRPr="00384D9C" w:rsidRDefault="00F5670A" w:rsidP="00F5670A">
      <w:pPr>
        <w:spacing w:line="240" w:lineRule="auto"/>
        <w:jc w:val="center"/>
        <w:rPr>
          <w:b/>
          <w:sz w:val="28"/>
          <w:szCs w:val="28"/>
        </w:rPr>
      </w:pPr>
      <w:r w:rsidRPr="00384D9C">
        <w:rPr>
          <w:b/>
          <w:sz w:val="28"/>
          <w:szCs w:val="28"/>
        </w:rPr>
        <w:t>Case No. 0</w:t>
      </w:r>
      <w:r>
        <w:rPr>
          <w:b/>
          <w:sz w:val="28"/>
          <w:szCs w:val="28"/>
        </w:rPr>
        <w:t>6</w:t>
      </w:r>
      <w:r w:rsidRPr="00384D9C">
        <w:rPr>
          <w:b/>
          <w:sz w:val="28"/>
          <w:szCs w:val="28"/>
        </w:rPr>
        <w:t>-O-</w:t>
      </w:r>
      <w:r>
        <w:rPr>
          <w:b/>
          <w:sz w:val="28"/>
          <w:szCs w:val="28"/>
        </w:rPr>
        <w:t>13329</w:t>
      </w:r>
    </w:p>
    <w:p w:rsidR="00F5670A" w:rsidRDefault="00F5670A" w:rsidP="00F5670A">
      <w:pPr>
        <w:spacing w:line="240" w:lineRule="auto"/>
        <w:jc w:val="center"/>
      </w:pPr>
    </w:p>
    <w:p w:rsidR="00F5670A" w:rsidRDefault="00F5670A" w:rsidP="00F5670A">
      <w:pPr>
        <w:spacing w:line="240" w:lineRule="auto"/>
        <w:jc w:val="center"/>
      </w:pPr>
    </w:p>
    <w:p w:rsidR="00F5670A" w:rsidRDefault="00F5670A" w:rsidP="00F5670A">
      <w:pPr>
        <w:spacing w:line="240" w:lineRule="auto"/>
        <w:jc w:val="center"/>
      </w:pPr>
    </w:p>
    <w:p w:rsidR="00F5670A" w:rsidRPr="00384D9C" w:rsidRDefault="00F5670A" w:rsidP="00F5670A">
      <w:pPr>
        <w:spacing w:line="240" w:lineRule="auto"/>
        <w:jc w:val="center"/>
        <w:rPr>
          <w:b/>
          <w:sz w:val="28"/>
          <w:szCs w:val="28"/>
        </w:rPr>
      </w:pPr>
      <w:r w:rsidRPr="00384D9C">
        <w:rPr>
          <w:b/>
          <w:i/>
          <w:sz w:val="28"/>
          <w:szCs w:val="28"/>
        </w:rPr>
        <w:t xml:space="preserve">In the Matter of </w:t>
      </w:r>
      <w:r>
        <w:rPr>
          <w:b/>
          <w:i/>
          <w:sz w:val="28"/>
          <w:szCs w:val="28"/>
        </w:rPr>
        <w:t>Marie D. Allen</w:t>
      </w:r>
    </w:p>
    <w:p w:rsidR="00F5670A" w:rsidRDefault="00F5670A" w:rsidP="00F5670A">
      <w:pPr>
        <w:spacing w:line="240" w:lineRule="auto"/>
        <w:jc w:val="center"/>
      </w:pPr>
    </w:p>
    <w:p w:rsidR="00F5670A" w:rsidRDefault="00F5670A" w:rsidP="00F5670A">
      <w:pPr>
        <w:spacing w:line="240" w:lineRule="auto"/>
        <w:jc w:val="center"/>
      </w:pPr>
    </w:p>
    <w:p w:rsidR="00F5670A" w:rsidRDefault="00F5670A" w:rsidP="00F5670A">
      <w:pPr>
        <w:spacing w:line="240" w:lineRule="auto"/>
        <w:jc w:val="center"/>
      </w:pPr>
    </w:p>
    <w:p w:rsidR="00F5670A" w:rsidRPr="00BD7F7B" w:rsidRDefault="00F5670A" w:rsidP="00F5670A">
      <w:pPr>
        <w:spacing w:line="240" w:lineRule="auto"/>
        <w:jc w:val="center"/>
        <w:rPr>
          <w:b/>
          <w:color w:val="000000" w:themeColor="text1"/>
        </w:rPr>
      </w:pPr>
      <w:r w:rsidRPr="00BD7F7B">
        <w:rPr>
          <w:b/>
          <w:color w:val="000000" w:themeColor="text1"/>
          <w:u w:val="single"/>
        </w:rPr>
        <w:t>Hearing Judge</w:t>
      </w:r>
    </w:p>
    <w:p w:rsidR="00F5670A" w:rsidRDefault="00F5670A" w:rsidP="00F5670A">
      <w:pPr>
        <w:spacing w:line="240" w:lineRule="auto"/>
        <w:jc w:val="center"/>
        <w:rPr>
          <w:color w:val="000000" w:themeColor="text1"/>
        </w:rPr>
      </w:pPr>
    </w:p>
    <w:p w:rsidR="00F5670A" w:rsidRDefault="00F5670A" w:rsidP="00F5670A">
      <w:pPr>
        <w:spacing w:line="240" w:lineRule="auto"/>
        <w:jc w:val="center"/>
        <w:rPr>
          <w:color w:val="000000" w:themeColor="text1"/>
        </w:rPr>
      </w:pPr>
    </w:p>
    <w:p w:rsidR="00F5670A" w:rsidRDefault="00F5670A" w:rsidP="00F5670A">
      <w:pPr>
        <w:spacing w:line="240" w:lineRule="auto"/>
        <w:jc w:val="center"/>
        <w:rPr>
          <w:color w:val="000000" w:themeColor="text1"/>
        </w:rPr>
      </w:pPr>
      <w:r>
        <w:rPr>
          <w:color w:val="000000" w:themeColor="text1"/>
        </w:rPr>
        <w:t>Hon. Richard A. Honn</w:t>
      </w:r>
    </w:p>
    <w:p w:rsidR="00F5670A" w:rsidRDefault="00F5670A" w:rsidP="00F5670A">
      <w:pPr>
        <w:spacing w:line="240" w:lineRule="auto"/>
        <w:jc w:val="center"/>
        <w:rPr>
          <w:color w:val="000000" w:themeColor="text1"/>
        </w:rPr>
      </w:pPr>
    </w:p>
    <w:p w:rsidR="00F5670A" w:rsidRDefault="00F5670A" w:rsidP="00F5670A">
      <w:pPr>
        <w:spacing w:line="240" w:lineRule="auto"/>
        <w:jc w:val="center"/>
        <w:rPr>
          <w:color w:val="000000" w:themeColor="text1"/>
        </w:rPr>
      </w:pPr>
    </w:p>
    <w:p w:rsidR="00F5670A" w:rsidRDefault="00F5670A" w:rsidP="00F5670A">
      <w:pPr>
        <w:spacing w:line="240" w:lineRule="auto"/>
        <w:jc w:val="center"/>
        <w:rPr>
          <w:color w:val="000000" w:themeColor="text1"/>
        </w:rPr>
      </w:pPr>
    </w:p>
    <w:p w:rsidR="00F5670A" w:rsidRDefault="00F5670A" w:rsidP="00F5670A">
      <w:pPr>
        <w:spacing w:line="240" w:lineRule="auto"/>
        <w:jc w:val="center"/>
        <w:rPr>
          <w:color w:val="000000" w:themeColor="text1"/>
        </w:rPr>
      </w:pPr>
    </w:p>
    <w:p w:rsidR="00F5670A" w:rsidRDefault="00F5670A" w:rsidP="00F5670A">
      <w:pPr>
        <w:spacing w:line="240" w:lineRule="auto"/>
        <w:jc w:val="center"/>
        <w:rPr>
          <w:color w:val="000000" w:themeColor="text1"/>
        </w:rPr>
      </w:pPr>
    </w:p>
    <w:p w:rsidR="00F5670A" w:rsidRDefault="00F5670A" w:rsidP="00F5670A">
      <w:pPr>
        <w:spacing w:line="240" w:lineRule="auto"/>
        <w:jc w:val="center"/>
        <w:rPr>
          <w:color w:val="000000" w:themeColor="text1"/>
        </w:rPr>
      </w:pPr>
    </w:p>
    <w:p w:rsidR="00F5670A" w:rsidRDefault="00F5670A" w:rsidP="00F5670A">
      <w:pPr>
        <w:spacing w:line="240" w:lineRule="auto"/>
        <w:jc w:val="center"/>
        <w:rPr>
          <w:color w:val="000000" w:themeColor="text1"/>
        </w:rPr>
      </w:pPr>
    </w:p>
    <w:p w:rsidR="00F5670A" w:rsidRDefault="00F5670A" w:rsidP="00F5670A">
      <w:pPr>
        <w:spacing w:line="240" w:lineRule="auto"/>
        <w:jc w:val="center"/>
        <w:rPr>
          <w:color w:val="000000" w:themeColor="text1"/>
        </w:rPr>
      </w:pPr>
    </w:p>
    <w:p w:rsidR="00F5670A" w:rsidRDefault="00F5670A" w:rsidP="00F5670A">
      <w:pPr>
        <w:spacing w:line="240" w:lineRule="auto"/>
        <w:jc w:val="center"/>
        <w:rPr>
          <w:b/>
          <w:color w:val="000000" w:themeColor="text1"/>
          <w:u w:val="single"/>
        </w:rPr>
      </w:pPr>
      <w:r>
        <w:rPr>
          <w:b/>
          <w:color w:val="000000" w:themeColor="text1"/>
          <w:u w:val="single"/>
        </w:rPr>
        <w:t>Counsel for the Parties</w:t>
      </w:r>
    </w:p>
    <w:p w:rsidR="00F5670A" w:rsidRDefault="00F5670A" w:rsidP="00F5670A">
      <w:pPr>
        <w:spacing w:line="240" w:lineRule="auto"/>
        <w:jc w:val="center"/>
        <w:rPr>
          <w:b/>
          <w:color w:val="000000" w:themeColor="text1"/>
          <w:u w:val="single"/>
        </w:rPr>
      </w:pPr>
    </w:p>
    <w:p w:rsidR="00F5670A" w:rsidRDefault="00F5670A" w:rsidP="00F5670A">
      <w:pPr>
        <w:spacing w:line="240" w:lineRule="auto"/>
        <w:jc w:val="center"/>
        <w:rPr>
          <w:b/>
          <w:color w:val="000000" w:themeColor="text1"/>
          <w:u w:val="single"/>
        </w:rPr>
      </w:pPr>
    </w:p>
    <w:p w:rsidR="00F5670A" w:rsidRDefault="00F5670A" w:rsidP="00F5670A">
      <w:pPr>
        <w:spacing w:line="240" w:lineRule="auto"/>
        <w:jc w:val="both"/>
        <w:rPr>
          <w:color w:val="000000" w:themeColor="text1"/>
        </w:rPr>
      </w:pPr>
      <w:r>
        <w:rPr>
          <w:b/>
          <w:color w:val="000000" w:themeColor="text1"/>
        </w:rPr>
        <w:tab/>
      </w:r>
      <w:r>
        <w:rPr>
          <w:color w:val="000000" w:themeColor="text1"/>
        </w:rPr>
        <w:t>For State Bar of California:</w:t>
      </w:r>
      <w:r>
        <w:rPr>
          <w:color w:val="000000" w:themeColor="text1"/>
        </w:rPr>
        <w:tab/>
      </w:r>
      <w:r>
        <w:rPr>
          <w:color w:val="000000" w:themeColor="text1"/>
        </w:rPr>
        <w:tab/>
      </w:r>
      <w:r>
        <w:rPr>
          <w:color w:val="000000" w:themeColor="text1"/>
        </w:rPr>
        <w:tab/>
      </w:r>
      <w:r>
        <w:rPr>
          <w:color w:val="000000" w:themeColor="text1"/>
        </w:rPr>
        <w:tab/>
        <w:t>Hugh G. Radigan, Counsel</w:t>
      </w:r>
    </w:p>
    <w:p w:rsidR="00F5670A" w:rsidRDefault="00F5670A" w:rsidP="00F5670A">
      <w:pPr>
        <w:spacing w:line="240" w:lineRule="auto"/>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Djinna M. Gochis, Co-Counsel</w:t>
      </w:r>
    </w:p>
    <w:p w:rsidR="00F5670A" w:rsidRDefault="00F5670A" w:rsidP="00F5670A">
      <w:pPr>
        <w:spacing w:line="240" w:lineRule="auto"/>
        <w:jc w:val="both"/>
        <w:rPr>
          <w:color w:val="000000" w:themeColor="text1"/>
        </w:rPr>
      </w:pP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t>Office of the Chief Trial Counsel</w:t>
      </w:r>
    </w:p>
    <w:p w:rsidR="00F5670A" w:rsidRPr="00F076F7" w:rsidRDefault="00F5670A" w:rsidP="00F5670A">
      <w:pPr>
        <w:spacing w:line="240" w:lineRule="auto"/>
        <w:jc w:val="both"/>
        <w:rPr>
          <w:rFonts w:ascii="Calibri" w:hAnsi="Calibri"/>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The State Bar of California</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rFonts w:ascii="Calibri" w:hAnsi="Calibri"/>
        </w:rPr>
        <w:t>1149 So</w:t>
      </w:r>
      <w:r w:rsidRPr="00F076F7">
        <w:rPr>
          <w:rFonts w:ascii="Calibri" w:hAnsi="Calibri"/>
        </w:rPr>
        <w:t>. H</w:t>
      </w:r>
      <w:r>
        <w:rPr>
          <w:rFonts w:ascii="Calibri" w:hAnsi="Calibri"/>
        </w:rPr>
        <w:t xml:space="preserve">ill </w:t>
      </w:r>
      <w:r w:rsidRPr="00F076F7">
        <w:rPr>
          <w:rFonts w:ascii="Calibri" w:hAnsi="Calibri"/>
        </w:rPr>
        <w:t>S</w:t>
      </w:r>
      <w:r>
        <w:rPr>
          <w:rFonts w:ascii="Calibri" w:hAnsi="Calibri"/>
        </w:rPr>
        <w:t>treet</w:t>
      </w:r>
    </w:p>
    <w:p w:rsidR="00F5670A" w:rsidRDefault="00F5670A" w:rsidP="00F5670A">
      <w:pPr>
        <w:spacing w:line="240" w:lineRule="auto"/>
        <w:jc w:val="both"/>
        <w:rPr>
          <w:color w:val="000000" w:themeColor="text1"/>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F076F7">
        <w:rPr>
          <w:rFonts w:ascii="Calibri" w:hAnsi="Calibri"/>
        </w:rPr>
        <w:t>L</w:t>
      </w:r>
      <w:r>
        <w:rPr>
          <w:rFonts w:ascii="Calibri" w:hAnsi="Calibri"/>
        </w:rPr>
        <w:t>os</w:t>
      </w:r>
      <w:r w:rsidRPr="00F076F7">
        <w:rPr>
          <w:rFonts w:ascii="Calibri" w:hAnsi="Calibri"/>
        </w:rPr>
        <w:t xml:space="preserve"> A</w:t>
      </w:r>
      <w:r>
        <w:rPr>
          <w:rFonts w:ascii="Calibri" w:hAnsi="Calibri"/>
        </w:rPr>
        <w:t>ngeles</w:t>
      </w:r>
      <w:r w:rsidRPr="00F076F7">
        <w:rPr>
          <w:rFonts w:ascii="Calibri" w:hAnsi="Calibri"/>
        </w:rPr>
        <w:t>, CA. 90015</w:t>
      </w:r>
      <w:r>
        <w:rPr>
          <w:color w:val="000000" w:themeColor="text1"/>
        </w:rPr>
        <w:t xml:space="preserve"> </w:t>
      </w:r>
    </w:p>
    <w:p w:rsidR="00F5670A" w:rsidRDefault="00F5670A" w:rsidP="00F5670A">
      <w:pPr>
        <w:spacing w:line="240" w:lineRule="auto"/>
        <w:jc w:val="both"/>
        <w:rPr>
          <w:color w:val="000000" w:themeColor="text1"/>
        </w:rPr>
      </w:pPr>
    </w:p>
    <w:p w:rsidR="00F5670A" w:rsidRDefault="00F5670A" w:rsidP="00F5670A">
      <w:pPr>
        <w:spacing w:line="240" w:lineRule="auto"/>
        <w:jc w:val="both"/>
        <w:rPr>
          <w:color w:val="000000" w:themeColor="text1"/>
        </w:rPr>
      </w:pPr>
    </w:p>
    <w:p w:rsidR="00F5670A" w:rsidRDefault="00F5670A" w:rsidP="00F5670A">
      <w:pPr>
        <w:spacing w:line="240" w:lineRule="auto"/>
        <w:jc w:val="both"/>
        <w:rPr>
          <w:color w:val="000000" w:themeColor="text1"/>
        </w:rPr>
      </w:pPr>
    </w:p>
    <w:p w:rsidR="00F5670A" w:rsidRPr="00646F5C" w:rsidRDefault="00F5670A" w:rsidP="00F5670A">
      <w:pPr>
        <w:spacing w:line="240" w:lineRule="auto"/>
        <w:rPr>
          <w:rFonts w:ascii="Cambria Math" w:hAnsi="Cambria Math" w:cs="Cambria Math"/>
          <w:noProof/>
        </w:rPr>
      </w:pPr>
      <w:r>
        <w:rPr>
          <w:color w:val="000000" w:themeColor="text1"/>
        </w:rPr>
        <w:tab/>
        <w:t>For Respondent: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bookmarkStart w:id="5" w:name="Table1"/>
      <w:r w:rsidRPr="00646F5C">
        <w:rPr>
          <w:rFonts w:ascii="Cambria Math" w:hAnsi="Cambria Math" w:cs="Cambria Math"/>
          <w:noProof/>
        </w:rPr>
        <w:t>M</w:t>
      </w:r>
      <w:r>
        <w:rPr>
          <w:rFonts w:ascii="Cambria Math" w:hAnsi="Cambria Math" w:cs="Cambria Math"/>
          <w:noProof/>
        </w:rPr>
        <w:t>arie</w:t>
      </w:r>
      <w:r w:rsidRPr="00646F5C">
        <w:rPr>
          <w:rFonts w:ascii="Cambria Math" w:hAnsi="Cambria Math" w:cs="Cambria Math"/>
          <w:noProof/>
        </w:rPr>
        <w:t xml:space="preserve"> D. A</w:t>
      </w:r>
      <w:r>
        <w:rPr>
          <w:rFonts w:ascii="Cambria Math" w:hAnsi="Cambria Math" w:cs="Cambria Math"/>
          <w:noProof/>
        </w:rPr>
        <w:t>llen</w:t>
      </w:r>
    </w:p>
    <w:p w:rsidR="00F5670A" w:rsidRPr="00646F5C" w:rsidRDefault="00F5670A" w:rsidP="00F5670A">
      <w:pPr>
        <w:spacing w:line="240" w:lineRule="auto"/>
        <w:rPr>
          <w:rFonts w:ascii="Cambria Math" w:hAnsi="Cambria Math" w:cs="Cambria Math"/>
          <w:noProof/>
        </w:rPr>
      </w:pPr>
      <w:r>
        <w:rPr>
          <w:rFonts w:ascii="Cambria Math" w:hAnsi="Cambria Math" w:cs="Cambria Math"/>
          <w:noProof/>
        </w:rPr>
        <w:tab/>
      </w:r>
      <w:r>
        <w:rPr>
          <w:rFonts w:ascii="Cambria Math" w:hAnsi="Cambria Math" w:cs="Cambria Math"/>
          <w:noProof/>
        </w:rPr>
        <w:tab/>
      </w:r>
      <w:r>
        <w:rPr>
          <w:rFonts w:ascii="Cambria Math" w:hAnsi="Cambria Math" w:cs="Cambria Math"/>
          <w:noProof/>
        </w:rPr>
        <w:tab/>
      </w:r>
      <w:r>
        <w:rPr>
          <w:rFonts w:ascii="Cambria Math" w:hAnsi="Cambria Math" w:cs="Cambria Math"/>
          <w:noProof/>
        </w:rPr>
        <w:tab/>
      </w:r>
      <w:r>
        <w:rPr>
          <w:rFonts w:ascii="Cambria Math" w:hAnsi="Cambria Math" w:cs="Cambria Math"/>
          <w:noProof/>
        </w:rPr>
        <w:tab/>
      </w:r>
      <w:r>
        <w:rPr>
          <w:rFonts w:ascii="Cambria Math" w:hAnsi="Cambria Math" w:cs="Cambria Math"/>
          <w:noProof/>
        </w:rPr>
        <w:tab/>
      </w:r>
      <w:r>
        <w:rPr>
          <w:rFonts w:ascii="Cambria Math" w:hAnsi="Cambria Math" w:cs="Cambria Math"/>
          <w:noProof/>
        </w:rPr>
        <w:tab/>
      </w:r>
      <w:r>
        <w:rPr>
          <w:rFonts w:ascii="Cambria Math" w:hAnsi="Cambria Math" w:cs="Cambria Math"/>
          <w:noProof/>
        </w:rPr>
        <w:tab/>
      </w:r>
      <w:r w:rsidRPr="00646F5C">
        <w:rPr>
          <w:rFonts w:ascii="Cambria Math" w:hAnsi="Cambria Math" w:cs="Cambria Math"/>
          <w:noProof/>
        </w:rPr>
        <w:t>PO B</w:t>
      </w:r>
      <w:r>
        <w:rPr>
          <w:rFonts w:ascii="Cambria Math" w:hAnsi="Cambria Math" w:cs="Cambria Math"/>
          <w:noProof/>
        </w:rPr>
        <w:t>ox</w:t>
      </w:r>
      <w:r w:rsidRPr="00646F5C">
        <w:rPr>
          <w:rFonts w:ascii="Cambria Math" w:hAnsi="Cambria Math" w:cs="Cambria Math"/>
          <w:noProof/>
        </w:rPr>
        <w:t xml:space="preserve"> 464</w:t>
      </w:r>
    </w:p>
    <w:p w:rsidR="00F5670A" w:rsidRDefault="00F5670A" w:rsidP="00F5670A">
      <w:pPr>
        <w:spacing w:line="240" w:lineRule="auto"/>
        <w:jc w:val="both"/>
        <w:rPr>
          <w:rFonts w:ascii="Cambria Math" w:hAnsi="Cambria Math" w:cs="Cambria Math"/>
          <w:noProof/>
        </w:rPr>
      </w:pPr>
      <w:r>
        <w:rPr>
          <w:rFonts w:ascii="Cambria Math" w:hAnsi="Cambria Math" w:cs="Cambria Math"/>
          <w:noProof/>
        </w:rPr>
        <w:tab/>
      </w:r>
      <w:r>
        <w:rPr>
          <w:rFonts w:ascii="Cambria Math" w:hAnsi="Cambria Math" w:cs="Cambria Math"/>
          <w:noProof/>
        </w:rPr>
        <w:tab/>
      </w:r>
      <w:r>
        <w:rPr>
          <w:rFonts w:ascii="Cambria Math" w:hAnsi="Cambria Math" w:cs="Cambria Math"/>
          <w:noProof/>
        </w:rPr>
        <w:tab/>
      </w:r>
      <w:r>
        <w:rPr>
          <w:rFonts w:ascii="Cambria Math" w:hAnsi="Cambria Math" w:cs="Cambria Math"/>
          <w:noProof/>
        </w:rPr>
        <w:tab/>
      </w:r>
      <w:r>
        <w:rPr>
          <w:rFonts w:ascii="Cambria Math" w:hAnsi="Cambria Math" w:cs="Cambria Math"/>
          <w:noProof/>
        </w:rPr>
        <w:tab/>
      </w:r>
      <w:r>
        <w:rPr>
          <w:rFonts w:ascii="Cambria Math" w:hAnsi="Cambria Math" w:cs="Cambria Math"/>
          <w:noProof/>
        </w:rPr>
        <w:tab/>
      </w:r>
      <w:r>
        <w:rPr>
          <w:rFonts w:ascii="Cambria Math" w:hAnsi="Cambria Math" w:cs="Cambria Math"/>
          <w:noProof/>
        </w:rPr>
        <w:tab/>
      </w:r>
      <w:r>
        <w:rPr>
          <w:rFonts w:ascii="Cambria Math" w:hAnsi="Cambria Math" w:cs="Cambria Math"/>
          <w:noProof/>
        </w:rPr>
        <w:tab/>
        <w:t>Cypress</w:t>
      </w:r>
      <w:r w:rsidRPr="00646F5C">
        <w:rPr>
          <w:rFonts w:ascii="Cambria Math" w:hAnsi="Cambria Math" w:cs="Cambria Math"/>
          <w:noProof/>
        </w:rPr>
        <w:t>, CA   90630</w:t>
      </w:r>
      <w:bookmarkEnd w:id="5"/>
    </w:p>
    <w:p w:rsidR="00F5670A" w:rsidRDefault="00F5670A" w:rsidP="00F5670A">
      <w:pPr>
        <w:spacing w:line="240" w:lineRule="auto"/>
        <w:jc w:val="both"/>
        <w:rPr>
          <w:rFonts w:ascii="Cambria Math" w:hAnsi="Cambria Math" w:cs="Cambria Math"/>
          <w:noProof/>
        </w:rPr>
      </w:pPr>
    </w:p>
    <w:p w:rsidR="00F5670A" w:rsidRDefault="00F5670A" w:rsidP="00F5670A">
      <w:pPr>
        <w:spacing w:line="240" w:lineRule="auto"/>
        <w:rPr>
          <w:noProof/>
        </w:rPr>
      </w:pPr>
      <w:r>
        <w:rPr>
          <w:rFonts w:ascii="Cambria Math" w:hAnsi="Cambria Math" w:cs="Cambria Math"/>
          <w:noProof/>
        </w:rPr>
        <w:tab/>
      </w:r>
      <w:r>
        <w:rPr>
          <w:rFonts w:ascii="Cambria Math" w:hAnsi="Cambria Math" w:cs="Cambria Math"/>
          <w:noProof/>
        </w:rPr>
        <w:tab/>
      </w:r>
      <w:r>
        <w:rPr>
          <w:rFonts w:ascii="Cambria Math" w:hAnsi="Cambria Math" w:cs="Cambria Math"/>
          <w:noProof/>
        </w:rPr>
        <w:tab/>
      </w:r>
      <w:r>
        <w:rPr>
          <w:rFonts w:ascii="Cambria Math" w:hAnsi="Cambria Math" w:cs="Cambria Math"/>
          <w:noProof/>
        </w:rPr>
        <w:tab/>
      </w:r>
      <w:r>
        <w:rPr>
          <w:rFonts w:ascii="Cambria Math" w:hAnsi="Cambria Math" w:cs="Cambria Math"/>
          <w:noProof/>
        </w:rPr>
        <w:tab/>
      </w:r>
      <w:r>
        <w:rPr>
          <w:rFonts w:ascii="Cambria Math" w:hAnsi="Cambria Math" w:cs="Cambria Math"/>
          <w:noProof/>
        </w:rPr>
        <w:tab/>
      </w:r>
      <w:r>
        <w:rPr>
          <w:rFonts w:ascii="Cambria Math" w:hAnsi="Cambria Math" w:cs="Cambria Math"/>
          <w:noProof/>
        </w:rPr>
        <w:tab/>
      </w:r>
      <w:r>
        <w:rPr>
          <w:rFonts w:ascii="Cambria Math" w:hAnsi="Cambria Math" w:cs="Cambria Math"/>
          <w:noProof/>
        </w:rPr>
        <w:tab/>
      </w:r>
      <w:r w:rsidRPr="00646F5C">
        <w:rPr>
          <w:rFonts w:ascii="Cambria Math" w:hAnsi="Cambria Math" w:cs="Cambria Math"/>
          <w:noProof/>
        </w:rPr>
        <w:t>M</w:t>
      </w:r>
      <w:r>
        <w:rPr>
          <w:rFonts w:ascii="Cambria Math" w:hAnsi="Cambria Math" w:cs="Cambria Math"/>
          <w:noProof/>
        </w:rPr>
        <w:t>arie</w:t>
      </w:r>
      <w:r w:rsidRPr="00646F5C">
        <w:rPr>
          <w:rFonts w:ascii="Cambria Math" w:hAnsi="Cambria Math" w:cs="Cambria Math"/>
          <w:noProof/>
        </w:rPr>
        <w:t xml:space="preserve"> D. A</w:t>
      </w:r>
      <w:r>
        <w:rPr>
          <w:rFonts w:ascii="Cambria Math" w:hAnsi="Cambria Math" w:cs="Cambria Math"/>
          <w:noProof/>
        </w:rPr>
        <w:t>llen</w:t>
      </w:r>
    </w:p>
    <w:p w:rsidR="00F5670A" w:rsidRDefault="00F5670A" w:rsidP="00F5670A">
      <w:pPr>
        <w:spacing w:line="240" w:lineRule="auto"/>
        <w:rPr>
          <w:noProof/>
        </w:rPr>
      </w:pPr>
      <w:r>
        <w:rPr>
          <w:noProof/>
        </w:rPr>
        <w:tab/>
      </w:r>
      <w:r>
        <w:rPr>
          <w:noProof/>
        </w:rPr>
        <w:tab/>
      </w:r>
      <w:r>
        <w:rPr>
          <w:noProof/>
        </w:rPr>
        <w:tab/>
      </w:r>
      <w:r>
        <w:rPr>
          <w:noProof/>
        </w:rPr>
        <w:tab/>
      </w:r>
      <w:r>
        <w:rPr>
          <w:noProof/>
        </w:rPr>
        <w:tab/>
      </w:r>
      <w:r>
        <w:rPr>
          <w:noProof/>
        </w:rPr>
        <w:tab/>
      </w:r>
      <w:r>
        <w:rPr>
          <w:noProof/>
        </w:rPr>
        <w:tab/>
      </w:r>
      <w:r>
        <w:rPr>
          <w:noProof/>
        </w:rPr>
        <w:tab/>
        <w:t>5300 Orange Avenue</w:t>
      </w:r>
    </w:p>
    <w:p w:rsidR="00F5670A" w:rsidRDefault="00F5670A" w:rsidP="00F5670A">
      <w:pPr>
        <w:spacing w:line="240" w:lineRule="auto"/>
        <w:rPr>
          <w:noProof/>
        </w:rPr>
      </w:pPr>
      <w:r>
        <w:rPr>
          <w:noProof/>
        </w:rPr>
        <w:tab/>
      </w:r>
      <w:r>
        <w:rPr>
          <w:noProof/>
        </w:rPr>
        <w:tab/>
      </w:r>
      <w:r>
        <w:rPr>
          <w:noProof/>
        </w:rPr>
        <w:tab/>
      </w:r>
      <w:r>
        <w:rPr>
          <w:noProof/>
        </w:rPr>
        <w:tab/>
      </w:r>
      <w:r>
        <w:rPr>
          <w:noProof/>
        </w:rPr>
        <w:tab/>
      </w:r>
      <w:r>
        <w:rPr>
          <w:noProof/>
        </w:rPr>
        <w:tab/>
      </w:r>
      <w:r>
        <w:rPr>
          <w:noProof/>
        </w:rPr>
        <w:tab/>
      </w:r>
      <w:r>
        <w:rPr>
          <w:noProof/>
        </w:rPr>
        <w:tab/>
        <w:t>Suite 101</w:t>
      </w:r>
    </w:p>
    <w:p w:rsidR="00F5670A" w:rsidRPr="00384D9C" w:rsidRDefault="00F5670A" w:rsidP="00F5670A">
      <w:pPr>
        <w:spacing w:line="240" w:lineRule="auto"/>
        <w:jc w:val="both"/>
        <w:rPr>
          <w:color w:val="000000" w:themeColor="text1"/>
        </w:rPr>
      </w:pPr>
      <w:r>
        <w:rPr>
          <w:noProof/>
        </w:rPr>
        <w:tab/>
      </w:r>
      <w:r>
        <w:rPr>
          <w:noProof/>
        </w:rPr>
        <w:tab/>
      </w:r>
      <w:r>
        <w:rPr>
          <w:noProof/>
        </w:rPr>
        <w:tab/>
      </w:r>
      <w:r>
        <w:rPr>
          <w:noProof/>
        </w:rPr>
        <w:tab/>
      </w:r>
      <w:r>
        <w:rPr>
          <w:noProof/>
        </w:rPr>
        <w:tab/>
      </w:r>
      <w:r>
        <w:rPr>
          <w:noProof/>
        </w:rPr>
        <w:tab/>
      </w:r>
      <w:r>
        <w:rPr>
          <w:noProof/>
        </w:rPr>
        <w:tab/>
      </w:r>
      <w:r>
        <w:rPr>
          <w:noProof/>
        </w:rPr>
        <w:tab/>
        <w:t xml:space="preserve">Cypress, CA   90630     </w:t>
      </w:r>
    </w:p>
    <w:p w:rsidR="00F5670A" w:rsidRPr="00BD7F7B" w:rsidRDefault="00F5670A" w:rsidP="00F5670A">
      <w:pPr>
        <w:spacing w:line="240" w:lineRule="auto"/>
        <w:jc w:val="both"/>
        <w:rPr>
          <w:color w:val="000000" w:themeColor="text1"/>
        </w:rPr>
      </w:pPr>
    </w:p>
    <w:p w:rsidR="00F5670A" w:rsidRDefault="00F5670A" w:rsidP="00F5670A">
      <w:pPr>
        <w:spacing w:line="240" w:lineRule="auto"/>
      </w:pPr>
    </w:p>
    <w:sectPr w:rsidR="00F5670A" w:rsidSect="007B1238">
      <w:footerReference w:type="default" r:id="rId8"/>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C8A" w:rsidRDefault="00DB7C8A" w:rsidP="00783AF1">
      <w:pPr>
        <w:spacing w:line="240" w:lineRule="auto"/>
      </w:pPr>
      <w:r>
        <w:separator/>
      </w:r>
    </w:p>
  </w:endnote>
  <w:endnote w:type="continuationSeparator" w:id="0">
    <w:p w:rsidR="00DB7C8A" w:rsidRDefault="00DB7C8A" w:rsidP="00783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C8A" w:rsidRDefault="00DB7C8A" w:rsidP="00783AF1">
    <w:pPr>
      <w:pStyle w:val="Footer"/>
      <w:spacing w:before="120" w:line="240" w:lineRule="auto"/>
      <w:jc w:val="center"/>
    </w:pPr>
    <w:r>
      <w:t>-</w:t>
    </w:r>
    <w:fldSimple w:instr=" PAGE   \* MERGEFORMAT ">
      <w:r w:rsidR="00930061">
        <w:rPr>
          <w:noProof/>
        </w:rPr>
        <w:t>11</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C8A" w:rsidRDefault="00DB7C8A" w:rsidP="00783AF1">
      <w:pPr>
        <w:spacing w:line="240" w:lineRule="auto"/>
      </w:pPr>
      <w:r>
        <w:separator/>
      </w:r>
    </w:p>
  </w:footnote>
  <w:footnote w:type="continuationSeparator" w:id="0">
    <w:p w:rsidR="00DB7C8A" w:rsidRDefault="00DB7C8A" w:rsidP="00783AF1">
      <w:pPr>
        <w:spacing w:line="240" w:lineRule="auto"/>
      </w:pPr>
      <w:r>
        <w:continuationSeparator/>
      </w:r>
    </w:p>
  </w:footnote>
  <w:footnote w:type="continuationNotice" w:id="1">
    <w:p w:rsidR="00DB7C8A" w:rsidRDefault="00DB7C8A">
      <w:pPr>
        <w:spacing w:line="240" w:lineRule="auto"/>
      </w:pPr>
    </w:p>
  </w:footnote>
  <w:footnote w:id="2">
    <w:p w:rsidR="00DB7C8A" w:rsidRDefault="00DB7C8A" w:rsidP="007B1238">
      <w:pPr>
        <w:pStyle w:val="FootnoteText"/>
      </w:pPr>
      <w:r>
        <w:rPr>
          <w:rStyle w:val="FootnoteReference"/>
        </w:rPr>
        <w:footnoteRef/>
      </w:r>
      <w:r>
        <w:t xml:space="preserve"> All further references to “rule(s)” are to the Rules of Professional Conduct unless otherwise noted.</w:t>
      </w:r>
    </w:p>
    <w:p w:rsidR="00DB7C8A" w:rsidRDefault="00DB7C8A" w:rsidP="007B1238">
      <w:pPr>
        <w:pStyle w:val="FootnoteText"/>
      </w:pPr>
    </w:p>
  </w:footnote>
  <w:footnote w:id="3">
    <w:p w:rsidR="00DB7C8A" w:rsidRDefault="00DB7C8A" w:rsidP="00040DF5">
      <w:pPr>
        <w:pStyle w:val="FootnoteText"/>
        <w:spacing w:after="120"/>
      </w:pPr>
      <w:r>
        <w:rPr>
          <w:rStyle w:val="FootnoteReference"/>
        </w:rPr>
        <w:footnoteRef/>
      </w:r>
      <w:r>
        <w:t xml:space="preserve"> In addition to the Stipulation, Allen submitted five other exhibits that were admitted into evidence by the Hearing Judge.  The State Bar submitted no evidence other than the Stipulation.  In its Opening Brief and Rebuttal Brief on review, the State Bar refers to various exhibits that were not admitted.  The court has not considered these exhibits or those portions of the State Bar’s briefs that rely on or reference these exhibits.  (</w:t>
      </w:r>
      <w:r w:rsidRPr="008272EB">
        <w:t>Ru</w:t>
      </w:r>
      <w:r>
        <w:t xml:space="preserve">les Proc. of State Bar, rule 306(a).)  </w:t>
      </w:r>
    </w:p>
  </w:footnote>
  <w:footnote w:id="4">
    <w:p w:rsidR="00DB7C8A" w:rsidRDefault="00DB7C8A" w:rsidP="007B1238">
      <w:pPr>
        <w:pStyle w:val="FootnoteText"/>
      </w:pPr>
      <w:r>
        <w:rPr>
          <w:rStyle w:val="FootnoteReference"/>
        </w:rPr>
        <w:footnoteRef/>
      </w:r>
      <w:r>
        <w:t xml:space="preserve"> The value of these repairs and alterations was about $53,000, according to Allen’s expert who testified in the </w:t>
      </w:r>
      <w:r w:rsidRPr="00B22146">
        <w:rPr>
          <w:i/>
        </w:rPr>
        <w:t>Allen v. Ratanasadudi</w:t>
      </w:r>
      <w:r>
        <w:t xml:space="preserve"> lawsuit, which we discuss </w:t>
      </w:r>
      <w:r w:rsidRPr="00A66DFA">
        <w:rPr>
          <w:i/>
        </w:rPr>
        <w:t>post</w:t>
      </w:r>
      <w:r>
        <w:t>.</w:t>
      </w:r>
    </w:p>
  </w:footnote>
  <w:footnote w:id="5">
    <w:p w:rsidR="00DB7C8A" w:rsidRDefault="00DB7C8A" w:rsidP="005762A3">
      <w:pPr>
        <w:spacing w:line="240" w:lineRule="auto"/>
        <w:rPr>
          <w:color w:val="000000"/>
        </w:rPr>
      </w:pPr>
      <w:r>
        <w:tab/>
      </w:r>
      <w:r>
        <w:rPr>
          <w:rStyle w:val="FootnoteReference"/>
        </w:rPr>
        <w:footnoteRef/>
      </w:r>
      <w:r>
        <w:t xml:space="preserve"> </w:t>
      </w:r>
      <w:r>
        <w:rPr>
          <w:color w:val="000000"/>
        </w:rPr>
        <w:t>Those requirements are that:  (A) t</w:t>
      </w:r>
      <w:r w:rsidRPr="0073789D">
        <w:rPr>
          <w:color w:val="000000"/>
        </w:rPr>
        <w:t xml:space="preserve">he transaction and its terms are fair and reasonable </w:t>
      </w:r>
      <w:r>
        <w:rPr>
          <w:color w:val="000000"/>
        </w:rPr>
        <w:t>t</w:t>
      </w:r>
      <w:r w:rsidRPr="0073789D">
        <w:rPr>
          <w:color w:val="000000"/>
        </w:rPr>
        <w:t>o the client and are fully disclosed and transmitted in writing</w:t>
      </w:r>
      <w:r>
        <w:rPr>
          <w:color w:val="000000"/>
        </w:rPr>
        <w:t xml:space="preserve"> </w:t>
      </w:r>
      <w:r w:rsidRPr="0073789D">
        <w:rPr>
          <w:color w:val="000000"/>
        </w:rPr>
        <w:t xml:space="preserve">in a manner </w:t>
      </w:r>
      <w:r>
        <w:rPr>
          <w:color w:val="000000"/>
        </w:rPr>
        <w:t xml:space="preserve">that can </w:t>
      </w:r>
      <w:r w:rsidRPr="0073789D">
        <w:rPr>
          <w:color w:val="000000"/>
        </w:rPr>
        <w:t>reasonably</w:t>
      </w:r>
      <w:r>
        <w:rPr>
          <w:color w:val="000000"/>
        </w:rPr>
        <w:t xml:space="preserve"> be </w:t>
      </w:r>
      <w:r w:rsidRPr="0073789D">
        <w:rPr>
          <w:color w:val="000000"/>
        </w:rPr>
        <w:t xml:space="preserve">understood by the client; </w:t>
      </w:r>
      <w:r>
        <w:rPr>
          <w:color w:val="000000"/>
        </w:rPr>
        <w:t>(</w:t>
      </w:r>
      <w:r w:rsidRPr="0073789D">
        <w:rPr>
          <w:color w:val="000000"/>
        </w:rPr>
        <w:t xml:space="preserve">B) </w:t>
      </w:r>
      <w:r>
        <w:rPr>
          <w:color w:val="000000"/>
        </w:rPr>
        <w:t>the</w:t>
      </w:r>
      <w:r w:rsidRPr="0073789D">
        <w:rPr>
          <w:color w:val="000000"/>
        </w:rPr>
        <w:t xml:space="preserve"> client is advised in writing that</w:t>
      </w:r>
      <w:r>
        <w:rPr>
          <w:color w:val="000000"/>
        </w:rPr>
        <w:t xml:space="preserve"> he or she </w:t>
      </w:r>
      <w:r w:rsidRPr="0073789D">
        <w:rPr>
          <w:color w:val="000000"/>
        </w:rPr>
        <w:t>may seek the advice of an independent lawyer of the client’s choice and given a reasonable opportunity to seek that advice; and</w:t>
      </w:r>
      <w:r>
        <w:rPr>
          <w:color w:val="000000"/>
        </w:rPr>
        <w:t xml:space="preserve"> (C) t</w:t>
      </w:r>
      <w:r w:rsidRPr="0073789D">
        <w:rPr>
          <w:color w:val="000000"/>
        </w:rPr>
        <w:t>he client thereafter consents in writing to the terms of the transaction</w:t>
      </w:r>
      <w:r>
        <w:rPr>
          <w:color w:val="000000"/>
        </w:rPr>
        <w:t xml:space="preserve">.  </w:t>
      </w:r>
      <w:r w:rsidRPr="004F20C2">
        <w:t>Allen stipulated that she did not advise Supara of the</w:t>
      </w:r>
      <w:r>
        <w:t>se</w:t>
      </w:r>
      <w:r w:rsidRPr="004F20C2">
        <w:t xml:space="preserve"> requirements</w:t>
      </w:r>
      <w:r>
        <w:t xml:space="preserve">; however, </w:t>
      </w:r>
      <w:r w:rsidRPr="004F20C2">
        <w:t>she maintains that she was not required to do so in the absence of an attorney/client relationship.</w:t>
      </w:r>
    </w:p>
    <w:p w:rsidR="00DB7C8A" w:rsidRPr="007B1238" w:rsidRDefault="00DB7C8A" w:rsidP="007B1238">
      <w:pPr>
        <w:spacing w:line="240" w:lineRule="auto"/>
        <w:ind w:right="720"/>
        <w:rPr>
          <w:color w:val="000000"/>
        </w:rPr>
      </w:pPr>
    </w:p>
  </w:footnote>
  <w:footnote w:id="6">
    <w:p w:rsidR="00DB7C8A" w:rsidRDefault="00DB7C8A" w:rsidP="00255985">
      <w:pPr>
        <w:pStyle w:val="FootnoteText"/>
      </w:pPr>
      <w:r>
        <w:rPr>
          <w:rStyle w:val="FootnoteReference"/>
        </w:rPr>
        <w:footnoteRef/>
      </w:r>
      <w:r>
        <w:t xml:space="preserve"> The jury’s findings were incorporated into the Stipulation. </w:t>
      </w:r>
    </w:p>
  </w:footnote>
  <w:footnote w:id="7">
    <w:p w:rsidR="00DB7C8A" w:rsidRDefault="00DB7C8A" w:rsidP="00196F42">
      <w:pPr>
        <w:pStyle w:val="FootnoteText"/>
      </w:pPr>
      <w:r>
        <w:rPr>
          <w:rStyle w:val="FootnoteReference"/>
        </w:rPr>
        <w:footnoteRef/>
      </w:r>
      <w:r>
        <w:t xml:space="preserve"> In his decision, the hearing judge did not rely upon the jury’s findings because he found they were “irrelevant to any issue” in this proceeding.  We disagree and consider the findings to be highly relevant.  </w:t>
      </w:r>
    </w:p>
    <w:p w:rsidR="00DB7C8A" w:rsidRDefault="00DB7C8A" w:rsidP="00962521">
      <w:pPr>
        <w:pStyle w:val="FootnoteText"/>
      </w:pPr>
      <w:r>
        <w:t xml:space="preserve">We also do not agree with the hearing judge’s conclusion that only prior civil findings that are </w:t>
      </w:r>
      <w:r w:rsidRPr="00E25010">
        <w:rPr>
          <w:i/>
        </w:rPr>
        <w:t>adverse</w:t>
      </w:r>
      <w:r>
        <w:t xml:space="preserve"> to a respondent are entitled to a strong presumption of validity in the </w:t>
      </w:r>
      <w:smartTag w:uri="urn:schemas-microsoft-com:office:smarttags" w:element="Street">
        <w:smartTag w:uri="urn:schemas-microsoft-com:office:smarttags" w:element="address">
          <w:r>
            <w:t>State Bar Court</w:t>
          </w:r>
        </w:smartTag>
      </w:smartTag>
      <w:r>
        <w:t xml:space="preserve">.  Although prior civil findings are not </w:t>
      </w:r>
      <w:r w:rsidRPr="00636BF7">
        <w:t>binding</w:t>
      </w:r>
      <w:r>
        <w:t xml:space="preserve"> upon us (</w:t>
      </w:r>
      <w:r w:rsidRPr="00E25010">
        <w:rPr>
          <w:i/>
        </w:rPr>
        <w:t>In the Matter of Applicant A</w:t>
      </w:r>
      <w:r>
        <w:t xml:space="preserve"> (Review Dept. 1995) 3 Cal. State Bar Ct. Rptr. 318, 327), such findings – whether adverse or exculpatory – come to us with a strong presumption of validity if they were made under a preponderance of the evidence test and supported by substantial evidence.  (</w:t>
      </w:r>
      <w:r w:rsidRPr="001C0A11">
        <w:rPr>
          <w:i/>
        </w:rPr>
        <w:t>I</w:t>
      </w:r>
      <w:r>
        <w:rPr>
          <w:i/>
        </w:rPr>
        <w:t>d.</w:t>
      </w:r>
      <w:r>
        <w:t xml:space="preserve"> at p. 325.)  We find no authority or sound reason to preclude the use of civil findings merely because they are exculpatory of a respondent.  To conclude otherwise would give the State Bar an unfair advantage, allowing it to use prior civil findings that are </w:t>
      </w:r>
      <w:r w:rsidRPr="00BA76B2">
        <w:t>adverse</w:t>
      </w:r>
      <w:r>
        <w:t xml:space="preserve"> to respondents in establishing culpability, while precluding those same respondents from relying on prior civil findings that help them defend against disciplinary charges.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3C5E"/>
    <w:multiLevelType w:val="hybridMultilevel"/>
    <w:tmpl w:val="3EE42B60"/>
    <w:lvl w:ilvl="0" w:tplc="0F4645C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E9077B6"/>
    <w:multiLevelType w:val="hybridMultilevel"/>
    <w:tmpl w:val="81F4E28E"/>
    <w:lvl w:ilvl="0" w:tplc="FD346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420681"/>
    <w:multiLevelType w:val="hybridMultilevel"/>
    <w:tmpl w:val="0F081D68"/>
    <w:lvl w:ilvl="0" w:tplc="FC76C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 w:id="1"/>
  </w:footnotePr>
  <w:endnotePr>
    <w:endnote w:id="-1"/>
    <w:endnote w:id="0"/>
  </w:endnotePr>
  <w:compat/>
  <w:rsids>
    <w:rsidRoot w:val="00E4325A"/>
    <w:rsid w:val="0000004D"/>
    <w:rsid w:val="00001B48"/>
    <w:rsid w:val="00007226"/>
    <w:rsid w:val="00007EA5"/>
    <w:rsid w:val="00010A5B"/>
    <w:rsid w:val="00015218"/>
    <w:rsid w:val="00022210"/>
    <w:rsid w:val="00022F70"/>
    <w:rsid w:val="000251CB"/>
    <w:rsid w:val="00027EFC"/>
    <w:rsid w:val="0003105A"/>
    <w:rsid w:val="00032F71"/>
    <w:rsid w:val="000367FE"/>
    <w:rsid w:val="00040DF5"/>
    <w:rsid w:val="00051299"/>
    <w:rsid w:val="0005295D"/>
    <w:rsid w:val="00054BCF"/>
    <w:rsid w:val="00062D80"/>
    <w:rsid w:val="00072052"/>
    <w:rsid w:val="00072C8D"/>
    <w:rsid w:val="00073B04"/>
    <w:rsid w:val="0007608E"/>
    <w:rsid w:val="00080CD4"/>
    <w:rsid w:val="0008285C"/>
    <w:rsid w:val="00082BFE"/>
    <w:rsid w:val="00087DE2"/>
    <w:rsid w:val="00090BCD"/>
    <w:rsid w:val="000A21FD"/>
    <w:rsid w:val="000A3B5B"/>
    <w:rsid w:val="000A4115"/>
    <w:rsid w:val="000A4C4A"/>
    <w:rsid w:val="000A5128"/>
    <w:rsid w:val="000A748B"/>
    <w:rsid w:val="000B4D3E"/>
    <w:rsid w:val="000B7402"/>
    <w:rsid w:val="000B79EB"/>
    <w:rsid w:val="000C5141"/>
    <w:rsid w:val="000C6492"/>
    <w:rsid w:val="000D0539"/>
    <w:rsid w:val="000D0A68"/>
    <w:rsid w:val="000D5771"/>
    <w:rsid w:val="000D65FE"/>
    <w:rsid w:val="000D6B17"/>
    <w:rsid w:val="000D7BE7"/>
    <w:rsid w:val="000E3E7C"/>
    <w:rsid w:val="000E61DE"/>
    <w:rsid w:val="000E6A24"/>
    <w:rsid w:val="000F0F74"/>
    <w:rsid w:val="000F4996"/>
    <w:rsid w:val="00100266"/>
    <w:rsid w:val="001013D0"/>
    <w:rsid w:val="00101989"/>
    <w:rsid w:val="001057E5"/>
    <w:rsid w:val="00112DDF"/>
    <w:rsid w:val="00113A92"/>
    <w:rsid w:val="0011666F"/>
    <w:rsid w:val="0012407F"/>
    <w:rsid w:val="00124157"/>
    <w:rsid w:val="00143E80"/>
    <w:rsid w:val="001445CB"/>
    <w:rsid w:val="001452B5"/>
    <w:rsid w:val="00146FAE"/>
    <w:rsid w:val="0016450C"/>
    <w:rsid w:val="00165F8D"/>
    <w:rsid w:val="00166500"/>
    <w:rsid w:val="00174C87"/>
    <w:rsid w:val="0018369A"/>
    <w:rsid w:val="00184622"/>
    <w:rsid w:val="00184FDB"/>
    <w:rsid w:val="00187427"/>
    <w:rsid w:val="0018793E"/>
    <w:rsid w:val="00194BD1"/>
    <w:rsid w:val="00196F42"/>
    <w:rsid w:val="001A4E5C"/>
    <w:rsid w:val="001A5278"/>
    <w:rsid w:val="001B3BDD"/>
    <w:rsid w:val="001B6D82"/>
    <w:rsid w:val="001C0A11"/>
    <w:rsid w:val="001C2302"/>
    <w:rsid w:val="001C5319"/>
    <w:rsid w:val="001D2872"/>
    <w:rsid w:val="001E0BB0"/>
    <w:rsid w:val="001E0D20"/>
    <w:rsid w:val="001E1B7E"/>
    <w:rsid w:val="001E7139"/>
    <w:rsid w:val="001F0B9D"/>
    <w:rsid w:val="002003BA"/>
    <w:rsid w:val="00207FCE"/>
    <w:rsid w:val="00210CE7"/>
    <w:rsid w:val="00212EEE"/>
    <w:rsid w:val="002136CA"/>
    <w:rsid w:val="0021786C"/>
    <w:rsid w:val="00222C36"/>
    <w:rsid w:val="00224365"/>
    <w:rsid w:val="00225494"/>
    <w:rsid w:val="00231813"/>
    <w:rsid w:val="00231C79"/>
    <w:rsid w:val="00233A99"/>
    <w:rsid w:val="00244812"/>
    <w:rsid w:val="00253B9A"/>
    <w:rsid w:val="00255985"/>
    <w:rsid w:val="00267E03"/>
    <w:rsid w:val="0028339E"/>
    <w:rsid w:val="002854D0"/>
    <w:rsid w:val="00292C4C"/>
    <w:rsid w:val="002974F5"/>
    <w:rsid w:val="002A25D7"/>
    <w:rsid w:val="002B72E9"/>
    <w:rsid w:val="002C1141"/>
    <w:rsid w:val="002C173C"/>
    <w:rsid w:val="002C3942"/>
    <w:rsid w:val="002C6282"/>
    <w:rsid w:val="002C658A"/>
    <w:rsid w:val="002E2AD3"/>
    <w:rsid w:val="002E7623"/>
    <w:rsid w:val="002F0494"/>
    <w:rsid w:val="002F1268"/>
    <w:rsid w:val="002F3186"/>
    <w:rsid w:val="00302E5A"/>
    <w:rsid w:val="00314337"/>
    <w:rsid w:val="0032594D"/>
    <w:rsid w:val="00334DA4"/>
    <w:rsid w:val="003428DE"/>
    <w:rsid w:val="00344912"/>
    <w:rsid w:val="00345425"/>
    <w:rsid w:val="00345AE7"/>
    <w:rsid w:val="00353D75"/>
    <w:rsid w:val="00356ED0"/>
    <w:rsid w:val="00362F61"/>
    <w:rsid w:val="003674C0"/>
    <w:rsid w:val="00370558"/>
    <w:rsid w:val="003837B3"/>
    <w:rsid w:val="00383BFC"/>
    <w:rsid w:val="003869D4"/>
    <w:rsid w:val="00393577"/>
    <w:rsid w:val="003A149F"/>
    <w:rsid w:val="003A3DF8"/>
    <w:rsid w:val="003A5DFA"/>
    <w:rsid w:val="003A75A3"/>
    <w:rsid w:val="003B46EE"/>
    <w:rsid w:val="003B4DCA"/>
    <w:rsid w:val="003D1C31"/>
    <w:rsid w:val="003D56EC"/>
    <w:rsid w:val="003D7A7D"/>
    <w:rsid w:val="003E4315"/>
    <w:rsid w:val="003F2548"/>
    <w:rsid w:val="004037A4"/>
    <w:rsid w:val="00403AEA"/>
    <w:rsid w:val="00414AAC"/>
    <w:rsid w:val="00414F98"/>
    <w:rsid w:val="004155CC"/>
    <w:rsid w:val="004174C5"/>
    <w:rsid w:val="00422030"/>
    <w:rsid w:val="004310E7"/>
    <w:rsid w:val="00431915"/>
    <w:rsid w:val="0043670C"/>
    <w:rsid w:val="00440C25"/>
    <w:rsid w:val="00447444"/>
    <w:rsid w:val="00450826"/>
    <w:rsid w:val="00460FA5"/>
    <w:rsid w:val="00462C08"/>
    <w:rsid w:val="00463A15"/>
    <w:rsid w:val="00463C2C"/>
    <w:rsid w:val="00467D47"/>
    <w:rsid w:val="0048147B"/>
    <w:rsid w:val="00486744"/>
    <w:rsid w:val="00491ED6"/>
    <w:rsid w:val="004927C6"/>
    <w:rsid w:val="00493E64"/>
    <w:rsid w:val="00495595"/>
    <w:rsid w:val="00497A94"/>
    <w:rsid w:val="004C2ACD"/>
    <w:rsid w:val="004C37F5"/>
    <w:rsid w:val="004C5560"/>
    <w:rsid w:val="004D1D32"/>
    <w:rsid w:val="004D3590"/>
    <w:rsid w:val="004D4245"/>
    <w:rsid w:val="004D622C"/>
    <w:rsid w:val="004F209A"/>
    <w:rsid w:val="004F20C2"/>
    <w:rsid w:val="004F48DC"/>
    <w:rsid w:val="005038C3"/>
    <w:rsid w:val="00505128"/>
    <w:rsid w:val="00511632"/>
    <w:rsid w:val="00513391"/>
    <w:rsid w:val="00513D6B"/>
    <w:rsid w:val="00513DBD"/>
    <w:rsid w:val="00517AB2"/>
    <w:rsid w:val="005248D9"/>
    <w:rsid w:val="005264F8"/>
    <w:rsid w:val="00526EBA"/>
    <w:rsid w:val="00530B7D"/>
    <w:rsid w:val="005448C8"/>
    <w:rsid w:val="00546F2D"/>
    <w:rsid w:val="0055147D"/>
    <w:rsid w:val="0055418D"/>
    <w:rsid w:val="00557D25"/>
    <w:rsid w:val="0056505D"/>
    <w:rsid w:val="00570F61"/>
    <w:rsid w:val="00571BBE"/>
    <w:rsid w:val="005762A3"/>
    <w:rsid w:val="00582337"/>
    <w:rsid w:val="005839DC"/>
    <w:rsid w:val="005904A9"/>
    <w:rsid w:val="00590C00"/>
    <w:rsid w:val="00593689"/>
    <w:rsid w:val="00593B22"/>
    <w:rsid w:val="0059723B"/>
    <w:rsid w:val="005A674C"/>
    <w:rsid w:val="005B0CF7"/>
    <w:rsid w:val="005B26C0"/>
    <w:rsid w:val="005B6F2D"/>
    <w:rsid w:val="005B7486"/>
    <w:rsid w:val="005B7B01"/>
    <w:rsid w:val="005C060D"/>
    <w:rsid w:val="005C3D32"/>
    <w:rsid w:val="005D21BE"/>
    <w:rsid w:val="005E1586"/>
    <w:rsid w:val="005F1A58"/>
    <w:rsid w:val="005F24AD"/>
    <w:rsid w:val="005F516F"/>
    <w:rsid w:val="005F5522"/>
    <w:rsid w:val="005F79A3"/>
    <w:rsid w:val="00604ABE"/>
    <w:rsid w:val="006108E8"/>
    <w:rsid w:val="00610C15"/>
    <w:rsid w:val="00614353"/>
    <w:rsid w:val="00623AB2"/>
    <w:rsid w:val="00623CDB"/>
    <w:rsid w:val="006246D7"/>
    <w:rsid w:val="00625FF3"/>
    <w:rsid w:val="006264A1"/>
    <w:rsid w:val="00627EF0"/>
    <w:rsid w:val="00633092"/>
    <w:rsid w:val="006348CB"/>
    <w:rsid w:val="00636810"/>
    <w:rsid w:val="00636BF7"/>
    <w:rsid w:val="00641806"/>
    <w:rsid w:val="006502E7"/>
    <w:rsid w:val="00652532"/>
    <w:rsid w:val="00653783"/>
    <w:rsid w:val="00654E45"/>
    <w:rsid w:val="00660DEF"/>
    <w:rsid w:val="00663970"/>
    <w:rsid w:val="00674F33"/>
    <w:rsid w:val="0069079B"/>
    <w:rsid w:val="0069128C"/>
    <w:rsid w:val="00691D9B"/>
    <w:rsid w:val="00691DFD"/>
    <w:rsid w:val="00694AD1"/>
    <w:rsid w:val="00695D6B"/>
    <w:rsid w:val="006B6387"/>
    <w:rsid w:val="006C296F"/>
    <w:rsid w:val="006C3D12"/>
    <w:rsid w:val="006C52A9"/>
    <w:rsid w:val="006D45E1"/>
    <w:rsid w:val="006D4B04"/>
    <w:rsid w:val="006D5A44"/>
    <w:rsid w:val="006D5AB2"/>
    <w:rsid w:val="006F3A50"/>
    <w:rsid w:val="006F7BE0"/>
    <w:rsid w:val="00700D5A"/>
    <w:rsid w:val="00701AFE"/>
    <w:rsid w:val="00703237"/>
    <w:rsid w:val="0070361A"/>
    <w:rsid w:val="0070406D"/>
    <w:rsid w:val="00704A24"/>
    <w:rsid w:val="00714296"/>
    <w:rsid w:val="00714602"/>
    <w:rsid w:val="0072095C"/>
    <w:rsid w:val="007234AD"/>
    <w:rsid w:val="00727F99"/>
    <w:rsid w:val="00733DF5"/>
    <w:rsid w:val="00733EEF"/>
    <w:rsid w:val="007407BD"/>
    <w:rsid w:val="00744DBA"/>
    <w:rsid w:val="00753956"/>
    <w:rsid w:val="0075432A"/>
    <w:rsid w:val="00755A71"/>
    <w:rsid w:val="007623D7"/>
    <w:rsid w:val="00762D35"/>
    <w:rsid w:val="0077082A"/>
    <w:rsid w:val="007768C9"/>
    <w:rsid w:val="00777B1C"/>
    <w:rsid w:val="00783AF1"/>
    <w:rsid w:val="00786383"/>
    <w:rsid w:val="007922BC"/>
    <w:rsid w:val="00794DF7"/>
    <w:rsid w:val="007954CD"/>
    <w:rsid w:val="0079614D"/>
    <w:rsid w:val="00797BE9"/>
    <w:rsid w:val="00797F0B"/>
    <w:rsid w:val="007A3727"/>
    <w:rsid w:val="007A3A99"/>
    <w:rsid w:val="007A5778"/>
    <w:rsid w:val="007B1238"/>
    <w:rsid w:val="007B6163"/>
    <w:rsid w:val="007C0C0C"/>
    <w:rsid w:val="007C6FAE"/>
    <w:rsid w:val="007D2092"/>
    <w:rsid w:val="007E0234"/>
    <w:rsid w:val="007E4A73"/>
    <w:rsid w:val="007E4AA8"/>
    <w:rsid w:val="007E7F80"/>
    <w:rsid w:val="007F4D71"/>
    <w:rsid w:val="007F537A"/>
    <w:rsid w:val="00801247"/>
    <w:rsid w:val="008017C8"/>
    <w:rsid w:val="00802C37"/>
    <w:rsid w:val="0080730E"/>
    <w:rsid w:val="00812FF0"/>
    <w:rsid w:val="008156A1"/>
    <w:rsid w:val="00816644"/>
    <w:rsid w:val="00817FF2"/>
    <w:rsid w:val="008272EB"/>
    <w:rsid w:val="0083061E"/>
    <w:rsid w:val="00831290"/>
    <w:rsid w:val="00835F54"/>
    <w:rsid w:val="0085639A"/>
    <w:rsid w:val="008642CD"/>
    <w:rsid w:val="00866816"/>
    <w:rsid w:val="008739F7"/>
    <w:rsid w:val="008822C4"/>
    <w:rsid w:val="00884D96"/>
    <w:rsid w:val="00890828"/>
    <w:rsid w:val="00890B91"/>
    <w:rsid w:val="00890BDB"/>
    <w:rsid w:val="00891B6B"/>
    <w:rsid w:val="00892B09"/>
    <w:rsid w:val="0089657C"/>
    <w:rsid w:val="008A154E"/>
    <w:rsid w:val="008A6D17"/>
    <w:rsid w:val="008B0757"/>
    <w:rsid w:val="008B1231"/>
    <w:rsid w:val="008B6FEA"/>
    <w:rsid w:val="008B708F"/>
    <w:rsid w:val="008B7FF5"/>
    <w:rsid w:val="008C1301"/>
    <w:rsid w:val="008C2230"/>
    <w:rsid w:val="008C51CE"/>
    <w:rsid w:val="008D592C"/>
    <w:rsid w:val="008D5BA6"/>
    <w:rsid w:val="008D6D0E"/>
    <w:rsid w:val="008E30F6"/>
    <w:rsid w:val="008E3541"/>
    <w:rsid w:val="008E4725"/>
    <w:rsid w:val="008F5FE9"/>
    <w:rsid w:val="00905261"/>
    <w:rsid w:val="00905651"/>
    <w:rsid w:val="0091760F"/>
    <w:rsid w:val="0092010F"/>
    <w:rsid w:val="009216E0"/>
    <w:rsid w:val="00930061"/>
    <w:rsid w:val="009342AF"/>
    <w:rsid w:val="00943692"/>
    <w:rsid w:val="00946B57"/>
    <w:rsid w:val="00951445"/>
    <w:rsid w:val="00952647"/>
    <w:rsid w:val="00962521"/>
    <w:rsid w:val="00962DD6"/>
    <w:rsid w:val="009740E7"/>
    <w:rsid w:val="00982DA1"/>
    <w:rsid w:val="00990DFD"/>
    <w:rsid w:val="009963CC"/>
    <w:rsid w:val="009B0893"/>
    <w:rsid w:val="009C032B"/>
    <w:rsid w:val="009E028B"/>
    <w:rsid w:val="009E3081"/>
    <w:rsid w:val="009E456F"/>
    <w:rsid w:val="009E5622"/>
    <w:rsid w:val="009E704F"/>
    <w:rsid w:val="009E7E19"/>
    <w:rsid w:val="009F0046"/>
    <w:rsid w:val="009F48BE"/>
    <w:rsid w:val="009F511B"/>
    <w:rsid w:val="009F7533"/>
    <w:rsid w:val="00A04745"/>
    <w:rsid w:val="00A0635C"/>
    <w:rsid w:val="00A07497"/>
    <w:rsid w:val="00A07CAF"/>
    <w:rsid w:val="00A16355"/>
    <w:rsid w:val="00A217A7"/>
    <w:rsid w:val="00A22DA9"/>
    <w:rsid w:val="00A26D13"/>
    <w:rsid w:val="00A302C6"/>
    <w:rsid w:val="00A33D31"/>
    <w:rsid w:val="00A34AE6"/>
    <w:rsid w:val="00A362F1"/>
    <w:rsid w:val="00A41F4E"/>
    <w:rsid w:val="00A44C97"/>
    <w:rsid w:val="00A462CB"/>
    <w:rsid w:val="00A470B1"/>
    <w:rsid w:val="00A6393A"/>
    <w:rsid w:val="00A66DFA"/>
    <w:rsid w:val="00A72E18"/>
    <w:rsid w:val="00A72E7E"/>
    <w:rsid w:val="00A81D5F"/>
    <w:rsid w:val="00A94D52"/>
    <w:rsid w:val="00A97CBA"/>
    <w:rsid w:val="00AA1C2E"/>
    <w:rsid w:val="00AA20D9"/>
    <w:rsid w:val="00AB2DCA"/>
    <w:rsid w:val="00AB360E"/>
    <w:rsid w:val="00AB7941"/>
    <w:rsid w:val="00AC0488"/>
    <w:rsid w:val="00AC10EA"/>
    <w:rsid w:val="00AC158F"/>
    <w:rsid w:val="00AC215C"/>
    <w:rsid w:val="00AD0C02"/>
    <w:rsid w:val="00AD18B7"/>
    <w:rsid w:val="00AD3D4A"/>
    <w:rsid w:val="00AD41B7"/>
    <w:rsid w:val="00AD6522"/>
    <w:rsid w:val="00AE18A9"/>
    <w:rsid w:val="00AE41C1"/>
    <w:rsid w:val="00AE4B39"/>
    <w:rsid w:val="00AE5EF1"/>
    <w:rsid w:val="00AF2A72"/>
    <w:rsid w:val="00AF3BDF"/>
    <w:rsid w:val="00AF44E9"/>
    <w:rsid w:val="00AF5A5C"/>
    <w:rsid w:val="00B030DB"/>
    <w:rsid w:val="00B05FB9"/>
    <w:rsid w:val="00B06B36"/>
    <w:rsid w:val="00B1288A"/>
    <w:rsid w:val="00B16853"/>
    <w:rsid w:val="00B20581"/>
    <w:rsid w:val="00B22146"/>
    <w:rsid w:val="00B3185B"/>
    <w:rsid w:val="00B3255F"/>
    <w:rsid w:val="00B32B26"/>
    <w:rsid w:val="00B37B7B"/>
    <w:rsid w:val="00B421AC"/>
    <w:rsid w:val="00B427BA"/>
    <w:rsid w:val="00B52B13"/>
    <w:rsid w:val="00B56142"/>
    <w:rsid w:val="00B6026D"/>
    <w:rsid w:val="00B6202C"/>
    <w:rsid w:val="00B67169"/>
    <w:rsid w:val="00B671A0"/>
    <w:rsid w:val="00B67509"/>
    <w:rsid w:val="00B67F9D"/>
    <w:rsid w:val="00B7143C"/>
    <w:rsid w:val="00B725E7"/>
    <w:rsid w:val="00B73FBE"/>
    <w:rsid w:val="00B76E74"/>
    <w:rsid w:val="00B80569"/>
    <w:rsid w:val="00B86B72"/>
    <w:rsid w:val="00B92689"/>
    <w:rsid w:val="00B943F5"/>
    <w:rsid w:val="00B9644E"/>
    <w:rsid w:val="00BA6A6B"/>
    <w:rsid w:val="00BA76B2"/>
    <w:rsid w:val="00BA7A31"/>
    <w:rsid w:val="00BB2954"/>
    <w:rsid w:val="00BE3C4E"/>
    <w:rsid w:val="00BE3E76"/>
    <w:rsid w:val="00BE4DDD"/>
    <w:rsid w:val="00C02099"/>
    <w:rsid w:val="00C11CC8"/>
    <w:rsid w:val="00C12A2E"/>
    <w:rsid w:val="00C15273"/>
    <w:rsid w:val="00C1543D"/>
    <w:rsid w:val="00C16EFE"/>
    <w:rsid w:val="00C212E8"/>
    <w:rsid w:val="00C22F4F"/>
    <w:rsid w:val="00C234B3"/>
    <w:rsid w:val="00C2402F"/>
    <w:rsid w:val="00C259CD"/>
    <w:rsid w:val="00C317E6"/>
    <w:rsid w:val="00C34255"/>
    <w:rsid w:val="00C34656"/>
    <w:rsid w:val="00C34D67"/>
    <w:rsid w:val="00C36412"/>
    <w:rsid w:val="00C4380C"/>
    <w:rsid w:val="00C509BA"/>
    <w:rsid w:val="00C614A8"/>
    <w:rsid w:val="00C71517"/>
    <w:rsid w:val="00C779C4"/>
    <w:rsid w:val="00C87253"/>
    <w:rsid w:val="00C87FC5"/>
    <w:rsid w:val="00C87FF4"/>
    <w:rsid w:val="00C970F4"/>
    <w:rsid w:val="00CA50CE"/>
    <w:rsid w:val="00CA67FC"/>
    <w:rsid w:val="00CB23B8"/>
    <w:rsid w:val="00CB3297"/>
    <w:rsid w:val="00CB78D8"/>
    <w:rsid w:val="00CC340B"/>
    <w:rsid w:val="00CC686A"/>
    <w:rsid w:val="00CC7718"/>
    <w:rsid w:val="00CD13CD"/>
    <w:rsid w:val="00CD1B82"/>
    <w:rsid w:val="00CD28AC"/>
    <w:rsid w:val="00CD534F"/>
    <w:rsid w:val="00CD7502"/>
    <w:rsid w:val="00CD78D6"/>
    <w:rsid w:val="00CD7D32"/>
    <w:rsid w:val="00CE0351"/>
    <w:rsid w:val="00CE7EAE"/>
    <w:rsid w:val="00CF1FDF"/>
    <w:rsid w:val="00CF1FFD"/>
    <w:rsid w:val="00CF2CFE"/>
    <w:rsid w:val="00CF4958"/>
    <w:rsid w:val="00CF49C2"/>
    <w:rsid w:val="00CF63ED"/>
    <w:rsid w:val="00CF6E9D"/>
    <w:rsid w:val="00D03B24"/>
    <w:rsid w:val="00D0607A"/>
    <w:rsid w:val="00D151C4"/>
    <w:rsid w:val="00D16571"/>
    <w:rsid w:val="00D210DA"/>
    <w:rsid w:val="00D21A98"/>
    <w:rsid w:val="00D241E5"/>
    <w:rsid w:val="00D25DA3"/>
    <w:rsid w:val="00D2775D"/>
    <w:rsid w:val="00D27971"/>
    <w:rsid w:val="00D35438"/>
    <w:rsid w:val="00D36BDC"/>
    <w:rsid w:val="00D53490"/>
    <w:rsid w:val="00D547B0"/>
    <w:rsid w:val="00D57AD0"/>
    <w:rsid w:val="00D60B71"/>
    <w:rsid w:val="00D71051"/>
    <w:rsid w:val="00D84079"/>
    <w:rsid w:val="00D90B24"/>
    <w:rsid w:val="00D91225"/>
    <w:rsid w:val="00D96ED3"/>
    <w:rsid w:val="00DA1F2F"/>
    <w:rsid w:val="00DA7620"/>
    <w:rsid w:val="00DB4796"/>
    <w:rsid w:val="00DB7C8A"/>
    <w:rsid w:val="00DC0A46"/>
    <w:rsid w:val="00DC0D07"/>
    <w:rsid w:val="00DC30F9"/>
    <w:rsid w:val="00DC5DC7"/>
    <w:rsid w:val="00DD006C"/>
    <w:rsid w:val="00DD278E"/>
    <w:rsid w:val="00DE0D02"/>
    <w:rsid w:val="00DF3732"/>
    <w:rsid w:val="00DF7035"/>
    <w:rsid w:val="00E00E82"/>
    <w:rsid w:val="00E07709"/>
    <w:rsid w:val="00E11921"/>
    <w:rsid w:val="00E11BDA"/>
    <w:rsid w:val="00E13DFC"/>
    <w:rsid w:val="00E14C78"/>
    <w:rsid w:val="00E173E8"/>
    <w:rsid w:val="00E17829"/>
    <w:rsid w:val="00E20835"/>
    <w:rsid w:val="00E25785"/>
    <w:rsid w:val="00E33CB8"/>
    <w:rsid w:val="00E34D35"/>
    <w:rsid w:val="00E3557C"/>
    <w:rsid w:val="00E40230"/>
    <w:rsid w:val="00E4325A"/>
    <w:rsid w:val="00E43F2A"/>
    <w:rsid w:val="00E4442A"/>
    <w:rsid w:val="00E514DB"/>
    <w:rsid w:val="00E53396"/>
    <w:rsid w:val="00E549E3"/>
    <w:rsid w:val="00E572D0"/>
    <w:rsid w:val="00E576F0"/>
    <w:rsid w:val="00E6322F"/>
    <w:rsid w:val="00E64A92"/>
    <w:rsid w:val="00E77D6D"/>
    <w:rsid w:val="00E81D6C"/>
    <w:rsid w:val="00EA09A0"/>
    <w:rsid w:val="00EA3A8C"/>
    <w:rsid w:val="00EB01A3"/>
    <w:rsid w:val="00EB1FD3"/>
    <w:rsid w:val="00EB2218"/>
    <w:rsid w:val="00EB4C01"/>
    <w:rsid w:val="00EB5FF0"/>
    <w:rsid w:val="00EB65A5"/>
    <w:rsid w:val="00EC2215"/>
    <w:rsid w:val="00EC4A1B"/>
    <w:rsid w:val="00EC77A8"/>
    <w:rsid w:val="00EE70CA"/>
    <w:rsid w:val="00EE725B"/>
    <w:rsid w:val="00EF3660"/>
    <w:rsid w:val="00EF5565"/>
    <w:rsid w:val="00F0008F"/>
    <w:rsid w:val="00F004E1"/>
    <w:rsid w:val="00F02FF5"/>
    <w:rsid w:val="00F0437C"/>
    <w:rsid w:val="00F05490"/>
    <w:rsid w:val="00F071B8"/>
    <w:rsid w:val="00F14879"/>
    <w:rsid w:val="00F24420"/>
    <w:rsid w:val="00F24DC1"/>
    <w:rsid w:val="00F26C92"/>
    <w:rsid w:val="00F304DA"/>
    <w:rsid w:val="00F322CD"/>
    <w:rsid w:val="00F41B19"/>
    <w:rsid w:val="00F428B9"/>
    <w:rsid w:val="00F449CA"/>
    <w:rsid w:val="00F4522B"/>
    <w:rsid w:val="00F4660E"/>
    <w:rsid w:val="00F46D99"/>
    <w:rsid w:val="00F47A5E"/>
    <w:rsid w:val="00F5670A"/>
    <w:rsid w:val="00F56EDD"/>
    <w:rsid w:val="00F602D3"/>
    <w:rsid w:val="00F613FE"/>
    <w:rsid w:val="00F64A76"/>
    <w:rsid w:val="00F66778"/>
    <w:rsid w:val="00F67D05"/>
    <w:rsid w:val="00F70016"/>
    <w:rsid w:val="00F81812"/>
    <w:rsid w:val="00F90662"/>
    <w:rsid w:val="00FA062A"/>
    <w:rsid w:val="00FD14AE"/>
    <w:rsid w:val="00FD4F52"/>
    <w:rsid w:val="00FE0516"/>
    <w:rsid w:val="00FF4E04"/>
    <w:rsid w:val="00FF5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d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5"/>
    <w:pPr>
      <w:spacing w:line="480" w:lineRule="auto"/>
    </w:pPr>
    <w:rPr>
      <w:sz w:val="24"/>
      <w:szCs w:val="24"/>
    </w:rPr>
  </w:style>
  <w:style w:type="paragraph" w:styleId="Heading1">
    <w:name w:val="heading 1"/>
    <w:basedOn w:val="Normal"/>
    <w:next w:val="Normal"/>
    <w:link w:val="Heading1Char"/>
    <w:qFormat/>
    <w:rsid w:val="008E4725"/>
    <w:pPr>
      <w:keepNext/>
      <w:jc w:val="center"/>
      <w:outlineLvl w:val="0"/>
    </w:pPr>
    <w:rPr>
      <w:b/>
      <w:bCs/>
      <w:caps/>
    </w:rPr>
  </w:style>
  <w:style w:type="paragraph" w:styleId="Heading2">
    <w:name w:val="heading 2"/>
    <w:basedOn w:val="Normal"/>
    <w:next w:val="Normal"/>
    <w:link w:val="Heading2Char"/>
    <w:uiPriority w:val="9"/>
    <w:qFormat/>
    <w:rsid w:val="008156A1"/>
    <w:pPr>
      <w:keepNext/>
      <w:keepLines/>
      <w:outlineLvl w:val="1"/>
    </w:pPr>
    <w:rPr>
      <w:rFonts w:ascii="Calibri" w:hAnsi="Calibri"/>
      <w:b/>
      <w:bCs/>
      <w:szCs w:val="26"/>
    </w:rPr>
  </w:style>
  <w:style w:type="paragraph" w:styleId="Heading3">
    <w:name w:val="heading 3"/>
    <w:basedOn w:val="Normal"/>
    <w:next w:val="Normal"/>
    <w:link w:val="Heading3Char"/>
    <w:uiPriority w:val="9"/>
    <w:qFormat/>
    <w:rsid w:val="008E4725"/>
    <w:pPr>
      <w:keepNext/>
      <w:keepLines/>
      <w:outlineLvl w:val="2"/>
    </w:pPr>
    <w:rPr>
      <w:rFonts w:ascii="Calibri" w:hAnsi="Calibr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headings">
    <w:name w:val="Multiple headings"/>
    <w:basedOn w:val="Normal"/>
    <w:link w:val="MultipleheadingsChar"/>
    <w:qFormat/>
    <w:rsid w:val="008156A1"/>
    <w:pPr>
      <w:keepNext/>
      <w:jc w:val="center"/>
    </w:pPr>
    <w:rPr>
      <w:b/>
      <w:bCs/>
    </w:rPr>
  </w:style>
  <w:style w:type="character" w:customStyle="1" w:styleId="MultipleheadingsChar">
    <w:name w:val="Multiple headings Char"/>
    <w:basedOn w:val="DefaultParagraphFont"/>
    <w:link w:val="Multipleheadings"/>
    <w:rsid w:val="008156A1"/>
    <w:rPr>
      <w:rFonts w:ascii="Times New Roman" w:eastAsia="Times New Roman" w:hAnsi="Times New Roman" w:cs="Times New Roman"/>
      <w:b/>
      <w:bCs/>
      <w:sz w:val="24"/>
      <w:szCs w:val="24"/>
    </w:rPr>
  </w:style>
  <w:style w:type="paragraph" w:customStyle="1" w:styleId="Mainheading">
    <w:name w:val="Main heading"/>
    <w:basedOn w:val="Normal"/>
    <w:link w:val="MainheadingChar"/>
    <w:qFormat/>
    <w:rsid w:val="008156A1"/>
    <w:pPr>
      <w:keepNext/>
      <w:jc w:val="center"/>
    </w:pPr>
    <w:rPr>
      <w:b/>
      <w:bCs/>
    </w:rPr>
  </w:style>
  <w:style w:type="character" w:customStyle="1" w:styleId="MainheadingChar">
    <w:name w:val="Main heading Char"/>
    <w:basedOn w:val="DefaultParagraphFont"/>
    <w:link w:val="Mainheading"/>
    <w:rsid w:val="008156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156A1"/>
    <w:rPr>
      <w:rFonts w:eastAsia="Times New Roman" w:cs="Times New Roman"/>
      <w:b/>
      <w:bCs/>
      <w:sz w:val="24"/>
      <w:szCs w:val="26"/>
    </w:rPr>
  </w:style>
  <w:style w:type="character" w:customStyle="1" w:styleId="Heading3Char">
    <w:name w:val="Heading 3 Char"/>
    <w:basedOn w:val="DefaultParagraphFont"/>
    <w:link w:val="Heading3"/>
    <w:uiPriority w:val="9"/>
    <w:rsid w:val="008E4725"/>
    <w:rPr>
      <w:rFonts w:eastAsia="Times New Roman" w:cs="Times New Roman"/>
      <w:bCs/>
      <w:sz w:val="24"/>
      <w:szCs w:val="24"/>
      <w:u w:val="single"/>
    </w:rPr>
  </w:style>
  <w:style w:type="character" w:customStyle="1" w:styleId="Heading1Char">
    <w:name w:val="Heading 1 Char"/>
    <w:basedOn w:val="DefaultParagraphFont"/>
    <w:link w:val="Heading1"/>
    <w:rsid w:val="008E4725"/>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uiPriority w:val="99"/>
    <w:qFormat/>
    <w:rsid w:val="007B1238"/>
    <w:pPr>
      <w:keepLines/>
      <w:spacing w:line="240" w:lineRule="auto"/>
      <w:ind w:firstLine="720"/>
    </w:pPr>
  </w:style>
  <w:style w:type="character" w:customStyle="1" w:styleId="FootnoteTextChar">
    <w:name w:val="Footnote Text Char"/>
    <w:basedOn w:val="DefaultParagraphFont"/>
    <w:link w:val="FootnoteText"/>
    <w:uiPriority w:val="99"/>
    <w:rsid w:val="007B1238"/>
  </w:style>
  <w:style w:type="paragraph" w:customStyle="1" w:styleId="Footnote">
    <w:name w:val="Footnote"/>
    <w:basedOn w:val="Normal"/>
    <w:link w:val="FootnoteChar"/>
    <w:autoRedefine/>
    <w:qFormat/>
    <w:rsid w:val="00497A94"/>
    <w:pPr>
      <w:spacing w:after="120" w:line="240" w:lineRule="auto"/>
    </w:pPr>
    <w:rPr>
      <w:b/>
    </w:rPr>
  </w:style>
  <w:style w:type="character" w:customStyle="1" w:styleId="FootnoteChar">
    <w:name w:val="Footnote Char"/>
    <w:basedOn w:val="DefaultParagraphFont"/>
    <w:link w:val="Footnote"/>
    <w:rsid w:val="00497A94"/>
    <w:rPr>
      <w:rFonts w:cs="Times New Roman"/>
      <w:b/>
    </w:rPr>
  </w:style>
  <w:style w:type="table" w:styleId="TableGrid">
    <w:name w:val="Table Grid"/>
    <w:basedOn w:val="TableNormal"/>
    <w:uiPriority w:val="59"/>
    <w:rsid w:val="00C11C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83AF1"/>
    <w:rPr>
      <w:vertAlign w:val="superscript"/>
    </w:rPr>
  </w:style>
  <w:style w:type="paragraph" w:styleId="Header">
    <w:name w:val="header"/>
    <w:basedOn w:val="Normal"/>
    <w:link w:val="HeaderChar"/>
    <w:semiHidden/>
    <w:unhideWhenUsed/>
    <w:rsid w:val="00783AF1"/>
    <w:pPr>
      <w:tabs>
        <w:tab w:val="center" w:pos="4680"/>
        <w:tab w:val="right" w:pos="9360"/>
      </w:tabs>
    </w:pPr>
  </w:style>
  <w:style w:type="character" w:customStyle="1" w:styleId="HeaderChar">
    <w:name w:val="Header Char"/>
    <w:basedOn w:val="DefaultParagraphFont"/>
    <w:link w:val="Header"/>
    <w:uiPriority w:val="99"/>
    <w:semiHidden/>
    <w:rsid w:val="00783AF1"/>
  </w:style>
  <w:style w:type="paragraph" w:styleId="Footer">
    <w:name w:val="footer"/>
    <w:basedOn w:val="Normal"/>
    <w:link w:val="FooterChar"/>
    <w:uiPriority w:val="99"/>
    <w:unhideWhenUsed/>
    <w:rsid w:val="00783AF1"/>
    <w:pPr>
      <w:tabs>
        <w:tab w:val="center" w:pos="4680"/>
        <w:tab w:val="right" w:pos="9360"/>
      </w:tabs>
    </w:pPr>
  </w:style>
  <w:style w:type="character" w:customStyle="1" w:styleId="FooterChar">
    <w:name w:val="Footer Char"/>
    <w:basedOn w:val="DefaultParagraphFont"/>
    <w:link w:val="Footer"/>
    <w:uiPriority w:val="99"/>
    <w:rsid w:val="00783AF1"/>
  </w:style>
  <w:style w:type="paragraph" w:customStyle="1" w:styleId="Level1">
    <w:name w:val="Level 1"/>
    <w:basedOn w:val="Normal"/>
    <w:uiPriority w:val="99"/>
    <w:rsid w:val="00B671A0"/>
    <w:pPr>
      <w:widowControl w:val="0"/>
      <w:tabs>
        <w:tab w:val="num" w:pos="720"/>
      </w:tabs>
      <w:autoSpaceDE w:val="0"/>
      <w:autoSpaceDN w:val="0"/>
      <w:adjustRightInd w:val="0"/>
      <w:spacing w:line="240" w:lineRule="auto"/>
      <w:ind w:left="720" w:hanging="720"/>
      <w:outlineLvl w:val="0"/>
    </w:pPr>
  </w:style>
  <w:style w:type="paragraph" w:styleId="BodyTextIndent">
    <w:name w:val="Body Text Indent"/>
    <w:basedOn w:val="Normal"/>
    <w:link w:val="BodyTextIndentChar"/>
    <w:uiPriority w:val="99"/>
    <w:semiHidden/>
    <w:unhideWhenUsed/>
    <w:rsid w:val="00B671A0"/>
    <w:pPr>
      <w:spacing w:after="120" w:line="240" w:lineRule="auto"/>
      <w:ind w:left="360"/>
    </w:pPr>
  </w:style>
  <w:style w:type="character" w:customStyle="1" w:styleId="BodyTextIndentChar">
    <w:name w:val="Body Text Indent Char"/>
    <w:basedOn w:val="DefaultParagraphFont"/>
    <w:link w:val="BodyTextIndent"/>
    <w:uiPriority w:val="99"/>
    <w:semiHidden/>
    <w:rsid w:val="00B671A0"/>
  </w:style>
  <w:style w:type="paragraph" w:styleId="ListParagraph">
    <w:name w:val="List Paragraph"/>
    <w:basedOn w:val="Normal"/>
    <w:uiPriority w:val="34"/>
    <w:qFormat/>
    <w:rsid w:val="001E0BB0"/>
    <w:pPr>
      <w:ind w:left="720"/>
      <w:contextualSpacing/>
    </w:pPr>
  </w:style>
  <w:style w:type="paragraph" w:styleId="PlainText">
    <w:name w:val="Plain Text"/>
    <w:basedOn w:val="Normal"/>
    <w:link w:val="PlainTextChar"/>
    <w:uiPriority w:val="99"/>
    <w:unhideWhenUsed/>
    <w:rsid w:val="008272EB"/>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8272EB"/>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D7B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7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Opin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F58ED-3B1B-45AD-BE06-EA6C5B03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Opinion_Form.dotm</Template>
  <TotalTime>45</TotalTime>
  <Pages>11</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PUBLIC MATTER - NOT DESIGNATED FOR PUBLICATION</vt:lpstr>
    </vt:vector>
  </TitlesOfParts>
  <Company>State Bar of California</Company>
  <LinksUpToDate>false</LinksUpToDate>
  <CharactersWithSpaces>18531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MATTER - NOT DESIGNATED FOR PUBLICATION</dc:title>
  <dc:subject/>
  <cp:keywords/>
  <dc:description/>
  <cp:lastModifiedBy>Mina Ruiz</cp:lastModifiedBy>
  <cp:revision>2</cp:revision>
  <cp:lastPrinted>2010-11-29T20:33:00Z</cp:lastPrinted>
  <dcterms:created xsi:type="dcterms:W3CDTF">2010-11-29T20:33:00Z</dcterms:created>
  <dcterms:modified xsi:type="dcterms:W3CDTF">2010-11-29T20:33:00Z</dcterms:modified>
</cp:coreProperties>
</file>