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8" w:rsidRPr="003470B5" w:rsidRDefault="00BA043E" w:rsidP="003470B5">
      <w:pPr>
        <w:pStyle w:val="Footnote"/>
      </w:pPr>
      <w:r w:rsidRPr="003470B5">
        <w:t>PUBLIC MATTER - NOT DESIGNATED FOR PUBLICATION</w:t>
      </w:r>
    </w:p>
    <w:p w:rsidR="00835F54" w:rsidRPr="00C11CC8" w:rsidRDefault="00835F54" w:rsidP="003470B5">
      <w:pPr>
        <w:pStyle w:val="Footnote"/>
      </w:pPr>
    </w:p>
    <w:p w:rsidR="00C11CC8" w:rsidRPr="00C11CC8" w:rsidRDefault="006750E1" w:rsidP="006750E1">
      <w:pPr>
        <w:jc w:val="right"/>
      </w:pPr>
      <w:r>
        <w:t>FILED MARCH 3, 2011</w:t>
      </w:r>
    </w:p>
    <w:p w:rsidR="00C11CC8" w:rsidRPr="00C11CC8" w:rsidRDefault="00C11CC8"/>
    <w:p w:rsidR="00C11CC8" w:rsidRDefault="00C11CC8" w:rsidP="00C11CC8">
      <w:pPr>
        <w:spacing w:line="240" w:lineRule="auto"/>
        <w:jc w:val="center"/>
        <w:rPr>
          <w:b/>
        </w:rPr>
      </w:pPr>
      <w:r w:rsidRPr="00C11CC8">
        <w:rPr>
          <w:b/>
        </w:rPr>
        <w:t>STATE BAR COURT</w:t>
      </w:r>
      <w:r w:rsidR="003470B5">
        <w:rPr>
          <w:b/>
        </w:rPr>
        <w:t xml:space="preserve"> OF CALIFORNIA</w:t>
      </w:r>
    </w:p>
    <w:p w:rsidR="003470B5" w:rsidRDefault="003470B5" w:rsidP="00C11CC8">
      <w:pPr>
        <w:spacing w:line="240" w:lineRule="auto"/>
        <w:jc w:val="center"/>
        <w:rPr>
          <w:b/>
        </w:rPr>
      </w:pPr>
    </w:p>
    <w:p w:rsidR="003470B5" w:rsidRPr="00C11CC8" w:rsidRDefault="003470B5" w:rsidP="00C11CC8">
      <w:pPr>
        <w:spacing w:line="240" w:lineRule="auto"/>
        <w:jc w:val="center"/>
        <w:rPr>
          <w:b/>
        </w:rPr>
      </w:pPr>
      <w:r>
        <w:rPr>
          <w:b/>
        </w:rPr>
        <w:t>REVIEW DEPARTMENT</w:t>
      </w:r>
    </w:p>
    <w:p w:rsidR="00C11CC8" w:rsidRPr="00C11CC8" w:rsidRDefault="00C11CC8" w:rsidP="00C11CC8">
      <w:pPr>
        <w:rPr>
          <w:b/>
        </w:rPr>
      </w:pPr>
    </w:p>
    <w:tbl>
      <w:tblPr>
        <w:tblStyle w:val="TableGrid"/>
        <w:tblW w:w="0" w:type="auto"/>
        <w:tblLook w:val="04A0"/>
      </w:tblPr>
      <w:tblGrid>
        <w:gridCol w:w="4365"/>
        <w:gridCol w:w="900"/>
        <w:gridCol w:w="4203"/>
      </w:tblGrid>
      <w:tr w:rsidR="00C11CC8" w:rsidRPr="00C11CC8" w:rsidTr="003470B5">
        <w:tc>
          <w:tcPr>
            <w:tcW w:w="4365" w:type="dxa"/>
            <w:tcBorders>
              <w:top w:val="nil"/>
              <w:left w:val="nil"/>
              <w:bottom w:val="nil"/>
              <w:right w:val="nil"/>
            </w:tcBorders>
            <w:tcMar>
              <w:left w:w="0" w:type="dxa"/>
              <w:right w:w="0" w:type="dxa"/>
            </w:tcMar>
          </w:tcPr>
          <w:p w:rsidR="00C11CC8" w:rsidRDefault="00C11CC8" w:rsidP="009216E0">
            <w:pPr>
              <w:spacing w:line="240" w:lineRule="auto"/>
            </w:pPr>
            <w:r>
              <w:t>In the Matter of</w:t>
            </w:r>
          </w:p>
          <w:p w:rsidR="009216E0" w:rsidRDefault="009216E0" w:rsidP="009216E0">
            <w:pPr>
              <w:spacing w:line="240" w:lineRule="auto"/>
            </w:pPr>
          </w:p>
          <w:p w:rsidR="00C11CC8" w:rsidRPr="003470B5" w:rsidRDefault="00BA043E" w:rsidP="009216E0">
            <w:pPr>
              <w:spacing w:line="240" w:lineRule="auto"/>
            </w:pPr>
            <w:bookmarkStart w:id="0" w:name="Respondent"/>
            <w:bookmarkEnd w:id="0"/>
            <w:r w:rsidRPr="003470B5">
              <w:t xml:space="preserve">JAMES </w:t>
            </w:r>
            <w:r w:rsidR="00C272A7" w:rsidRPr="003470B5">
              <w:t>FRIEND</w:t>
            </w:r>
            <w:r w:rsidRPr="003470B5">
              <w:t xml:space="preserve"> </w:t>
            </w:r>
            <w:r w:rsidR="00C272A7" w:rsidRPr="003470B5">
              <w:t>JO</w:t>
            </w:r>
            <w:r w:rsidRPr="003470B5">
              <w:t>R</w:t>
            </w:r>
            <w:r w:rsidR="00C272A7" w:rsidRPr="003470B5">
              <w:t>DAN</w:t>
            </w:r>
            <w:r w:rsidR="00C11CC8" w:rsidRPr="003470B5">
              <w:t>,</w:t>
            </w:r>
          </w:p>
          <w:p w:rsidR="009216E0" w:rsidRPr="003470B5" w:rsidRDefault="009216E0" w:rsidP="009216E0">
            <w:pPr>
              <w:spacing w:line="240" w:lineRule="auto"/>
            </w:pPr>
          </w:p>
          <w:p w:rsidR="009216E0" w:rsidRDefault="00BA043E" w:rsidP="009216E0">
            <w:pPr>
              <w:spacing w:line="240" w:lineRule="auto"/>
            </w:pPr>
            <w:bookmarkStart w:id="1" w:name="type"/>
            <w:bookmarkEnd w:id="1"/>
            <w:r>
              <w:t>A Member of the State Bar</w:t>
            </w:r>
            <w:r w:rsidR="003470B5">
              <w:t>, No. 74606</w:t>
            </w:r>
            <w:r>
              <w:t>.</w:t>
            </w:r>
          </w:p>
          <w:p w:rsidR="009216E0" w:rsidRPr="00C11CC8" w:rsidRDefault="003470B5" w:rsidP="009216E0">
            <w:pPr>
              <w:spacing w:line="240" w:lineRule="auto"/>
            </w:pPr>
            <w:r>
              <w:t>____________________________________</w:t>
            </w:r>
          </w:p>
        </w:tc>
        <w:tc>
          <w:tcPr>
            <w:tcW w:w="900" w:type="dxa"/>
            <w:tcBorders>
              <w:top w:val="nil"/>
              <w:left w:val="nil"/>
              <w:bottom w:val="nil"/>
              <w:right w:val="nil"/>
            </w:tcBorders>
            <w:tcMar>
              <w:left w:w="0" w:type="dxa"/>
              <w:right w:w="0" w:type="dxa"/>
            </w:tcMar>
          </w:tcPr>
          <w:p w:rsidR="00C11CC8" w:rsidRDefault="00C11CC8" w:rsidP="009216E0">
            <w:pPr>
              <w:spacing w:line="240" w:lineRule="auto"/>
              <w:rPr>
                <w:b/>
              </w:rPr>
            </w:pPr>
            <w:r>
              <w:rPr>
                <w:b/>
              </w:rPr>
              <w:t>)</w:t>
            </w:r>
          </w:p>
          <w:p w:rsidR="009216E0" w:rsidRDefault="009216E0" w:rsidP="009216E0">
            <w:pPr>
              <w:spacing w:line="240" w:lineRule="auto"/>
              <w:rPr>
                <w:b/>
              </w:rPr>
            </w:pPr>
            <w:r>
              <w:rPr>
                <w:b/>
              </w:rPr>
              <w:t>)</w:t>
            </w:r>
            <w:r>
              <w:rPr>
                <w:b/>
              </w:rPr>
              <w:br/>
              <w:t>)</w:t>
            </w:r>
          </w:p>
          <w:p w:rsidR="00340100" w:rsidRDefault="00340100" w:rsidP="009216E0">
            <w:pPr>
              <w:spacing w:line="240" w:lineRule="auto"/>
              <w:rPr>
                <w:b/>
              </w:rPr>
            </w:pPr>
            <w:r>
              <w:rPr>
                <w:b/>
              </w:rPr>
              <w:t>)</w:t>
            </w:r>
            <w:r>
              <w:rPr>
                <w:b/>
              </w:rPr>
              <w:br/>
              <w:t>)</w:t>
            </w:r>
          </w:p>
          <w:p w:rsidR="003470B5" w:rsidRPr="00C11CC8" w:rsidRDefault="003470B5" w:rsidP="009216E0">
            <w:pPr>
              <w:spacing w:line="240" w:lineRule="auto"/>
              <w:rPr>
                <w:b/>
              </w:rPr>
            </w:pPr>
            <w:r>
              <w:rPr>
                <w:b/>
              </w:rPr>
              <w:t>)</w:t>
            </w:r>
          </w:p>
        </w:tc>
        <w:tc>
          <w:tcPr>
            <w:tcW w:w="4203" w:type="dxa"/>
            <w:tcBorders>
              <w:top w:val="nil"/>
              <w:left w:val="nil"/>
              <w:bottom w:val="nil"/>
              <w:right w:val="nil"/>
            </w:tcBorders>
          </w:tcPr>
          <w:p w:rsidR="00C11CC8" w:rsidRPr="003470B5" w:rsidRDefault="003470B5" w:rsidP="009216E0">
            <w:pPr>
              <w:spacing w:line="240" w:lineRule="auto"/>
            </w:pPr>
            <w:r>
              <w:t xml:space="preserve">Case </w:t>
            </w:r>
            <w:r w:rsidR="00C11CC8">
              <w:t>No</w:t>
            </w:r>
            <w:r w:rsidR="00C11CC8" w:rsidRPr="00497A94">
              <w:rPr>
                <w:b/>
              </w:rPr>
              <w:t>.</w:t>
            </w:r>
            <w:r w:rsidR="009216E0" w:rsidRPr="00497A94">
              <w:rPr>
                <w:b/>
              </w:rPr>
              <w:t xml:space="preserve"> </w:t>
            </w:r>
            <w:bookmarkStart w:id="2" w:name="caseno"/>
            <w:bookmarkEnd w:id="2"/>
            <w:r w:rsidR="00BA043E" w:rsidRPr="003470B5">
              <w:t>0</w:t>
            </w:r>
            <w:r w:rsidR="00C272A7" w:rsidRPr="003470B5">
              <w:t>6</w:t>
            </w:r>
            <w:r w:rsidR="00BA043E" w:rsidRPr="003470B5">
              <w:t>-</w:t>
            </w:r>
            <w:r w:rsidR="00C272A7" w:rsidRPr="003470B5">
              <w:t>O</w:t>
            </w:r>
            <w:r w:rsidR="00BA043E" w:rsidRPr="003470B5">
              <w:t>-13</w:t>
            </w:r>
            <w:r w:rsidR="00C272A7" w:rsidRPr="003470B5">
              <w:t>5</w:t>
            </w:r>
            <w:r w:rsidR="00BA043E" w:rsidRPr="003470B5">
              <w:t>08</w:t>
            </w:r>
          </w:p>
          <w:p w:rsidR="009216E0" w:rsidRDefault="009216E0" w:rsidP="009216E0">
            <w:pPr>
              <w:spacing w:line="240" w:lineRule="auto"/>
            </w:pPr>
          </w:p>
          <w:p w:rsidR="007F537A" w:rsidRPr="003470B5" w:rsidRDefault="00BA043E" w:rsidP="009216E0">
            <w:pPr>
              <w:spacing w:line="240" w:lineRule="auto"/>
            </w:pPr>
            <w:bookmarkStart w:id="3" w:name="title"/>
            <w:bookmarkEnd w:id="3"/>
            <w:r w:rsidRPr="003470B5">
              <w:t>OPINION</w:t>
            </w:r>
            <w:r w:rsidR="00F8694F" w:rsidRPr="003470B5">
              <w:t xml:space="preserve"> AND ORDER</w:t>
            </w:r>
          </w:p>
        </w:tc>
      </w:tr>
    </w:tbl>
    <w:p w:rsidR="00C11CC8" w:rsidRDefault="00C11CC8" w:rsidP="00C11CC8"/>
    <w:p w:rsidR="00C272A7" w:rsidRDefault="00C272A7" w:rsidP="00172995">
      <w:r>
        <w:t>BY THE COURT:</w:t>
      </w:r>
      <w:r>
        <w:rPr>
          <w:rStyle w:val="FootnoteReference"/>
        </w:rPr>
        <w:footnoteReference w:id="2"/>
      </w:r>
    </w:p>
    <w:p w:rsidR="00B556D4" w:rsidRDefault="00F60D3D" w:rsidP="00172995">
      <w:r>
        <w:tab/>
      </w:r>
      <w:r w:rsidR="00C272A7">
        <w:t>R</w:t>
      </w:r>
      <w:r>
        <w:t xml:space="preserve">espondent, </w:t>
      </w:r>
      <w:r w:rsidR="00C272A7">
        <w:t>James F</w:t>
      </w:r>
      <w:r w:rsidR="000D7597">
        <w:t>riend</w:t>
      </w:r>
      <w:r w:rsidR="00C272A7">
        <w:t xml:space="preserve"> Jordan</w:t>
      </w:r>
      <w:r>
        <w:t xml:space="preserve">, </w:t>
      </w:r>
      <w:r w:rsidR="00F37D45">
        <w:t xml:space="preserve">appeals from a decision of </w:t>
      </w:r>
      <w:r w:rsidR="00776AA2">
        <w:t>a</w:t>
      </w:r>
      <w:r w:rsidR="00F37D45">
        <w:t xml:space="preserve"> State Bar Court hearing judge that he be disbarred</w:t>
      </w:r>
      <w:r w:rsidR="00776AA2">
        <w:t xml:space="preserve">.  The most serious finding </w:t>
      </w:r>
      <w:r w:rsidR="001F4C16">
        <w:t>i</w:t>
      </w:r>
      <w:r w:rsidR="00776AA2">
        <w:t xml:space="preserve">s that Jordan knowingly and intentionally misappropriated </w:t>
      </w:r>
      <w:r w:rsidR="009B19ED">
        <w:t>over $2</w:t>
      </w:r>
      <w:r w:rsidR="002A3BAB">
        <w:t>0</w:t>
      </w:r>
      <w:r w:rsidR="009B19ED">
        <w:t xml:space="preserve">0,000 of </w:t>
      </w:r>
      <w:r w:rsidR="00776AA2">
        <w:t>settlement funds of his</w:t>
      </w:r>
      <w:r w:rsidR="0091064F">
        <w:t xml:space="preserve"> client</w:t>
      </w:r>
      <w:r w:rsidR="009B19ED">
        <w:t xml:space="preserve">, </w:t>
      </w:r>
      <w:r w:rsidR="0043046D">
        <w:t xml:space="preserve">Joel Castillo, </w:t>
      </w:r>
      <w:r w:rsidR="009B19ED">
        <w:t xml:space="preserve">whom Jordan represented after </w:t>
      </w:r>
      <w:r w:rsidR="00114088">
        <w:t>Castillo</w:t>
      </w:r>
      <w:r w:rsidR="009B19ED">
        <w:t xml:space="preserve"> was seriously injured in a </w:t>
      </w:r>
      <w:r w:rsidR="0043046D">
        <w:t xml:space="preserve">2001 </w:t>
      </w:r>
      <w:r w:rsidR="009B19ED">
        <w:t>traffic accident</w:t>
      </w:r>
      <w:r w:rsidR="009B19ED" w:rsidRPr="00EC27B1">
        <w:t xml:space="preserve">.  </w:t>
      </w:r>
      <w:r w:rsidR="00EC27B1">
        <w:t>Jordan was admitted to practice in 1977, and has been disciplined three times between 1992 and 2010.</w:t>
      </w:r>
    </w:p>
    <w:p w:rsidR="004D28F1" w:rsidRDefault="009B19ED" w:rsidP="00172995">
      <w:r>
        <w:tab/>
      </w:r>
      <w:r w:rsidR="00AC18CC">
        <w:t xml:space="preserve">Most of </w:t>
      </w:r>
      <w:r>
        <w:t xml:space="preserve">Jordan’s appeal grounds are procedural.  </w:t>
      </w:r>
      <w:r w:rsidR="004D28F1">
        <w:t xml:space="preserve">The State Bar’s Office of </w:t>
      </w:r>
      <w:r w:rsidR="001F4C16">
        <w:t xml:space="preserve">the </w:t>
      </w:r>
      <w:r w:rsidR="004D28F1">
        <w:t xml:space="preserve">Chief Trial Counsel </w:t>
      </w:r>
      <w:r w:rsidR="001F4C16">
        <w:t xml:space="preserve">(State Bar) </w:t>
      </w:r>
      <w:r w:rsidR="004D28F1">
        <w:t>supports the hearing judge’s findings and disbarment recommendation.</w:t>
      </w:r>
    </w:p>
    <w:p w:rsidR="00172995" w:rsidRDefault="009B19ED" w:rsidP="00172995">
      <w:pPr>
        <w:ind w:firstLine="720"/>
      </w:pPr>
      <w:r>
        <w:t xml:space="preserve">We have independently reviewed </w:t>
      </w:r>
      <w:r w:rsidR="004D28F1">
        <w:t>Jord</w:t>
      </w:r>
      <w:r w:rsidR="00060C7C">
        <w:t>a</w:t>
      </w:r>
      <w:r w:rsidR="004D28F1">
        <w:t>n’s claims</w:t>
      </w:r>
      <w:r>
        <w:t xml:space="preserve"> </w:t>
      </w:r>
      <w:r w:rsidR="00060C7C">
        <w:t>(Cal. Rules of C</w:t>
      </w:r>
      <w:r w:rsidR="000D7597">
        <w:t>our</w:t>
      </w:r>
      <w:r w:rsidR="00060C7C">
        <w:t>t, rule 9.12),</w:t>
      </w:r>
      <w:r>
        <w:t xml:space="preserve"> and we reject them. </w:t>
      </w:r>
      <w:r w:rsidR="00B556D4">
        <w:t xml:space="preserve"> Also, we find ample support for the hearing judge’s findings</w:t>
      </w:r>
      <w:r w:rsidR="000B55DD">
        <w:t>.</w:t>
      </w:r>
      <w:r w:rsidR="00B556D4">
        <w:t xml:space="preserve"> </w:t>
      </w:r>
      <w:r w:rsidR="000B55DD">
        <w:t xml:space="preserve">When we </w:t>
      </w:r>
      <w:r w:rsidR="00114088">
        <w:t>eval</w:t>
      </w:r>
      <w:r w:rsidR="00B556D4">
        <w:t xml:space="preserve">uate the lack of mitigation against the extremely grave nature of Jordan’s offenses and </w:t>
      </w:r>
      <w:r w:rsidR="000B55DD">
        <w:t>prior discipline</w:t>
      </w:r>
      <w:r w:rsidR="00B556D4">
        <w:t>, we are guided unhesitatingly to uphold the disbarment recommendation.</w:t>
      </w:r>
    </w:p>
    <w:p w:rsidR="00114088" w:rsidRDefault="00114088" w:rsidP="00172995">
      <w:pPr>
        <w:ind w:firstLine="720"/>
      </w:pPr>
    </w:p>
    <w:p w:rsidR="0043046D" w:rsidRDefault="00172995" w:rsidP="00172995">
      <w:pPr>
        <w:jc w:val="center"/>
      </w:pPr>
      <w:r>
        <w:rPr>
          <w:b/>
        </w:rPr>
        <w:lastRenderedPageBreak/>
        <w:t xml:space="preserve">I.  </w:t>
      </w:r>
      <w:r w:rsidRPr="00060C7C">
        <w:rPr>
          <w:b/>
        </w:rPr>
        <w:t>KEY FINDINGS</w:t>
      </w:r>
    </w:p>
    <w:p w:rsidR="006F37B2" w:rsidRDefault="005F2D0F" w:rsidP="00D62307">
      <w:pPr>
        <w:ind w:firstLine="720"/>
      </w:pPr>
      <w:r>
        <w:t xml:space="preserve">Although Jordan has repeatedly sought to inject </w:t>
      </w:r>
      <w:r w:rsidR="00114088">
        <w:t xml:space="preserve">trust law </w:t>
      </w:r>
      <w:r>
        <w:t>complexities</w:t>
      </w:r>
      <w:r w:rsidR="00114088">
        <w:t xml:space="preserve"> </w:t>
      </w:r>
      <w:r w:rsidR="003470B5">
        <w:t>into this case</w:t>
      </w:r>
      <w:r>
        <w:t xml:space="preserve">, the relevant facts are straightforward and established </w:t>
      </w:r>
      <w:r w:rsidR="00542570">
        <w:t>largely by documentary evidence</w:t>
      </w:r>
      <w:r>
        <w:t xml:space="preserve"> supplemented by testimony of witnesses.  </w:t>
      </w:r>
      <w:r w:rsidR="002A3BAB">
        <w:t>While participating</w:t>
      </w:r>
      <w:r>
        <w:t xml:space="preserve"> in the hearing, Jordan chose not to testify.  </w:t>
      </w:r>
    </w:p>
    <w:p w:rsidR="00D62307" w:rsidRPr="00D62307" w:rsidRDefault="005F2D0F" w:rsidP="00D62307">
      <w:pPr>
        <w:ind w:firstLine="720"/>
      </w:pPr>
      <w:r w:rsidRPr="00D62307">
        <w:t>Very simply stated, these are the facts:  Jo</w:t>
      </w:r>
      <w:r w:rsidR="007876CC" w:rsidRPr="00D62307">
        <w:t>el</w:t>
      </w:r>
      <w:r w:rsidRPr="00D62307">
        <w:t xml:space="preserve"> Castillo lived in California’s Coachella </w:t>
      </w:r>
      <w:r w:rsidR="00425360" w:rsidRPr="00D62307">
        <w:t xml:space="preserve">Valley, </w:t>
      </w:r>
      <w:r w:rsidR="00167B57" w:rsidRPr="00D62307">
        <w:t xml:space="preserve">having </w:t>
      </w:r>
      <w:r w:rsidR="00114088" w:rsidRPr="00D62307">
        <w:t>traveled</w:t>
      </w:r>
      <w:r w:rsidR="00167B57" w:rsidRPr="00D62307">
        <w:t xml:space="preserve"> from Mexico in 1953</w:t>
      </w:r>
      <w:r w:rsidR="005F231E" w:rsidRPr="00D62307">
        <w:t xml:space="preserve">.  He worked in agriculture as a tractor driver and had been retired </w:t>
      </w:r>
      <w:r w:rsidR="00830879" w:rsidRPr="00D62307">
        <w:t xml:space="preserve">for </w:t>
      </w:r>
      <w:r w:rsidR="005F231E" w:rsidRPr="00D62307">
        <w:t xml:space="preserve">several years when he was seriously injured in </w:t>
      </w:r>
      <w:r w:rsidR="00E24932" w:rsidRPr="00D62307">
        <w:t xml:space="preserve">2001 in </w:t>
      </w:r>
      <w:r w:rsidR="005F231E" w:rsidRPr="00D62307">
        <w:t>an automobile accident.</w:t>
      </w:r>
      <w:r w:rsidRPr="00D62307">
        <w:t xml:space="preserve"> </w:t>
      </w:r>
      <w:r w:rsidR="00114088" w:rsidRPr="00D62307">
        <w:t xml:space="preserve"> </w:t>
      </w:r>
      <w:r w:rsidR="00880CED" w:rsidRPr="00D62307">
        <w:t>The accident was nearly fatal to Castillo, involving extensive hospital treatment and convalescence for brain and head injuries.</w:t>
      </w:r>
    </w:p>
    <w:p w:rsidR="00D62307" w:rsidRPr="00D62307" w:rsidRDefault="007F706A" w:rsidP="00D62307">
      <w:pPr>
        <w:ind w:firstLine="720"/>
      </w:pPr>
      <w:r w:rsidRPr="00D62307">
        <w:t>In December 2001</w:t>
      </w:r>
      <w:r w:rsidR="00114088" w:rsidRPr="00D62307">
        <w:t>,</w:t>
      </w:r>
      <w:r w:rsidR="006D5DA3" w:rsidRPr="00D62307">
        <w:t xml:space="preserve"> Castillo hired </w:t>
      </w:r>
      <w:r w:rsidR="00114088" w:rsidRPr="00D62307">
        <w:t>Jordan</w:t>
      </w:r>
      <w:r w:rsidR="006D5DA3" w:rsidRPr="00D62307">
        <w:t xml:space="preserve"> to seek damages arising from the accident. </w:t>
      </w:r>
      <w:r w:rsidR="00880CED" w:rsidRPr="00D62307">
        <w:t xml:space="preserve"> Joseph Jordan, respondent’s half-brother and a pastor, knew the Castillo family from religious activities and had recommended respondent.  </w:t>
      </w:r>
      <w:r w:rsidR="003470B5" w:rsidRPr="00D62307">
        <w:t xml:space="preserve">At the time </w:t>
      </w:r>
      <w:r w:rsidR="006F37B2" w:rsidRPr="00D62307">
        <w:t xml:space="preserve">of this retention, Jordan and Castillo executed a contingency fee retainer agreement, entitling Jordan to one-third of any recovery in the event the matter was settled before a </w:t>
      </w:r>
      <w:r w:rsidR="00880CED" w:rsidRPr="00D62307">
        <w:t>law</w:t>
      </w:r>
      <w:r w:rsidR="006F37B2" w:rsidRPr="00D62307">
        <w:t>suit was filed.</w:t>
      </w:r>
      <w:r w:rsidR="00880CED" w:rsidRPr="00D62307">
        <w:t xml:space="preserve">  </w:t>
      </w:r>
      <w:r w:rsidR="006D5DA3" w:rsidRPr="00D62307">
        <w:t>A few months later, Castillo agreed to a $739,043.72 settlement with the defendant’s insurer.</w:t>
      </w:r>
      <w:r w:rsidR="00880CED" w:rsidRPr="00D62307">
        <w:rPr>
          <w:vertAlign w:val="superscript"/>
        </w:rPr>
        <w:footnoteReference w:id="3"/>
      </w:r>
    </w:p>
    <w:p w:rsidR="00D94D43" w:rsidRDefault="00D94D43" w:rsidP="00616061">
      <w:pPr>
        <w:ind w:firstLine="720"/>
      </w:pPr>
      <w:r>
        <w:t>In April 2002</w:t>
      </w:r>
      <w:r w:rsidR="00114088">
        <w:t>,</w:t>
      </w:r>
      <w:r>
        <w:t xml:space="preserve"> Jordan received the settlement funds and deposited them into a </w:t>
      </w:r>
      <w:r w:rsidR="00EC3BB8">
        <w:t xml:space="preserve">client </w:t>
      </w:r>
      <w:r>
        <w:t>trust account</w:t>
      </w:r>
      <w:r w:rsidR="00EC3BB8">
        <w:t xml:space="preserve"> (CTA)</w:t>
      </w:r>
      <w:r>
        <w:t xml:space="preserve"> earmarked for this case.  In September 2002</w:t>
      </w:r>
      <w:r w:rsidR="00EB683E">
        <w:t>,</w:t>
      </w:r>
      <w:r>
        <w:t xml:space="preserve"> Jordan paid Castillo $238,507.81 as his share of the settlement.  These are the only funds </w:t>
      </w:r>
      <w:r w:rsidR="00EB683E">
        <w:t>that</w:t>
      </w:r>
      <w:r>
        <w:t xml:space="preserve"> the Castillo family ever received.</w:t>
      </w:r>
      <w:r w:rsidR="00AC18CC">
        <w:t xml:space="preserve">  Jordan never gave Castillo an</w:t>
      </w:r>
      <w:r>
        <w:t xml:space="preserve"> accounting of funds, despite repeated requests, including </w:t>
      </w:r>
      <w:r w:rsidR="00EC3BB8">
        <w:t>requests from</w:t>
      </w:r>
      <w:r>
        <w:t xml:space="preserve"> successor counsel</w:t>
      </w:r>
      <w:r w:rsidR="00EC3BB8">
        <w:t xml:space="preserve"> hired by</w:t>
      </w:r>
      <w:r>
        <w:t xml:space="preserve"> Castillo after termina</w:t>
      </w:r>
      <w:r w:rsidR="001C1CE0">
        <w:t>ting Jordan’s services in 2006.</w:t>
      </w:r>
    </w:p>
    <w:p w:rsidR="001C1CE0" w:rsidRDefault="004A44A5" w:rsidP="00616061">
      <w:pPr>
        <w:ind w:firstLine="720"/>
      </w:pPr>
      <w:r>
        <w:lastRenderedPageBreak/>
        <w:t xml:space="preserve">Pursuant to the fee agreement, as there is no evidence indicating that Jordan filed an action before reaching this settlement, Jordan was </w:t>
      </w:r>
      <w:r w:rsidR="00880CED">
        <w:t xml:space="preserve">entitled to </w:t>
      </w:r>
      <w:r w:rsidR="001C1CE0">
        <w:t>one-third of the settlement, or $246,348.  Deducting the $238,507.81</w:t>
      </w:r>
      <w:r w:rsidR="008E0286">
        <w:t xml:space="preserve"> paid Castillo,</w:t>
      </w:r>
      <w:r w:rsidR="001C1CE0">
        <w:t xml:space="preserve"> </w:t>
      </w:r>
      <w:r w:rsidR="00EB683E">
        <w:t xml:space="preserve">the balance was about </w:t>
      </w:r>
      <w:r w:rsidR="001C1CE0">
        <w:t>$254,188.  It is un</w:t>
      </w:r>
      <w:r w:rsidR="008E0286">
        <w:t xml:space="preserve">disputed that this </w:t>
      </w:r>
      <w:r w:rsidR="001C1CE0">
        <w:t xml:space="preserve">remaining </w:t>
      </w:r>
      <w:r w:rsidR="008E0286">
        <w:t>sum</w:t>
      </w:r>
      <w:r w:rsidR="001C1CE0">
        <w:t xml:space="preserve"> was to be held</w:t>
      </w:r>
      <w:r w:rsidR="00EC3BB8">
        <w:t xml:space="preserve"> in the CTA</w:t>
      </w:r>
      <w:r w:rsidR="001C1CE0">
        <w:t xml:space="preserve"> for Castillo’s medical expenses. </w:t>
      </w:r>
      <w:r w:rsidR="00EB683E">
        <w:t xml:space="preserve"> Per the settlement agreement, Castillo was obligated to pay all medical expenses.</w:t>
      </w:r>
      <w:r w:rsidR="00EB683E">
        <w:rPr>
          <w:rStyle w:val="FootnoteReference"/>
        </w:rPr>
        <w:footnoteReference w:id="4"/>
      </w:r>
    </w:p>
    <w:p w:rsidR="00175CBE" w:rsidRDefault="00880CED" w:rsidP="00172995">
      <w:pPr>
        <w:ind w:firstLine="720"/>
      </w:pPr>
      <w:r>
        <w:t xml:space="preserve">Initially, </w:t>
      </w:r>
      <w:r w:rsidR="00175CBE">
        <w:t>Jordan persuaded Castillo</w:t>
      </w:r>
      <w:r w:rsidR="00C901D6">
        <w:t xml:space="preserve"> to resist satisfying Desert Medical Group’s demands</w:t>
      </w:r>
      <w:r w:rsidR="00936107">
        <w:t xml:space="preserve"> </w:t>
      </w:r>
      <w:r w:rsidR="00EB683E">
        <w:t>for payment of</w:t>
      </w:r>
      <w:r w:rsidR="00936107">
        <w:t xml:space="preserve"> Castillo’s medical bills</w:t>
      </w:r>
      <w:r w:rsidR="00EC3BB8">
        <w:t xml:space="preserve"> with the remaining settlement funds</w:t>
      </w:r>
      <w:r w:rsidR="00C901D6">
        <w:t xml:space="preserve">.  In </w:t>
      </w:r>
      <w:r w:rsidR="00EB683E">
        <w:t>the f</w:t>
      </w:r>
      <w:r w:rsidR="00C901D6">
        <w:t xml:space="preserve">all </w:t>
      </w:r>
      <w:r w:rsidR="00EB683E">
        <w:t xml:space="preserve">of </w:t>
      </w:r>
      <w:r w:rsidR="00C901D6">
        <w:t>2002</w:t>
      </w:r>
      <w:r w:rsidR="00EB683E">
        <w:t>,</w:t>
      </w:r>
      <w:r w:rsidR="00C901D6">
        <w:t xml:space="preserve"> Castillo </w:t>
      </w:r>
      <w:r w:rsidR="00936107">
        <w:t>agreed to Jordan’s offer to negotiate with Desert Medical Group ov</w:t>
      </w:r>
      <w:r w:rsidR="004A44A5">
        <w:t>er the amount of reimbursement.</w:t>
      </w:r>
    </w:p>
    <w:p w:rsidR="00936107" w:rsidRDefault="00936107" w:rsidP="00172995">
      <w:pPr>
        <w:ind w:firstLine="720"/>
      </w:pPr>
      <w:r>
        <w:t xml:space="preserve">Jordan never paid any medical provider any of the </w:t>
      </w:r>
      <w:r w:rsidR="009E32BF">
        <w:t xml:space="preserve">$254,188 </w:t>
      </w:r>
      <w:r w:rsidR="00EC3BB8">
        <w:t>he was required to hold in the CTA</w:t>
      </w:r>
      <w:r w:rsidR="00616061">
        <w:t xml:space="preserve"> for this explicit purpose</w:t>
      </w:r>
      <w:r>
        <w:t xml:space="preserve">. </w:t>
      </w:r>
      <w:r w:rsidR="00616061">
        <w:t xml:space="preserve"> </w:t>
      </w:r>
      <w:r>
        <w:t xml:space="preserve">Instead, </w:t>
      </w:r>
      <w:r w:rsidR="00EB683E">
        <w:t>he</w:t>
      </w:r>
      <w:r>
        <w:t xml:space="preserve"> depleted the </w:t>
      </w:r>
      <w:r w:rsidR="00EC3BB8">
        <w:t>settlement</w:t>
      </w:r>
      <w:r>
        <w:t xml:space="preserve"> funds gradually</w:t>
      </w:r>
      <w:r w:rsidR="00EB683E">
        <w:t>,</w:t>
      </w:r>
      <w:r>
        <w:t xml:space="preserve"> starting in December 2002.  By January 2010, only $9,041 remained</w:t>
      </w:r>
      <w:r w:rsidR="00EC3BB8">
        <w:t xml:space="preserve"> in the CTA</w:t>
      </w:r>
      <w:r>
        <w:t>.  Jordan’s last withdrawal</w:t>
      </w:r>
      <w:r w:rsidR="004A44A5">
        <w:t xml:space="preserve"> of </w:t>
      </w:r>
      <w:r>
        <w:t xml:space="preserve">$5,000 </w:t>
      </w:r>
      <w:r w:rsidR="007876CC">
        <w:t>occurred in</w:t>
      </w:r>
      <w:r w:rsidR="00484F4E">
        <w:t xml:space="preserve"> September </w:t>
      </w:r>
      <w:r w:rsidR="007876CC">
        <w:t xml:space="preserve">2009, two days after the State Bar filed the formal charges starting this disciplinary matter. </w:t>
      </w:r>
    </w:p>
    <w:p w:rsidR="00FD1F2B" w:rsidRDefault="00936107" w:rsidP="00172995">
      <w:pPr>
        <w:ind w:firstLine="720"/>
      </w:pPr>
      <w:r>
        <w:t xml:space="preserve">The table below shows </w:t>
      </w:r>
      <w:r w:rsidR="009E32BF">
        <w:t>the</w:t>
      </w:r>
      <w:r>
        <w:t xml:space="preserve"> </w:t>
      </w:r>
      <w:r w:rsidR="00EC3BB8">
        <w:t>CTA</w:t>
      </w:r>
      <w:r w:rsidR="009E32BF">
        <w:t xml:space="preserve"> </w:t>
      </w:r>
      <w:r w:rsidR="00484F4E">
        <w:t>balance</w:t>
      </w:r>
      <w:r w:rsidR="009E32BF">
        <w:t xml:space="preserve"> at about the end of each </w:t>
      </w:r>
      <w:r w:rsidR="00484F4E">
        <w:t xml:space="preserve">relevant </w:t>
      </w:r>
      <w:r w:rsidR="009E32BF">
        <w:t xml:space="preserve">year starting in </w:t>
      </w:r>
      <w:r w:rsidR="00B96FCC">
        <w:t>November</w:t>
      </w:r>
      <w:r w:rsidR="009E32BF">
        <w:t xml:space="preserve"> 2002</w:t>
      </w:r>
      <w:r w:rsidR="00B96FCC">
        <w:t xml:space="preserve">, prior to the depletion of Castillo’s </w:t>
      </w:r>
      <w:r w:rsidR="00EC3BB8">
        <w:t>f</w:t>
      </w:r>
      <w:r w:rsidR="00B96FCC">
        <w:t>unds</w:t>
      </w:r>
      <w:r w:rsidR="00EB683E">
        <w:t>:</w:t>
      </w:r>
    </w:p>
    <w:p w:rsidR="00D62307" w:rsidRDefault="00D62307" w:rsidP="00172995">
      <w:pPr>
        <w:ind w:firstLine="720"/>
      </w:pPr>
    </w:p>
    <w:p w:rsidR="00D62307" w:rsidRDefault="00D62307" w:rsidP="00172995">
      <w:pPr>
        <w:ind w:firstLine="720"/>
      </w:pPr>
    </w:p>
    <w:p w:rsidR="004A44A5" w:rsidRDefault="004A44A5" w:rsidP="00172995">
      <w:pPr>
        <w:ind w:firstLine="720"/>
      </w:pPr>
    </w:p>
    <w:p w:rsidR="004A44A5" w:rsidRDefault="004A44A5" w:rsidP="00172995">
      <w:pPr>
        <w:ind w:firstLine="720"/>
      </w:pPr>
    </w:p>
    <w:p w:rsidR="004A44A5" w:rsidRDefault="004A44A5" w:rsidP="00172995">
      <w:pPr>
        <w:ind w:firstLine="720"/>
      </w:pPr>
    </w:p>
    <w:tbl>
      <w:tblPr>
        <w:tblW w:w="3872" w:type="dxa"/>
        <w:jc w:val="center"/>
        <w:tblInd w:w="-351" w:type="dxa"/>
        <w:tblLook w:val="04A0"/>
      </w:tblPr>
      <w:tblGrid>
        <w:gridCol w:w="1663"/>
        <w:gridCol w:w="2209"/>
      </w:tblGrid>
      <w:tr w:rsidR="00B96FCC" w:rsidRPr="00B96FCC" w:rsidTr="00172995">
        <w:trPr>
          <w:trHeight w:val="530"/>
          <w:jc w:val="center"/>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FCC" w:rsidRPr="00EB6915" w:rsidRDefault="00B96FCC" w:rsidP="00172995">
            <w:pPr>
              <w:spacing w:line="360" w:lineRule="auto"/>
              <w:jc w:val="center"/>
              <w:rPr>
                <w:b/>
                <w:bCs/>
                <w:color w:val="000000"/>
              </w:rPr>
            </w:pPr>
            <w:r w:rsidRPr="00EB6915">
              <w:rPr>
                <w:b/>
                <w:bCs/>
                <w:color w:val="000000"/>
              </w:rPr>
              <w:t>Date</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B96FCC" w:rsidRPr="00EB6915" w:rsidRDefault="00FD1F2B" w:rsidP="00172995">
            <w:pPr>
              <w:spacing w:before="60" w:after="60" w:line="240" w:lineRule="auto"/>
              <w:jc w:val="center"/>
              <w:rPr>
                <w:b/>
                <w:bCs/>
                <w:color w:val="000000"/>
              </w:rPr>
            </w:pPr>
            <w:r w:rsidRPr="00EB6915">
              <w:rPr>
                <w:b/>
                <w:bCs/>
                <w:color w:val="000000"/>
              </w:rPr>
              <w:t xml:space="preserve">Trust Account </w:t>
            </w:r>
            <w:r w:rsidR="00B96FCC" w:rsidRPr="00EB6915">
              <w:rPr>
                <w:b/>
                <w:bCs/>
                <w:color w:val="000000"/>
              </w:rPr>
              <w:t>Balance</w:t>
            </w:r>
          </w:p>
        </w:tc>
      </w:tr>
      <w:tr w:rsidR="00B96FCC" w:rsidRPr="00B96FCC" w:rsidTr="00172995">
        <w:trPr>
          <w:trHeight w:val="300"/>
          <w:jc w:val="center"/>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11/29/2002</w:t>
            </w:r>
          </w:p>
        </w:tc>
        <w:tc>
          <w:tcPr>
            <w:tcW w:w="2209" w:type="dxa"/>
            <w:tcBorders>
              <w:top w:val="nil"/>
              <w:left w:val="nil"/>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$269,245.81</w:t>
            </w:r>
          </w:p>
        </w:tc>
      </w:tr>
      <w:tr w:rsidR="00B96FCC" w:rsidRPr="00B96FCC" w:rsidTr="00172995">
        <w:trPr>
          <w:trHeight w:val="300"/>
          <w:jc w:val="center"/>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12/31/2002</w:t>
            </w:r>
          </w:p>
        </w:tc>
        <w:tc>
          <w:tcPr>
            <w:tcW w:w="2209" w:type="dxa"/>
            <w:tcBorders>
              <w:top w:val="nil"/>
              <w:left w:val="nil"/>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$239,637.61</w:t>
            </w:r>
          </w:p>
        </w:tc>
      </w:tr>
      <w:tr w:rsidR="00B96FCC" w:rsidRPr="00B96FCC" w:rsidTr="00172995">
        <w:trPr>
          <w:trHeight w:val="300"/>
          <w:jc w:val="center"/>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12/31/2003</w:t>
            </w:r>
          </w:p>
        </w:tc>
        <w:tc>
          <w:tcPr>
            <w:tcW w:w="2209" w:type="dxa"/>
            <w:tcBorders>
              <w:top w:val="nil"/>
              <w:left w:val="nil"/>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$218,079.43</w:t>
            </w:r>
          </w:p>
        </w:tc>
      </w:tr>
      <w:tr w:rsidR="00B96FCC" w:rsidRPr="00B96FCC" w:rsidTr="00172995">
        <w:trPr>
          <w:trHeight w:val="300"/>
          <w:jc w:val="center"/>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12/31/2004</w:t>
            </w:r>
          </w:p>
        </w:tc>
        <w:tc>
          <w:tcPr>
            <w:tcW w:w="2209" w:type="dxa"/>
            <w:tcBorders>
              <w:top w:val="nil"/>
              <w:left w:val="nil"/>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$104,116.22</w:t>
            </w:r>
          </w:p>
        </w:tc>
      </w:tr>
      <w:tr w:rsidR="00B96FCC" w:rsidRPr="00B96FCC" w:rsidTr="00172995">
        <w:trPr>
          <w:trHeight w:val="300"/>
          <w:jc w:val="center"/>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12/30/2005</w:t>
            </w:r>
          </w:p>
        </w:tc>
        <w:tc>
          <w:tcPr>
            <w:tcW w:w="2209" w:type="dxa"/>
            <w:tcBorders>
              <w:top w:val="nil"/>
              <w:left w:val="nil"/>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$22,545.34</w:t>
            </w:r>
          </w:p>
        </w:tc>
      </w:tr>
      <w:tr w:rsidR="00B96FCC" w:rsidRPr="00B96FCC" w:rsidTr="00172995">
        <w:trPr>
          <w:trHeight w:val="300"/>
          <w:jc w:val="center"/>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12/29/2006</w:t>
            </w:r>
          </w:p>
        </w:tc>
        <w:tc>
          <w:tcPr>
            <w:tcW w:w="2209" w:type="dxa"/>
            <w:tcBorders>
              <w:top w:val="nil"/>
              <w:left w:val="nil"/>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$17,767.58</w:t>
            </w:r>
          </w:p>
        </w:tc>
      </w:tr>
      <w:tr w:rsidR="00B96FCC" w:rsidRPr="00B96FCC" w:rsidTr="00172995">
        <w:trPr>
          <w:trHeight w:val="300"/>
          <w:jc w:val="center"/>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12/31/2007</w:t>
            </w:r>
          </w:p>
        </w:tc>
        <w:tc>
          <w:tcPr>
            <w:tcW w:w="2209" w:type="dxa"/>
            <w:tcBorders>
              <w:top w:val="nil"/>
              <w:left w:val="nil"/>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$17,965.80</w:t>
            </w:r>
          </w:p>
        </w:tc>
      </w:tr>
      <w:tr w:rsidR="00B96FCC" w:rsidRPr="00B96FCC" w:rsidTr="00172995">
        <w:trPr>
          <w:trHeight w:val="300"/>
          <w:jc w:val="center"/>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12/31/2008</w:t>
            </w:r>
          </w:p>
        </w:tc>
        <w:tc>
          <w:tcPr>
            <w:tcW w:w="2209" w:type="dxa"/>
            <w:tcBorders>
              <w:top w:val="nil"/>
              <w:left w:val="nil"/>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$14,014.19</w:t>
            </w:r>
          </w:p>
        </w:tc>
      </w:tr>
      <w:tr w:rsidR="00B96FCC" w:rsidRPr="00B96FCC" w:rsidTr="00172995">
        <w:trPr>
          <w:trHeight w:val="300"/>
          <w:jc w:val="center"/>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12/31/2009</w:t>
            </w:r>
          </w:p>
        </w:tc>
        <w:tc>
          <w:tcPr>
            <w:tcW w:w="2209" w:type="dxa"/>
            <w:tcBorders>
              <w:top w:val="nil"/>
              <w:left w:val="nil"/>
              <w:bottom w:val="single" w:sz="4" w:space="0" w:color="auto"/>
              <w:right w:val="single" w:sz="4" w:space="0" w:color="auto"/>
            </w:tcBorders>
            <w:shd w:val="clear" w:color="auto" w:fill="auto"/>
            <w:noWrap/>
            <w:vAlign w:val="bottom"/>
            <w:hideMark/>
          </w:tcPr>
          <w:p w:rsidR="00B96FCC" w:rsidRPr="00EB6915" w:rsidRDefault="00B96FCC" w:rsidP="00EB6915">
            <w:pPr>
              <w:spacing w:before="120" w:after="120" w:line="240" w:lineRule="auto"/>
              <w:jc w:val="center"/>
              <w:rPr>
                <w:color w:val="000000"/>
              </w:rPr>
            </w:pPr>
            <w:r w:rsidRPr="00EB6915">
              <w:rPr>
                <w:color w:val="000000"/>
              </w:rPr>
              <w:t>$9,039.75</w:t>
            </w:r>
          </w:p>
        </w:tc>
      </w:tr>
    </w:tbl>
    <w:p w:rsidR="00B96FCC" w:rsidRDefault="00B96FCC" w:rsidP="00172995"/>
    <w:p w:rsidR="00B96FCC" w:rsidRDefault="00B96FCC" w:rsidP="00172995">
      <w:pPr>
        <w:ind w:firstLine="720"/>
      </w:pPr>
      <w:r>
        <w:t xml:space="preserve">The record contains </w:t>
      </w:r>
      <w:r w:rsidR="007F64DB">
        <w:t>almost no</w:t>
      </w:r>
      <w:r>
        <w:t xml:space="preserve"> details of the purposes for which Jordan made </w:t>
      </w:r>
      <w:r w:rsidR="00EC3BB8">
        <w:t>the</w:t>
      </w:r>
      <w:r>
        <w:t xml:space="preserve"> disbursements</w:t>
      </w:r>
      <w:r w:rsidR="007F64DB">
        <w:t xml:space="preserve"> from Castillo’s funds</w:t>
      </w:r>
      <w:r>
        <w:t xml:space="preserve">.  However, </w:t>
      </w:r>
      <w:r w:rsidR="00EB683E">
        <w:t>Jordan</w:t>
      </w:r>
      <w:r>
        <w:t xml:space="preserve"> did convert some of these funds to a real estate investment in an entity, Western States, </w:t>
      </w:r>
      <w:r w:rsidR="00EB683E">
        <w:t>that</w:t>
      </w:r>
      <w:r>
        <w:t xml:space="preserve"> Jordan </w:t>
      </w:r>
      <w:r w:rsidR="004A44A5">
        <w:t xml:space="preserve">used </w:t>
      </w:r>
      <w:r>
        <w:t xml:space="preserve">to purchase realty.  Although </w:t>
      </w:r>
      <w:r w:rsidR="00EB683E">
        <w:t>he</w:t>
      </w:r>
      <w:r>
        <w:t xml:space="preserve"> mentioned </w:t>
      </w:r>
      <w:r w:rsidR="00775E6E">
        <w:t xml:space="preserve">to Castillo the </w:t>
      </w:r>
      <w:r>
        <w:t>possible investment of the</w:t>
      </w:r>
      <w:r w:rsidR="00372F8F">
        <w:t xml:space="preserve"> settlement</w:t>
      </w:r>
      <w:r w:rsidR="00775E6E">
        <w:t xml:space="preserve"> </w:t>
      </w:r>
      <w:r>
        <w:t>funds, Castillo never authorized these funds to be invested.</w:t>
      </w:r>
      <w:r w:rsidR="00484F4E">
        <w:t xml:space="preserve"> </w:t>
      </w:r>
    </w:p>
    <w:p w:rsidR="00584B89" w:rsidRDefault="009F2731" w:rsidP="00172995">
      <w:pPr>
        <w:ind w:firstLine="720"/>
      </w:pPr>
      <w:r>
        <w:t xml:space="preserve">In </w:t>
      </w:r>
      <w:r w:rsidR="00EB683E">
        <w:t>the s</w:t>
      </w:r>
      <w:r>
        <w:t>ummer</w:t>
      </w:r>
      <w:r w:rsidR="00EB683E">
        <w:t xml:space="preserve"> of</w:t>
      </w:r>
      <w:r>
        <w:t xml:space="preserve"> 2003</w:t>
      </w:r>
      <w:r w:rsidR="00EB683E">
        <w:t>,</w:t>
      </w:r>
      <w:r>
        <w:t xml:space="preserve"> Desert Medical Group sued Castillo for the $274,304 it believed was available to settle </w:t>
      </w:r>
      <w:r w:rsidR="00387CF5">
        <w:t>his</w:t>
      </w:r>
      <w:r>
        <w:t xml:space="preserve"> medical bills. </w:t>
      </w:r>
      <w:r w:rsidR="00616061">
        <w:t xml:space="preserve"> </w:t>
      </w:r>
      <w:r>
        <w:t>In June 2004</w:t>
      </w:r>
      <w:r w:rsidR="00387CF5">
        <w:t>,</w:t>
      </w:r>
      <w:r>
        <w:t xml:space="preserve"> Jordan filed a cross-complaint on behalf of Castillo.  During this litigation, Juan Castillo called Jordan monthly to ask about progress in resolving</w:t>
      </w:r>
      <w:r w:rsidR="00387CF5">
        <w:t xml:space="preserve"> the medical expense dispute.  </w:t>
      </w:r>
      <w:r>
        <w:t xml:space="preserve">Each time, </w:t>
      </w:r>
      <w:r w:rsidR="00136B93">
        <w:t>Jordan told Juan that he was working on it. By 2006</w:t>
      </w:r>
      <w:r w:rsidR="00387CF5">
        <w:t>,</w:t>
      </w:r>
      <w:r w:rsidR="00136B93">
        <w:t xml:space="preserve"> Juan Castillo found it increasingly difficult to reach Jordan and asked Joseph Jordan to intervene.  Joseph spoke to </w:t>
      </w:r>
      <w:r w:rsidR="00387CF5">
        <w:t>Jordan</w:t>
      </w:r>
      <w:r w:rsidR="00136B93">
        <w:t xml:space="preserve"> about Juan Castillo’s concerns but was rebuffed.  Joseph then suggested to Juan that </w:t>
      </w:r>
      <w:r w:rsidR="00387CF5">
        <w:t>Castillo</w:t>
      </w:r>
      <w:r w:rsidR="00136B93">
        <w:t xml:space="preserve"> should seek other counsel in place of Jordan</w:t>
      </w:r>
      <w:r w:rsidR="00387CF5">
        <w:t>.</w:t>
      </w:r>
      <w:r w:rsidR="00047765">
        <w:rPr>
          <w:rStyle w:val="FootnoteReference"/>
        </w:rPr>
        <w:footnoteReference w:id="5"/>
      </w:r>
      <w:r w:rsidR="00136B93">
        <w:t xml:space="preserve"> </w:t>
      </w:r>
    </w:p>
    <w:p w:rsidR="009F2731" w:rsidRDefault="00584B89" w:rsidP="00172995">
      <w:pPr>
        <w:ind w:firstLine="720"/>
      </w:pPr>
      <w:r>
        <w:t xml:space="preserve">In 2006, Castillo </w:t>
      </w:r>
      <w:r w:rsidR="00B642C4">
        <w:t>terminated Jordan’s legal services and</w:t>
      </w:r>
      <w:r>
        <w:t xml:space="preserve"> hire</w:t>
      </w:r>
      <w:r w:rsidR="00B642C4">
        <w:t>d</w:t>
      </w:r>
      <w:r>
        <w:t xml:space="preserve"> new counsel, Michael Kaiser, </w:t>
      </w:r>
      <w:r w:rsidR="00B642C4">
        <w:t>to represent him in the Desert Medical Group litigation as well as to secure an accounting</w:t>
      </w:r>
      <w:r w:rsidR="00886697">
        <w:t>,</w:t>
      </w:r>
      <w:r w:rsidR="00B642C4">
        <w:t xml:space="preserve"> obtain the </w:t>
      </w:r>
      <w:r w:rsidR="00372F8F">
        <w:t xml:space="preserve">remaining settlement </w:t>
      </w:r>
      <w:r w:rsidR="00B642C4">
        <w:t xml:space="preserve">funds </w:t>
      </w:r>
      <w:r w:rsidR="00616061">
        <w:t xml:space="preserve">from </w:t>
      </w:r>
      <w:r w:rsidR="00B642C4">
        <w:t xml:space="preserve">Jordan </w:t>
      </w:r>
      <w:r w:rsidR="00886697">
        <w:t>and discharge Jor</w:t>
      </w:r>
      <w:r w:rsidR="00372F8F">
        <w:t>dan as trustee of the Castillo Family T</w:t>
      </w:r>
      <w:r w:rsidR="00886697">
        <w:t>rust</w:t>
      </w:r>
      <w:r w:rsidR="00B642C4">
        <w:t xml:space="preserve">.  Kaiser was unsuccessful in seeking Jordan’s substitution out of the litigation and was required to seek a court order to force </w:t>
      </w:r>
      <w:r w:rsidR="00886697">
        <w:t xml:space="preserve">that </w:t>
      </w:r>
      <w:r w:rsidR="00B642C4">
        <w:t xml:space="preserve">substitution.  </w:t>
      </w:r>
      <w:r w:rsidR="00372F8F">
        <w:t xml:space="preserve">Despite repeated requests, </w:t>
      </w:r>
      <w:r w:rsidR="00B642C4">
        <w:t xml:space="preserve">Jordan also failed to send </w:t>
      </w:r>
      <w:r w:rsidR="00616061">
        <w:t xml:space="preserve">his file to </w:t>
      </w:r>
      <w:r w:rsidR="00B642C4">
        <w:t xml:space="preserve">Kaiser and </w:t>
      </w:r>
      <w:r w:rsidR="002809E2">
        <w:t xml:space="preserve">neither </w:t>
      </w:r>
      <w:r w:rsidR="00B642C4">
        <w:t>furnished a</w:t>
      </w:r>
      <w:r w:rsidR="00372F8F">
        <w:t>n</w:t>
      </w:r>
      <w:r w:rsidR="00387CF5">
        <w:t xml:space="preserve"> </w:t>
      </w:r>
      <w:r w:rsidR="00B642C4">
        <w:t>accounting nor tendered the balance of the</w:t>
      </w:r>
      <w:r w:rsidR="00372F8F">
        <w:t xml:space="preserve"> settlement</w:t>
      </w:r>
      <w:r w:rsidR="00B642C4">
        <w:t xml:space="preserve"> funds.</w:t>
      </w:r>
      <w:r w:rsidR="00387CF5">
        <w:t xml:space="preserve"> </w:t>
      </w:r>
      <w:r w:rsidR="00B642C4">
        <w:t xml:space="preserve"> </w:t>
      </w:r>
      <w:r w:rsidR="00886697">
        <w:t xml:space="preserve">Jordan was removed as trustee of the Castillo </w:t>
      </w:r>
      <w:r w:rsidR="00372F8F">
        <w:t>F</w:t>
      </w:r>
      <w:r w:rsidR="00886697">
        <w:t xml:space="preserve">amily </w:t>
      </w:r>
      <w:r w:rsidR="00372F8F">
        <w:t>T</w:t>
      </w:r>
      <w:r w:rsidR="00886697">
        <w:t xml:space="preserve">rust and Juan Castillo was appointed successor trustee. </w:t>
      </w:r>
    </w:p>
    <w:p w:rsidR="00B642C4" w:rsidRDefault="00B642C4" w:rsidP="00172995">
      <w:pPr>
        <w:ind w:firstLine="720"/>
      </w:pPr>
      <w:r>
        <w:t xml:space="preserve">Kaiser succeeded in resolving the Desert Medical Group litigation by Desert’s agreement to accept $162,000 of any funds recovered from Jordan.  However, as noted, no funds </w:t>
      </w:r>
      <w:r w:rsidR="00616061">
        <w:t xml:space="preserve">have </w:t>
      </w:r>
      <w:r>
        <w:t>ever</w:t>
      </w:r>
      <w:r w:rsidR="00616061">
        <w:t xml:space="preserve"> been </w:t>
      </w:r>
      <w:r>
        <w:t xml:space="preserve">recovered from </w:t>
      </w:r>
      <w:r w:rsidR="00387CF5">
        <w:t>Jordan.  T</w:t>
      </w:r>
      <w:r>
        <w:t xml:space="preserve">he </w:t>
      </w:r>
      <w:r w:rsidR="00372F8F">
        <w:t>CTA</w:t>
      </w:r>
      <w:r>
        <w:t xml:space="preserve"> records in evidence showed that the account balance </w:t>
      </w:r>
      <w:r w:rsidR="00387CF5">
        <w:t>at the time of th</w:t>
      </w:r>
      <w:r w:rsidR="00616061">
        <w:t xml:space="preserve">e </w:t>
      </w:r>
      <w:r w:rsidR="00387CF5">
        <w:t>settlement was</w:t>
      </w:r>
      <w:r>
        <w:t xml:space="preserve"> only about ten percent of </w:t>
      </w:r>
      <w:r w:rsidR="00387CF5">
        <w:t>the amount</w:t>
      </w:r>
      <w:r>
        <w:t xml:space="preserve"> Desert had agreed to accept.  </w:t>
      </w:r>
    </w:p>
    <w:p w:rsidR="00B642C4" w:rsidRDefault="00B642C4" w:rsidP="00172995">
      <w:pPr>
        <w:ind w:firstLine="720"/>
      </w:pPr>
      <w:r>
        <w:t>From these findings, the hearing judge concluded</w:t>
      </w:r>
      <w:r w:rsidR="00387CF5">
        <w:t>, and we agree,</w:t>
      </w:r>
      <w:r>
        <w:t xml:space="preserve"> that </w:t>
      </w:r>
      <w:r w:rsidR="00354FE8">
        <w:t>Jordan</w:t>
      </w:r>
      <w:r w:rsidR="00387CF5">
        <w:t xml:space="preserve"> </w:t>
      </w:r>
      <w:r w:rsidR="00354FE8">
        <w:t>willfully</w:t>
      </w:r>
      <w:r w:rsidR="00065760">
        <w:t xml:space="preserve">:  </w:t>
      </w:r>
      <w:r w:rsidR="00354FE8">
        <w:t xml:space="preserve"> violated rule 4-100(A) of the Rules of Professional Conduct</w:t>
      </w:r>
      <w:r w:rsidR="00387CF5">
        <w:rPr>
          <w:rStyle w:val="FootnoteReference"/>
        </w:rPr>
        <w:footnoteReference w:id="6"/>
      </w:r>
      <w:r w:rsidR="00354FE8">
        <w:t xml:space="preserve"> by failing to maintain Castillo’s funds in </w:t>
      </w:r>
      <w:r w:rsidR="003810F5">
        <w:t>trust (Count 2)</w:t>
      </w:r>
      <w:r w:rsidR="00EB6915">
        <w:t>;</w:t>
      </w:r>
      <w:r w:rsidR="003810F5">
        <w:t xml:space="preserve"> violated </w:t>
      </w:r>
      <w:r w:rsidR="00387CF5">
        <w:t xml:space="preserve">section 6106 of the </w:t>
      </w:r>
      <w:r w:rsidR="003810F5">
        <w:t>Business and Professions Code</w:t>
      </w:r>
      <w:r w:rsidR="00387CF5">
        <w:t xml:space="preserve"> </w:t>
      </w:r>
      <w:r w:rsidR="003810F5">
        <w:t xml:space="preserve">by engaging in acts of moral turpitude by intentional and repeated misappropriation of funds (Count </w:t>
      </w:r>
      <w:r w:rsidR="009368B3">
        <w:t>3</w:t>
      </w:r>
      <w:r w:rsidR="003810F5">
        <w:t xml:space="preserve">); </w:t>
      </w:r>
      <w:r w:rsidR="009368B3">
        <w:t>failed to render Castillo an appropriate accounting as required by rule 4-100(B)(3) (Count 5)</w:t>
      </w:r>
      <w:r w:rsidR="00EB6915">
        <w:t>;</w:t>
      </w:r>
      <w:r w:rsidR="009368B3">
        <w:t xml:space="preserve"> and failed</w:t>
      </w:r>
      <w:r w:rsidR="00616061">
        <w:t xml:space="preserve"> </w:t>
      </w:r>
      <w:r w:rsidR="009368B3">
        <w:t>to release Castillo’s file when Castillo terminated Jordan’s representation, as required by rule 3-700(D)(1) (Count 6).</w:t>
      </w:r>
      <w:r w:rsidR="00387CF5">
        <w:rPr>
          <w:rStyle w:val="FootnoteReference"/>
        </w:rPr>
        <w:footnoteReference w:id="7"/>
      </w:r>
    </w:p>
    <w:p w:rsidR="00172995" w:rsidRDefault="00393530" w:rsidP="00172995">
      <w:pPr>
        <w:ind w:firstLine="720"/>
      </w:pPr>
      <w:r>
        <w:t>Recommending disbarment, the hearing judge found no mitigating circumstances surrounding Jordan’s misconduc</w:t>
      </w:r>
      <w:r w:rsidR="00616061">
        <w:t xml:space="preserve">t, but </w:t>
      </w:r>
      <w:r w:rsidR="00065760">
        <w:t xml:space="preserve">in aggravation considered the </w:t>
      </w:r>
      <w:r w:rsidR="00616061">
        <w:t xml:space="preserve">significant harm to Castillo, Jordan’s lack of insight and remorse, and most </w:t>
      </w:r>
      <w:r>
        <w:t>notably</w:t>
      </w:r>
      <w:r w:rsidR="00616061">
        <w:t>,</w:t>
      </w:r>
      <w:r>
        <w:t xml:space="preserve"> Jordan’s three prior </w:t>
      </w:r>
      <w:r w:rsidR="00616061">
        <w:t xml:space="preserve">records of </w:t>
      </w:r>
      <w:r w:rsidR="000D7597">
        <w:t>discipline</w:t>
      </w:r>
      <w:r w:rsidR="00616061">
        <w:t>.</w:t>
      </w:r>
      <w:r w:rsidR="00CD22B1">
        <w:rPr>
          <w:rStyle w:val="FootnoteReference"/>
        </w:rPr>
        <w:footnoteReference w:id="8"/>
      </w:r>
      <w:r w:rsidR="00CD22B1">
        <w:t xml:space="preserve">  We </w:t>
      </w:r>
      <w:r w:rsidR="00065760">
        <w:t xml:space="preserve">also </w:t>
      </w:r>
      <w:r w:rsidR="00CD22B1">
        <w:t>adopt these findings as they are amply supported by the record.</w:t>
      </w:r>
    </w:p>
    <w:p w:rsidR="007B0CFF" w:rsidRDefault="007B0CFF" w:rsidP="007B0CFF">
      <w:pPr>
        <w:jc w:val="center"/>
      </w:pPr>
      <w:r>
        <w:rPr>
          <w:b/>
        </w:rPr>
        <w:t xml:space="preserve">II.  </w:t>
      </w:r>
      <w:r w:rsidRPr="002E5B15">
        <w:rPr>
          <w:b/>
        </w:rPr>
        <w:t>DISCUSSION</w:t>
      </w:r>
    </w:p>
    <w:p w:rsidR="00B556D4" w:rsidRDefault="007B0CFF" w:rsidP="007B0CFF">
      <w:r>
        <w:rPr>
          <w:b/>
        </w:rPr>
        <w:t>A.</w:t>
      </w:r>
      <w:r>
        <w:rPr>
          <w:b/>
        </w:rPr>
        <w:tab/>
      </w:r>
      <w:r w:rsidRPr="007B0CFF">
        <w:rPr>
          <w:b/>
        </w:rPr>
        <w:t>C</w:t>
      </w:r>
      <w:r w:rsidR="00616061">
        <w:rPr>
          <w:b/>
        </w:rPr>
        <w:t>ulpability</w:t>
      </w:r>
    </w:p>
    <w:p w:rsidR="00676403" w:rsidRDefault="00676403" w:rsidP="00172995">
      <w:pPr>
        <w:ind w:firstLine="720"/>
      </w:pPr>
      <w:r>
        <w:t xml:space="preserve">Jordan argues </w:t>
      </w:r>
      <w:r w:rsidR="00F504FE">
        <w:t xml:space="preserve">broadly </w:t>
      </w:r>
      <w:r w:rsidR="006A7114">
        <w:t xml:space="preserve">that </w:t>
      </w:r>
      <w:r w:rsidR="00F504FE">
        <w:t xml:space="preserve">the evidence </w:t>
      </w:r>
      <w:r w:rsidR="001B2FD3">
        <w:t xml:space="preserve">fails to support the hearing judge’s findings, particularly as to the misappropriation of Castillo’s funds.  Jordan’s chief argument here is that the hearing judge failed to properly consider the effects of the law of trusts and that Castillo agreed to place the funds at issue in his irrevocable </w:t>
      </w:r>
      <w:r w:rsidR="00372F8F">
        <w:t xml:space="preserve">family </w:t>
      </w:r>
      <w:r w:rsidR="001B2FD3">
        <w:t>trust.  Jordan’s claims are without merit and patently mis</w:t>
      </w:r>
      <w:r w:rsidR="00372F8F">
        <w:t>interpret</w:t>
      </w:r>
      <w:r w:rsidR="001B2FD3">
        <w:t xml:space="preserve"> </w:t>
      </w:r>
      <w:r w:rsidR="00CD22B1">
        <w:t>his</w:t>
      </w:r>
      <w:r w:rsidR="001B2FD3">
        <w:t xml:space="preserve"> fiduciary duties to Castillo.</w:t>
      </w:r>
      <w:r w:rsidR="00F5493B">
        <w:t xml:space="preserve"> </w:t>
      </w:r>
    </w:p>
    <w:p w:rsidR="001B2FD3" w:rsidRDefault="001B2FD3" w:rsidP="00172995">
      <w:pPr>
        <w:ind w:firstLine="720"/>
      </w:pPr>
      <w:r>
        <w:t xml:space="preserve">Jordan was Castillo’s attorney in representing him in the accident, </w:t>
      </w:r>
      <w:r w:rsidR="005A3833">
        <w:t>in holding</w:t>
      </w:r>
      <w:r>
        <w:t xml:space="preserve"> over $200,000 of undistributed funds admittedly in</w:t>
      </w:r>
      <w:r w:rsidR="000D7597">
        <w:t xml:space="preserve"> CTA</w:t>
      </w:r>
      <w:r>
        <w:t xml:space="preserve"> for Castillo</w:t>
      </w:r>
      <w:r w:rsidR="00F5493B">
        <w:t>,</w:t>
      </w:r>
      <w:r>
        <w:t xml:space="preserve"> and</w:t>
      </w:r>
      <w:r w:rsidR="00F5493B">
        <w:t xml:space="preserve"> </w:t>
      </w:r>
      <w:r>
        <w:t xml:space="preserve">in drafting </w:t>
      </w:r>
      <w:r w:rsidR="00F5493B">
        <w:t xml:space="preserve">the </w:t>
      </w:r>
      <w:r>
        <w:t>Castillo family trust agreement.  As such, Jordan owed Castillo the ultimate duty of good faith an</w:t>
      </w:r>
      <w:r w:rsidR="007107D3">
        <w:t>d fidelity</w:t>
      </w:r>
      <w:r>
        <w:t xml:space="preserve"> in whatever capacity Jordan acted, </w:t>
      </w:r>
      <w:r w:rsidR="006D741E">
        <w:t>including</w:t>
      </w:r>
      <w:r>
        <w:t xml:space="preserve"> when he acted as trustee</w:t>
      </w:r>
      <w:r w:rsidR="00F5493B">
        <w:t xml:space="preserve"> of the Castillo </w:t>
      </w:r>
      <w:r w:rsidR="00372F8F">
        <w:t>Family T</w:t>
      </w:r>
      <w:r w:rsidR="00F5493B">
        <w:t>rust</w:t>
      </w:r>
      <w:r>
        <w:t xml:space="preserve">.  </w:t>
      </w:r>
      <w:r w:rsidR="00DC678A">
        <w:t xml:space="preserve">These principles have been established in this state for decades.  </w:t>
      </w:r>
      <w:r>
        <w:t>(</w:t>
      </w:r>
      <w:r w:rsidR="00F5493B">
        <w:t>E.g.,</w:t>
      </w:r>
      <w:r w:rsidR="005A3833">
        <w:t xml:space="preserve"> </w:t>
      </w:r>
      <w:r w:rsidR="005A3833">
        <w:rPr>
          <w:i/>
        </w:rPr>
        <w:t>Clancy v. State Bar</w:t>
      </w:r>
      <w:r w:rsidR="005A3833">
        <w:t xml:space="preserve"> (1969) 71 Cal.2d 140, 146-147;</w:t>
      </w:r>
      <w:r w:rsidR="00F5493B">
        <w:t xml:space="preserve"> </w:t>
      </w:r>
      <w:r w:rsidR="006D741E">
        <w:rPr>
          <w:i/>
        </w:rPr>
        <w:t>Johnstone v. State Bar</w:t>
      </w:r>
      <w:r w:rsidR="006D741E">
        <w:t xml:space="preserve"> (1966) 64 Cal.2d 153, 15</w:t>
      </w:r>
      <w:r w:rsidR="000D7597">
        <w:t>5-156</w:t>
      </w:r>
      <w:r w:rsidR="006D741E">
        <w:t xml:space="preserve">, and cases cited [attorney who received money for </w:t>
      </w:r>
      <w:r w:rsidR="00F5493B">
        <w:t xml:space="preserve">benefit of third-party </w:t>
      </w:r>
      <w:r w:rsidR="006D741E">
        <w:t>in other than attorney</w:t>
      </w:r>
      <w:r w:rsidR="00F5493B">
        <w:t>-client relationship held to fiduciary duty to beneficiary</w:t>
      </w:r>
      <w:r w:rsidR="005A3833">
        <w:t>]</w:t>
      </w:r>
      <w:r w:rsidR="00F5493B">
        <w:t>;</w:t>
      </w:r>
      <w:r w:rsidR="00F5493B" w:rsidRPr="00F5493B">
        <w:t xml:space="preserve"> </w:t>
      </w:r>
      <w:r w:rsidR="00F5493B">
        <w:rPr>
          <w:i/>
        </w:rPr>
        <w:t>Marsh v. State Bar</w:t>
      </w:r>
      <w:r w:rsidR="00F5493B">
        <w:t xml:space="preserve"> (1930) 210 Cal. 303, 307 [breach of basic duty of fidelity owed to client can constitute </w:t>
      </w:r>
      <w:r w:rsidR="00926A2A">
        <w:t xml:space="preserve">act of </w:t>
      </w:r>
      <w:r w:rsidR="00F5493B">
        <w:t>moral turpitude]</w:t>
      </w:r>
      <w:r>
        <w:t>.</w:t>
      </w:r>
      <w:r w:rsidR="00D26864">
        <w:t>)</w:t>
      </w:r>
      <w:r>
        <w:t xml:space="preserve">  </w:t>
      </w:r>
    </w:p>
    <w:p w:rsidR="00DC678A" w:rsidRDefault="00DC678A" w:rsidP="00172995">
      <w:pPr>
        <w:ind w:firstLine="720"/>
      </w:pPr>
      <w:r>
        <w:t>More narrowly, Jordan’s arguments citing the law of trus</w:t>
      </w:r>
      <w:r w:rsidR="00372F8F">
        <w:t xml:space="preserve">ts are unavailing for two </w:t>
      </w:r>
      <w:r>
        <w:t xml:space="preserve">reasons.  First, the </w:t>
      </w:r>
      <w:r w:rsidR="00372F8F">
        <w:t>settlement</w:t>
      </w:r>
      <w:r>
        <w:t xml:space="preserve"> funds held by Jordan </w:t>
      </w:r>
      <w:r w:rsidR="00953752">
        <w:t xml:space="preserve">for Castillo </w:t>
      </w:r>
      <w:r>
        <w:t>were never i</w:t>
      </w:r>
      <w:r w:rsidR="00372F8F">
        <w:t>ncluded in the Castillo Family T</w:t>
      </w:r>
      <w:r>
        <w:t>rust</w:t>
      </w:r>
      <w:r w:rsidR="00953752">
        <w:t xml:space="preserve">.  Second, this is not a private civil proceeding to </w:t>
      </w:r>
      <w:r w:rsidR="0049212D">
        <w:t>decide</w:t>
      </w:r>
      <w:r w:rsidR="00953752">
        <w:t xml:space="preserve"> whether the parties fulfilled their duties under </w:t>
      </w:r>
      <w:r w:rsidR="0049212D">
        <w:t>a</w:t>
      </w:r>
      <w:r w:rsidR="00953752">
        <w:t xml:space="preserve"> trust agreement, but is an official proceeding to decide whether Jordan complied with his duties as an attorney and </w:t>
      </w:r>
      <w:r w:rsidR="00372F8F">
        <w:t>is</w:t>
      </w:r>
      <w:r w:rsidR="00953752">
        <w:t xml:space="preserve"> </w:t>
      </w:r>
      <w:r w:rsidR="001424AB">
        <w:t>entitled to practice</w:t>
      </w:r>
      <w:r w:rsidR="00953752">
        <w:t>. (</w:t>
      </w:r>
      <w:r w:rsidR="0049212D">
        <w:t xml:space="preserve">E.g., </w:t>
      </w:r>
      <w:r w:rsidR="00584F8F">
        <w:rPr>
          <w:i/>
        </w:rPr>
        <w:t xml:space="preserve">Cooper v. State </w:t>
      </w:r>
      <w:r w:rsidR="00584F8F" w:rsidRPr="000D7597">
        <w:rPr>
          <w:i/>
        </w:rPr>
        <w:t>Bar</w:t>
      </w:r>
      <w:r w:rsidR="00584F8F">
        <w:t xml:space="preserve"> (1987) 43 Cal.3d 1016, 1025</w:t>
      </w:r>
      <w:r w:rsidR="0049212D">
        <w:t>.)</w:t>
      </w:r>
    </w:p>
    <w:p w:rsidR="007B0CFF" w:rsidRDefault="00AA5FF1" w:rsidP="007B0CFF">
      <w:pPr>
        <w:ind w:firstLine="720"/>
      </w:pPr>
      <w:r>
        <w:t>There is clear and convincing evidence</w:t>
      </w:r>
      <w:r w:rsidR="006E2DBE">
        <w:t xml:space="preserve"> </w:t>
      </w:r>
      <w:r>
        <w:t xml:space="preserve">that Jordan is culpable of failing to ever provide an accounting </w:t>
      </w:r>
      <w:r w:rsidR="00676300">
        <w:t xml:space="preserve">of funds </w:t>
      </w:r>
      <w:r>
        <w:t xml:space="preserve">to Castillo </w:t>
      </w:r>
      <w:r w:rsidR="00676300">
        <w:t xml:space="preserve">or Castillo’s new counsel, </w:t>
      </w:r>
      <w:r>
        <w:t xml:space="preserve">despite </w:t>
      </w:r>
      <w:r w:rsidR="00676300">
        <w:t>repeated</w:t>
      </w:r>
      <w:r>
        <w:t xml:space="preserve"> requests, </w:t>
      </w:r>
      <w:r w:rsidR="00676300">
        <w:t xml:space="preserve">and </w:t>
      </w:r>
      <w:r>
        <w:t xml:space="preserve">of </w:t>
      </w:r>
      <w:r w:rsidR="006E2DBE">
        <w:t xml:space="preserve">failing to release Castillo’s file to new counsel on request. </w:t>
      </w:r>
      <w:r w:rsidR="007107D3">
        <w:t xml:space="preserve"> </w:t>
      </w:r>
      <w:r w:rsidR="006E2DBE">
        <w:t xml:space="preserve">The bank records establish beyond dispute that the funds </w:t>
      </w:r>
      <w:r w:rsidR="007107D3">
        <w:t>that</w:t>
      </w:r>
      <w:r w:rsidR="006E2DBE">
        <w:t xml:space="preserve"> Jordan conceded he held in</w:t>
      </w:r>
      <w:r w:rsidR="00372F8F">
        <w:t xml:space="preserve"> the CTA</w:t>
      </w:r>
      <w:r w:rsidR="00676300">
        <w:t xml:space="preserve"> for Castillo were depleted starting in December 2002.  Testimony of Castillo and </w:t>
      </w:r>
      <w:r w:rsidR="007107D3">
        <w:t xml:space="preserve">his </w:t>
      </w:r>
      <w:r w:rsidR="00676300">
        <w:t xml:space="preserve">new counsel established that they were never able to acquire these funds from Jordan. </w:t>
      </w:r>
      <w:r w:rsidR="007107D3">
        <w:t xml:space="preserve"> </w:t>
      </w:r>
      <w:r w:rsidR="00676300">
        <w:t xml:space="preserve">The bank records established a prima facie case of Jordan’s failure to comply with rule 4-100(A), and misappropriation of the </w:t>
      </w:r>
      <w:r w:rsidR="00372F8F">
        <w:t>settlement</w:t>
      </w:r>
      <w:r w:rsidR="00676300">
        <w:t xml:space="preserve"> funds held.  It is well settled that once Jordan’s </w:t>
      </w:r>
      <w:r w:rsidR="00372F8F">
        <w:t>CTA</w:t>
      </w:r>
      <w:r w:rsidR="00676300">
        <w:t xml:space="preserve"> balance fell below the required amount, an inference of misappropriation arose, and the burden shifted to Jordan to show that no misappropriation occurred.</w:t>
      </w:r>
      <w:r w:rsidR="007107D3">
        <w:t xml:space="preserve"> </w:t>
      </w:r>
      <w:r w:rsidR="00676300">
        <w:t xml:space="preserve"> (</w:t>
      </w:r>
      <w:r w:rsidR="00676300">
        <w:rPr>
          <w:i/>
        </w:rPr>
        <w:t>In the Matter of Sklar</w:t>
      </w:r>
      <w:r w:rsidR="00676300">
        <w:t xml:space="preserve"> (Review Dept. 1993)</w:t>
      </w:r>
      <w:r w:rsidR="00080A1B">
        <w:t xml:space="preserve"> 2 Cal. State Bar Ct. Rptr. 602</w:t>
      </w:r>
      <w:r w:rsidR="000D7597">
        <w:t xml:space="preserve">, 618; see also </w:t>
      </w:r>
      <w:r w:rsidR="000D7597">
        <w:rPr>
          <w:i/>
        </w:rPr>
        <w:t>Giovanazzi v. State Bar</w:t>
      </w:r>
      <w:r w:rsidR="000D7597">
        <w:t xml:space="preserve"> (1980) 28 Cal.3d 465, 474.</w:t>
      </w:r>
      <w:r w:rsidR="00080A1B">
        <w:t xml:space="preserve">) </w:t>
      </w:r>
      <w:r w:rsidR="00676300">
        <w:t xml:space="preserve"> Jordan chose silence </w:t>
      </w:r>
      <w:r w:rsidR="00A55A1C">
        <w:t xml:space="preserve">and has thus failed to rebut the strong evidence, including the </w:t>
      </w:r>
      <w:r w:rsidR="00080A1B">
        <w:t>testimony that neither Castillo,</w:t>
      </w:r>
      <w:r w:rsidR="00A55A1C">
        <w:t xml:space="preserve"> successor counsel</w:t>
      </w:r>
      <w:r w:rsidR="002E5B15">
        <w:t>, nor Desert Medical Group</w:t>
      </w:r>
      <w:r w:rsidR="00A55A1C">
        <w:t xml:space="preserve"> ever received any of these substantial funds.  </w:t>
      </w:r>
      <w:r w:rsidR="00CF1399">
        <w:t>Accordingly, we adopt the hearing judge’s findings and conclusions.</w:t>
      </w:r>
    </w:p>
    <w:p w:rsidR="00565CDB" w:rsidRPr="007B0CFF" w:rsidRDefault="007B0CFF" w:rsidP="007B0CFF">
      <w:r>
        <w:rPr>
          <w:b/>
        </w:rPr>
        <w:t>B.</w:t>
      </w:r>
      <w:r>
        <w:rPr>
          <w:b/>
        </w:rPr>
        <w:tab/>
        <w:t>P</w:t>
      </w:r>
      <w:r w:rsidR="00065760">
        <w:rPr>
          <w:b/>
        </w:rPr>
        <w:t>rocedural Claims</w:t>
      </w:r>
    </w:p>
    <w:p w:rsidR="00291649" w:rsidRDefault="00A55A1C" w:rsidP="00172995">
      <w:pPr>
        <w:ind w:firstLine="720"/>
      </w:pPr>
      <w:r>
        <w:t xml:space="preserve">Jordan </w:t>
      </w:r>
      <w:r w:rsidR="007722FC">
        <w:t>levies</w:t>
      </w:r>
      <w:r>
        <w:t xml:space="preserve"> a number of procedural claims.  First, he </w:t>
      </w:r>
      <w:r w:rsidR="006D12CF">
        <w:t xml:space="preserve">urges </w:t>
      </w:r>
      <w:r w:rsidR="00CB42F3">
        <w:t xml:space="preserve">that </w:t>
      </w:r>
      <w:r w:rsidR="006D12CF">
        <w:t xml:space="preserve">we should reverse the hearing judge’s order </w:t>
      </w:r>
      <w:r w:rsidR="007722FC">
        <w:t>enrolling him as an inactive member of the State Bar incident to</w:t>
      </w:r>
      <w:r w:rsidR="00291649">
        <w:t xml:space="preserve"> the </w:t>
      </w:r>
      <w:r w:rsidR="007722FC">
        <w:t xml:space="preserve">disbarment </w:t>
      </w:r>
      <w:r w:rsidR="00291649">
        <w:t>recommendation.</w:t>
      </w:r>
      <w:r w:rsidR="007107D3">
        <w:t xml:space="preserve"> </w:t>
      </w:r>
      <w:r w:rsidR="00291649">
        <w:t xml:space="preserve"> (Bus. &amp; Prof. Code, §</w:t>
      </w:r>
      <w:r w:rsidR="000D7597">
        <w:t xml:space="preserve"> </w:t>
      </w:r>
      <w:r w:rsidR="00291649">
        <w:t>6007</w:t>
      </w:r>
      <w:r w:rsidR="000D7597">
        <w:t xml:space="preserve">, subd. </w:t>
      </w:r>
      <w:r w:rsidR="00291649">
        <w:t>(c)(4).)  He also asks that we consider and examine his deposition taken by the State Bar, which was admittedly not “affirmatively used or admitted</w:t>
      </w:r>
      <w:r w:rsidR="00EB6915">
        <w:t>.</w:t>
      </w:r>
      <w:r w:rsidR="00291649">
        <w:t xml:space="preserve">”  We considered both of Jordan’s requests on an interlocutory basis shortly after </w:t>
      </w:r>
      <w:r w:rsidR="00DD426E">
        <w:t>Jordan</w:t>
      </w:r>
      <w:r w:rsidR="00291649">
        <w:t xml:space="preserve"> filed his opening brief on review and we denied them</w:t>
      </w:r>
      <w:r w:rsidR="00896A0B">
        <w:t xml:space="preserve"> in an order filed September 3, 2010</w:t>
      </w:r>
      <w:r w:rsidR="00291649">
        <w:t xml:space="preserve">.  We see no facts </w:t>
      </w:r>
      <w:r w:rsidR="00896A0B">
        <w:t>justifying a different result and we decline to vacate or modify our earlier order</w:t>
      </w:r>
      <w:r w:rsidR="00291649">
        <w:t>.</w:t>
      </w:r>
    </w:p>
    <w:p w:rsidR="00291649" w:rsidRDefault="00291649" w:rsidP="00172995">
      <w:pPr>
        <w:ind w:firstLine="720"/>
      </w:pPr>
      <w:r>
        <w:t xml:space="preserve">The reason Jordan seeks to have us consider his deposition is to bolster his highly generalized and unsubstantiated claim that the State Bar threatened criminal proceedings against </w:t>
      </w:r>
      <w:r w:rsidR="00EB6915">
        <w:t>him</w:t>
      </w:r>
      <w:r w:rsidR="00DD426E">
        <w:t>, causing</w:t>
      </w:r>
      <w:r>
        <w:t xml:space="preserve"> </w:t>
      </w:r>
      <w:r w:rsidR="0056121C">
        <w:t>him</w:t>
      </w:r>
      <w:r>
        <w:t xml:space="preserve"> to decide not to testify in his defense.  According to an offer of proof Jordan includes in his brief, h</w:t>
      </w:r>
      <w:r w:rsidR="0056121C">
        <w:t>e was entirely wi</w:t>
      </w:r>
      <w:r w:rsidR="00DD426E">
        <w:t>lling to testify in his defense</w:t>
      </w:r>
      <w:r w:rsidR="0056121C">
        <w:t xml:space="preserve"> until, he claims</w:t>
      </w:r>
      <w:r w:rsidR="00DD426E">
        <w:t>,</w:t>
      </w:r>
      <w:r w:rsidR="0056121C">
        <w:t xml:space="preserve"> </w:t>
      </w:r>
      <w:r>
        <w:t xml:space="preserve">the State Bar threatened to bring criminal charges against him based on the Castillo matter.  For several reasons, Jordan’s claims must fail. </w:t>
      </w:r>
    </w:p>
    <w:p w:rsidR="00A55A1C" w:rsidRDefault="00291649" w:rsidP="00172995">
      <w:pPr>
        <w:ind w:firstLine="720"/>
      </w:pPr>
      <w:r>
        <w:t xml:space="preserve">First, there is no evidence to </w:t>
      </w:r>
      <w:r w:rsidR="006110F0">
        <w:t>show</w:t>
      </w:r>
      <w:r>
        <w:t xml:space="preserve"> any threats</w:t>
      </w:r>
      <w:r w:rsidR="00372F8F">
        <w:t xml:space="preserve"> were made</w:t>
      </w:r>
      <w:r w:rsidR="00D77F20">
        <w:t xml:space="preserve"> </w:t>
      </w:r>
      <w:r w:rsidR="00DD426E">
        <w:t>to</w:t>
      </w:r>
      <w:r w:rsidR="006110F0">
        <w:t xml:space="preserve"> Jordan </w:t>
      </w:r>
      <w:r w:rsidR="00D77F20">
        <w:t>by the State Bar</w:t>
      </w:r>
      <w:r>
        <w:t xml:space="preserve">.  Moreover, </w:t>
      </w:r>
      <w:r w:rsidR="00D77F20">
        <w:t>since 1988,</w:t>
      </w:r>
      <w:r>
        <w:t xml:space="preserve"> </w:t>
      </w:r>
      <w:r w:rsidR="00D77F20">
        <w:t xml:space="preserve">state law has placed a </w:t>
      </w:r>
      <w:r w:rsidR="00D77F20" w:rsidRPr="00D77F20">
        <w:rPr>
          <w:i/>
        </w:rPr>
        <w:t>duty</w:t>
      </w:r>
      <w:r w:rsidR="00D77F20">
        <w:t xml:space="preserve"> on the State Bar to disclose to criminal law </w:t>
      </w:r>
      <w:r w:rsidR="000D7597">
        <w:t xml:space="preserve">enforcement </w:t>
      </w:r>
      <w:r w:rsidR="00D77F20">
        <w:t>authorities even confidential information concerning a member of the State Bar</w:t>
      </w:r>
      <w:r w:rsidR="00BA71ED">
        <w:t xml:space="preserve"> who allegedly commits</w:t>
      </w:r>
      <w:r w:rsidR="00D77F20">
        <w:t xml:space="preserve"> a crime in the practice of law or such that </w:t>
      </w:r>
      <w:r w:rsidR="00BA71ED">
        <w:t>the attorney’s</w:t>
      </w:r>
      <w:r w:rsidR="00D77F20">
        <w:t xml:space="preserve"> client was a victim. (Bus. &amp; Prof. Code, § 6044.5.)  Thus</w:t>
      </w:r>
      <w:r w:rsidR="00DD426E">
        <w:t>,</w:t>
      </w:r>
      <w:r w:rsidR="00D77F20">
        <w:t xml:space="preserve"> the State Bar would have been required to report the facts in the Castillo matter to law enforcement authorities had </w:t>
      </w:r>
      <w:r w:rsidR="00DD426E">
        <w:t>it</w:t>
      </w:r>
      <w:r w:rsidR="00D77F20">
        <w:t xml:space="preserve"> determined that those facts formed the basis of </w:t>
      </w:r>
      <w:r w:rsidR="00BA71ED">
        <w:t>criminal charges.</w:t>
      </w:r>
    </w:p>
    <w:p w:rsidR="0081506E" w:rsidRDefault="0081506E" w:rsidP="00172995">
      <w:pPr>
        <w:ind w:firstLine="720"/>
      </w:pPr>
      <w:r>
        <w:t xml:space="preserve">To the extent that Jordan seeks to </w:t>
      </w:r>
      <w:r w:rsidR="00DA37AB">
        <w:t xml:space="preserve">justify or </w:t>
      </w:r>
      <w:r>
        <w:t xml:space="preserve">excuse his failure to testify in defense of the hearings, or claim that unfairness occurred because of it, </w:t>
      </w:r>
      <w:r w:rsidR="0001288B">
        <w:t>his</w:t>
      </w:r>
      <w:r>
        <w:t xml:space="preserve"> claims are wit</w:t>
      </w:r>
      <w:r w:rsidR="00DD426E">
        <w:t xml:space="preserve">hout any merit.  It is well </w:t>
      </w:r>
      <w:r>
        <w:t xml:space="preserve">settled that an accused attorney in a disciplinary proceeding may </w:t>
      </w:r>
      <w:r w:rsidR="00BA71ED">
        <w:t>invoke the privilege against self-incrimination</w:t>
      </w:r>
      <w:r w:rsidR="008514BB">
        <w:t xml:space="preserve"> </w:t>
      </w:r>
      <w:r w:rsidR="00BA71ED">
        <w:t>in response to</w:t>
      </w:r>
      <w:r w:rsidR="00DA37AB">
        <w:t xml:space="preserve"> </w:t>
      </w:r>
      <w:r>
        <w:t>specific questions</w:t>
      </w:r>
      <w:r w:rsidR="003C5584">
        <w:t xml:space="preserve"> if his testimony may </w:t>
      </w:r>
      <w:r w:rsidR="00BA71ED">
        <w:t xml:space="preserve">jeopardize </w:t>
      </w:r>
      <w:r w:rsidR="003C5584">
        <w:t>him in criminal proceedings; but</w:t>
      </w:r>
      <w:r w:rsidR="000D7597">
        <w:t>,</w:t>
      </w:r>
      <w:r w:rsidR="003C5584">
        <w:t xml:space="preserve"> that attorney has no general immunity from testifying before the State Bar Court as would a defendant in a criminal trial. (</w:t>
      </w:r>
      <w:r w:rsidR="003C5584" w:rsidRPr="00DA37AB">
        <w:rPr>
          <w:i/>
        </w:rPr>
        <w:t>Black v. State Bar</w:t>
      </w:r>
      <w:r w:rsidR="003C5584">
        <w:t xml:space="preserve"> (1972) </w:t>
      </w:r>
      <w:r w:rsidR="000D7597">
        <w:t>7</w:t>
      </w:r>
      <w:r w:rsidR="003C5584">
        <w:t xml:space="preserve"> Cal.3d 676, 688.)  As Jordan chose to completely decline to testify, he cannot now complain of error after the hearing judge has rendered his decision. </w:t>
      </w:r>
    </w:p>
    <w:p w:rsidR="007B0CFF" w:rsidRDefault="00DA37AB" w:rsidP="007B0CFF">
      <w:pPr>
        <w:ind w:firstLine="720"/>
      </w:pPr>
      <w:r>
        <w:t>Jordan’s claim that his counsel acted incompetently in defending him at trial</w:t>
      </w:r>
      <w:r w:rsidR="00D202DF">
        <w:t xml:space="preserve"> </w:t>
      </w:r>
      <w:r w:rsidR="00372F8F">
        <w:t xml:space="preserve">is </w:t>
      </w:r>
      <w:r w:rsidR="00D202DF">
        <w:t xml:space="preserve">also </w:t>
      </w:r>
      <w:r w:rsidR="00372F8F">
        <w:t>without merit</w:t>
      </w:r>
      <w:r>
        <w:t xml:space="preserve">. </w:t>
      </w:r>
      <w:r w:rsidR="000D7597">
        <w:t xml:space="preserve"> </w:t>
      </w:r>
      <w:r>
        <w:t xml:space="preserve">Not only is Jordan’s claim highly generalized and </w:t>
      </w:r>
      <w:r w:rsidR="0001288B">
        <w:t>unsupported, it is at odds with our independent review of the record which shows counsel’s vigorous defense of Jordan’s interest</w:t>
      </w:r>
      <w:r w:rsidR="00D202DF">
        <w:t>s</w:t>
      </w:r>
      <w:r w:rsidR="0001288B">
        <w:t xml:space="preserve"> while counsel represented Jordan below.</w:t>
      </w:r>
      <w:r w:rsidR="0001288B">
        <w:rPr>
          <w:rStyle w:val="FootnoteReference"/>
        </w:rPr>
        <w:footnoteReference w:id="9"/>
      </w:r>
    </w:p>
    <w:p w:rsidR="00393530" w:rsidRDefault="007B0CFF" w:rsidP="007B0CFF">
      <w:r>
        <w:rPr>
          <w:b/>
        </w:rPr>
        <w:t>C.</w:t>
      </w:r>
      <w:r>
        <w:rPr>
          <w:b/>
        </w:rPr>
        <w:tab/>
      </w:r>
      <w:r w:rsidR="00065760">
        <w:rPr>
          <w:b/>
        </w:rPr>
        <w:t>D</w:t>
      </w:r>
      <w:r w:rsidR="00065760" w:rsidRPr="00C70230">
        <w:rPr>
          <w:b/>
        </w:rPr>
        <w:t xml:space="preserve">egree of </w:t>
      </w:r>
      <w:r w:rsidR="00065760">
        <w:rPr>
          <w:b/>
        </w:rPr>
        <w:t>D</w:t>
      </w:r>
      <w:r w:rsidR="00065760" w:rsidRPr="00C70230">
        <w:rPr>
          <w:b/>
        </w:rPr>
        <w:t>iscipline</w:t>
      </w:r>
    </w:p>
    <w:p w:rsidR="00676403" w:rsidRDefault="00676403" w:rsidP="00172995">
      <w:pPr>
        <w:ind w:firstLine="720"/>
      </w:pPr>
      <w:r>
        <w:t>Whether we look at the Standards for Attorney Sanctions for Professional Misconduct,</w:t>
      </w:r>
      <w:r w:rsidR="000D7597">
        <w:rPr>
          <w:rStyle w:val="FootnoteReference"/>
        </w:rPr>
        <w:footnoteReference w:id="10"/>
      </w:r>
      <w:r>
        <w:t xml:space="preserve"> (</w:t>
      </w:r>
      <w:r w:rsidR="00065760">
        <w:t>s</w:t>
      </w:r>
      <w:r>
        <w:t xml:space="preserve">tandards) or decisional law, it requires little research and discussion to </w:t>
      </w:r>
      <w:r w:rsidR="00372F8F">
        <w:t>recommend</w:t>
      </w:r>
      <w:r>
        <w:t xml:space="preserve"> that Jordan’s </w:t>
      </w:r>
      <w:r w:rsidR="000834F7">
        <w:t>misconduct calls for disbarment</w:t>
      </w:r>
      <w:r w:rsidR="00065760">
        <w:t>.</w:t>
      </w:r>
      <w:r>
        <w:t xml:space="preserve">  </w:t>
      </w:r>
      <w:r w:rsidR="00EB6915">
        <w:t>Even if Jordan had had no prior discipline, i</w:t>
      </w:r>
      <w:r>
        <w:t>t is well established that</w:t>
      </w:r>
      <w:r w:rsidR="00EB6915">
        <w:t xml:space="preserve"> his</w:t>
      </w:r>
      <w:r w:rsidR="00565CDB">
        <w:t xml:space="preserve"> </w:t>
      </w:r>
      <w:r>
        <w:t xml:space="preserve">misappropriation of </w:t>
      </w:r>
      <w:r w:rsidR="00565CDB">
        <w:t xml:space="preserve">over $200,000 of </w:t>
      </w:r>
      <w:r>
        <w:t>funds warrants disbarment, absent clearly extenuating circumstances.  (St</w:t>
      </w:r>
      <w:r w:rsidR="00DD426E">
        <w:t>d.</w:t>
      </w:r>
      <w:r>
        <w:t xml:space="preserve"> 2.2(a)</w:t>
      </w:r>
      <w:r w:rsidR="00DD426E">
        <w:t xml:space="preserve"> [willful misappropriation of entrusted funds shall result in disbarment unless insignificant amount or compelling mitigation]</w:t>
      </w:r>
      <w:r>
        <w:t xml:space="preserve">; </w:t>
      </w:r>
      <w:r>
        <w:rPr>
          <w:i/>
        </w:rPr>
        <w:t>Kaplan v. State</w:t>
      </w:r>
      <w:r w:rsidRPr="00DD426E">
        <w:rPr>
          <w:i/>
        </w:rPr>
        <w:t xml:space="preserve"> Bar</w:t>
      </w:r>
      <w:r>
        <w:t xml:space="preserve"> (1991) 52 Cal.3d 1067 [no prior discipline; law firm funds misappropriated]; </w:t>
      </w:r>
      <w:r w:rsidRPr="00BA1DC3">
        <w:rPr>
          <w:i/>
        </w:rPr>
        <w:t>Chang</w:t>
      </w:r>
      <w:r>
        <w:rPr>
          <w:i/>
        </w:rPr>
        <w:t xml:space="preserve"> v. State Bar</w:t>
      </w:r>
      <w:r>
        <w:t xml:space="preserve"> (1989) 49 Cal.3d 114 [no prior discipline</w:t>
      </w:r>
      <w:r w:rsidR="00BA1DC3">
        <w:t>].</w:t>
      </w:r>
      <w:r>
        <w:t xml:space="preserve">)  On this record, </w:t>
      </w:r>
      <w:r w:rsidR="00DD426E">
        <w:t xml:space="preserve">there are no </w:t>
      </w:r>
      <w:r>
        <w:t xml:space="preserve">extenuating circumstances, but several highly aggravating </w:t>
      </w:r>
      <w:r w:rsidR="00DD426E">
        <w:t>factors</w:t>
      </w:r>
      <w:r>
        <w:t xml:space="preserve">. </w:t>
      </w:r>
    </w:p>
    <w:p w:rsidR="00B33575" w:rsidRDefault="00676403" w:rsidP="00172995">
      <w:pPr>
        <w:ind w:firstLine="720"/>
      </w:pPr>
      <w:r>
        <w:t xml:space="preserve">Jordan’s three prior </w:t>
      </w:r>
      <w:r w:rsidR="00065760">
        <w:t xml:space="preserve">records of </w:t>
      </w:r>
      <w:r>
        <w:t xml:space="preserve">discipline not only </w:t>
      </w:r>
      <w:r w:rsidR="00372F8F">
        <w:t>support</w:t>
      </w:r>
      <w:r>
        <w:t xml:space="preserve"> </w:t>
      </w:r>
      <w:r w:rsidR="00372F8F">
        <w:t xml:space="preserve">a </w:t>
      </w:r>
      <w:r>
        <w:t xml:space="preserve">disbarment </w:t>
      </w:r>
      <w:r w:rsidR="00372F8F">
        <w:t xml:space="preserve">recommendation </w:t>
      </w:r>
      <w:r>
        <w:t xml:space="preserve">in this proceeding </w:t>
      </w:r>
      <w:r w:rsidR="00421FB2">
        <w:t>on their own</w:t>
      </w:r>
      <w:r w:rsidR="00B33575">
        <w:t xml:space="preserve"> </w:t>
      </w:r>
      <w:r w:rsidR="00421FB2">
        <w:t>(std.</w:t>
      </w:r>
      <w:r>
        <w:t xml:space="preserve"> 1.7(b))</w:t>
      </w:r>
      <w:r w:rsidR="000F6EF3">
        <w:t>,</w:t>
      </w:r>
      <w:r>
        <w:t xml:space="preserve"> but do so emphatically because two of the three priors show misconduct as to </w:t>
      </w:r>
      <w:r w:rsidR="000834F7">
        <w:t xml:space="preserve">Jordan’s </w:t>
      </w:r>
      <w:r>
        <w:t xml:space="preserve">failure to properly </w:t>
      </w:r>
      <w:r w:rsidR="00D84399">
        <w:t>pay out</w:t>
      </w:r>
      <w:r>
        <w:t xml:space="preserve"> trust funds</w:t>
      </w:r>
      <w:r w:rsidR="00D84399">
        <w:t xml:space="preserve"> to or on behalf of clients</w:t>
      </w:r>
      <w:r>
        <w:t>.</w:t>
      </w:r>
      <w:r w:rsidR="00D84399">
        <w:t xml:space="preserve"> </w:t>
      </w:r>
      <w:r w:rsidR="00421FB2">
        <w:t xml:space="preserve"> </w:t>
      </w:r>
      <w:r w:rsidR="00D84399">
        <w:t>(</w:t>
      </w:r>
      <w:r w:rsidR="00D84399">
        <w:rPr>
          <w:i/>
        </w:rPr>
        <w:t>Greenbaum v. State Bar</w:t>
      </w:r>
      <w:r w:rsidR="00D84399">
        <w:t xml:space="preserve"> (1987) 43 Cal.3d 543, 551.)</w:t>
      </w:r>
      <w:r w:rsidR="00372F8F">
        <w:t xml:space="preserve">  We thus find a recurring and most troublesome theme of misconduct.  </w:t>
      </w:r>
      <w:r w:rsidR="00B33575">
        <w:t>Additionally, we are presented with the aggravati</w:t>
      </w:r>
      <w:r w:rsidR="00421FB2">
        <w:t>ng factors of</w:t>
      </w:r>
      <w:r w:rsidR="00B33575">
        <w:t xml:space="preserve"> harm to a </w:t>
      </w:r>
      <w:r w:rsidR="00421FB2">
        <w:t xml:space="preserve">seriously </w:t>
      </w:r>
      <w:r w:rsidR="00B33575">
        <w:t xml:space="preserve">injured client of modest education </w:t>
      </w:r>
      <w:r w:rsidR="005D020B">
        <w:t>coupled with Jordan’s</w:t>
      </w:r>
      <w:r w:rsidR="00B33575">
        <w:t xml:space="preserve"> clear indifference to rectification and lack of understanding of </w:t>
      </w:r>
      <w:r w:rsidR="00421FB2">
        <w:t xml:space="preserve">an attorney’s </w:t>
      </w:r>
      <w:r w:rsidR="00B33575">
        <w:t xml:space="preserve">most basic ethical duties to a client. </w:t>
      </w:r>
    </w:p>
    <w:p w:rsidR="00676403" w:rsidRDefault="000F6EF3" w:rsidP="00172995">
      <w:pPr>
        <w:ind w:firstLine="720"/>
      </w:pPr>
      <w:r>
        <w:t>T</w:t>
      </w:r>
      <w:r w:rsidR="000834F7">
        <w:t xml:space="preserve">his proceeding is not to punish </w:t>
      </w:r>
      <w:r>
        <w:t>Jordan</w:t>
      </w:r>
      <w:r w:rsidR="00D202DF">
        <w:t>,</w:t>
      </w:r>
      <w:r w:rsidR="000834F7">
        <w:t xml:space="preserve"> but </w:t>
      </w:r>
      <w:r w:rsidR="00D202DF">
        <w:t xml:space="preserve">is </w:t>
      </w:r>
      <w:r w:rsidR="000834F7">
        <w:t xml:space="preserve">primarily </w:t>
      </w:r>
      <w:r w:rsidR="000D7597">
        <w:t>“</w:t>
      </w:r>
      <w:r w:rsidR="000834F7">
        <w:t>to protect the public</w:t>
      </w:r>
      <w:r w:rsidR="009A4A21">
        <w:t>, to preserve public confidence in the legal profession</w:t>
      </w:r>
      <w:r w:rsidR="00782968">
        <w:t>,</w:t>
      </w:r>
      <w:r w:rsidR="009A4A21">
        <w:t xml:space="preserve"> and to maintain high professional standards</w:t>
      </w:r>
      <w:r w:rsidR="00782968">
        <w:t>.”</w:t>
      </w:r>
      <w:r w:rsidR="009A4A21">
        <w:t xml:space="preserve"> (</w:t>
      </w:r>
      <w:r w:rsidR="009A4A21">
        <w:rPr>
          <w:i/>
        </w:rPr>
        <w:t>Harford v. State Bar</w:t>
      </w:r>
      <w:r w:rsidR="009A4A21">
        <w:t xml:space="preserve"> (1990) 52 Cal.3d 93</w:t>
      </w:r>
      <w:r w:rsidR="00782968">
        <w:t>, 100; see also std. 1.3.)</w:t>
      </w:r>
      <w:r w:rsidR="009A4A21">
        <w:t xml:space="preserve"> </w:t>
      </w:r>
      <w:r w:rsidR="000834F7">
        <w:t xml:space="preserve"> </w:t>
      </w:r>
      <w:r w:rsidR="00B33575">
        <w:t>We agree with the hearing judge that previous</w:t>
      </w:r>
      <w:r w:rsidR="00421FB2">
        <w:t>,</w:t>
      </w:r>
      <w:r w:rsidR="00B33575">
        <w:t xml:space="preserve"> lesser degrees of discipline have been ineffective </w:t>
      </w:r>
      <w:r w:rsidR="000834F7">
        <w:t>to prevent the grievous misconduct found here</w:t>
      </w:r>
      <w:r w:rsidR="00B33575">
        <w:t xml:space="preserve">.  </w:t>
      </w:r>
      <w:r w:rsidR="006B52FD">
        <w:t>Indeed</w:t>
      </w:r>
      <w:r w:rsidR="000834F7">
        <w:t xml:space="preserve">, </w:t>
      </w:r>
      <w:r w:rsidR="00112342">
        <w:t xml:space="preserve">some of </w:t>
      </w:r>
      <w:r w:rsidR="00B33575">
        <w:t xml:space="preserve">Jordan’s current </w:t>
      </w:r>
      <w:r w:rsidR="00112342">
        <w:t>misconduct</w:t>
      </w:r>
      <w:r w:rsidR="00B33575">
        <w:t xml:space="preserve"> </w:t>
      </w:r>
      <w:r w:rsidR="00112342">
        <w:t>occurred</w:t>
      </w:r>
      <w:r w:rsidR="00B33575">
        <w:t xml:space="preserve"> while he was on probation in </w:t>
      </w:r>
      <w:r w:rsidR="00A7229A">
        <w:t xml:space="preserve">his second </w:t>
      </w:r>
      <w:r w:rsidR="00B33575">
        <w:t>disciplinary proceeding</w:t>
      </w:r>
      <w:r w:rsidR="00112342">
        <w:t xml:space="preserve">, while his third proceeding was pending and </w:t>
      </w:r>
      <w:r w:rsidR="00D202DF">
        <w:t xml:space="preserve">just </w:t>
      </w:r>
      <w:r w:rsidR="00112342">
        <w:t>after this fourth proceeding had started</w:t>
      </w:r>
      <w:r w:rsidR="00B33575">
        <w:t xml:space="preserve">.  </w:t>
      </w:r>
      <w:r w:rsidR="00782968">
        <w:t xml:space="preserve">The Supreme Court’s </w:t>
      </w:r>
      <w:r w:rsidR="00D202DF">
        <w:t>conclusion</w:t>
      </w:r>
      <w:r w:rsidR="00782968">
        <w:t xml:space="preserve"> in a similar case, </w:t>
      </w:r>
      <w:r w:rsidR="00782968">
        <w:rPr>
          <w:i/>
        </w:rPr>
        <w:t>Greenbaum v. State Bar</w:t>
      </w:r>
      <w:r w:rsidR="006B52FD">
        <w:rPr>
          <w:i/>
        </w:rPr>
        <w:t>, supra,</w:t>
      </w:r>
      <w:r w:rsidR="00782968">
        <w:t xml:space="preserve"> 43 Cal.3d 543, in which the attorney had </w:t>
      </w:r>
      <w:r w:rsidR="00D202DF">
        <w:t>been disciplined twice before</w:t>
      </w:r>
      <w:r w:rsidR="00782968">
        <w:t xml:space="preserve"> for similar misconduct involving client funds, is fully apt here: </w:t>
      </w:r>
      <w:r w:rsidR="00421FB2">
        <w:t xml:space="preserve"> </w:t>
      </w:r>
      <w:r w:rsidR="006B52FD">
        <w:t>“</w:t>
      </w:r>
      <w:r w:rsidR="00421FB2">
        <w:t>. . .</w:t>
      </w:r>
      <w:r w:rsidR="006B52FD">
        <w:t xml:space="preserve"> </w:t>
      </w:r>
      <w:r w:rsidR="00372F8F" w:rsidRPr="00372F8F">
        <w:rPr>
          <w:i/>
        </w:rPr>
        <w:t>[W]</w:t>
      </w:r>
      <w:r w:rsidR="006B52FD" w:rsidRPr="006B52FD">
        <w:rPr>
          <w:i/>
        </w:rPr>
        <w:t>hile still on probation</w:t>
      </w:r>
      <w:r w:rsidR="006B52FD">
        <w:t xml:space="preserve">, [Greenbaum] commingled thousands of dollars and repeatedly refused to provide an accounting. </w:t>
      </w:r>
      <w:r w:rsidR="00421FB2">
        <w:t xml:space="preserve"> </w:t>
      </w:r>
      <w:r w:rsidR="006B52FD">
        <w:t xml:space="preserve">These funds are still unaccounted for. </w:t>
      </w:r>
      <w:r w:rsidR="00421FB2">
        <w:t xml:space="preserve"> </w:t>
      </w:r>
      <w:r w:rsidR="006B52FD">
        <w:t>We do not believe [Greenbaum’s] assertion that these funds were legitimately spen</w:t>
      </w:r>
      <w:r w:rsidR="00421FB2">
        <w:t xml:space="preserve">t. . . . </w:t>
      </w:r>
      <w:r w:rsidR="006B52FD">
        <w:t xml:space="preserve">In light of [Greenbaum’s] prior and perpetual misconduct, and in light of the severity of the instant offense, we conclude that [Greenbaum] should be disbarred.” </w:t>
      </w:r>
      <w:r w:rsidR="00421FB2">
        <w:t xml:space="preserve"> </w:t>
      </w:r>
      <w:r w:rsidR="006B52FD">
        <w:t>(</w:t>
      </w:r>
      <w:r w:rsidR="006B52FD" w:rsidRPr="006B52FD">
        <w:rPr>
          <w:i/>
        </w:rPr>
        <w:t>Id.</w:t>
      </w:r>
      <w:r w:rsidR="006B52FD">
        <w:t xml:space="preserve"> at p. 551</w:t>
      </w:r>
      <w:r w:rsidR="00F95FC5">
        <w:t>, original italics</w:t>
      </w:r>
      <w:r w:rsidR="006B52FD">
        <w:t>.)</w:t>
      </w:r>
    </w:p>
    <w:p w:rsidR="00B4173E" w:rsidRPr="00393530" w:rsidRDefault="007B0CFF" w:rsidP="007B0CFF">
      <w:pPr>
        <w:pStyle w:val="ListParagraph"/>
        <w:ind w:left="0"/>
        <w:jc w:val="center"/>
        <w:rPr>
          <w:b/>
        </w:rPr>
      </w:pPr>
      <w:r>
        <w:rPr>
          <w:b/>
        </w:rPr>
        <w:t xml:space="preserve">III.  </w:t>
      </w:r>
      <w:r w:rsidRPr="00393530">
        <w:rPr>
          <w:b/>
        </w:rPr>
        <w:t>FORMAL RECOMMENDATION</w:t>
      </w:r>
    </w:p>
    <w:p w:rsidR="00CB79FB" w:rsidRDefault="00065760" w:rsidP="00172995">
      <w:pPr>
        <w:ind w:firstLine="720"/>
      </w:pPr>
      <w:r>
        <w:t>W</w:t>
      </w:r>
      <w:r w:rsidR="00B4173E">
        <w:t xml:space="preserve">e </w:t>
      </w:r>
      <w:r w:rsidR="0096069E">
        <w:t xml:space="preserve">recommend that James </w:t>
      </w:r>
      <w:r w:rsidR="004F23A9">
        <w:t>Friend Jordan be disbarred from the practice of law in this State and that his name be stricken from the roll of attorneys.</w:t>
      </w:r>
    </w:p>
    <w:p w:rsidR="00D846DA" w:rsidRDefault="00CB79FB" w:rsidP="00172995">
      <w:pPr>
        <w:ind w:firstLine="720"/>
      </w:pPr>
      <w:r>
        <w:t>Within 30 days of the effective date of the discipline herein, Jordan must make restitution to Joel and Ofelia Castillo in the amount of $2</w:t>
      </w:r>
      <w:r w:rsidR="00B76CA2">
        <w:t>54</w:t>
      </w:r>
      <w:r>
        <w:t>,</w:t>
      </w:r>
      <w:r w:rsidR="00B76CA2">
        <w:t>188</w:t>
      </w:r>
      <w:r>
        <w:t xml:space="preserve">, plus 10 per cent per annum from </w:t>
      </w:r>
      <w:r w:rsidR="00B76CA2">
        <w:t>April 13, 2002</w:t>
      </w:r>
      <w:r>
        <w:t xml:space="preserve"> (or reimburse the Client Security Fund to the </w:t>
      </w:r>
      <w:r w:rsidR="00421FB2">
        <w:t>extent of any payment from the F</w:t>
      </w:r>
      <w:r>
        <w:t>und to the Castillos, in accordance with Business and Professions Code, section 6140.5) and must provide satisfactory proof to the State Bar.</w:t>
      </w:r>
    </w:p>
    <w:p w:rsidR="001D613A" w:rsidRDefault="001D613A" w:rsidP="00172995">
      <w:pPr>
        <w:ind w:firstLine="720"/>
      </w:pPr>
      <w:r>
        <w:t xml:space="preserve">We further recommend that he be ordered to comply with </w:t>
      </w:r>
      <w:r w:rsidR="00D202DF">
        <w:t>the requirements of rule 9.20 of the California Rules of Court, and to perform the acts specified in subdivisions (a) and (c) of that rule within 30 and 40 days, respectively, after the Supreme Court order herein.</w:t>
      </w:r>
    </w:p>
    <w:p w:rsidR="00017BFE" w:rsidRDefault="00D202DF" w:rsidP="00172995">
      <w:pPr>
        <w:ind w:firstLine="720"/>
      </w:pPr>
      <w:r>
        <w:t>Finally, we</w:t>
      </w:r>
      <w:r w:rsidR="00D846DA">
        <w:t xml:space="preserve"> recommend that costs be awarded to the State Bar pursuant to Business and P</w:t>
      </w:r>
      <w:r>
        <w:t xml:space="preserve">rofessions Code section 6086.10, </w:t>
      </w:r>
      <w:r w:rsidR="00D846DA">
        <w:t>such costs be</w:t>
      </w:r>
      <w:r>
        <w:t>ing</w:t>
      </w:r>
      <w:r w:rsidR="00D846DA">
        <w:t xml:space="preserve"> enforceable both as provided in Business and Professions Code, section 6140.7, and as a money judgment. </w:t>
      </w:r>
    </w:p>
    <w:p w:rsidR="00D202DF" w:rsidRDefault="007B0CFF" w:rsidP="007B0CFF">
      <w:pPr>
        <w:pStyle w:val="ListParagraph"/>
        <w:ind w:left="0"/>
        <w:jc w:val="center"/>
        <w:rPr>
          <w:b/>
        </w:rPr>
      </w:pPr>
      <w:r>
        <w:rPr>
          <w:b/>
        </w:rPr>
        <w:t>IV.  ORDER OF INACTIVE ENROLLMENT</w:t>
      </w:r>
    </w:p>
    <w:p w:rsidR="00B76CA2" w:rsidRDefault="00D202DF" w:rsidP="000F2AC5">
      <w:pPr>
        <w:ind w:firstLine="720"/>
      </w:pPr>
      <w:r w:rsidRPr="00D202DF">
        <w:t>Because</w:t>
      </w:r>
      <w:r>
        <w:t xml:space="preserve"> the hearing judge recommended disbarment, he properly ordered that Jordan be involuntarily enrolled as an inactive member of the State Bar</w:t>
      </w:r>
      <w:r w:rsidR="00BC31FD">
        <w:t xml:space="preserve"> as required by Business and Professions Code, section 6007</w:t>
      </w:r>
      <w:r w:rsidR="000F2AC5">
        <w:t>, subdivision</w:t>
      </w:r>
      <w:r w:rsidR="00BC31FD">
        <w:t xml:space="preserve"> (c)(</w:t>
      </w:r>
      <w:r w:rsidR="000D7597">
        <w:t>4</w:t>
      </w:r>
      <w:r w:rsidR="00BC31FD">
        <w:t>)</w:t>
      </w:r>
      <w:r w:rsidR="007C2852">
        <w:t>.</w:t>
      </w:r>
      <w:r w:rsidR="00A02F85">
        <w:t xml:space="preserve">  The hearing judge’s order of inactive enrollment became effective on May </w:t>
      </w:r>
      <w:r w:rsidR="00030137">
        <w:t>8</w:t>
      </w:r>
      <w:r w:rsidR="000F2AC5">
        <w:t xml:space="preserve">, 2010. </w:t>
      </w:r>
      <w:r w:rsidR="00A02F85">
        <w:t xml:space="preserve"> Jordan has remained on involuntary inactive enrollment since that time and will remain on involuntary inactive enrollment pending the final disposition of this proceeding. </w:t>
      </w:r>
    </w:p>
    <w:p w:rsidR="003641EA" w:rsidRPr="008A154E" w:rsidRDefault="003641EA" w:rsidP="000F2AC5">
      <w:pPr>
        <w:ind w:firstLine="720"/>
      </w:pPr>
    </w:p>
    <w:sectPr w:rsidR="003641EA" w:rsidRPr="008A154E" w:rsidSect="001729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307" w:rsidRDefault="00D62307" w:rsidP="00783AF1">
      <w:pPr>
        <w:spacing w:line="240" w:lineRule="auto"/>
      </w:pPr>
      <w:r>
        <w:separator/>
      </w:r>
    </w:p>
  </w:endnote>
  <w:endnote w:type="continuationSeparator" w:id="0">
    <w:p w:rsidR="00D62307" w:rsidRDefault="00D62307"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86" w:rsidRDefault="008B75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938"/>
      <w:docPartObj>
        <w:docPartGallery w:val="Page Numbers (Bottom of Page)"/>
        <w:docPartUnique/>
      </w:docPartObj>
    </w:sdtPr>
    <w:sdtContent>
      <w:p w:rsidR="00D62307" w:rsidRDefault="003E0DEA" w:rsidP="00172995">
        <w:pPr>
          <w:pStyle w:val="Footer"/>
          <w:spacing w:before="120" w:line="240" w:lineRule="auto"/>
          <w:jc w:val="center"/>
        </w:pPr>
        <w:fldSimple w:instr=" PAGE   \* MERGEFORMAT ">
          <w:r w:rsidR="008B7586">
            <w:rPr>
              <w:noProof/>
            </w:rPr>
            <w:t>11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86" w:rsidRDefault="008B7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307" w:rsidRDefault="00D62307" w:rsidP="00783AF1">
      <w:pPr>
        <w:spacing w:line="240" w:lineRule="auto"/>
      </w:pPr>
      <w:r>
        <w:separator/>
      </w:r>
    </w:p>
  </w:footnote>
  <w:footnote w:type="continuationSeparator" w:id="0">
    <w:p w:rsidR="00D62307" w:rsidRDefault="00D62307" w:rsidP="00783AF1">
      <w:pPr>
        <w:spacing w:line="240" w:lineRule="auto"/>
      </w:pPr>
      <w:r>
        <w:continuationSeparator/>
      </w:r>
    </w:p>
  </w:footnote>
  <w:footnote w:type="continuationNotice" w:id="1">
    <w:p w:rsidR="00D62307" w:rsidRDefault="00D62307">
      <w:pPr>
        <w:spacing w:line="240" w:lineRule="auto"/>
      </w:pPr>
    </w:p>
  </w:footnote>
  <w:footnote w:id="2">
    <w:p w:rsidR="003641EA" w:rsidRDefault="00D62307" w:rsidP="00D62307">
      <w:pPr>
        <w:pStyle w:val="FootnoteText"/>
      </w:pPr>
      <w:r>
        <w:rPr>
          <w:rStyle w:val="FootnoteReference"/>
        </w:rPr>
        <w:footnoteRef/>
      </w:r>
      <w:r>
        <w:t xml:space="preserve"> Before Remke, P. J., Epstein, J., and Purcell, J.</w:t>
      </w:r>
    </w:p>
  </w:footnote>
  <w:footnote w:id="3">
    <w:p w:rsidR="00D62307" w:rsidRDefault="00D62307" w:rsidP="00D62307">
      <w:pPr>
        <w:pStyle w:val="FootnoteText"/>
      </w:pPr>
      <w:r>
        <w:rPr>
          <w:rStyle w:val="FootnoteReference"/>
        </w:rPr>
        <w:footnoteRef/>
      </w:r>
      <w:r>
        <w:t xml:space="preserve"> Around this time, Jordan created the Castillo Family Trust for Castillo and his wife.  The temporary trustee was Castillo’s adult son, Juan.  On February 15, 2002, Jordan succeeded Juan Castillo as trustee, per the terms of the trust agreement.  There is no evidence that any funds were ever held in or transferred to the Castillo Family Trust, and thus, Jordan’s repeated discussion of the trust is </w:t>
      </w:r>
      <w:r w:rsidR="007C2852">
        <w:t>little</w:t>
      </w:r>
      <w:r>
        <w:t xml:space="preserve"> more than a red herring.</w:t>
      </w:r>
    </w:p>
  </w:footnote>
  <w:footnote w:id="4">
    <w:p w:rsidR="00D62307" w:rsidRDefault="00D62307" w:rsidP="00D62307">
      <w:pPr>
        <w:pStyle w:val="FootnoteText"/>
      </w:pPr>
      <w:r>
        <w:rPr>
          <w:rStyle w:val="FootnoteReference"/>
        </w:rPr>
        <w:footnoteRef/>
      </w:r>
      <w:r>
        <w:t xml:space="preserve"> Castillo’s medical insurance covered most of his treatment but required him to reimburse the insurer upon recovering funds from others responsible for the accident.  The insurer’s rights were assigned to Desert Medical Group, which actually provided most of Castillo’s treatment. </w:t>
      </w:r>
    </w:p>
  </w:footnote>
  <w:footnote w:id="5">
    <w:p w:rsidR="00D62307" w:rsidRDefault="00D62307" w:rsidP="00D62307">
      <w:pPr>
        <w:pStyle w:val="FootnoteText"/>
      </w:pPr>
      <w:r>
        <w:rPr>
          <w:rStyle w:val="FootnoteReference"/>
        </w:rPr>
        <w:footnoteRef/>
      </w:r>
      <w:r>
        <w:t xml:space="preserve"> Leading up to 2006, Joseph Jordan had experienced several incidents with Jordan involving business dealings between the two of them that caused Joseph to conclude that Jordan had lied to him.  Joseph felt badly for the Castillos as his 2001 recommendation prompted Castillo to hire Jordan.  By 2006, Joseph Jordan felt that he didn’t “trust [Jordan] as far as he could throw him” and communicated that to Juan Castillo. </w:t>
      </w:r>
    </w:p>
    <w:p w:rsidR="003641EA" w:rsidRDefault="003641EA" w:rsidP="00D62307">
      <w:pPr>
        <w:pStyle w:val="FootnoteText"/>
      </w:pPr>
    </w:p>
  </w:footnote>
  <w:footnote w:id="6">
    <w:p w:rsidR="00D62307" w:rsidRDefault="00D62307" w:rsidP="00D62307">
      <w:pPr>
        <w:pStyle w:val="FootnoteText"/>
      </w:pPr>
      <w:r>
        <w:rPr>
          <w:rStyle w:val="FootnoteReference"/>
        </w:rPr>
        <w:footnoteRef/>
      </w:r>
      <w:r>
        <w:t xml:space="preserve"> Unless otherwise noted, all further references to “rule(s)” are </w:t>
      </w:r>
      <w:r w:rsidRPr="00387CF5">
        <w:t>to the</w:t>
      </w:r>
      <w:r w:rsidR="000D7597">
        <w:t xml:space="preserve"> State Bar</w:t>
      </w:r>
      <w:r w:rsidRPr="00387CF5">
        <w:t xml:space="preserve"> Rules of Profe</w:t>
      </w:r>
      <w:r w:rsidR="000D7597">
        <w:t>ssional Conduct</w:t>
      </w:r>
      <w:r w:rsidRPr="00387CF5">
        <w:t>.</w:t>
      </w:r>
    </w:p>
  </w:footnote>
  <w:footnote w:id="7">
    <w:p w:rsidR="00D62307" w:rsidRDefault="00D62307" w:rsidP="00D62307">
      <w:pPr>
        <w:pStyle w:val="FootnoteText"/>
      </w:pPr>
      <w:r>
        <w:rPr>
          <w:rStyle w:val="FootnoteReference"/>
        </w:rPr>
        <w:footnoteRef/>
      </w:r>
      <w:r>
        <w:t xml:space="preserve"> </w:t>
      </w:r>
      <w:r w:rsidRPr="00CD22B1">
        <w:t>The hearing judge dismissed, on the State Bar’</w:t>
      </w:r>
      <w:r>
        <w:t>s</w:t>
      </w:r>
      <w:r w:rsidRPr="00CD22B1">
        <w:t xml:space="preserve"> initiative, Count 1 (commingling of trust funds with personal funds) and Count 4 (misrepresentation of facts to Castillo).</w:t>
      </w:r>
    </w:p>
    <w:p w:rsidR="003641EA" w:rsidRDefault="003641EA" w:rsidP="00D62307">
      <w:pPr>
        <w:pStyle w:val="FootnoteText"/>
      </w:pPr>
    </w:p>
  </w:footnote>
  <w:footnote w:id="8">
    <w:p w:rsidR="00D62307" w:rsidRPr="00CD22B1" w:rsidRDefault="00D62307" w:rsidP="00D62307">
      <w:pPr>
        <w:pStyle w:val="FootnoteText"/>
      </w:pPr>
      <w:r>
        <w:rPr>
          <w:rStyle w:val="FootnoteReference"/>
        </w:rPr>
        <w:footnoteRef/>
      </w:r>
      <w:r>
        <w:t xml:space="preserve"> </w:t>
      </w:r>
      <w:r w:rsidRPr="00CD22B1">
        <w:t>Jordan’s first discipline was a 1992 public reproval, pu</w:t>
      </w:r>
      <w:r>
        <w:t>rsuant to stipulation, for his</w:t>
      </w:r>
      <w:r w:rsidRPr="00CD22B1">
        <w:t xml:space="preserve"> failure</w:t>
      </w:r>
      <w:r>
        <w:t xml:space="preserve"> in one matter</w:t>
      </w:r>
      <w:r w:rsidRPr="00CD22B1">
        <w:t xml:space="preserve"> to pay</w:t>
      </w:r>
      <w:r>
        <w:t xml:space="preserve"> medical providers</w:t>
      </w:r>
      <w:r w:rsidRPr="00CD22B1">
        <w:t xml:space="preserve"> promptly</w:t>
      </w:r>
      <w:r>
        <w:t>,</w:t>
      </w:r>
      <w:r w:rsidRPr="00CD22B1">
        <w:t xml:space="preserve"> as required</w:t>
      </w:r>
      <w:r>
        <w:t>, from</w:t>
      </w:r>
      <w:r w:rsidRPr="00CD22B1">
        <w:t xml:space="preserve"> client funds h</w:t>
      </w:r>
      <w:r>
        <w:t>e had withheld for that purpose</w:t>
      </w:r>
      <w:r w:rsidRPr="00CD22B1">
        <w:t xml:space="preserve"> and</w:t>
      </w:r>
      <w:r>
        <w:t xml:space="preserve"> for his withdrawal from employment</w:t>
      </w:r>
      <w:r w:rsidRPr="00CD22B1">
        <w:t xml:space="preserve"> in another matter</w:t>
      </w:r>
      <w:r>
        <w:t xml:space="preserve"> witho</w:t>
      </w:r>
      <w:r w:rsidRPr="00CD22B1">
        <w:t xml:space="preserve">ut promptly furnishing or distributing trust funds he was holding.  </w:t>
      </w:r>
    </w:p>
    <w:p w:rsidR="00D62307" w:rsidRPr="00CD22B1" w:rsidRDefault="00D62307" w:rsidP="00D62307">
      <w:pPr>
        <w:pStyle w:val="FootnoteText"/>
      </w:pPr>
      <w:r w:rsidRPr="00CD22B1">
        <w:t>In 2004, Jordan was suspended for a year, fully stayed on conditions of a two-year probation</w:t>
      </w:r>
      <w:r>
        <w:t>,</w:t>
      </w:r>
      <w:r w:rsidRPr="00CD22B1">
        <w:t xml:space="preserve"> and ordered to make restitution to a client.  That discipline, also based on stipulated facts, showed Jordan’s failure to pay two medical bills on one client’s behalf until four years </w:t>
      </w:r>
      <w:r>
        <w:t xml:space="preserve">after Jordan received the funds and only </w:t>
      </w:r>
      <w:r w:rsidRPr="00CD22B1">
        <w:t>after the client had complained to the State Bar.</w:t>
      </w:r>
      <w:r>
        <w:t xml:space="preserve"> </w:t>
      </w:r>
      <w:r w:rsidRPr="00CD22B1">
        <w:t xml:space="preserve"> In another matter, Jordan had delayed between eight and </w:t>
      </w:r>
      <w:r>
        <w:t>12</w:t>
      </w:r>
      <w:r w:rsidRPr="00CD22B1">
        <w:t xml:space="preserve"> months </w:t>
      </w:r>
      <w:r>
        <w:t xml:space="preserve">in </w:t>
      </w:r>
      <w:r w:rsidRPr="00CD22B1">
        <w:t xml:space="preserve">paying three of the client’s medical bills for which he held funds. </w:t>
      </w:r>
      <w:r>
        <w:t xml:space="preserve"> </w:t>
      </w:r>
      <w:r w:rsidRPr="00CD22B1">
        <w:t xml:space="preserve">At the time of the discipline, Jordan still owed this client $1,700 in trust funds.  </w:t>
      </w:r>
    </w:p>
    <w:p w:rsidR="00D62307" w:rsidRDefault="00D62307" w:rsidP="00D62307">
      <w:pPr>
        <w:pStyle w:val="FootnoteText"/>
      </w:pPr>
      <w:r w:rsidRPr="00CD22B1">
        <w:t>Finally, in January 2010, Jordan was suspended for two years, stay</w:t>
      </w:r>
      <w:r>
        <w:t>ed on conditions of a three-</w:t>
      </w:r>
      <w:r w:rsidRPr="00CD22B1">
        <w:t xml:space="preserve">year probation and </w:t>
      </w:r>
      <w:r>
        <w:t>90</w:t>
      </w:r>
      <w:r w:rsidRPr="00CD22B1">
        <w:t xml:space="preserve"> days of actual suspension</w:t>
      </w:r>
      <w:r>
        <w:t>,</w:t>
      </w:r>
      <w:r w:rsidRPr="00CD22B1">
        <w:t xml:space="preserve"> for willfully disobeying two superior court orders in 2004 and 2005, respectively. As some of his misconduct occurred while on probation for his 2004 suspension, Jordan was also found to have violated that earlier probation.</w:t>
      </w:r>
    </w:p>
  </w:footnote>
  <w:footnote w:id="9">
    <w:p w:rsidR="00D62307" w:rsidRDefault="00D62307" w:rsidP="00D62307">
      <w:pPr>
        <w:pStyle w:val="FootnoteText"/>
      </w:pPr>
      <w:r>
        <w:rPr>
          <w:rStyle w:val="FootnoteReference"/>
        </w:rPr>
        <w:footnoteRef/>
      </w:r>
      <w:r>
        <w:t xml:space="preserve"> All other procedural claims raised by Jordan have been considered and are rejected as without merit.   </w:t>
      </w:r>
    </w:p>
    <w:p w:rsidR="000D7597" w:rsidRDefault="000D7597" w:rsidP="00D62307">
      <w:pPr>
        <w:pStyle w:val="FootnoteText"/>
      </w:pPr>
    </w:p>
  </w:footnote>
  <w:footnote w:id="10">
    <w:p w:rsidR="000D7597" w:rsidRDefault="000D7597">
      <w:pPr>
        <w:pStyle w:val="FootnoteText"/>
      </w:pPr>
      <w:r>
        <w:rPr>
          <w:rStyle w:val="FootnoteReference"/>
        </w:rPr>
        <w:footnoteRef/>
      </w:r>
      <w:r>
        <w:t xml:space="preserve"> Unless otherwise noted, all further references to “standard(s)” are to Rules of Procedure of the State Bar, title IV, Standards for Attorney Sanctions for Professional Misconduct.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86" w:rsidRDefault="008B75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86" w:rsidRDefault="008B75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86" w:rsidRDefault="008B75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3A48"/>
    <w:multiLevelType w:val="hybridMultilevel"/>
    <w:tmpl w:val="76C83F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175248"/>
    <w:multiLevelType w:val="hybridMultilevel"/>
    <w:tmpl w:val="7436E0A2"/>
    <w:lvl w:ilvl="0" w:tplc="AAA638A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1A70E3B"/>
    <w:multiLevelType w:val="hybridMultilevel"/>
    <w:tmpl w:val="7D06D016"/>
    <w:lvl w:ilvl="0" w:tplc="7F6E28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AD3CD4"/>
    <w:multiLevelType w:val="hybridMultilevel"/>
    <w:tmpl w:val="7B422FCC"/>
    <w:lvl w:ilvl="0" w:tplc="D5D4DC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Pr>
  <w:compat/>
  <w:rsids>
    <w:rsidRoot w:val="00F60D3D"/>
    <w:rsid w:val="00001B48"/>
    <w:rsid w:val="0001288B"/>
    <w:rsid w:val="00017BFE"/>
    <w:rsid w:val="00020D9E"/>
    <w:rsid w:val="000261E6"/>
    <w:rsid w:val="00030137"/>
    <w:rsid w:val="0003515A"/>
    <w:rsid w:val="000367FE"/>
    <w:rsid w:val="00040960"/>
    <w:rsid w:val="00043E3E"/>
    <w:rsid w:val="00047765"/>
    <w:rsid w:val="00060C7C"/>
    <w:rsid w:val="00065760"/>
    <w:rsid w:val="00080A1B"/>
    <w:rsid w:val="000834F7"/>
    <w:rsid w:val="000910B7"/>
    <w:rsid w:val="00096F08"/>
    <w:rsid w:val="000A21FD"/>
    <w:rsid w:val="000A3B5B"/>
    <w:rsid w:val="000B55DD"/>
    <w:rsid w:val="000B79EB"/>
    <w:rsid w:val="000D7597"/>
    <w:rsid w:val="000E3B17"/>
    <w:rsid w:val="000E71C0"/>
    <w:rsid w:val="000F0F74"/>
    <w:rsid w:val="000F1021"/>
    <w:rsid w:val="000F2AC5"/>
    <w:rsid w:val="000F6EF3"/>
    <w:rsid w:val="001013D0"/>
    <w:rsid w:val="00112313"/>
    <w:rsid w:val="00112342"/>
    <w:rsid w:val="00114088"/>
    <w:rsid w:val="0011435A"/>
    <w:rsid w:val="00136B93"/>
    <w:rsid w:val="001414A3"/>
    <w:rsid w:val="001424AB"/>
    <w:rsid w:val="00155C2C"/>
    <w:rsid w:val="0015745B"/>
    <w:rsid w:val="00161817"/>
    <w:rsid w:val="00167B57"/>
    <w:rsid w:val="00172995"/>
    <w:rsid w:val="00173069"/>
    <w:rsid w:val="00175CBE"/>
    <w:rsid w:val="00176C69"/>
    <w:rsid w:val="001833C1"/>
    <w:rsid w:val="0018793E"/>
    <w:rsid w:val="00191B42"/>
    <w:rsid w:val="001A23E7"/>
    <w:rsid w:val="001A4395"/>
    <w:rsid w:val="001A44F0"/>
    <w:rsid w:val="001A6E23"/>
    <w:rsid w:val="001B2FD3"/>
    <w:rsid w:val="001C0533"/>
    <w:rsid w:val="001C1CE0"/>
    <w:rsid w:val="001C5319"/>
    <w:rsid w:val="001C5446"/>
    <w:rsid w:val="001D3146"/>
    <w:rsid w:val="001D613A"/>
    <w:rsid w:val="001D6154"/>
    <w:rsid w:val="001E7BB3"/>
    <w:rsid w:val="001F4C16"/>
    <w:rsid w:val="001F6101"/>
    <w:rsid w:val="00207FCE"/>
    <w:rsid w:val="00225094"/>
    <w:rsid w:val="00234030"/>
    <w:rsid w:val="00257C44"/>
    <w:rsid w:val="00263438"/>
    <w:rsid w:val="002754D5"/>
    <w:rsid w:val="002809E2"/>
    <w:rsid w:val="0029127F"/>
    <w:rsid w:val="00291649"/>
    <w:rsid w:val="0029777D"/>
    <w:rsid w:val="002A13D8"/>
    <w:rsid w:val="002A25D7"/>
    <w:rsid w:val="002A3BAB"/>
    <w:rsid w:val="002A64F2"/>
    <w:rsid w:val="002B2F0D"/>
    <w:rsid w:val="002C0E2B"/>
    <w:rsid w:val="002C3942"/>
    <w:rsid w:val="002C6600"/>
    <w:rsid w:val="002D3F40"/>
    <w:rsid w:val="002E5B15"/>
    <w:rsid w:val="002E7623"/>
    <w:rsid w:val="002F3491"/>
    <w:rsid w:val="00324A29"/>
    <w:rsid w:val="00334DA4"/>
    <w:rsid w:val="00340100"/>
    <w:rsid w:val="003470B5"/>
    <w:rsid w:val="00354FE8"/>
    <w:rsid w:val="003641EA"/>
    <w:rsid w:val="00372F8F"/>
    <w:rsid w:val="00374831"/>
    <w:rsid w:val="003810F5"/>
    <w:rsid w:val="00382D41"/>
    <w:rsid w:val="00387CF5"/>
    <w:rsid w:val="00391CDD"/>
    <w:rsid w:val="00393530"/>
    <w:rsid w:val="00393577"/>
    <w:rsid w:val="003B1364"/>
    <w:rsid w:val="003B46EE"/>
    <w:rsid w:val="003C2795"/>
    <w:rsid w:val="003C5584"/>
    <w:rsid w:val="003C74DA"/>
    <w:rsid w:val="003D4593"/>
    <w:rsid w:val="003E0DEA"/>
    <w:rsid w:val="003E4315"/>
    <w:rsid w:val="003F0923"/>
    <w:rsid w:val="003F5F9B"/>
    <w:rsid w:val="00421FB2"/>
    <w:rsid w:val="00425360"/>
    <w:rsid w:val="0043046D"/>
    <w:rsid w:val="004310E7"/>
    <w:rsid w:val="004317AD"/>
    <w:rsid w:val="00432355"/>
    <w:rsid w:val="00462C08"/>
    <w:rsid w:val="0048173B"/>
    <w:rsid w:val="00484F4E"/>
    <w:rsid w:val="0049212D"/>
    <w:rsid w:val="004927C6"/>
    <w:rsid w:val="00495595"/>
    <w:rsid w:val="00497A94"/>
    <w:rsid w:val="004A44A5"/>
    <w:rsid w:val="004B570B"/>
    <w:rsid w:val="004D28F1"/>
    <w:rsid w:val="004D4245"/>
    <w:rsid w:val="004D7348"/>
    <w:rsid w:val="004F23A9"/>
    <w:rsid w:val="004F7F7D"/>
    <w:rsid w:val="005038C3"/>
    <w:rsid w:val="00505128"/>
    <w:rsid w:val="00512A8D"/>
    <w:rsid w:val="00513391"/>
    <w:rsid w:val="005264F8"/>
    <w:rsid w:val="00542570"/>
    <w:rsid w:val="00553321"/>
    <w:rsid w:val="00554A3B"/>
    <w:rsid w:val="0056121C"/>
    <w:rsid w:val="00565CDB"/>
    <w:rsid w:val="00575635"/>
    <w:rsid w:val="00584B89"/>
    <w:rsid w:val="00584F8F"/>
    <w:rsid w:val="005A3833"/>
    <w:rsid w:val="005D020B"/>
    <w:rsid w:val="005F1A58"/>
    <w:rsid w:val="005F231E"/>
    <w:rsid w:val="005F2D0F"/>
    <w:rsid w:val="006110F0"/>
    <w:rsid w:val="00616061"/>
    <w:rsid w:val="006517DE"/>
    <w:rsid w:val="00663970"/>
    <w:rsid w:val="0067245A"/>
    <w:rsid w:val="006750E1"/>
    <w:rsid w:val="00676300"/>
    <w:rsid w:val="00676403"/>
    <w:rsid w:val="00691D9B"/>
    <w:rsid w:val="006A40B4"/>
    <w:rsid w:val="006A7114"/>
    <w:rsid w:val="006B52FD"/>
    <w:rsid w:val="006C15B5"/>
    <w:rsid w:val="006C296F"/>
    <w:rsid w:val="006D06FF"/>
    <w:rsid w:val="006D12CF"/>
    <w:rsid w:val="006D5DA3"/>
    <w:rsid w:val="006D6287"/>
    <w:rsid w:val="006D6DE3"/>
    <w:rsid w:val="006D741E"/>
    <w:rsid w:val="006E2DBE"/>
    <w:rsid w:val="006F37B2"/>
    <w:rsid w:val="00701086"/>
    <w:rsid w:val="0070514A"/>
    <w:rsid w:val="007107D3"/>
    <w:rsid w:val="0071683A"/>
    <w:rsid w:val="00717AE5"/>
    <w:rsid w:val="00725587"/>
    <w:rsid w:val="00736391"/>
    <w:rsid w:val="00753956"/>
    <w:rsid w:val="0075432A"/>
    <w:rsid w:val="007623D7"/>
    <w:rsid w:val="00762D35"/>
    <w:rsid w:val="007722FC"/>
    <w:rsid w:val="00775E6E"/>
    <w:rsid w:val="007768C9"/>
    <w:rsid w:val="00776AA2"/>
    <w:rsid w:val="00782968"/>
    <w:rsid w:val="00783AF1"/>
    <w:rsid w:val="007875BB"/>
    <w:rsid w:val="007876CC"/>
    <w:rsid w:val="007B0CFF"/>
    <w:rsid w:val="007C2852"/>
    <w:rsid w:val="007D5314"/>
    <w:rsid w:val="007D7AF4"/>
    <w:rsid w:val="007E29E9"/>
    <w:rsid w:val="007E5EA7"/>
    <w:rsid w:val="007F537A"/>
    <w:rsid w:val="007F64DB"/>
    <w:rsid w:val="007F706A"/>
    <w:rsid w:val="00814BCE"/>
    <w:rsid w:val="0081506E"/>
    <w:rsid w:val="008156A1"/>
    <w:rsid w:val="0082597E"/>
    <w:rsid w:val="00830879"/>
    <w:rsid w:val="0083186F"/>
    <w:rsid w:val="00835F54"/>
    <w:rsid w:val="008425A9"/>
    <w:rsid w:val="008431C3"/>
    <w:rsid w:val="008514BB"/>
    <w:rsid w:val="00880CED"/>
    <w:rsid w:val="0088569A"/>
    <w:rsid w:val="00886697"/>
    <w:rsid w:val="008866CB"/>
    <w:rsid w:val="00892346"/>
    <w:rsid w:val="00896059"/>
    <w:rsid w:val="00896A0B"/>
    <w:rsid w:val="008A154E"/>
    <w:rsid w:val="008A2BBF"/>
    <w:rsid w:val="008A32AA"/>
    <w:rsid w:val="008B1231"/>
    <w:rsid w:val="008B708F"/>
    <w:rsid w:val="008B7586"/>
    <w:rsid w:val="008C302A"/>
    <w:rsid w:val="008C51CE"/>
    <w:rsid w:val="008E0286"/>
    <w:rsid w:val="008E3541"/>
    <w:rsid w:val="008E4725"/>
    <w:rsid w:val="0091064F"/>
    <w:rsid w:val="00913201"/>
    <w:rsid w:val="0092010F"/>
    <w:rsid w:val="009216E0"/>
    <w:rsid w:val="00926A2A"/>
    <w:rsid w:val="00927FD4"/>
    <w:rsid w:val="00936107"/>
    <w:rsid w:val="009368B3"/>
    <w:rsid w:val="00937B9A"/>
    <w:rsid w:val="00943692"/>
    <w:rsid w:val="00953752"/>
    <w:rsid w:val="0096069E"/>
    <w:rsid w:val="00970FC1"/>
    <w:rsid w:val="00977D90"/>
    <w:rsid w:val="009A4A21"/>
    <w:rsid w:val="009B19ED"/>
    <w:rsid w:val="009B7BA4"/>
    <w:rsid w:val="009C432E"/>
    <w:rsid w:val="009E3081"/>
    <w:rsid w:val="009E32BF"/>
    <w:rsid w:val="009F2731"/>
    <w:rsid w:val="00A00E17"/>
    <w:rsid w:val="00A02F85"/>
    <w:rsid w:val="00A07497"/>
    <w:rsid w:val="00A3586E"/>
    <w:rsid w:val="00A41F4E"/>
    <w:rsid w:val="00A55A1C"/>
    <w:rsid w:val="00A60E24"/>
    <w:rsid w:val="00A60FB2"/>
    <w:rsid w:val="00A64C88"/>
    <w:rsid w:val="00A7229A"/>
    <w:rsid w:val="00A73FC7"/>
    <w:rsid w:val="00A76286"/>
    <w:rsid w:val="00A85099"/>
    <w:rsid w:val="00A86B7D"/>
    <w:rsid w:val="00A97CBA"/>
    <w:rsid w:val="00AA5FF1"/>
    <w:rsid w:val="00AB6B05"/>
    <w:rsid w:val="00AC18CC"/>
    <w:rsid w:val="00AC2B69"/>
    <w:rsid w:val="00AD3D4A"/>
    <w:rsid w:val="00AE41C2"/>
    <w:rsid w:val="00B06B36"/>
    <w:rsid w:val="00B1288A"/>
    <w:rsid w:val="00B20581"/>
    <w:rsid w:val="00B32B26"/>
    <w:rsid w:val="00B33575"/>
    <w:rsid w:val="00B34CA5"/>
    <w:rsid w:val="00B4173E"/>
    <w:rsid w:val="00B421AC"/>
    <w:rsid w:val="00B556D4"/>
    <w:rsid w:val="00B56AC2"/>
    <w:rsid w:val="00B642C4"/>
    <w:rsid w:val="00B71811"/>
    <w:rsid w:val="00B76CA2"/>
    <w:rsid w:val="00B92689"/>
    <w:rsid w:val="00B946A2"/>
    <w:rsid w:val="00B96FCC"/>
    <w:rsid w:val="00BA043E"/>
    <w:rsid w:val="00BA1DC3"/>
    <w:rsid w:val="00BA2EF3"/>
    <w:rsid w:val="00BA71ED"/>
    <w:rsid w:val="00BB1EBC"/>
    <w:rsid w:val="00BC1F4A"/>
    <w:rsid w:val="00BC31FD"/>
    <w:rsid w:val="00C04850"/>
    <w:rsid w:val="00C07A3D"/>
    <w:rsid w:val="00C100DA"/>
    <w:rsid w:val="00C11CC8"/>
    <w:rsid w:val="00C234B3"/>
    <w:rsid w:val="00C2402F"/>
    <w:rsid w:val="00C26BA2"/>
    <w:rsid w:val="00C272A7"/>
    <w:rsid w:val="00C4380C"/>
    <w:rsid w:val="00C44F37"/>
    <w:rsid w:val="00C614A8"/>
    <w:rsid w:val="00C673DF"/>
    <w:rsid w:val="00C70230"/>
    <w:rsid w:val="00C830B3"/>
    <w:rsid w:val="00C84B4B"/>
    <w:rsid w:val="00C87253"/>
    <w:rsid w:val="00C901D6"/>
    <w:rsid w:val="00C90395"/>
    <w:rsid w:val="00C9560F"/>
    <w:rsid w:val="00CB1238"/>
    <w:rsid w:val="00CB42F3"/>
    <w:rsid w:val="00CB4D77"/>
    <w:rsid w:val="00CB79FB"/>
    <w:rsid w:val="00CD22B1"/>
    <w:rsid w:val="00CE7EAE"/>
    <w:rsid w:val="00CF1399"/>
    <w:rsid w:val="00CF63ED"/>
    <w:rsid w:val="00D141B3"/>
    <w:rsid w:val="00D16D88"/>
    <w:rsid w:val="00D202DF"/>
    <w:rsid w:val="00D26864"/>
    <w:rsid w:val="00D36BDC"/>
    <w:rsid w:val="00D47DF0"/>
    <w:rsid w:val="00D51EBF"/>
    <w:rsid w:val="00D53012"/>
    <w:rsid w:val="00D57AD0"/>
    <w:rsid w:val="00D62307"/>
    <w:rsid w:val="00D77F20"/>
    <w:rsid w:val="00D84399"/>
    <w:rsid w:val="00D846DA"/>
    <w:rsid w:val="00D91225"/>
    <w:rsid w:val="00D94D43"/>
    <w:rsid w:val="00DA37AB"/>
    <w:rsid w:val="00DA5FC8"/>
    <w:rsid w:val="00DC0D07"/>
    <w:rsid w:val="00DC678A"/>
    <w:rsid w:val="00DD2498"/>
    <w:rsid w:val="00DD426E"/>
    <w:rsid w:val="00DE52B1"/>
    <w:rsid w:val="00DF0023"/>
    <w:rsid w:val="00E0251B"/>
    <w:rsid w:val="00E13DFC"/>
    <w:rsid w:val="00E20835"/>
    <w:rsid w:val="00E24932"/>
    <w:rsid w:val="00E30700"/>
    <w:rsid w:val="00E345DD"/>
    <w:rsid w:val="00E72E85"/>
    <w:rsid w:val="00E81D6C"/>
    <w:rsid w:val="00EB395B"/>
    <w:rsid w:val="00EB683E"/>
    <w:rsid w:val="00EB6915"/>
    <w:rsid w:val="00EC27B1"/>
    <w:rsid w:val="00EC3BB8"/>
    <w:rsid w:val="00EC4630"/>
    <w:rsid w:val="00EC4A1B"/>
    <w:rsid w:val="00EE725B"/>
    <w:rsid w:val="00F06D1B"/>
    <w:rsid w:val="00F153A1"/>
    <w:rsid w:val="00F359D1"/>
    <w:rsid w:val="00F37D45"/>
    <w:rsid w:val="00F43E38"/>
    <w:rsid w:val="00F45A1D"/>
    <w:rsid w:val="00F46D99"/>
    <w:rsid w:val="00F504FE"/>
    <w:rsid w:val="00F52C83"/>
    <w:rsid w:val="00F5493B"/>
    <w:rsid w:val="00F60D3D"/>
    <w:rsid w:val="00F613FE"/>
    <w:rsid w:val="00F70D4F"/>
    <w:rsid w:val="00F726DF"/>
    <w:rsid w:val="00F8694F"/>
    <w:rsid w:val="00F93516"/>
    <w:rsid w:val="00F95FC5"/>
    <w:rsid w:val="00FD1F2B"/>
    <w:rsid w:val="00FD5E7C"/>
    <w:rsid w:val="00FE1368"/>
    <w:rsid w:val="00FE3E5B"/>
    <w:rsid w:val="00FF4E9E"/>
    <w:rsid w:val="00FF5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after="0" w:line="480" w:lineRule="auto"/>
    </w:p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iPriority w:val="9"/>
    <w:unhideWhenUsed/>
    <w:qFormat/>
    <w:rsid w:val="008156A1"/>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heme="majorEastAsia" w:cstheme="majorBidi"/>
      <w:b/>
      <w:bCs/>
      <w:sz w:val="24"/>
      <w:szCs w:val="26"/>
    </w:rPr>
  </w:style>
  <w:style w:type="character" w:customStyle="1" w:styleId="Heading3Char">
    <w:name w:val="Heading 3 Char"/>
    <w:basedOn w:val="DefaultParagraphFont"/>
    <w:link w:val="Heading3"/>
    <w:uiPriority w:val="9"/>
    <w:rsid w:val="008E4725"/>
    <w:rPr>
      <w:rFonts w:eastAsiaTheme="majorEastAsia" w:cstheme="majorBidi"/>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rsid w:val="00D62307"/>
    <w:pPr>
      <w:keepLines/>
      <w:spacing w:line="240" w:lineRule="auto"/>
      <w:ind w:firstLine="720"/>
    </w:pPr>
  </w:style>
  <w:style w:type="character" w:customStyle="1" w:styleId="FootnoteTextChar">
    <w:name w:val="Footnote Text Char"/>
    <w:basedOn w:val="DefaultParagraphFont"/>
    <w:link w:val="FootnoteText"/>
    <w:rsid w:val="00D62307"/>
  </w:style>
  <w:style w:type="paragraph" w:customStyle="1" w:styleId="Footnote">
    <w:name w:val="Footnote"/>
    <w:basedOn w:val="Normal"/>
    <w:link w:val="FootnoteChar"/>
    <w:autoRedefine/>
    <w:qFormat/>
    <w:rsid w:val="003470B5"/>
    <w:pPr>
      <w:spacing w:after="120" w:line="240" w:lineRule="auto"/>
    </w:pPr>
    <w:rPr>
      <w:rFonts w:cstheme="minorBidi"/>
    </w:rPr>
  </w:style>
  <w:style w:type="character" w:customStyle="1" w:styleId="FootnoteChar">
    <w:name w:val="Footnote Char"/>
    <w:basedOn w:val="DefaultParagraphFont"/>
    <w:link w:val="Footnote"/>
    <w:rsid w:val="003470B5"/>
    <w:rPr>
      <w:rFonts w:cstheme="minorBidi"/>
    </w:rPr>
  </w:style>
  <w:style w:type="table" w:styleId="TableGrid">
    <w:name w:val="Table Grid"/>
    <w:basedOn w:val="TableNormal"/>
    <w:uiPriority w:val="59"/>
    <w:rsid w:val="00C11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83AF1"/>
    <w:rPr>
      <w:vertAlign w:val="superscript"/>
    </w:rPr>
  </w:style>
  <w:style w:type="paragraph" w:styleId="Header">
    <w:name w:val="header"/>
    <w:basedOn w:val="Normal"/>
    <w:link w:val="HeaderChar"/>
    <w:uiPriority w:val="99"/>
    <w:semiHidden/>
    <w:unhideWhenUsed/>
    <w:rsid w:val="00783AF1"/>
    <w:pPr>
      <w:tabs>
        <w:tab w:val="center" w:pos="4680"/>
        <w:tab w:val="right" w:pos="9360"/>
      </w:tabs>
    </w:pPr>
  </w:style>
  <w:style w:type="character" w:customStyle="1" w:styleId="HeaderChar">
    <w:name w:val="Header Char"/>
    <w:basedOn w:val="DefaultParagraphFont"/>
    <w:link w:val="Header"/>
    <w:uiPriority w:val="99"/>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ListParagraph">
    <w:name w:val="List Paragraph"/>
    <w:basedOn w:val="Normal"/>
    <w:uiPriority w:val="34"/>
    <w:qFormat/>
    <w:rsid w:val="001E7BB3"/>
    <w:pPr>
      <w:ind w:left="720"/>
      <w:contextualSpacing/>
    </w:pPr>
  </w:style>
</w:styles>
</file>

<file path=word/webSettings.xml><?xml version="1.0" encoding="utf-8"?>
<w:webSettings xmlns:r="http://schemas.openxmlformats.org/officeDocument/2006/relationships" xmlns:w="http://schemas.openxmlformats.org/wordprocessingml/2006/main">
  <w:divs>
    <w:div w:id="199467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0812-0CB0-43EA-A9EB-25125751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2685</Words>
  <Characters>15308</Characters>
  <Application>Microsoft Office Word</Application>
  <DocSecurity>0</DocSecurity>
  <Lines>127</Lines>
  <Paragraphs>35</Paragraphs>
  <ScaleCrop>false</ScaleCrop>
  <Company/>
  <LinksUpToDate>false</LinksUpToDate>
  <CharactersWithSpaces>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2011-03-28T18:53:00Z</dcterms:created>
  <dcterms:modified xsi:type="dcterms:W3CDTF">2011-03-28T18:54:00Z</dcterms:modified>
</cp:coreProperties>
</file>