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B12" w:rsidRPr="00157A09" w:rsidRDefault="00157A09" w:rsidP="00157A09">
      <w:pPr>
        <w:ind w:firstLine="720"/>
        <w:jc w:val="right"/>
        <w:rPr>
          <w:b/>
          <w:sz w:val="36"/>
        </w:rPr>
      </w:pPr>
      <w:r w:rsidRPr="00157A09">
        <w:rPr>
          <w:b/>
        </w:rPr>
        <w:t>FILED OCTOBER 30, 2009</w:t>
      </w:r>
    </w:p>
    <w:p w:rsidR="003D3B12" w:rsidRDefault="003D3B12"/>
    <w:p w:rsidR="003D3B12" w:rsidRDefault="003D3B12"/>
    <w:p w:rsidR="003D3B12" w:rsidRDefault="003D3B12"/>
    <w:p w:rsidR="003D3B12" w:rsidRDefault="003D3B12"/>
    <w:p w:rsidR="003D3B12" w:rsidRDefault="003D3B12"/>
    <w:p w:rsidR="003D3B12" w:rsidRDefault="003D3B12">
      <w:pPr>
        <w:pStyle w:val="Heading1"/>
      </w:pPr>
      <w:r>
        <w:t>STATE BAR COURT OF CALIFORNIA</w:t>
      </w:r>
    </w:p>
    <w:p w:rsidR="003D3B12" w:rsidRDefault="003D3B12">
      <w:pPr>
        <w:spacing w:line="480" w:lineRule="auto"/>
        <w:jc w:val="center"/>
        <w:rPr>
          <w:b/>
          <w:bCs/>
        </w:rPr>
      </w:pPr>
      <w:r>
        <w:rPr>
          <w:b/>
          <w:bCs/>
        </w:rPr>
        <w:t xml:space="preserve">HEARING DEPARTMENT – </w:t>
      </w:r>
      <w:bookmarkStart w:id="0" w:name="venue"/>
      <w:bookmarkEnd w:id="0"/>
      <w:r w:rsidR="00ED6419">
        <w:rPr>
          <w:b/>
          <w:bCs/>
        </w:rPr>
        <w:t>LOS ANGELES</w:t>
      </w:r>
    </w:p>
    <w:p w:rsidR="003D3B12" w:rsidRDefault="003D3B12">
      <w:pPr>
        <w:spacing w:line="480" w:lineRule="auto"/>
        <w:jc w:val="center"/>
        <w:rPr>
          <w:b/>
          <w:bCs/>
        </w:rPr>
      </w:pPr>
    </w:p>
    <w:p w:rsidR="003D3B12" w:rsidRDefault="003D3B12">
      <w:pPr>
        <w:spacing w:line="480" w:lineRule="auto"/>
        <w:rPr>
          <w:b/>
          <w:bCs/>
        </w:rPr>
      </w:pPr>
    </w:p>
    <w:tbl>
      <w:tblPr>
        <w:tblW w:w="0" w:type="auto"/>
        <w:tblInd w:w="5" w:type="dxa"/>
        <w:tblBorders>
          <w:bottom w:val="single" w:sz="4" w:space="0" w:color="auto"/>
        </w:tblBorders>
        <w:tblCellMar>
          <w:left w:w="0" w:type="dxa"/>
          <w:right w:w="0" w:type="dxa"/>
        </w:tblCellMar>
        <w:tblLook w:val="0000"/>
      </w:tblPr>
      <w:tblGrid>
        <w:gridCol w:w="4334"/>
        <w:gridCol w:w="180"/>
        <w:gridCol w:w="237"/>
        <w:gridCol w:w="1088"/>
        <w:gridCol w:w="3426"/>
      </w:tblGrid>
      <w:tr w:rsidR="003D3B12">
        <w:trPr>
          <w:cantSplit/>
          <w:trHeight w:val="462"/>
        </w:trPr>
        <w:tc>
          <w:tcPr>
            <w:tcW w:w="4378" w:type="dxa"/>
            <w:vMerge w:val="restart"/>
          </w:tcPr>
          <w:p w:rsidR="003D3B12" w:rsidRDefault="003D3B12">
            <w:r>
              <w:t>In the Matter of</w:t>
            </w:r>
          </w:p>
          <w:p w:rsidR="003D3B12" w:rsidRDefault="003D3B12">
            <w:pPr>
              <w:rPr>
                <w:b/>
                <w:bCs/>
              </w:rPr>
            </w:pPr>
          </w:p>
          <w:p w:rsidR="003D3B12" w:rsidRDefault="00ED6419">
            <w:pPr>
              <w:rPr>
                <w:b/>
                <w:bCs/>
              </w:rPr>
            </w:pPr>
            <w:bookmarkStart w:id="1" w:name="resp"/>
            <w:bookmarkEnd w:id="1"/>
            <w:r>
              <w:rPr>
                <w:b/>
                <w:bCs/>
              </w:rPr>
              <w:t>SUSAN ANN MITCHELL,</w:t>
            </w:r>
          </w:p>
          <w:p w:rsidR="003D3B12" w:rsidRDefault="003D3B12">
            <w:pPr>
              <w:rPr>
                <w:b/>
                <w:bCs/>
              </w:rPr>
            </w:pPr>
          </w:p>
          <w:p w:rsidR="003D3B12" w:rsidRDefault="003D3B12">
            <w:pPr>
              <w:rPr>
                <w:b/>
                <w:bCs/>
              </w:rPr>
            </w:pPr>
            <w:r>
              <w:rPr>
                <w:b/>
                <w:bCs/>
              </w:rPr>
              <w:t xml:space="preserve">Member No.  </w:t>
            </w:r>
            <w:bookmarkStart w:id="2" w:name="member"/>
            <w:bookmarkEnd w:id="2"/>
            <w:r w:rsidR="00ED6419">
              <w:rPr>
                <w:b/>
                <w:bCs/>
              </w:rPr>
              <w:t>158640,</w:t>
            </w:r>
          </w:p>
          <w:p w:rsidR="003D3B12" w:rsidRDefault="003D3B12">
            <w:pPr>
              <w:rPr>
                <w:b/>
                <w:bCs/>
              </w:rPr>
            </w:pPr>
          </w:p>
          <w:p w:rsidR="003D3B12" w:rsidRDefault="00ED6419">
            <w:bookmarkStart w:id="3" w:name="type"/>
            <w:bookmarkEnd w:id="3"/>
            <w:r>
              <w:t>A Member of the State Bar.</w:t>
            </w:r>
          </w:p>
        </w:tc>
        <w:tc>
          <w:tcPr>
            <w:tcW w:w="182" w:type="dxa"/>
            <w:vMerge w:val="restart"/>
            <w:tcBorders>
              <w:bottom w:val="nil"/>
            </w:tcBorders>
          </w:tcPr>
          <w:p w:rsidR="003D3B12" w:rsidRDefault="003D3B12">
            <w:pPr>
              <w:rPr>
                <w:b/>
                <w:bCs/>
              </w:rPr>
            </w:pPr>
            <w:r>
              <w:rPr>
                <w:b/>
                <w:bCs/>
              </w:rPr>
              <w:t>)</w:t>
            </w:r>
          </w:p>
          <w:p w:rsidR="003D3B12" w:rsidRDefault="003D3B12">
            <w:pPr>
              <w:rPr>
                <w:b/>
                <w:bCs/>
              </w:rPr>
            </w:pPr>
            <w:r>
              <w:rPr>
                <w:b/>
                <w:bCs/>
              </w:rPr>
              <w:t>)</w:t>
            </w:r>
          </w:p>
          <w:p w:rsidR="003D3B12" w:rsidRDefault="003D3B12">
            <w:pPr>
              <w:rPr>
                <w:b/>
                <w:bCs/>
              </w:rPr>
            </w:pPr>
            <w:r>
              <w:rPr>
                <w:b/>
                <w:bCs/>
              </w:rPr>
              <w:t>)</w:t>
            </w:r>
          </w:p>
          <w:p w:rsidR="003D3B12" w:rsidRDefault="003D3B12">
            <w:pPr>
              <w:rPr>
                <w:b/>
                <w:bCs/>
              </w:rPr>
            </w:pPr>
            <w:r>
              <w:rPr>
                <w:b/>
                <w:bCs/>
              </w:rPr>
              <w:t>)</w:t>
            </w:r>
          </w:p>
          <w:p w:rsidR="003D3B12" w:rsidRDefault="003D3B12">
            <w:pPr>
              <w:rPr>
                <w:b/>
                <w:bCs/>
              </w:rPr>
            </w:pPr>
            <w:r>
              <w:rPr>
                <w:b/>
                <w:bCs/>
              </w:rPr>
              <w:t>)</w:t>
            </w:r>
          </w:p>
          <w:p w:rsidR="003D3B12" w:rsidRDefault="003D3B12">
            <w:pPr>
              <w:rPr>
                <w:b/>
                <w:bCs/>
              </w:rPr>
            </w:pPr>
            <w:r>
              <w:rPr>
                <w:b/>
                <w:bCs/>
              </w:rPr>
              <w:t>)</w:t>
            </w:r>
          </w:p>
          <w:p w:rsidR="00192849" w:rsidRDefault="00192849">
            <w:pPr>
              <w:rPr>
                <w:b/>
                <w:bCs/>
              </w:rPr>
            </w:pPr>
            <w:r>
              <w:rPr>
                <w:b/>
                <w:bCs/>
              </w:rPr>
              <w:t>)</w:t>
            </w:r>
          </w:p>
          <w:p w:rsidR="003D3B12" w:rsidRDefault="003D3B12">
            <w:pPr>
              <w:rPr>
                <w:b/>
                <w:bCs/>
              </w:rPr>
            </w:pPr>
            <w:r>
              <w:rPr>
                <w:b/>
                <w:bCs/>
              </w:rPr>
              <w:t>)</w:t>
            </w:r>
          </w:p>
        </w:tc>
        <w:tc>
          <w:tcPr>
            <w:tcW w:w="240" w:type="dxa"/>
            <w:vMerge w:val="restart"/>
            <w:tcBorders>
              <w:bottom w:val="nil"/>
            </w:tcBorders>
          </w:tcPr>
          <w:p w:rsidR="003D3B12" w:rsidRDefault="003D3B12">
            <w:pPr>
              <w:rPr>
                <w:b/>
                <w:bCs/>
              </w:rPr>
            </w:pPr>
          </w:p>
        </w:tc>
        <w:tc>
          <w:tcPr>
            <w:tcW w:w="1097" w:type="dxa"/>
            <w:tcBorders>
              <w:bottom w:val="nil"/>
            </w:tcBorders>
          </w:tcPr>
          <w:p w:rsidR="003D3B12" w:rsidRDefault="003D3B12">
            <w:r>
              <w:t>Case No</w:t>
            </w:r>
            <w:r w:rsidR="00550C5A">
              <w:t>s</w:t>
            </w:r>
            <w:r>
              <w:t>.:</w:t>
            </w:r>
          </w:p>
        </w:tc>
        <w:tc>
          <w:tcPr>
            <w:tcW w:w="3468" w:type="dxa"/>
          </w:tcPr>
          <w:p w:rsidR="00ED6419" w:rsidRDefault="00ED6419">
            <w:pPr>
              <w:rPr>
                <w:bCs/>
              </w:rPr>
            </w:pPr>
            <w:bookmarkStart w:id="4" w:name="caseno"/>
            <w:bookmarkEnd w:id="4"/>
            <w:r>
              <w:rPr>
                <w:b/>
                <w:bCs/>
              </w:rPr>
              <w:t>06-O-14210</w:t>
            </w:r>
            <w:r w:rsidR="00264A8C">
              <w:rPr>
                <w:b/>
                <w:bCs/>
              </w:rPr>
              <w:t>-RAH</w:t>
            </w:r>
            <w:r>
              <w:rPr>
                <w:b/>
                <w:bCs/>
              </w:rPr>
              <w:t xml:space="preserve"> </w:t>
            </w:r>
            <w:r w:rsidRPr="00ED6419">
              <w:rPr>
                <w:bCs/>
              </w:rPr>
              <w:t>(06-O-14404;</w:t>
            </w:r>
          </w:p>
          <w:p w:rsidR="00192849" w:rsidRDefault="00ED6419" w:rsidP="00192849">
            <w:pPr>
              <w:rPr>
                <w:bCs/>
              </w:rPr>
            </w:pPr>
            <w:r w:rsidRPr="00ED6419">
              <w:rPr>
                <w:bCs/>
              </w:rPr>
              <w:t>0</w:t>
            </w:r>
            <w:r w:rsidR="00192849">
              <w:rPr>
                <w:bCs/>
              </w:rPr>
              <w:t>7</w:t>
            </w:r>
            <w:r w:rsidRPr="00ED6419">
              <w:rPr>
                <w:bCs/>
              </w:rPr>
              <w:t>-O-14287</w:t>
            </w:r>
            <w:r w:rsidR="00192849">
              <w:rPr>
                <w:bCs/>
              </w:rPr>
              <w:t>; 07-O-</w:t>
            </w:r>
            <w:r w:rsidRPr="00ED6419">
              <w:rPr>
                <w:bCs/>
              </w:rPr>
              <w:t>14717</w:t>
            </w:r>
            <w:r w:rsidR="00192849">
              <w:rPr>
                <w:bCs/>
              </w:rPr>
              <w:t>;</w:t>
            </w:r>
          </w:p>
          <w:p w:rsidR="003D3B12" w:rsidRDefault="00192849" w:rsidP="00192849">
            <w:pPr>
              <w:rPr>
                <w:b/>
                <w:bCs/>
              </w:rPr>
            </w:pPr>
            <w:r>
              <w:rPr>
                <w:bCs/>
              </w:rPr>
              <w:t>07-O-</w:t>
            </w:r>
            <w:r w:rsidR="00ED6419" w:rsidRPr="00ED6419">
              <w:rPr>
                <w:bCs/>
              </w:rPr>
              <w:t xml:space="preserve"> 14958</w:t>
            </w:r>
            <w:r w:rsidR="00ED6419">
              <w:rPr>
                <w:bCs/>
              </w:rPr>
              <w:t>)</w:t>
            </w:r>
          </w:p>
        </w:tc>
      </w:tr>
      <w:tr w:rsidR="003D3B12">
        <w:trPr>
          <w:cantSplit/>
          <w:trHeight w:val="1480"/>
        </w:trPr>
        <w:tc>
          <w:tcPr>
            <w:tcW w:w="4378" w:type="dxa"/>
            <w:vMerge/>
          </w:tcPr>
          <w:p w:rsidR="003D3B12" w:rsidRDefault="003D3B12"/>
        </w:tc>
        <w:tc>
          <w:tcPr>
            <w:tcW w:w="182" w:type="dxa"/>
            <w:vMerge/>
            <w:tcBorders>
              <w:bottom w:val="nil"/>
            </w:tcBorders>
          </w:tcPr>
          <w:p w:rsidR="003D3B12" w:rsidRDefault="003D3B12">
            <w:pPr>
              <w:rPr>
                <w:b/>
                <w:bCs/>
              </w:rPr>
            </w:pPr>
          </w:p>
        </w:tc>
        <w:tc>
          <w:tcPr>
            <w:tcW w:w="240" w:type="dxa"/>
            <w:vMerge/>
            <w:tcBorders>
              <w:bottom w:val="nil"/>
            </w:tcBorders>
          </w:tcPr>
          <w:p w:rsidR="003D3B12" w:rsidRDefault="003D3B12">
            <w:pPr>
              <w:rPr>
                <w:b/>
                <w:bCs/>
              </w:rPr>
            </w:pPr>
          </w:p>
        </w:tc>
        <w:tc>
          <w:tcPr>
            <w:tcW w:w="4565" w:type="dxa"/>
            <w:gridSpan w:val="2"/>
            <w:tcBorders>
              <w:bottom w:val="nil"/>
            </w:tcBorders>
          </w:tcPr>
          <w:p w:rsidR="003D3B12" w:rsidRDefault="00ED6419">
            <w:pPr>
              <w:rPr>
                <w:b/>
                <w:bCs/>
              </w:rPr>
            </w:pPr>
            <w:bookmarkStart w:id="5" w:name="title"/>
            <w:bookmarkEnd w:id="5"/>
            <w:r>
              <w:rPr>
                <w:b/>
                <w:bCs/>
              </w:rPr>
              <w:t xml:space="preserve">                                                               DECISION</w:t>
            </w:r>
          </w:p>
        </w:tc>
      </w:tr>
    </w:tbl>
    <w:p w:rsidR="003D3B12" w:rsidRDefault="003D3B12">
      <w:pPr>
        <w:spacing w:line="480" w:lineRule="auto"/>
      </w:pPr>
    </w:p>
    <w:p w:rsidR="003A2F25" w:rsidRDefault="00C4460A" w:rsidP="00C45B5D">
      <w:pPr>
        <w:spacing w:line="480" w:lineRule="auto"/>
        <w:ind w:firstLine="720"/>
      </w:pPr>
      <w:r>
        <w:t xml:space="preserve">In this default disciplinary matter, respondent </w:t>
      </w:r>
      <w:r w:rsidRPr="00744366">
        <w:rPr>
          <w:b/>
        </w:rPr>
        <w:t>Susan Ann Mitchell</w:t>
      </w:r>
      <w:r>
        <w:t xml:space="preserve"> is charged with</w:t>
      </w:r>
      <w:r w:rsidR="003A2F25">
        <w:t xml:space="preserve"> multiple acts of misconduct in two client matters and</w:t>
      </w:r>
      <w:r w:rsidR="00550C5A">
        <w:t xml:space="preserve"> a</w:t>
      </w:r>
      <w:r w:rsidR="003A2F25">
        <w:t xml:space="preserve"> </w:t>
      </w:r>
      <w:r>
        <w:t xml:space="preserve">trust account </w:t>
      </w:r>
      <w:r w:rsidR="00550C5A">
        <w:t>matter</w:t>
      </w:r>
      <w:r w:rsidR="001A5C5B">
        <w:t xml:space="preserve">, which include:  </w:t>
      </w:r>
      <w:r w:rsidR="001A5C5B" w:rsidRPr="001A5C5B">
        <w:t>(1) fail</w:t>
      </w:r>
      <w:r w:rsidR="00840213">
        <w:t>ing</w:t>
      </w:r>
      <w:r w:rsidR="001A5C5B" w:rsidRPr="001A5C5B">
        <w:t xml:space="preserve"> to deposit client funds in a</w:t>
      </w:r>
      <w:r w:rsidR="00923B39">
        <w:t xml:space="preserve"> client</w:t>
      </w:r>
      <w:r w:rsidR="001A5C5B" w:rsidRPr="001A5C5B">
        <w:t xml:space="preserve"> trust account;</w:t>
      </w:r>
      <w:r w:rsidR="001A5C5B">
        <w:t xml:space="preserve"> (2)</w:t>
      </w:r>
      <w:r w:rsidR="001A5C5B" w:rsidRPr="001A5C5B">
        <w:t xml:space="preserve"> </w:t>
      </w:r>
      <w:r w:rsidR="00364060">
        <w:t>engaging in the unauthorized practice of law</w:t>
      </w:r>
      <w:r w:rsidR="001A5C5B">
        <w:t>; (3) charging an illegal fee; (4</w:t>
      </w:r>
      <w:r w:rsidR="00840213">
        <w:t>) failing to avoid adverse</w:t>
      </w:r>
      <w:r w:rsidR="00364060">
        <w:t xml:space="preserve"> interests</w:t>
      </w:r>
      <w:r w:rsidR="00F04C3B">
        <w:t xml:space="preserve">; (5) failing to deliver client properties promptly; (6) </w:t>
      </w:r>
      <w:r w:rsidR="00364060">
        <w:t>committing</w:t>
      </w:r>
      <w:r w:rsidR="00F04C3B">
        <w:t xml:space="preserve"> acts of moral turpitude;</w:t>
      </w:r>
      <w:r w:rsidR="003A2F25">
        <w:t xml:space="preserve"> and (7) commingling.</w:t>
      </w:r>
    </w:p>
    <w:p w:rsidR="003D3B12" w:rsidRDefault="003A2F25" w:rsidP="00C45B5D">
      <w:pPr>
        <w:spacing w:line="480" w:lineRule="auto"/>
        <w:ind w:firstLine="720"/>
      </w:pPr>
      <w:r>
        <w:t xml:space="preserve">The court finds, by clear and convincing evidence, that respondent is culpable of </w:t>
      </w:r>
      <w:r w:rsidR="00364060">
        <w:t>the</w:t>
      </w:r>
      <w:r>
        <w:t xml:space="preserve"> alleged counts of misconduct.  In view of respondent’s misconduct and the evidence in aggravation, the court recommends, among other things, that respondent be suspended from the </w:t>
      </w:r>
      <w:r w:rsidR="000F22D6">
        <w:t>practice of law</w:t>
      </w:r>
      <w:r w:rsidR="00364060">
        <w:t xml:space="preserve"> in California </w:t>
      </w:r>
      <w:r w:rsidR="000F22D6">
        <w:t>for three years, that execution of that period of suspension be stayed, and that she be suspended for a minimum of two years and will remain suspended until the State Bar Court grants a motion to terminate her suspension (Rules Proc. of State Bar, rule 205)</w:t>
      </w:r>
      <w:r w:rsidR="00364060">
        <w:t>.</w:t>
      </w:r>
    </w:p>
    <w:p w:rsidR="00472004" w:rsidRPr="00472004" w:rsidRDefault="00472004" w:rsidP="00472004">
      <w:pPr>
        <w:pStyle w:val="Header"/>
        <w:spacing w:line="480" w:lineRule="auto"/>
        <w:jc w:val="center"/>
        <w:rPr>
          <w:b/>
        </w:rPr>
      </w:pPr>
      <w:r w:rsidRPr="00472004">
        <w:rPr>
          <w:b/>
        </w:rPr>
        <w:lastRenderedPageBreak/>
        <w:t>II</w:t>
      </w:r>
      <w:proofErr w:type="gramStart"/>
      <w:r w:rsidRPr="00472004">
        <w:rPr>
          <w:b/>
        </w:rPr>
        <w:t>.  Pertinent</w:t>
      </w:r>
      <w:proofErr w:type="gramEnd"/>
      <w:r w:rsidRPr="00472004">
        <w:rPr>
          <w:b/>
        </w:rPr>
        <w:t xml:space="preserve"> Procedural History</w:t>
      </w:r>
    </w:p>
    <w:p w:rsidR="006918EE" w:rsidRDefault="00472004" w:rsidP="00A91AE8">
      <w:pPr>
        <w:pStyle w:val="Header"/>
        <w:spacing w:line="480" w:lineRule="auto"/>
        <w:ind w:firstLine="720"/>
      </w:pPr>
      <w:r w:rsidRPr="00472004">
        <w:t xml:space="preserve">The Office of Chief Trial Counsel of the State Bar of California (State Bar) initiated this proceeding by filing a </w:t>
      </w:r>
      <w:r w:rsidR="00361E1D" w:rsidRPr="00472004">
        <w:t xml:space="preserve">Notice </w:t>
      </w:r>
      <w:r w:rsidR="00361E1D">
        <w:t>o</w:t>
      </w:r>
      <w:r w:rsidR="00361E1D" w:rsidRPr="00472004">
        <w:t>f Disciplinary Charges</w:t>
      </w:r>
      <w:r w:rsidRPr="00472004">
        <w:t xml:space="preserve"> (</w:t>
      </w:r>
      <w:proofErr w:type="spellStart"/>
      <w:r w:rsidRPr="00472004">
        <w:t>NDC</w:t>
      </w:r>
      <w:proofErr w:type="spellEnd"/>
      <w:r w:rsidRPr="00472004">
        <w:t>) against respondent on December 1</w:t>
      </w:r>
      <w:r>
        <w:t>0</w:t>
      </w:r>
      <w:r w:rsidRPr="00472004">
        <w:t>, 2008</w:t>
      </w:r>
      <w:r w:rsidR="00967D33">
        <w:t>.  R</w:t>
      </w:r>
      <w:r w:rsidR="00967D33" w:rsidRPr="00472004">
        <w:t>espondent filed h</w:t>
      </w:r>
      <w:r w:rsidR="00967D33">
        <w:t>er</w:t>
      </w:r>
      <w:r w:rsidR="00967D33" w:rsidRPr="00472004">
        <w:t xml:space="preserve"> response to the </w:t>
      </w:r>
      <w:proofErr w:type="spellStart"/>
      <w:r w:rsidR="00967D33" w:rsidRPr="00472004">
        <w:t>NDC</w:t>
      </w:r>
      <w:proofErr w:type="spellEnd"/>
      <w:r w:rsidR="00967D33" w:rsidRPr="00472004">
        <w:t xml:space="preserve"> on </w:t>
      </w:r>
      <w:r w:rsidR="00967D33">
        <w:t>January 30</w:t>
      </w:r>
      <w:r w:rsidR="00967D33" w:rsidRPr="00472004">
        <w:t>, 2009.</w:t>
      </w:r>
    </w:p>
    <w:p w:rsidR="009A71D1" w:rsidRDefault="006918EE" w:rsidP="00967D33">
      <w:pPr>
        <w:pStyle w:val="Header"/>
        <w:spacing w:line="480" w:lineRule="auto"/>
        <w:ind w:firstLine="720"/>
      </w:pPr>
      <w:r w:rsidRPr="006918EE">
        <w:t xml:space="preserve">On </w:t>
      </w:r>
      <w:r>
        <w:t>January 23</w:t>
      </w:r>
      <w:r w:rsidRPr="006918EE">
        <w:t>, 2009, an in-person status conference was held.  The State Bar was represented at the status conference by the assigned deputy trial counsel</w:t>
      </w:r>
      <w:r w:rsidR="009A71D1">
        <w:t xml:space="preserve"> (</w:t>
      </w:r>
      <w:proofErr w:type="spellStart"/>
      <w:r w:rsidR="009A71D1">
        <w:t>DTC</w:t>
      </w:r>
      <w:proofErr w:type="spellEnd"/>
      <w:r w:rsidR="009A71D1">
        <w:t>)</w:t>
      </w:r>
      <w:r w:rsidRPr="006918EE">
        <w:t>, who appeared in-person</w:t>
      </w:r>
      <w:r>
        <w:t xml:space="preserve">.  Attorney Ellen A. </w:t>
      </w:r>
      <w:proofErr w:type="spellStart"/>
      <w:r>
        <w:t>Pansky</w:t>
      </w:r>
      <w:proofErr w:type="spellEnd"/>
      <w:r w:rsidR="00CC6D87">
        <w:t xml:space="preserve"> (</w:t>
      </w:r>
      <w:proofErr w:type="spellStart"/>
      <w:r w:rsidR="00CC6D87">
        <w:t>Pansky</w:t>
      </w:r>
      <w:proofErr w:type="spellEnd"/>
      <w:r w:rsidR="00CC6D87">
        <w:t>)</w:t>
      </w:r>
      <w:r>
        <w:t xml:space="preserve"> </w:t>
      </w:r>
      <w:r w:rsidRPr="006918EE">
        <w:t>appeared</w:t>
      </w:r>
      <w:r>
        <w:t xml:space="preserve"> in-person</w:t>
      </w:r>
      <w:r w:rsidRPr="006918EE">
        <w:t xml:space="preserve"> on</w:t>
      </w:r>
      <w:r>
        <w:t xml:space="preserve"> </w:t>
      </w:r>
      <w:r w:rsidRPr="006918EE">
        <w:t>behalf</w:t>
      </w:r>
      <w:r>
        <w:t xml:space="preserve"> of respondent; respondent appeared telephonically</w:t>
      </w:r>
      <w:r w:rsidRPr="006918EE">
        <w:t xml:space="preserve">.  At the status conference, the court ordered, among other things, that a </w:t>
      </w:r>
      <w:r>
        <w:t>further status conference</w:t>
      </w:r>
      <w:r w:rsidRPr="006918EE">
        <w:t xml:space="preserve"> would be held</w:t>
      </w:r>
      <w:r>
        <w:t xml:space="preserve"> on February 6, </w:t>
      </w:r>
      <w:r w:rsidRPr="006918EE">
        <w:t>2009, at 9:30 a.m.</w:t>
      </w:r>
      <w:r>
        <w:t xml:space="preserve"> to discuss trial dates.</w:t>
      </w:r>
    </w:p>
    <w:p w:rsidR="00CC6D87" w:rsidRDefault="006918EE" w:rsidP="00405C3A">
      <w:pPr>
        <w:pStyle w:val="Header"/>
        <w:spacing w:line="480" w:lineRule="auto"/>
        <w:ind w:firstLine="720"/>
      </w:pPr>
      <w:r w:rsidRPr="006918EE">
        <w:t>On February</w:t>
      </w:r>
      <w:r w:rsidR="009A71D1">
        <w:t xml:space="preserve"> 6</w:t>
      </w:r>
      <w:r w:rsidRPr="006918EE">
        <w:t xml:space="preserve">, 2009, </w:t>
      </w:r>
      <w:r w:rsidR="009A71D1">
        <w:t>a</w:t>
      </w:r>
      <w:r w:rsidR="00EE1951">
        <w:t>n in-person</w:t>
      </w:r>
      <w:r w:rsidR="009A71D1">
        <w:t xml:space="preserve"> status conference was held.  Participating</w:t>
      </w:r>
      <w:r w:rsidR="00EE1951">
        <w:t xml:space="preserve"> </w:t>
      </w:r>
      <w:r w:rsidR="009A71D1">
        <w:t xml:space="preserve">were the assigned deputy trial counsel for the State Bar and </w:t>
      </w:r>
      <w:r w:rsidR="00CC6D87">
        <w:t>attorney</w:t>
      </w:r>
      <w:r w:rsidR="009A71D1">
        <w:t xml:space="preserve"> </w:t>
      </w:r>
      <w:proofErr w:type="spellStart"/>
      <w:r w:rsidR="009A71D1">
        <w:t>Pansky</w:t>
      </w:r>
      <w:proofErr w:type="spellEnd"/>
      <w:r w:rsidR="009A71D1">
        <w:t xml:space="preserve"> for respondent</w:t>
      </w:r>
      <w:r w:rsidR="00EE1951">
        <w:t xml:space="preserve">.  </w:t>
      </w:r>
      <w:r w:rsidR="00405C3A">
        <w:t>B</w:t>
      </w:r>
      <w:r w:rsidR="009A71D1">
        <w:t>ased on the discussions at the status conference and the documents in the court file, the court ordered, among other things, that</w:t>
      </w:r>
      <w:r w:rsidR="00BB2942">
        <w:t>: (1)</w:t>
      </w:r>
      <w:r w:rsidR="009A71D1">
        <w:t xml:space="preserve"> a pre-trial conference would be held in-person</w:t>
      </w:r>
      <w:r w:rsidR="00405C3A">
        <w:t xml:space="preserve"> on May 22, 2009, at 9:30 a.m.</w:t>
      </w:r>
      <w:r w:rsidR="00BB2942">
        <w:t>; (2)</w:t>
      </w:r>
      <w:r w:rsidR="00405C3A">
        <w:t xml:space="preserve"> pretrial statements </w:t>
      </w:r>
      <w:r w:rsidR="00967D33">
        <w:t>were to be filed</w:t>
      </w:r>
      <w:r w:rsidR="00405C3A">
        <w:t xml:space="preserve"> no later than May 15, 2009</w:t>
      </w:r>
      <w:r w:rsidR="00BB2942">
        <w:t xml:space="preserve">; </w:t>
      </w:r>
      <w:r w:rsidR="00405C3A">
        <w:t>and</w:t>
      </w:r>
      <w:r w:rsidR="00BB2942">
        <w:t xml:space="preserve"> (3)</w:t>
      </w:r>
      <w:r w:rsidR="00405C3A">
        <w:t xml:space="preserve"> the trial in the instant matter was to begin on June 4, 2009</w:t>
      </w:r>
      <w:r w:rsidR="00361E1D">
        <w:t>,</w:t>
      </w:r>
      <w:r w:rsidR="00405C3A">
        <w:t xml:space="preserve"> at 9:30 a.m.</w:t>
      </w:r>
      <w:r w:rsidR="00EE1951">
        <w:t xml:space="preserve">  </w:t>
      </w:r>
      <w:r w:rsidR="00405C3A" w:rsidRPr="004718BC">
        <w:t xml:space="preserve">On February </w:t>
      </w:r>
      <w:r w:rsidR="00405C3A">
        <w:t>20</w:t>
      </w:r>
      <w:r w:rsidR="00405C3A" w:rsidRPr="004718BC">
        <w:t xml:space="preserve">, 2009, the </w:t>
      </w:r>
      <w:r w:rsidR="00967D33">
        <w:t>court</w:t>
      </w:r>
      <w:r w:rsidR="00EE1951">
        <w:t xml:space="preserve"> filed a Trial Date and Order Pursuant to Status Conference setting forth the </w:t>
      </w:r>
      <w:r w:rsidR="00405C3A" w:rsidRPr="004718BC">
        <w:t>pretrial conference date, the due date of the pretrial statements, and the trial date</w:t>
      </w:r>
      <w:r w:rsidR="00EE1951">
        <w:t>.</w:t>
      </w:r>
      <w:r w:rsidR="00CC3D80">
        <w:t xml:space="preserve">  On that same date, the order was</w:t>
      </w:r>
      <w:r w:rsidR="00405C3A" w:rsidRPr="004718BC">
        <w:t xml:space="preserve"> served on respondent</w:t>
      </w:r>
      <w:r w:rsidR="00405C3A">
        <w:t>’s counsel</w:t>
      </w:r>
      <w:r w:rsidR="00CC6D87">
        <w:t xml:space="preserve"> of record</w:t>
      </w:r>
      <w:r w:rsidR="00405C3A">
        <w:t xml:space="preserve">, </w:t>
      </w:r>
      <w:proofErr w:type="spellStart"/>
      <w:r w:rsidR="00405C3A">
        <w:t>Pansky</w:t>
      </w:r>
      <w:proofErr w:type="spellEnd"/>
      <w:r w:rsidR="00405C3A" w:rsidRPr="004718BC">
        <w:t>, by first-class mail, with postage fully prepaid</w:t>
      </w:r>
      <w:r w:rsidR="00CC6D87">
        <w:t>.</w:t>
      </w:r>
    </w:p>
    <w:p w:rsidR="00BB2942" w:rsidRDefault="00C968AC" w:rsidP="00BB2942">
      <w:pPr>
        <w:pStyle w:val="Header"/>
        <w:spacing w:line="480" w:lineRule="auto"/>
        <w:ind w:firstLine="720"/>
      </w:pPr>
      <w:r>
        <w:t xml:space="preserve">On May 12, 2009, the State Bar filed its </w:t>
      </w:r>
      <w:r w:rsidR="00BB2942">
        <w:t>p</w:t>
      </w:r>
      <w:r>
        <w:t xml:space="preserve">retrial </w:t>
      </w:r>
      <w:r w:rsidR="00BB2942">
        <w:t>s</w:t>
      </w:r>
      <w:r>
        <w:t>tatement with the court.  O</w:t>
      </w:r>
      <w:r w:rsidR="00CC6D87" w:rsidRPr="00CC6D87">
        <w:t xml:space="preserve">n </w:t>
      </w:r>
      <w:r w:rsidR="00CC6D87">
        <w:t xml:space="preserve">May 13, </w:t>
      </w:r>
      <w:r w:rsidR="00CC6D87" w:rsidRPr="00CC6D87">
        <w:t>2009,</w:t>
      </w:r>
      <w:r w:rsidR="00CC6D87">
        <w:t xml:space="preserve"> attorney </w:t>
      </w:r>
      <w:proofErr w:type="spellStart"/>
      <w:r w:rsidR="00CC6D87">
        <w:t>Pansky</w:t>
      </w:r>
      <w:proofErr w:type="spellEnd"/>
      <w:r w:rsidR="00CC6D87">
        <w:t xml:space="preserve"> filed a motion to be relieved as counsel in this matter</w:t>
      </w:r>
      <w:r>
        <w:t>.</w:t>
      </w:r>
      <w:r w:rsidR="00BB2942">
        <w:t xml:space="preserve">  On May 15, 2009, respondent’s pretrial statement, which was signed by attorney </w:t>
      </w:r>
      <w:proofErr w:type="spellStart"/>
      <w:r w:rsidR="00BB2942">
        <w:t>Pansky</w:t>
      </w:r>
      <w:proofErr w:type="spellEnd"/>
      <w:r w:rsidR="00BB2942">
        <w:t xml:space="preserve">, was filed with the court.  </w:t>
      </w:r>
      <w:r w:rsidR="00BB2942">
        <w:lastRenderedPageBreak/>
        <w:t>On May 21, 2009, the State Bar filed a notice of non-opposition to counsel for respondent’s motion to be relieved as counsel in this matter.</w:t>
      </w:r>
    </w:p>
    <w:p w:rsidR="001B33AE" w:rsidRDefault="00111F8E" w:rsidP="00405C3A">
      <w:pPr>
        <w:pStyle w:val="Header"/>
        <w:spacing w:line="480" w:lineRule="auto"/>
        <w:ind w:firstLine="720"/>
      </w:pPr>
      <w:r>
        <w:t xml:space="preserve">On May 22, 2009, the pre-trial conference previously set by the court was held.  The </w:t>
      </w:r>
      <w:proofErr w:type="spellStart"/>
      <w:r>
        <w:t>DTC</w:t>
      </w:r>
      <w:proofErr w:type="spellEnd"/>
      <w:r w:rsidR="001B33AE">
        <w:t>, assigned to this matter,</w:t>
      </w:r>
      <w:r>
        <w:t xml:space="preserve"> appeared for the State Bar; attorney </w:t>
      </w:r>
      <w:proofErr w:type="spellStart"/>
      <w:r>
        <w:t>Pansky</w:t>
      </w:r>
      <w:proofErr w:type="spellEnd"/>
      <w:r w:rsidR="001B33AE">
        <w:t xml:space="preserve"> </w:t>
      </w:r>
      <w:r>
        <w:t xml:space="preserve">appeared </w:t>
      </w:r>
      <w:r w:rsidR="00760848">
        <w:t>for respondent</w:t>
      </w:r>
      <w:r>
        <w:t>.  Respondent</w:t>
      </w:r>
      <w:r w:rsidR="00760848">
        <w:t xml:space="preserve"> made no appearance at the pre-trial conference</w:t>
      </w:r>
      <w:r>
        <w:t xml:space="preserve">.  At the pre-trial conference the court </w:t>
      </w:r>
      <w:r w:rsidR="00CC3D80">
        <w:t xml:space="preserve">again </w:t>
      </w:r>
      <w:r>
        <w:t>ordered th</w:t>
      </w:r>
      <w:r w:rsidR="00060228">
        <w:t>e</w:t>
      </w:r>
      <w:r>
        <w:t xml:space="preserve"> trial </w:t>
      </w:r>
      <w:r w:rsidR="00060228">
        <w:t>to</w:t>
      </w:r>
      <w:r>
        <w:t xml:space="preserve"> commence on June 4, 2009</w:t>
      </w:r>
      <w:r w:rsidR="007C5B1B">
        <w:t>,</w:t>
      </w:r>
      <w:r>
        <w:t xml:space="preserve"> at 9:30 a.m., as previously scheduled.  </w:t>
      </w:r>
      <w:r w:rsidR="00760848">
        <w:t>A minute order reflecting the court’s pretrial conference rulings was properly served on respondent’s counsel of record on May 22, 2009.  In its May 22</w:t>
      </w:r>
      <w:r w:rsidR="00760848" w:rsidRPr="00760848">
        <w:rPr>
          <w:vertAlign w:val="superscript"/>
        </w:rPr>
        <w:t>nd</w:t>
      </w:r>
      <w:r w:rsidR="00760848">
        <w:t xml:space="preserve"> order the court also indicated that it would rule on </w:t>
      </w:r>
      <w:proofErr w:type="spellStart"/>
      <w:r w:rsidR="00760848">
        <w:t>Pansky’s</w:t>
      </w:r>
      <w:proofErr w:type="spellEnd"/>
      <w:r w:rsidR="00760848">
        <w:t xml:space="preserve"> motion to be relieved as counsel on May 26, 2009.  O</w:t>
      </w:r>
      <w:r w:rsidR="001B33AE">
        <w:t xml:space="preserve">n </w:t>
      </w:r>
      <w:r w:rsidR="00760848">
        <w:t>May 26, 2009,</w:t>
      </w:r>
      <w:r w:rsidR="001B33AE">
        <w:t xml:space="preserve"> </w:t>
      </w:r>
      <w:r>
        <w:t xml:space="preserve">the court, finding good cause, granted </w:t>
      </w:r>
      <w:proofErr w:type="spellStart"/>
      <w:r>
        <w:t>Pansky’s</w:t>
      </w:r>
      <w:proofErr w:type="spellEnd"/>
      <w:r>
        <w:t xml:space="preserve"> motion to be relieved as counsel in this matter.</w:t>
      </w:r>
      <w:r w:rsidR="001B33AE">
        <w:t xml:space="preserve">  The order granting </w:t>
      </w:r>
      <w:proofErr w:type="spellStart"/>
      <w:r w:rsidR="001B33AE">
        <w:t>Pansky’s</w:t>
      </w:r>
      <w:proofErr w:type="spellEnd"/>
      <w:r w:rsidR="001B33AE">
        <w:t xml:space="preserve"> motion to be relieved as counsel was properly served on respondent at her official membership record address</w:t>
      </w:r>
      <w:r w:rsidR="002B40B1">
        <w:t xml:space="preserve"> (official address)</w:t>
      </w:r>
      <w:r w:rsidR="001B33AE">
        <w:t>.</w:t>
      </w:r>
    </w:p>
    <w:p w:rsidR="002B40B1" w:rsidRDefault="001B33AE" w:rsidP="00760848">
      <w:pPr>
        <w:pStyle w:val="Header"/>
        <w:spacing w:line="480" w:lineRule="auto"/>
        <w:ind w:firstLine="720"/>
      </w:pPr>
      <w:r>
        <w:t xml:space="preserve"> </w:t>
      </w:r>
      <w:r w:rsidR="00760848">
        <w:t>On June</w:t>
      </w:r>
      <w:r w:rsidR="00003A13">
        <w:t xml:space="preserve"> 4,</w:t>
      </w:r>
      <w:r w:rsidR="00760848">
        <w:t xml:space="preserve"> 2009, respondent failed to appear for trial.</w:t>
      </w:r>
      <w:r w:rsidR="00003A13">
        <w:t xml:space="preserve">  On that same date, given</w:t>
      </w:r>
      <w:r w:rsidR="00760848">
        <w:t xml:space="preserve"> respondent</w:t>
      </w:r>
      <w:r w:rsidR="00003A13">
        <w:t>’s failure to</w:t>
      </w:r>
      <w:r w:rsidR="00760848">
        <w:t xml:space="preserve"> appear at trial and </w:t>
      </w:r>
      <w:r w:rsidR="00003A13">
        <w:t>given that</w:t>
      </w:r>
      <w:r w:rsidR="00760848">
        <w:t xml:space="preserve"> the requirements of rule 201 of the Rules of Procedure of the State Bar of California (Rules of Procedure) were met, the court filed an Order of Entry of Default (Rule 201—Failure to Appear) and Order Of Involuntary Inactive Enrollment.</w:t>
      </w:r>
      <w:r w:rsidR="002B40B1">
        <w:t xml:space="preserve">  </w:t>
      </w:r>
      <w:r w:rsidR="002B40B1" w:rsidRPr="002B40B1">
        <w:t>A copy of said order was properly served on respondent on Ju</w:t>
      </w:r>
      <w:r w:rsidR="002B40B1">
        <w:t>ne</w:t>
      </w:r>
      <w:r w:rsidR="002B40B1" w:rsidRPr="002B40B1">
        <w:t xml:space="preserve"> </w:t>
      </w:r>
      <w:r w:rsidR="002B40B1">
        <w:t>4</w:t>
      </w:r>
      <w:r w:rsidR="002B40B1" w:rsidRPr="002B40B1">
        <w:t>, 2009, by certified mail, return receipt requested, addressed to respondent at h</w:t>
      </w:r>
      <w:r w:rsidR="002B40B1">
        <w:t>er</w:t>
      </w:r>
      <w:r w:rsidR="002B40B1" w:rsidRPr="002B40B1">
        <w:t xml:space="preserve"> official address</w:t>
      </w:r>
      <w:r w:rsidR="002B40B1">
        <w:t>.</w:t>
      </w:r>
      <w:r w:rsidR="00421915">
        <w:rPr>
          <w:rStyle w:val="FootnoteReference"/>
        </w:rPr>
        <w:footnoteReference w:id="1"/>
      </w:r>
    </w:p>
    <w:p w:rsidR="005D216A" w:rsidRDefault="002B40B1" w:rsidP="00033C28">
      <w:pPr>
        <w:pStyle w:val="Header"/>
        <w:tabs>
          <w:tab w:val="clear" w:pos="4320"/>
          <w:tab w:val="clear" w:pos="8640"/>
        </w:tabs>
        <w:spacing w:line="480" w:lineRule="auto"/>
        <w:ind w:firstLine="720"/>
      </w:pPr>
      <w:r w:rsidRPr="002B40B1">
        <w:t xml:space="preserve">The matter was submitted for decision on </w:t>
      </w:r>
      <w:r w:rsidR="00293C3D">
        <w:t>August 3</w:t>
      </w:r>
      <w:r w:rsidRPr="002B40B1">
        <w:t>, 2009</w:t>
      </w:r>
      <w:r w:rsidR="00CC3D80">
        <w:t xml:space="preserve">, </w:t>
      </w:r>
      <w:r w:rsidR="00CC3D80" w:rsidRPr="003873FA">
        <w:t>following the filing of State Bar’s brief on culpability and discipline.</w:t>
      </w:r>
    </w:p>
    <w:p w:rsidR="001A3918" w:rsidRDefault="001A3918" w:rsidP="00033C28">
      <w:pPr>
        <w:pStyle w:val="Header"/>
        <w:tabs>
          <w:tab w:val="clear" w:pos="4320"/>
          <w:tab w:val="clear" w:pos="8640"/>
        </w:tabs>
        <w:spacing w:line="480" w:lineRule="auto"/>
        <w:ind w:firstLine="720"/>
      </w:pPr>
    </w:p>
    <w:p w:rsidR="001A3918" w:rsidRDefault="001A3918" w:rsidP="00033C28">
      <w:pPr>
        <w:pStyle w:val="Header"/>
        <w:tabs>
          <w:tab w:val="clear" w:pos="4320"/>
          <w:tab w:val="clear" w:pos="8640"/>
        </w:tabs>
        <w:spacing w:line="480" w:lineRule="auto"/>
        <w:ind w:firstLine="720"/>
      </w:pPr>
    </w:p>
    <w:p w:rsidR="00BF3535" w:rsidRPr="00BF3535" w:rsidRDefault="00BF3535" w:rsidP="00BF3535">
      <w:pPr>
        <w:pStyle w:val="Header"/>
        <w:spacing w:line="480" w:lineRule="auto"/>
        <w:jc w:val="center"/>
        <w:rPr>
          <w:b/>
        </w:rPr>
      </w:pPr>
      <w:r w:rsidRPr="00BF3535">
        <w:rPr>
          <w:b/>
        </w:rPr>
        <w:lastRenderedPageBreak/>
        <w:t>III</w:t>
      </w:r>
      <w:proofErr w:type="gramStart"/>
      <w:r>
        <w:rPr>
          <w:b/>
        </w:rPr>
        <w:t>.</w:t>
      </w:r>
      <w:r w:rsidR="00720AA1">
        <w:rPr>
          <w:b/>
        </w:rPr>
        <w:t xml:space="preserve"> </w:t>
      </w:r>
      <w:r w:rsidRPr="00BF3535">
        <w:rPr>
          <w:b/>
        </w:rPr>
        <w:t xml:space="preserve"> Findings</w:t>
      </w:r>
      <w:proofErr w:type="gramEnd"/>
      <w:r w:rsidRPr="00BF3535">
        <w:rPr>
          <w:b/>
        </w:rPr>
        <w:t xml:space="preserve"> of Fact and Conclusions of Law</w:t>
      </w:r>
    </w:p>
    <w:p w:rsidR="00BF3535" w:rsidRDefault="00BF3535" w:rsidP="00BF3535">
      <w:pPr>
        <w:pStyle w:val="Header"/>
        <w:spacing w:line="480" w:lineRule="auto"/>
        <w:ind w:firstLine="720"/>
      </w:pPr>
      <w:r w:rsidRPr="00BF3535">
        <w:t xml:space="preserve">All factual allegations of the </w:t>
      </w:r>
      <w:proofErr w:type="spellStart"/>
      <w:r w:rsidRPr="00BF3535">
        <w:t>NDC</w:t>
      </w:r>
      <w:proofErr w:type="spellEnd"/>
      <w:r w:rsidRPr="00BF3535">
        <w:t xml:space="preserve"> are deemed admitted upon entry of respondent’s default unless otherwise ordered by the court based on contrary evidence.  (Rules Proc. of State Bar, rule 200(d</w:t>
      </w:r>
      <w:proofErr w:type="gramStart"/>
      <w:r w:rsidRPr="00BF3535">
        <w:t>)(</w:t>
      </w:r>
      <w:proofErr w:type="gramEnd"/>
      <w:r w:rsidRPr="00BF3535">
        <w:t>1)(A).)</w:t>
      </w:r>
    </w:p>
    <w:p w:rsidR="006C3A7F" w:rsidRDefault="006C3A7F" w:rsidP="006C3A7F">
      <w:pPr>
        <w:pStyle w:val="Header"/>
        <w:spacing w:line="480" w:lineRule="auto"/>
        <w:ind w:firstLine="720"/>
      </w:pPr>
      <w:r>
        <w:tab/>
        <w:t>Respondent was admitted to the practice of law in California on June 8, 1992, and has since been a member of the State Bar of California.</w:t>
      </w:r>
    </w:p>
    <w:p w:rsidR="0065041E" w:rsidRDefault="0065041E" w:rsidP="006C3A7F">
      <w:pPr>
        <w:pStyle w:val="Header"/>
        <w:spacing w:line="480" w:lineRule="auto"/>
        <w:ind w:firstLine="720"/>
      </w:pPr>
      <w:r w:rsidRPr="0065041E">
        <w:tab/>
        <w:t xml:space="preserve">At all times relevant herein, </w:t>
      </w:r>
      <w:r>
        <w:t>r</w:t>
      </w:r>
      <w:r w:rsidRPr="0065041E">
        <w:t>espondent maintained a client trust checking account at Bank of the West, designated</w:t>
      </w:r>
      <w:r w:rsidR="00B314B9">
        <w:t xml:space="preserve"> as</w:t>
      </w:r>
      <w:r w:rsidRPr="0065041E">
        <w:t xml:space="preserve"> account </w:t>
      </w:r>
      <w:r>
        <w:t>N</w:t>
      </w:r>
      <w:r w:rsidRPr="0065041E">
        <w:t>o. 686-018979 (</w:t>
      </w:r>
      <w:r w:rsidR="00B314B9">
        <w:t>CTA</w:t>
      </w:r>
      <w:r w:rsidRPr="0065041E">
        <w:t>).</w:t>
      </w:r>
    </w:p>
    <w:p w:rsidR="00387E8D" w:rsidRPr="00387E8D" w:rsidRDefault="00387E8D" w:rsidP="00387E8D">
      <w:pPr>
        <w:pStyle w:val="Header"/>
        <w:tabs>
          <w:tab w:val="clear" w:pos="4320"/>
          <w:tab w:val="clear" w:pos="8640"/>
        </w:tabs>
        <w:spacing w:line="480" w:lineRule="auto"/>
        <w:rPr>
          <w:b/>
        </w:rPr>
      </w:pPr>
      <w:r w:rsidRPr="00387E8D">
        <w:rPr>
          <w:b/>
        </w:rPr>
        <w:t>A.</w:t>
      </w:r>
      <w:r w:rsidRPr="00387E8D">
        <w:rPr>
          <w:b/>
        </w:rPr>
        <w:tab/>
        <w:t>Suspension from the Practice of Law</w:t>
      </w:r>
    </w:p>
    <w:p w:rsidR="00387E8D" w:rsidRDefault="00387E8D" w:rsidP="00C45B5D">
      <w:pPr>
        <w:pStyle w:val="Header"/>
        <w:tabs>
          <w:tab w:val="clear" w:pos="4320"/>
          <w:tab w:val="clear" w:pos="8640"/>
        </w:tabs>
        <w:spacing w:line="480" w:lineRule="auto"/>
        <w:ind w:firstLine="720"/>
      </w:pPr>
      <w:r>
        <w:t xml:space="preserve">On or about October 26, 2004, a </w:t>
      </w:r>
      <w:proofErr w:type="spellStart"/>
      <w:r>
        <w:t>N</w:t>
      </w:r>
      <w:r w:rsidR="003E243E">
        <w:t>DC</w:t>
      </w:r>
      <w:proofErr w:type="spellEnd"/>
      <w:r>
        <w:t xml:space="preserve"> was filed in State Bar Court, case No. 04-O-12160</w:t>
      </w:r>
      <w:r w:rsidR="003E243E">
        <w:t>.  O</w:t>
      </w:r>
      <w:r>
        <w:t>n or about January 4, 2005, the State Bar Court entered respondent’s default in case No. 04-O-12160</w:t>
      </w:r>
      <w:r w:rsidR="002474FA">
        <w:t xml:space="preserve"> and ordered that she be involuntarily enrolled</w:t>
      </w:r>
      <w:r>
        <w:t xml:space="preserve"> as an inactive member of the State Bar of California pursuant to Business and Professions Code, section 6007</w:t>
      </w:r>
      <w:r w:rsidR="002474FA">
        <w:t xml:space="preserve">, subdivision </w:t>
      </w:r>
      <w:r>
        <w:t>(e)</w:t>
      </w:r>
      <w:r w:rsidR="0011592C">
        <w:t>.</w:t>
      </w:r>
      <w:r w:rsidR="0076085E">
        <w:rPr>
          <w:rStyle w:val="FootnoteReference"/>
        </w:rPr>
        <w:footnoteReference w:id="2"/>
      </w:r>
      <w:r w:rsidR="0011592C">
        <w:t xml:space="preserve">  Respondent’s inactive enrollment became</w:t>
      </w:r>
      <w:r w:rsidR="002474FA">
        <w:t xml:space="preserve"> effective January 7, 2005</w:t>
      </w:r>
      <w:r>
        <w:t>.  Respondent received notice of her inactive status</w:t>
      </w:r>
      <w:r w:rsidR="00CA1BC0">
        <w:t>.  O</w:t>
      </w:r>
      <w:r>
        <w:t>n April 4, 2005, respondent was returned to active status by the State Bar of California.</w:t>
      </w:r>
      <w:r>
        <w:tab/>
      </w:r>
    </w:p>
    <w:p w:rsidR="006C3A7F" w:rsidRDefault="00387E8D" w:rsidP="00623C08">
      <w:pPr>
        <w:pStyle w:val="Header"/>
        <w:tabs>
          <w:tab w:val="clear" w:pos="4320"/>
          <w:tab w:val="clear" w:pos="8640"/>
        </w:tabs>
        <w:spacing w:line="480" w:lineRule="auto"/>
        <w:rPr>
          <w:b/>
        </w:rPr>
      </w:pPr>
      <w:r>
        <w:rPr>
          <w:b/>
        </w:rPr>
        <w:t>B</w:t>
      </w:r>
      <w:r w:rsidR="00436F8D" w:rsidRPr="00623C08">
        <w:rPr>
          <w:b/>
        </w:rPr>
        <w:t>.</w:t>
      </w:r>
      <w:r w:rsidR="00436F8D" w:rsidRPr="00623C08">
        <w:rPr>
          <w:b/>
        </w:rPr>
        <w:tab/>
      </w:r>
      <w:r w:rsidR="006C3A7F" w:rsidRPr="00623C08">
        <w:rPr>
          <w:b/>
        </w:rPr>
        <w:t xml:space="preserve">The </w:t>
      </w:r>
      <w:r w:rsidR="00623C08" w:rsidRPr="00623C08">
        <w:rPr>
          <w:b/>
        </w:rPr>
        <w:t>Wright</w:t>
      </w:r>
      <w:r w:rsidR="006C3A7F" w:rsidRPr="00623C08">
        <w:rPr>
          <w:b/>
        </w:rPr>
        <w:t xml:space="preserve"> Matter (Case No. 0</w:t>
      </w:r>
      <w:r w:rsidR="00623C08" w:rsidRPr="00623C08">
        <w:rPr>
          <w:b/>
        </w:rPr>
        <w:t>6</w:t>
      </w:r>
      <w:r w:rsidR="006C3A7F" w:rsidRPr="00623C08">
        <w:rPr>
          <w:b/>
        </w:rPr>
        <w:t>-O-1</w:t>
      </w:r>
      <w:r w:rsidR="00623C08" w:rsidRPr="00623C08">
        <w:rPr>
          <w:b/>
        </w:rPr>
        <w:t>421</w:t>
      </w:r>
      <w:r w:rsidR="006C3A7F" w:rsidRPr="00623C08">
        <w:rPr>
          <w:b/>
        </w:rPr>
        <w:t>0)</w:t>
      </w:r>
    </w:p>
    <w:p w:rsidR="0065041E" w:rsidRDefault="0065041E" w:rsidP="0065041E">
      <w:pPr>
        <w:pStyle w:val="Header"/>
        <w:spacing w:line="480" w:lineRule="auto"/>
        <w:ind w:firstLine="720"/>
      </w:pPr>
      <w:r>
        <w:tab/>
        <w:t xml:space="preserve">In April 2002, respondent was hired by Patricia Wright (Wright) to represent Wright with respect to all matters arising from her special needs trust and other legal matters.  Respondent </w:t>
      </w:r>
      <w:r w:rsidR="00234161">
        <w:t xml:space="preserve">continuously </w:t>
      </w:r>
      <w:r>
        <w:t>represented Wright through, at least, January 2006.</w:t>
      </w:r>
    </w:p>
    <w:p w:rsidR="0065041E" w:rsidRDefault="0065041E" w:rsidP="0065041E">
      <w:pPr>
        <w:pStyle w:val="Header"/>
        <w:spacing w:line="480" w:lineRule="auto"/>
        <w:ind w:firstLine="720"/>
      </w:pPr>
      <w:r>
        <w:tab/>
        <w:t>On or about December 1, 2004, Wright received a check for $10,295.89 representing the proceeds of a life insurance policy on her son, Ronald Wright.  Subsequently, Wright took the check to respondent’s office and asked that the check be deposited by respondent.</w:t>
      </w:r>
    </w:p>
    <w:p w:rsidR="0065041E" w:rsidRDefault="0065041E" w:rsidP="0065041E">
      <w:pPr>
        <w:pStyle w:val="Header"/>
        <w:spacing w:line="480" w:lineRule="auto"/>
        <w:ind w:firstLine="720"/>
      </w:pPr>
      <w:r>
        <w:lastRenderedPageBreak/>
        <w:tab/>
        <w:t xml:space="preserve">In or about January 2005, </w:t>
      </w:r>
      <w:r w:rsidR="000E0FBB">
        <w:t>r</w:t>
      </w:r>
      <w:r>
        <w:t>espondent deposited the life insurance check into a non-client trust account</w:t>
      </w:r>
      <w:r w:rsidR="000E0FBB">
        <w:t>.  A</w:t>
      </w:r>
      <w:r>
        <w:t xml:space="preserve">t no time did </w:t>
      </w:r>
      <w:r w:rsidR="000E0FBB">
        <w:t>r</w:t>
      </w:r>
      <w:r>
        <w:t>espondent deposit any of the proceeds from Wright</w:t>
      </w:r>
      <w:r w:rsidR="00234161">
        <w:t>’</w:t>
      </w:r>
      <w:r>
        <w:t>s life insurance check into a client trust account.</w:t>
      </w:r>
    </w:p>
    <w:p w:rsidR="00FE7E77" w:rsidRDefault="00FE7E77" w:rsidP="00FE7E77">
      <w:pPr>
        <w:pStyle w:val="Header"/>
        <w:spacing w:line="480" w:lineRule="auto"/>
        <w:ind w:firstLine="720"/>
      </w:pPr>
      <w:r>
        <w:tab/>
        <w:t>In or about January 2005, respondent performed legal services for Wright including, but not limited to</w:t>
      </w:r>
      <w:r w:rsidR="003E243E">
        <w:t xml:space="preserve">, </w:t>
      </w:r>
      <w:r>
        <w:t>participating in telephone conferences with Wright and reviewing documentation regarding Wright’s legal affairs.  In or about February 2005, respondent performed legal services for Wright including, but not limited to</w:t>
      </w:r>
      <w:r w:rsidR="003E243E">
        <w:t>,</w:t>
      </w:r>
      <w:r>
        <w:t xml:space="preserve"> participating in telephone conferences with Wright and with a collection agency</w:t>
      </w:r>
      <w:r w:rsidR="00321D06">
        <w:t xml:space="preserve">, and </w:t>
      </w:r>
      <w:r>
        <w:t>reviewing disability issues</w:t>
      </w:r>
      <w:r w:rsidR="00C97B0A">
        <w:t>.  In</w:t>
      </w:r>
      <w:r>
        <w:t xml:space="preserve"> or about March 2005, respondent performed legal services for Wright including, but not limited to</w:t>
      </w:r>
      <w:r w:rsidR="003E243E">
        <w:t>,</w:t>
      </w:r>
      <w:r>
        <w:t xml:space="preserve"> review</w:t>
      </w:r>
      <w:r w:rsidR="00C97B0A">
        <w:t>ing</w:t>
      </w:r>
      <w:r>
        <w:t xml:space="preserve"> a file regarding veteran</w:t>
      </w:r>
      <w:r w:rsidR="00C97B0A">
        <w:t>’</w:t>
      </w:r>
      <w:r>
        <w:t>s</w:t>
      </w:r>
      <w:r w:rsidR="00D269DD">
        <w:t xml:space="preserve"> matters</w:t>
      </w:r>
      <w:r w:rsidR="00C97B0A">
        <w:t xml:space="preserve"> </w:t>
      </w:r>
      <w:r>
        <w:t>and other matters, confer</w:t>
      </w:r>
      <w:r w:rsidR="00C97B0A">
        <w:t>r</w:t>
      </w:r>
      <w:r>
        <w:t xml:space="preserve">ing with </w:t>
      </w:r>
      <w:r w:rsidR="00C97B0A">
        <w:t>Wright,</w:t>
      </w:r>
      <w:r>
        <w:t xml:space="preserve"> and </w:t>
      </w:r>
      <w:r w:rsidR="00C97B0A">
        <w:t xml:space="preserve">participating in </w:t>
      </w:r>
      <w:r>
        <w:t xml:space="preserve">telephone conferences with </w:t>
      </w:r>
      <w:r w:rsidR="00C97B0A">
        <w:t>Wright.</w:t>
      </w:r>
    </w:p>
    <w:p w:rsidR="0065041E" w:rsidRDefault="00FE7E77" w:rsidP="00FE7E77">
      <w:pPr>
        <w:pStyle w:val="Header"/>
        <w:spacing w:line="480" w:lineRule="auto"/>
        <w:ind w:firstLine="720"/>
      </w:pPr>
      <w:r>
        <w:t>Between January 7, 2005,</w:t>
      </w:r>
      <w:r w:rsidR="00C97B0A">
        <w:t xml:space="preserve"> </w:t>
      </w:r>
      <w:r>
        <w:t xml:space="preserve">and April 4, 2005, </w:t>
      </w:r>
      <w:r w:rsidR="00C97B0A">
        <w:t>r</w:t>
      </w:r>
      <w:r>
        <w:t>espondent did not inform Wright that she was not entitled to practice law during this period.</w:t>
      </w:r>
    </w:p>
    <w:p w:rsidR="0065041E" w:rsidRDefault="002C6952" w:rsidP="002C6952">
      <w:pPr>
        <w:pStyle w:val="Header"/>
        <w:spacing w:line="480" w:lineRule="auto"/>
        <w:ind w:firstLine="720"/>
      </w:pPr>
      <w:r>
        <w:tab/>
        <w:t>Respondent billed Wright $520 for attorney fees earned between January 5 and January 31, 2005.  Respondent billed Wright $440 for attorney fees earned between February 1 and February 28, 2005.  Respondent billed Wright $1, 220 for attorney fees earned between March 1 and March 30, 2005.</w:t>
      </w:r>
    </w:p>
    <w:p w:rsidR="005F6333" w:rsidRPr="005F6333" w:rsidRDefault="005F6333" w:rsidP="005F6333">
      <w:pPr>
        <w:pStyle w:val="Header"/>
        <w:spacing w:line="480" w:lineRule="auto"/>
        <w:rPr>
          <w:b/>
          <w:i/>
        </w:rPr>
      </w:pPr>
      <w:r w:rsidRPr="005F6333">
        <w:rPr>
          <w:b/>
          <w:i/>
        </w:rPr>
        <w:t>Count 1</w:t>
      </w:r>
      <w:r w:rsidR="00A544B5">
        <w:rPr>
          <w:b/>
          <w:i/>
        </w:rPr>
        <w:t xml:space="preserve">:  </w:t>
      </w:r>
      <w:r w:rsidRPr="005F6333">
        <w:rPr>
          <w:b/>
          <w:i/>
        </w:rPr>
        <w:t>Failure to Deposit Client Funds in Trust Account (Rules Prof. Conduct, Rule 4-100(A))</w:t>
      </w:r>
      <w:r>
        <w:rPr>
          <w:rStyle w:val="FootnoteReference"/>
          <w:b/>
          <w:i/>
        </w:rPr>
        <w:footnoteReference w:id="3"/>
      </w:r>
      <w:r w:rsidRPr="005F6333">
        <w:rPr>
          <w:b/>
          <w:i/>
        </w:rPr>
        <w:t xml:space="preserve"> </w:t>
      </w:r>
    </w:p>
    <w:p w:rsidR="005F6333" w:rsidRDefault="005F6333" w:rsidP="005F6333">
      <w:pPr>
        <w:pStyle w:val="Header"/>
        <w:spacing w:line="480" w:lineRule="auto"/>
        <w:ind w:firstLine="720"/>
      </w:pPr>
      <w:r>
        <w:t>Rule 4-100(A) provides that all funds received for the benefit of clients must be deposited in a client trust account and that funds belonging to the attorney must</w:t>
      </w:r>
      <w:r w:rsidR="003E243E">
        <w:t xml:space="preserve"> not</w:t>
      </w:r>
      <w:r>
        <w:t xml:space="preserve"> be deposited therein or otherwise commingled therewith.</w:t>
      </w:r>
    </w:p>
    <w:p w:rsidR="008E220A" w:rsidRDefault="001C2E74" w:rsidP="005F6333">
      <w:pPr>
        <w:pStyle w:val="Header"/>
        <w:spacing w:line="480" w:lineRule="auto"/>
        <w:ind w:firstLine="720"/>
      </w:pPr>
      <w:r>
        <w:lastRenderedPageBreak/>
        <w:t>On or about December 1, 2004, respondent’s client, Wright received a check in the amount of $10,295.89, representing the proceeds of a life insurance policy on her son.  Subsequently, Wright</w:t>
      </w:r>
      <w:r w:rsidR="008E220A">
        <w:t xml:space="preserve"> brought the check to respondent’s office and asked that the check be deposited by respondent.  In January 2005, respondent deposited the check in a non-client trust account.</w:t>
      </w:r>
    </w:p>
    <w:p w:rsidR="005F6333" w:rsidRDefault="008E220A" w:rsidP="005F6333">
      <w:pPr>
        <w:pStyle w:val="Header"/>
        <w:spacing w:line="480" w:lineRule="auto"/>
        <w:ind w:firstLine="720"/>
      </w:pPr>
      <w:r>
        <w:t xml:space="preserve">The court finds by clear and convincing evidence that respondent violated rule 4-100(A) by </w:t>
      </w:r>
      <w:r w:rsidR="00B31CEC">
        <w:t xml:space="preserve">failing to </w:t>
      </w:r>
      <w:r>
        <w:t>deposit the</w:t>
      </w:r>
      <w:r w:rsidR="00B31CEC">
        <w:t xml:space="preserve"> </w:t>
      </w:r>
      <w:r w:rsidR="00234E68">
        <w:t>$</w:t>
      </w:r>
      <w:r w:rsidR="00B31CEC">
        <w:t>10,295.89 check</w:t>
      </w:r>
      <w:r>
        <w:t xml:space="preserve"> </w:t>
      </w:r>
      <w:r w:rsidR="00234E68">
        <w:t>s</w:t>
      </w:r>
      <w:r>
        <w:t>he received for the benefit of a client into</w:t>
      </w:r>
      <w:r w:rsidR="00B31CEC">
        <w:t xml:space="preserve"> a client trust account.</w:t>
      </w:r>
    </w:p>
    <w:p w:rsidR="00B31CEC" w:rsidRPr="001A01FF" w:rsidRDefault="00B31CEC" w:rsidP="00B31CEC">
      <w:pPr>
        <w:pStyle w:val="Header"/>
        <w:spacing w:line="480" w:lineRule="auto"/>
        <w:rPr>
          <w:b/>
          <w:i/>
        </w:rPr>
      </w:pPr>
      <w:r w:rsidRPr="001A01FF">
        <w:rPr>
          <w:b/>
          <w:i/>
        </w:rPr>
        <w:t>Count 2</w:t>
      </w:r>
      <w:r w:rsidR="00A544B5">
        <w:rPr>
          <w:b/>
          <w:i/>
        </w:rPr>
        <w:t xml:space="preserve">:  </w:t>
      </w:r>
      <w:r w:rsidRPr="001A01FF">
        <w:rPr>
          <w:b/>
          <w:i/>
        </w:rPr>
        <w:t xml:space="preserve">Unauthorized Practice of Law (§§ 6068, </w:t>
      </w:r>
      <w:proofErr w:type="spellStart"/>
      <w:r w:rsidRPr="001A01FF">
        <w:rPr>
          <w:b/>
          <w:i/>
        </w:rPr>
        <w:t>Subd</w:t>
      </w:r>
      <w:proofErr w:type="spellEnd"/>
      <w:r w:rsidRPr="001A01FF">
        <w:rPr>
          <w:b/>
          <w:i/>
        </w:rPr>
        <w:t>. (</w:t>
      </w:r>
      <w:proofErr w:type="gramStart"/>
      <w:r w:rsidRPr="001A01FF">
        <w:rPr>
          <w:b/>
          <w:i/>
        </w:rPr>
        <w:t>a</w:t>
      </w:r>
      <w:proofErr w:type="gramEnd"/>
      <w:r w:rsidRPr="001A01FF">
        <w:rPr>
          <w:b/>
          <w:i/>
        </w:rPr>
        <w:t>), 6125 and 6126)</w:t>
      </w:r>
    </w:p>
    <w:p w:rsidR="00B31CEC" w:rsidRDefault="00B31CEC" w:rsidP="001A01FF">
      <w:pPr>
        <w:pStyle w:val="Header"/>
        <w:spacing w:line="480" w:lineRule="auto"/>
        <w:ind w:firstLine="720"/>
      </w:pPr>
      <w:r>
        <w:tab/>
      </w:r>
      <w:r w:rsidR="001A01FF">
        <w:t xml:space="preserve">Respondent is charged in count two of the </w:t>
      </w:r>
      <w:proofErr w:type="spellStart"/>
      <w:r w:rsidR="001A01FF">
        <w:t>NDC</w:t>
      </w:r>
      <w:proofErr w:type="spellEnd"/>
      <w:r w:rsidR="001A01FF">
        <w:t xml:space="preserve"> with </w:t>
      </w:r>
      <w:r w:rsidR="0076085E">
        <w:t>violating</w:t>
      </w:r>
      <w:r w:rsidR="001A01FF">
        <w:t xml:space="preserve"> </w:t>
      </w:r>
      <w:r w:rsidR="00F347CA">
        <w:t>section 6068, subdivision (a),</w:t>
      </w:r>
      <w:r w:rsidR="001A01FF">
        <w:t xml:space="preserve"> </w:t>
      </w:r>
      <w:r w:rsidR="00F347CA">
        <w:t xml:space="preserve">which </w:t>
      </w:r>
      <w:r>
        <w:t>provides that a member of the State Bar has the duty to support the Constitution and laws of the United States and of the State of California.  The State Bar charges that respondent violated section 6068, subdivision (a), by improperly holding h</w:t>
      </w:r>
      <w:r w:rsidR="00293738">
        <w:t>er</w:t>
      </w:r>
      <w:r>
        <w:t>self out as entitled to engage in the practice of law</w:t>
      </w:r>
      <w:r w:rsidR="00F347CA">
        <w:t xml:space="preserve"> and by practicing law</w:t>
      </w:r>
      <w:r>
        <w:t xml:space="preserve"> in violation of sections 6125 and 6126.</w:t>
      </w:r>
    </w:p>
    <w:p w:rsidR="00B31CEC" w:rsidRDefault="00B31CEC" w:rsidP="00F347CA">
      <w:pPr>
        <w:pStyle w:val="Header"/>
        <w:spacing w:line="480" w:lineRule="auto"/>
        <w:ind w:firstLine="720"/>
      </w:pPr>
      <w:r>
        <w:tab/>
        <w:t>Section 6125 provides that no person shall practice law in California unless he or she is an active member of the State Bar.  Section 6126, subdivision (b), provides that any person who has been involuntarily enrolled as an inactive member of the State Bar</w:t>
      </w:r>
      <w:r w:rsidR="003E243E">
        <w:t>,</w:t>
      </w:r>
      <w:r>
        <w:t xml:space="preserve"> or who has been suspended from practice</w:t>
      </w:r>
      <w:r w:rsidR="003E243E">
        <w:t>,</w:t>
      </w:r>
      <w:r>
        <w:t xml:space="preserve"> and thereafter practices or attempts to practice law, advertises or holds himself</w:t>
      </w:r>
      <w:r w:rsidR="00E230C1">
        <w:t xml:space="preserve"> or herself</w:t>
      </w:r>
      <w:r>
        <w:t xml:space="preserve"> out as practicing or otherwise entitled to practice law</w:t>
      </w:r>
      <w:r w:rsidR="00D8083E">
        <w:t>,</w:t>
      </w:r>
      <w:r>
        <w:t xml:space="preserve"> is guilty of a crime.</w:t>
      </w:r>
    </w:p>
    <w:p w:rsidR="00BF3535" w:rsidRDefault="00B31CEC" w:rsidP="006D3F65">
      <w:pPr>
        <w:pStyle w:val="Header"/>
        <w:spacing w:line="480" w:lineRule="auto"/>
        <w:ind w:firstLine="720"/>
      </w:pPr>
      <w:r>
        <w:tab/>
        <w:t>Charging an attorney with a violation of the duty to support the constitution and laws, by reason of the attorney’s violation of the statutes prohibiting practicing law while suspended, provides the basis for imposition of discipline for the unauthorized practice of law.  (</w:t>
      </w:r>
      <w:r w:rsidRPr="00F347CA">
        <w:rPr>
          <w:i/>
        </w:rPr>
        <w:t>In the Matter of Taylor</w:t>
      </w:r>
      <w:r>
        <w:t xml:space="preserve"> (Review Dept. 1991) 1 Cal. State Bar Ct. </w:t>
      </w:r>
      <w:proofErr w:type="spellStart"/>
      <w:r>
        <w:t>Rptr</w:t>
      </w:r>
      <w:proofErr w:type="spellEnd"/>
      <w:r>
        <w:t xml:space="preserve">. 563, 574-575; </w:t>
      </w:r>
      <w:r w:rsidRPr="00F347CA">
        <w:rPr>
          <w:i/>
        </w:rPr>
        <w:t>In the Matter of Tady</w:t>
      </w:r>
      <w:r>
        <w:t xml:space="preserve"> (Review Dept.</w:t>
      </w:r>
      <w:r w:rsidR="00F347CA">
        <w:t xml:space="preserve"> </w:t>
      </w:r>
      <w:r>
        <w:t>1992) 2 Cal.</w:t>
      </w:r>
      <w:r w:rsidR="006D3F65">
        <w:t xml:space="preserve"> </w:t>
      </w:r>
      <w:r>
        <w:t xml:space="preserve">State Bar Ct. </w:t>
      </w:r>
      <w:proofErr w:type="spellStart"/>
      <w:r>
        <w:t>Rptr</w:t>
      </w:r>
      <w:proofErr w:type="spellEnd"/>
      <w:r>
        <w:t>. 121</w:t>
      </w:r>
      <w:r w:rsidR="006D3F65">
        <w:t>, 1</w:t>
      </w:r>
      <w:r>
        <w:t>26.)</w:t>
      </w:r>
    </w:p>
    <w:p w:rsidR="006D3F65" w:rsidRPr="006D3F65" w:rsidRDefault="00CF203F" w:rsidP="006D3F65">
      <w:pPr>
        <w:pStyle w:val="Header"/>
        <w:spacing w:line="480" w:lineRule="auto"/>
        <w:ind w:firstLine="720"/>
      </w:pPr>
      <w:r>
        <w:t>In January, February and March 2005,</w:t>
      </w:r>
      <w:r w:rsidR="00130A22">
        <w:t xml:space="preserve"> while placed on inactive status, </w:t>
      </w:r>
      <w:r>
        <w:t xml:space="preserve"> respondent performed</w:t>
      </w:r>
      <w:r w:rsidR="00130A22">
        <w:t xml:space="preserve"> various</w:t>
      </w:r>
      <w:r>
        <w:t xml:space="preserve"> legal services for Wright</w:t>
      </w:r>
      <w:r w:rsidR="00130A22">
        <w:t>,</w:t>
      </w:r>
      <w:r>
        <w:t xml:space="preserve">  inclu</w:t>
      </w:r>
      <w:r w:rsidR="00130A22">
        <w:t xml:space="preserve">ding , but not limited to: </w:t>
      </w:r>
      <w:r w:rsidR="00B52B2A">
        <w:t xml:space="preserve"> </w:t>
      </w:r>
      <w:r w:rsidR="00130A22">
        <w:t xml:space="preserve">(1) </w:t>
      </w:r>
      <w:r w:rsidR="006D3F65">
        <w:t>engaging in telephone conferences with Wright in January, February, and March 2005, regarding Wright’s legal affairs</w:t>
      </w:r>
      <w:r w:rsidR="00130A22">
        <w:t>;</w:t>
      </w:r>
      <w:r w:rsidR="006D3F65">
        <w:t xml:space="preserve"> </w:t>
      </w:r>
      <w:r w:rsidR="00130A22">
        <w:t>(2)</w:t>
      </w:r>
      <w:r w:rsidR="006D3F65">
        <w:t xml:space="preserve"> reviewing documentation regarding Wright’s legal affairs in January 2005</w:t>
      </w:r>
      <w:r w:rsidR="00130A22">
        <w:t>;</w:t>
      </w:r>
      <w:r w:rsidR="006D3F65">
        <w:t xml:space="preserve"> </w:t>
      </w:r>
      <w:r w:rsidR="00130A22">
        <w:t>(3)</w:t>
      </w:r>
      <w:r w:rsidR="006D3F65">
        <w:t xml:space="preserve"> engaging in a telephone conference with a collection agency</w:t>
      </w:r>
      <w:r w:rsidR="00130A22">
        <w:t xml:space="preserve"> on behalf of Wright </w:t>
      </w:r>
      <w:r w:rsidR="006D3F65">
        <w:t>in February 2005</w:t>
      </w:r>
      <w:r w:rsidR="00130A22">
        <w:t>; (4)</w:t>
      </w:r>
      <w:r w:rsidR="00B52B2A">
        <w:t xml:space="preserve"> reviewing disability issues for Wright in February 2005</w:t>
      </w:r>
      <w:r w:rsidR="00130A22">
        <w:t>;</w:t>
      </w:r>
      <w:r w:rsidR="00B52B2A">
        <w:t xml:space="preserve"> </w:t>
      </w:r>
      <w:r w:rsidR="00130A22">
        <w:t>(5)</w:t>
      </w:r>
      <w:r w:rsidR="00B52B2A">
        <w:t xml:space="preserve"> reviewing a file regarding veteran’s matters for Wright in March 2005</w:t>
      </w:r>
      <w:r w:rsidR="00130A22">
        <w:t>;</w:t>
      </w:r>
      <w:r w:rsidR="00C14170">
        <w:t xml:space="preserve"> and</w:t>
      </w:r>
      <w:r w:rsidR="00130A22">
        <w:t xml:space="preserve"> (6)</w:t>
      </w:r>
      <w:r w:rsidR="00B52B2A">
        <w:t xml:space="preserve"> </w:t>
      </w:r>
      <w:r w:rsidR="00C14170">
        <w:t>participating in a conference with</w:t>
      </w:r>
      <w:r w:rsidR="00B52B2A">
        <w:t xml:space="preserve"> Wright in March 2005</w:t>
      </w:r>
      <w:r w:rsidR="00C14170">
        <w:t>.</w:t>
      </w:r>
      <w:r w:rsidR="00C14170" w:rsidRPr="006D3F65">
        <w:t xml:space="preserve"> </w:t>
      </w:r>
    </w:p>
    <w:p w:rsidR="00C4460A" w:rsidRDefault="00CF203F" w:rsidP="00C14170">
      <w:pPr>
        <w:pStyle w:val="Header"/>
        <w:tabs>
          <w:tab w:val="clear" w:pos="4320"/>
          <w:tab w:val="clear" w:pos="8640"/>
        </w:tabs>
        <w:spacing w:line="480" w:lineRule="auto"/>
        <w:ind w:firstLine="720"/>
      </w:pPr>
      <w:r>
        <w:t>By working on Wright’s legal matters between January 7 and April 4, 2005, respondent held herself out to h</w:t>
      </w:r>
      <w:r w:rsidR="00CE5252">
        <w:t>er</w:t>
      </w:r>
      <w:r>
        <w:t xml:space="preserve"> client as entitled to practice law and actually practiced law</w:t>
      </w:r>
      <w:r w:rsidR="00DD08CF">
        <w:t>,</w:t>
      </w:r>
      <w:r>
        <w:t xml:space="preserve"> wh</w:t>
      </w:r>
      <w:r w:rsidR="00DD08CF">
        <w:t xml:space="preserve">ile </w:t>
      </w:r>
      <w:r>
        <w:t>she was not an active member of the State Bar</w:t>
      </w:r>
      <w:r w:rsidR="00DD08CF">
        <w:t>,</w:t>
      </w:r>
      <w:r>
        <w:t xml:space="preserve"> in willful violation of sections 6125 and 6126, and thereby failed to support the laws of the State of California in willful violation of section 6068, subdivision (a).</w:t>
      </w:r>
    </w:p>
    <w:p w:rsidR="00091E8E" w:rsidRPr="00807270" w:rsidRDefault="00091E8E" w:rsidP="00091E8E">
      <w:pPr>
        <w:pStyle w:val="Header"/>
        <w:spacing w:line="480" w:lineRule="auto"/>
        <w:rPr>
          <w:b/>
          <w:i/>
        </w:rPr>
      </w:pPr>
      <w:r w:rsidRPr="00807270">
        <w:rPr>
          <w:b/>
          <w:i/>
        </w:rPr>
        <w:t>Count 3</w:t>
      </w:r>
      <w:r w:rsidR="00807270" w:rsidRPr="00807270">
        <w:rPr>
          <w:b/>
          <w:i/>
        </w:rPr>
        <w:t xml:space="preserve">:  </w:t>
      </w:r>
      <w:r w:rsidR="00DD08CF">
        <w:rPr>
          <w:b/>
          <w:i/>
        </w:rPr>
        <w:t>Illegal Fee</w:t>
      </w:r>
      <w:r w:rsidRPr="00807270">
        <w:rPr>
          <w:b/>
          <w:i/>
        </w:rPr>
        <w:t xml:space="preserve"> (Rule 4-</w:t>
      </w:r>
      <w:r w:rsidR="00DD08CF">
        <w:rPr>
          <w:b/>
          <w:i/>
        </w:rPr>
        <w:t>2</w:t>
      </w:r>
      <w:r w:rsidRPr="00807270">
        <w:rPr>
          <w:b/>
          <w:i/>
        </w:rPr>
        <w:t>00(A))</w:t>
      </w:r>
    </w:p>
    <w:p w:rsidR="00807270" w:rsidRDefault="00807270" w:rsidP="00807270">
      <w:pPr>
        <w:pStyle w:val="Header"/>
        <w:spacing w:line="480" w:lineRule="auto"/>
        <w:ind w:firstLine="720"/>
      </w:pPr>
      <w:r>
        <w:t>Rule 4-200(A) prohibits an attorney from entering into an illegal or unconscionable fee agreement or charging or collecting an illegal or unconscionable fee.</w:t>
      </w:r>
    </w:p>
    <w:p w:rsidR="00807270" w:rsidRDefault="00807270" w:rsidP="00807270">
      <w:pPr>
        <w:pStyle w:val="Header"/>
        <w:spacing w:line="480" w:lineRule="auto"/>
        <w:ind w:firstLine="720"/>
      </w:pPr>
      <w:r>
        <w:tab/>
        <w:t xml:space="preserve">While respondent was </w:t>
      </w:r>
      <w:r w:rsidR="00466402">
        <w:t>enrolled inactive</w:t>
      </w:r>
      <w:r>
        <w:t xml:space="preserve">, </w:t>
      </w:r>
      <w:r w:rsidR="00116E22">
        <w:t>s</w:t>
      </w:r>
      <w:r>
        <w:t>he was legally precluded from practicing law and</w:t>
      </w:r>
      <w:r w:rsidR="00103E48">
        <w:t>,</w:t>
      </w:r>
      <w:r>
        <w:t xml:space="preserve"> therefore, h</w:t>
      </w:r>
      <w:r w:rsidR="00116E22">
        <w:t>er</w:t>
      </w:r>
      <w:r>
        <w:t xml:space="preserve"> performance of legal services in exchange for a fee was illegal.  </w:t>
      </w:r>
      <w:r w:rsidR="00116E22">
        <w:t>Sh</w:t>
      </w:r>
      <w:r>
        <w:t xml:space="preserve">e was not entitled to charge or collect fees for those services that constituted the unauthorized practice of law.  </w:t>
      </w:r>
      <w:proofErr w:type="gramStart"/>
      <w:r>
        <w:t>(</w:t>
      </w:r>
      <w:proofErr w:type="spellStart"/>
      <w:r w:rsidRPr="001E4E10">
        <w:rPr>
          <w:i/>
        </w:rPr>
        <w:t>Birbrower</w:t>
      </w:r>
      <w:proofErr w:type="spellEnd"/>
      <w:r w:rsidRPr="001E4E10">
        <w:rPr>
          <w:i/>
        </w:rPr>
        <w:t xml:space="preserve">, </w:t>
      </w:r>
      <w:proofErr w:type="spellStart"/>
      <w:r w:rsidRPr="001E4E10">
        <w:rPr>
          <w:i/>
        </w:rPr>
        <w:t>Montalbana</w:t>
      </w:r>
      <w:proofErr w:type="spellEnd"/>
      <w:r w:rsidRPr="001E4E10">
        <w:rPr>
          <w:i/>
        </w:rPr>
        <w:t>, Condon, and Frank v. Superior Court</w:t>
      </w:r>
      <w:r>
        <w:t xml:space="preserve"> (1998) 17 </w:t>
      </w:r>
      <w:proofErr w:type="spellStart"/>
      <w:r>
        <w:t>Cal.4th</w:t>
      </w:r>
      <w:proofErr w:type="spellEnd"/>
      <w:r>
        <w:t xml:space="preserve"> 1</w:t>
      </w:r>
      <w:r w:rsidR="001E4E10">
        <w:t>1</w:t>
      </w:r>
      <w:r>
        <w:t>9, 136.)</w:t>
      </w:r>
      <w:proofErr w:type="gramEnd"/>
      <w:r>
        <w:t xml:space="preserve">  “Permitting respondent to have earned any of the money paid him by [his client], even a reasonable fee under a quantum </w:t>
      </w:r>
      <w:proofErr w:type="spellStart"/>
      <w:r>
        <w:t>meruit</w:t>
      </w:r>
      <w:proofErr w:type="spellEnd"/>
      <w:r>
        <w:t xml:space="preserve"> theory, would condone his unauthorized practice of law.”  </w:t>
      </w:r>
      <w:proofErr w:type="gramStart"/>
      <w:r>
        <w:t>(</w:t>
      </w:r>
      <w:r w:rsidRPr="00C3297E">
        <w:rPr>
          <w:i/>
        </w:rPr>
        <w:t>In the Matter of Taylor</w:t>
      </w:r>
      <w:r>
        <w:t xml:space="preserve"> (Review Dept. 1991) 1 Cal. State Bar Ct. </w:t>
      </w:r>
      <w:proofErr w:type="spellStart"/>
      <w:r>
        <w:t>Rptr</w:t>
      </w:r>
      <w:proofErr w:type="spellEnd"/>
      <w:r>
        <w:t>. 563, 574.)</w:t>
      </w:r>
      <w:proofErr w:type="gramEnd"/>
    </w:p>
    <w:p w:rsidR="00D269DD" w:rsidRDefault="005318DA" w:rsidP="00544C8C">
      <w:pPr>
        <w:pStyle w:val="Header"/>
        <w:tabs>
          <w:tab w:val="clear" w:pos="4320"/>
          <w:tab w:val="clear" w:pos="8640"/>
        </w:tabs>
        <w:spacing w:line="480" w:lineRule="auto"/>
        <w:ind w:firstLine="720"/>
      </w:pPr>
      <w:r>
        <w:t xml:space="preserve">Respondent billed </w:t>
      </w:r>
      <w:r w:rsidR="00466402">
        <w:t>Wright $520 for attorney fees earned between January 5 and January 31</w:t>
      </w:r>
      <w:r w:rsidR="00494955">
        <w:t xml:space="preserve">, </w:t>
      </w:r>
      <w:r w:rsidR="00466402">
        <w:t>2005</w:t>
      </w:r>
      <w:r w:rsidR="004E76B4">
        <w:t>; respondent billed</w:t>
      </w:r>
      <w:r w:rsidR="00466402">
        <w:t xml:space="preserve"> $440 for attorney fees earned between February 1 and February 28, 20005</w:t>
      </w:r>
      <w:r w:rsidR="004E76B4">
        <w:t xml:space="preserve">; </w:t>
      </w:r>
      <w:r w:rsidR="00466402">
        <w:t>and</w:t>
      </w:r>
      <w:r w:rsidR="004E76B4">
        <w:t xml:space="preserve"> she billed</w:t>
      </w:r>
      <w:r w:rsidR="00466402">
        <w:t xml:space="preserve"> $1</w:t>
      </w:r>
      <w:r w:rsidR="004E76B4">
        <w:t>,</w:t>
      </w:r>
      <w:r w:rsidR="00466402">
        <w:t>220 for attorney fees earned between March 1 and March 30, 2005.</w:t>
      </w:r>
    </w:p>
    <w:p w:rsidR="006D3F65" w:rsidRDefault="00544C8C" w:rsidP="00544C8C">
      <w:pPr>
        <w:pStyle w:val="Header"/>
        <w:tabs>
          <w:tab w:val="clear" w:pos="4320"/>
          <w:tab w:val="clear" w:pos="8640"/>
        </w:tabs>
        <w:spacing w:line="480" w:lineRule="auto"/>
        <w:ind w:firstLine="720"/>
      </w:pPr>
      <w:r>
        <w:t xml:space="preserve"> </w:t>
      </w:r>
      <w:r w:rsidR="00116E22">
        <w:t xml:space="preserve"> </w:t>
      </w:r>
      <w:r w:rsidR="00D269DD">
        <w:t>The court finds by clear and convincing evidence that respondent charged an illegal fee in willful violation of rule 4-200(A) b</w:t>
      </w:r>
      <w:r w:rsidR="00466402">
        <w:t>y charging</w:t>
      </w:r>
      <w:r>
        <w:t xml:space="preserve"> </w:t>
      </w:r>
      <w:r w:rsidR="00494955">
        <w:t>attorney fees</w:t>
      </w:r>
      <w:r w:rsidR="00466402">
        <w:t xml:space="preserve"> for </w:t>
      </w:r>
      <w:r w:rsidR="00E401C7">
        <w:t>legal services</w:t>
      </w:r>
      <w:r w:rsidR="00017D08">
        <w:t xml:space="preserve"> that were</w:t>
      </w:r>
      <w:r w:rsidR="00B62CEF">
        <w:t xml:space="preserve"> performed while respondent was not entitled to practice law and thus</w:t>
      </w:r>
      <w:r w:rsidR="00E401C7">
        <w:t xml:space="preserve"> constituted the unauthorized practice of law.</w:t>
      </w:r>
    </w:p>
    <w:p w:rsidR="006D3F65" w:rsidRPr="00CE5252" w:rsidRDefault="00387E8D">
      <w:pPr>
        <w:pStyle w:val="Header"/>
        <w:tabs>
          <w:tab w:val="clear" w:pos="4320"/>
          <w:tab w:val="clear" w:pos="8640"/>
        </w:tabs>
        <w:spacing w:line="480" w:lineRule="auto"/>
        <w:rPr>
          <w:b/>
        </w:rPr>
      </w:pPr>
      <w:r>
        <w:rPr>
          <w:b/>
        </w:rPr>
        <w:t>C</w:t>
      </w:r>
      <w:r w:rsidR="005318DA" w:rsidRPr="00CE5252">
        <w:rPr>
          <w:b/>
        </w:rPr>
        <w:t>.</w:t>
      </w:r>
      <w:r w:rsidR="005318DA" w:rsidRPr="00CE5252">
        <w:rPr>
          <w:b/>
        </w:rPr>
        <w:tab/>
        <w:t>The Landrum Matter (Case No. 06-O-14404)</w:t>
      </w:r>
    </w:p>
    <w:p w:rsidR="00EC5AF2" w:rsidRDefault="00EC5AF2" w:rsidP="00EC5AF2">
      <w:pPr>
        <w:pStyle w:val="Header"/>
        <w:spacing w:line="480" w:lineRule="auto"/>
        <w:ind w:firstLine="720"/>
      </w:pPr>
      <w:r>
        <w:tab/>
        <w:t xml:space="preserve">On or about September 22, 2004, </w:t>
      </w:r>
      <w:r w:rsidR="00544C8C">
        <w:t>r</w:t>
      </w:r>
      <w:r>
        <w:t>espondent was employed by Howard Landrum (Landrum) to represent him in a marital dissolution matter (dissolution matter)</w:t>
      </w:r>
      <w:r w:rsidR="00DD08CF">
        <w:t>.  L</w:t>
      </w:r>
      <w:r>
        <w:t xml:space="preserve">andrum agreed to pay </w:t>
      </w:r>
      <w:r w:rsidR="009E4929">
        <w:t>r</w:t>
      </w:r>
      <w:r>
        <w:t>espondent</w:t>
      </w:r>
      <w:r w:rsidR="009E4929">
        <w:t xml:space="preserve"> a</w:t>
      </w:r>
      <w:r>
        <w:t xml:space="preserve"> $3,500 nonrefundable retainer fee</w:t>
      </w:r>
      <w:r w:rsidR="009E4929">
        <w:t>.  L</w:t>
      </w:r>
      <w:r>
        <w:t xml:space="preserve">andrum paid </w:t>
      </w:r>
      <w:r w:rsidR="009E4929">
        <w:t>r</w:t>
      </w:r>
      <w:r>
        <w:t>espondent $2</w:t>
      </w:r>
      <w:r w:rsidR="009E4929">
        <w:t>,</w:t>
      </w:r>
      <w:r>
        <w:t xml:space="preserve">500 in cash. </w:t>
      </w:r>
      <w:r w:rsidR="009E4929">
        <w:t>A</w:t>
      </w:r>
      <w:r>
        <w:t>s collateral for the remaining $1</w:t>
      </w:r>
      <w:r w:rsidR="009E4929">
        <w:t>,</w:t>
      </w:r>
      <w:r>
        <w:t xml:space="preserve">000 due for the retainer fee, Landrum allowed </w:t>
      </w:r>
      <w:r w:rsidR="009E4929">
        <w:t>r</w:t>
      </w:r>
      <w:r>
        <w:t xml:space="preserve">espondent to hold a South African gold coin, a silver bar, and a Joe DiMaggio baseball card (personal property). </w:t>
      </w:r>
      <w:r w:rsidR="009E4929">
        <w:t xml:space="preserve"> </w:t>
      </w:r>
      <w:r>
        <w:t>Respondent did not advise Landrum in writing as to the terms of taking a security interest in the personal property</w:t>
      </w:r>
      <w:r w:rsidR="009E4929">
        <w:t xml:space="preserve"> </w:t>
      </w:r>
      <w:r>
        <w:t>turned over to</w:t>
      </w:r>
      <w:r w:rsidR="009E4929">
        <w:t xml:space="preserve"> r</w:t>
      </w:r>
      <w:r>
        <w:t>espondent as collateral, nor did</w:t>
      </w:r>
      <w:r w:rsidR="009E4929">
        <w:t xml:space="preserve"> </w:t>
      </w:r>
      <w:r>
        <w:t>she advise Landrum in writing to seek independent counsel</w:t>
      </w:r>
      <w:r w:rsidR="009E4929">
        <w:t>.  F</w:t>
      </w:r>
      <w:r>
        <w:t xml:space="preserve">urther, Landrum did not consent in writing to the terms of </w:t>
      </w:r>
      <w:r w:rsidR="009E4929">
        <w:t>r</w:t>
      </w:r>
      <w:r>
        <w:t>espondent taking a security interest in Landrum</w:t>
      </w:r>
      <w:r w:rsidR="00316AB9">
        <w:t>’</w:t>
      </w:r>
      <w:r>
        <w:t>s personal property as</w:t>
      </w:r>
      <w:r w:rsidR="009E4929">
        <w:t xml:space="preserve"> </w:t>
      </w:r>
      <w:r>
        <w:t xml:space="preserve">collateral for </w:t>
      </w:r>
      <w:r w:rsidR="00316AB9">
        <w:t>r</w:t>
      </w:r>
      <w:r>
        <w:t>espondent</w:t>
      </w:r>
      <w:r w:rsidR="00316AB9">
        <w:t>’s</w:t>
      </w:r>
      <w:r>
        <w:t xml:space="preserve"> retainer fee.</w:t>
      </w:r>
    </w:p>
    <w:p w:rsidR="00EC5AF2" w:rsidRDefault="00EC5AF2" w:rsidP="00EC5AF2">
      <w:pPr>
        <w:pStyle w:val="Header"/>
        <w:spacing w:line="480" w:lineRule="auto"/>
        <w:ind w:firstLine="720"/>
      </w:pPr>
      <w:r>
        <w:tab/>
        <w:t xml:space="preserve">On or about October 1, 2004, Landrum went to </w:t>
      </w:r>
      <w:r w:rsidR="00316AB9">
        <w:t>r</w:t>
      </w:r>
      <w:r>
        <w:t>espondent</w:t>
      </w:r>
      <w:r w:rsidR="00316AB9">
        <w:t>’</w:t>
      </w:r>
      <w:r>
        <w:t>s office and paid the</w:t>
      </w:r>
      <w:r w:rsidR="00316AB9">
        <w:t xml:space="preserve"> $1,000</w:t>
      </w:r>
      <w:r>
        <w:t xml:space="preserve"> balance due on the retainer fee</w:t>
      </w:r>
      <w:r w:rsidR="00316AB9">
        <w:t>.  L</w:t>
      </w:r>
      <w:r>
        <w:t xml:space="preserve">andrum requested of </w:t>
      </w:r>
      <w:r w:rsidR="00316AB9">
        <w:t>r</w:t>
      </w:r>
      <w:r>
        <w:t>espondent</w:t>
      </w:r>
      <w:r w:rsidR="00316AB9">
        <w:t>’</w:t>
      </w:r>
      <w:r>
        <w:t>s secretary that his personal property be returned to him</w:t>
      </w:r>
      <w:r w:rsidR="00316AB9">
        <w:t>.  L</w:t>
      </w:r>
      <w:r>
        <w:t>andrum</w:t>
      </w:r>
      <w:r w:rsidR="00316AB9">
        <w:t>’</w:t>
      </w:r>
      <w:r>
        <w:t>s personal property was not returned.</w:t>
      </w:r>
    </w:p>
    <w:p w:rsidR="00EC5AF2" w:rsidRDefault="00EC5AF2" w:rsidP="009E4929">
      <w:pPr>
        <w:pStyle w:val="Header"/>
        <w:spacing w:line="480" w:lineRule="auto"/>
        <w:ind w:firstLine="720"/>
      </w:pPr>
      <w:r>
        <w:t xml:space="preserve">On </w:t>
      </w:r>
      <w:r w:rsidR="00316AB9">
        <w:t>or about</w:t>
      </w:r>
      <w:r>
        <w:t xml:space="preserve"> October 22, 2004, Landrum spoke with </w:t>
      </w:r>
      <w:r w:rsidR="00316AB9">
        <w:t>r</w:t>
      </w:r>
      <w:r>
        <w:t>espondent on the</w:t>
      </w:r>
      <w:r w:rsidR="009E4929">
        <w:t xml:space="preserve"> </w:t>
      </w:r>
      <w:r>
        <w:t>telephone and requested</w:t>
      </w:r>
      <w:r w:rsidR="00316AB9">
        <w:t xml:space="preserve"> that</w:t>
      </w:r>
      <w:r>
        <w:t xml:space="preserve"> his personal property be returned. </w:t>
      </w:r>
      <w:r w:rsidR="00316AB9">
        <w:t xml:space="preserve"> </w:t>
      </w:r>
      <w:r>
        <w:t>Respondent told Landrum that she would return the personal property</w:t>
      </w:r>
      <w:r w:rsidR="00316AB9">
        <w:t>.  A</w:t>
      </w:r>
      <w:r>
        <w:t>pproximately two weeks later, Landrum</w:t>
      </w:r>
      <w:r w:rsidR="0087565B">
        <w:t xml:space="preserve"> again</w:t>
      </w:r>
      <w:r>
        <w:t xml:space="preserve"> called </w:t>
      </w:r>
      <w:r w:rsidR="00316AB9">
        <w:t>r</w:t>
      </w:r>
      <w:r>
        <w:t>espondent and requested that his personal property be returned. Respondent told Landrum that the personal</w:t>
      </w:r>
      <w:r w:rsidR="009E4929">
        <w:t xml:space="preserve"> </w:t>
      </w:r>
      <w:r>
        <w:t>property was in her mother</w:t>
      </w:r>
      <w:r w:rsidR="0087565B">
        <w:t>’</w:t>
      </w:r>
      <w:r>
        <w:t>s safe and that she would contact Landrum</w:t>
      </w:r>
      <w:r w:rsidR="0087565B">
        <w:t>.  R</w:t>
      </w:r>
      <w:r>
        <w:t>espondent did not contact Landrum regarding the return of his personal property.</w:t>
      </w:r>
    </w:p>
    <w:p w:rsidR="0087565B" w:rsidRDefault="0087565B" w:rsidP="006D47C8">
      <w:pPr>
        <w:pStyle w:val="Header"/>
        <w:spacing w:line="480" w:lineRule="auto"/>
        <w:ind w:firstLine="720"/>
      </w:pPr>
      <w:r>
        <w:tab/>
        <w:t xml:space="preserve">In the following several months, Landrum contacted </w:t>
      </w:r>
      <w:r w:rsidR="006D47C8">
        <w:t>r</w:t>
      </w:r>
      <w:r>
        <w:t>espondent and requested that his personal property be returned</w:t>
      </w:r>
      <w:r w:rsidR="006D47C8">
        <w:t>.  R</w:t>
      </w:r>
      <w:r>
        <w:t>espondent did not return Landrum</w:t>
      </w:r>
      <w:r w:rsidR="006D47C8">
        <w:t>’</w:t>
      </w:r>
      <w:r>
        <w:t xml:space="preserve">s personal property after any of </w:t>
      </w:r>
      <w:r w:rsidR="006D47C8">
        <w:t xml:space="preserve">Landrum’s </w:t>
      </w:r>
      <w:r>
        <w:t>requests.</w:t>
      </w:r>
    </w:p>
    <w:p w:rsidR="0087565B" w:rsidRDefault="00660C6E" w:rsidP="006D47C8">
      <w:pPr>
        <w:pStyle w:val="Header"/>
        <w:spacing w:line="480" w:lineRule="auto"/>
        <w:ind w:firstLine="720"/>
      </w:pPr>
      <w:r>
        <w:t>Subse</w:t>
      </w:r>
      <w:r w:rsidR="006D47C8">
        <w:t>quently,</w:t>
      </w:r>
      <w:r w:rsidR="0087565B">
        <w:t xml:space="preserve"> Landrum hired attorney J. Michael Jacob (Jacob) to assist him in</w:t>
      </w:r>
      <w:r w:rsidR="006D47C8">
        <w:t xml:space="preserve"> </w:t>
      </w:r>
      <w:r w:rsidR="0087565B">
        <w:t xml:space="preserve">obtaining his personal property from </w:t>
      </w:r>
      <w:r w:rsidR="006D47C8">
        <w:t>r</w:t>
      </w:r>
      <w:r w:rsidR="0087565B">
        <w:t>espondent and</w:t>
      </w:r>
      <w:r w:rsidR="006D47C8">
        <w:t xml:space="preserve"> to represent him</w:t>
      </w:r>
      <w:r w:rsidR="0087565B">
        <w:t xml:space="preserve"> in a fee dispute that had developed with </w:t>
      </w:r>
      <w:r w:rsidR="006D47C8">
        <w:t>r</w:t>
      </w:r>
      <w:r w:rsidR="0087565B">
        <w:t>espondent</w:t>
      </w:r>
      <w:r w:rsidR="00615FC0">
        <w:t xml:space="preserve">.  </w:t>
      </w:r>
      <w:r w:rsidR="0087565B">
        <w:tab/>
        <w:t xml:space="preserve">On or about June 8, 2006, Jacob sent a letter to </w:t>
      </w:r>
      <w:r w:rsidR="00E91C57">
        <w:t>r</w:t>
      </w:r>
      <w:r w:rsidR="0087565B">
        <w:t>espondent requesting the immediate return of Landrum</w:t>
      </w:r>
      <w:r w:rsidR="00615FC0">
        <w:t>’</w:t>
      </w:r>
      <w:r w:rsidR="0087565B">
        <w:t>s personal property.</w:t>
      </w:r>
    </w:p>
    <w:p w:rsidR="0087565B" w:rsidRDefault="0087565B" w:rsidP="006D47C8">
      <w:pPr>
        <w:pStyle w:val="Header"/>
        <w:spacing w:line="480" w:lineRule="auto"/>
        <w:ind w:firstLine="720"/>
      </w:pPr>
      <w:r>
        <w:tab/>
        <w:t>On or about June 28, 2006,</w:t>
      </w:r>
      <w:r w:rsidR="00C01C1E">
        <w:t xml:space="preserve"> </w:t>
      </w:r>
      <w:r w:rsidR="00E91C57">
        <w:t>r</w:t>
      </w:r>
      <w:r>
        <w:t>espondent sent a letter to Jacob responding to his June 8, 2006, letter</w:t>
      </w:r>
      <w:r w:rsidR="00E91C57">
        <w:t>.  I</w:t>
      </w:r>
      <w:r>
        <w:t xml:space="preserve">n </w:t>
      </w:r>
      <w:r w:rsidR="00E91C57">
        <w:t>her</w:t>
      </w:r>
      <w:r>
        <w:t xml:space="preserve"> letter </w:t>
      </w:r>
      <w:r w:rsidR="00E91C57">
        <w:t>r</w:t>
      </w:r>
      <w:r>
        <w:t xml:space="preserve">espondent stated that she had </w:t>
      </w:r>
      <w:r w:rsidR="00E91C57">
        <w:t>“</w:t>
      </w:r>
      <w:r>
        <w:t>cashed in</w:t>
      </w:r>
      <w:r w:rsidR="00E91C57">
        <w:t>”</w:t>
      </w:r>
      <w:r>
        <w:t xml:space="preserve"> the coin and silver bar.    Respondent also stated that she was still in possession of the baseball card and would return it upon Landrum</w:t>
      </w:r>
      <w:r w:rsidR="00E91C57">
        <w:t>’</w:t>
      </w:r>
      <w:r>
        <w:t>s payment of her fees.</w:t>
      </w:r>
    </w:p>
    <w:p w:rsidR="0087565B" w:rsidRDefault="0087565B" w:rsidP="006D47C8">
      <w:pPr>
        <w:pStyle w:val="Header"/>
        <w:spacing w:line="480" w:lineRule="auto"/>
        <w:ind w:firstLine="720"/>
      </w:pPr>
      <w:r>
        <w:tab/>
        <w:t xml:space="preserve">On June 30, 2006, Jacob sent a letter to </w:t>
      </w:r>
      <w:r w:rsidR="00C01C1E">
        <w:t>r</w:t>
      </w:r>
      <w:r>
        <w:t>espondent in which he stated that</w:t>
      </w:r>
      <w:r w:rsidR="006D47C8">
        <w:t xml:space="preserve"> </w:t>
      </w:r>
      <w:r w:rsidR="00C01C1E">
        <w:t>r</w:t>
      </w:r>
      <w:r>
        <w:t>espondent had failed to comply with Rules of Professional Conduct, rule 3-300</w:t>
      </w:r>
      <w:r w:rsidR="00C01C1E">
        <w:t xml:space="preserve">.  In his letter, Jacob </w:t>
      </w:r>
      <w:r>
        <w:t>again</w:t>
      </w:r>
      <w:r w:rsidR="006D47C8">
        <w:t xml:space="preserve"> </w:t>
      </w:r>
      <w:r>
        <w:t>requested</w:t>
      </w:r>
      <w:r w:rsidR="00C01C1E">
        <w:t xml:space="preserve"> the</w:t>
      </w:r>
      <w:r>
        <w:t xml:space="preserve"> immediate return of the baseball card</w:t>
      </w:r>
      <w:r w:rsidR="00B04981">
        <w:t>.  S</w:t>
      </w:r>
      <w:r>
        <w:t xml:space="preserve">ubsequently, </w:t>
      </w:r>
      <w:r w:rsidR="00B04981">
        <w:t>r</w:t>
      </w:r>
      <w:r>
        <w:t>espondent returned the baseball</w:t>
      </w:r>
      <w:r w:rsidR="006D47C8">
        <w:t xml:space="preserve"> </w:t>
      </w:r>
      <w:r>
        <w:t>card to Landrum.</w:t>
      </w:r>
    </w:p>
    <w:p w:rsidR="006D3F65" w:rsidRDefault="0087565B" w:rsidP="006D47C8">
      <w:pPr>
        <w:pStyle w:val="Header"/>
        <w:spacing w:line="480" w:lineRule="auto"/>
        <w:ind w:firstLine="720"/>
      </w:pPr>
      <w:r>
        <w:t xml:space="preserve">At no time did </w:t>
      </w:r>
      <w:r w:rsidR="00B04981">
        <w:t>r</w:t>
      </w:r>
      <w:r>
        <w:t>espondent advise Landrum in writing as to the terms of taking a</w:t>
      </w:r>
      <w:r w:rsidR="006D47C8">
        <w:t xml:space="preserve"> </w:t>
      </w:r>
      <w:r>
        <w:t xml:space="preserve">security interest in the personal property turned over to </w:t>
      </w:r>
      <w:r w:rsidR="00B04981">
        <w:t>r</w:t>
      </w:r>
      <w:r>
        <w:t>espondent as collateral</w:t>
      </w:r>
      <w:r w:rsidR="00B04981">
        <w:t>;</w:t>
      </w:r>
      <w:r>
        <w:t xml:space="preserve"> nor did she</w:t>
      </w:r>
      <w:r w:rsidR="006D47C8">
        <w:t xml:space="preserve"> </w:t>
      </w:r>
      <w:r>
        <w:t>advise Landrum in writing to seek independent counsel</w:t>
      </w:r>
      <w:r w:rsidR="00B04981">
        <w:t>.  F</w:t>
      </w:r>
      <w:r>
        <w:t>urther, Landrum did not consent in</w:t>
      </w:r>
      <w:r w:rsidR="006D47C8">
        <w:t xml:space="preserve"> </w:t>
      </w:r>
      <w:r>
        <w:t xml:space="preserve">writing to the terms of </w:t>
      </w:r>
      <w:r w:rsidR="00B04981">
        <w:t>r</w:t>
      </w:r>
      <w:r>
        <w:t>espondent taking a security interest in Landrum</w:t>
      </w:r>
      <w:r w:rsidR="00B04981">
        <w:t>’</w:t>
      </w:r>
      <w:r>
        <w:t>s personal property as</w:t>
      </w:r>
      <w:r w:rsidR="006D47C8">
        <w:t xml:space="preserve"> </w:t>
      </w:r>
      <w:r>
        <w:t xml:space="preserve">collateral for </w:t>
      </w:r>
      <w:r w:rsidR="00B04981">
        <w:t>r</w:t>
      </w:r>
      <w:r>
        <w:t>espondent</w:t>
      </w:r>
      <w:r w:rsidR="00B04981">
        <w:t>’s</w:t>
      </w:r>
      <w:r>
        <w:t xml:space="preserve"> retainer fee.</w:t>
      </w:r>
    </w:p>
    <w:p w:rsidR="006D3F65" w:rsidRDefault="002431DD" w:rsidP="00051472">
      <w:pPr>
        <w:pStyle w:val="Header"/>
        <w:spacing w:line="480" w:lineRule="auto"/>
        <w:ind w:firstLine="720"/>
      </w:pPr>
      <w:r>
        <w:t xml:space="preserve">Between October 1, 2004, and through, at least, June 30, 2006, Landrum and his counsel made numerous requests for </w:t>
      </w:r>
      <w:r w:rsidR="00051472">
        <w:t>r</w:t>
      </w:r>
      <w:r>
        <w:t>espondent to return Landrum</w:t>
      </w:r>
      <w:r w:rsidR="00051472">
        <w:t>’</w:t>
      </w:r>
      <w:r>
        <w:t>s personal property</w:t>
      </w:r>
      <w:r w:rsidR="00051472">
        <w:t>.  W</w:t>
      </w:r>
      <w:r>
        <w:t>ithout receiving the consent of</w:t>
      </w:r>
      <w:r w:rsidR="00051472">
        <w:t xml:space="preserve"> Landrum</w:t>
      </w:r>
      <w:r>
        <w:t xml:space="preserve"> or even advising</w:t>
      </w:r>
      <w:r w:rsidR="00051472">
        <w:t xml:space="preserve"> him</w:t>
      </w:r>
      <w:r>
        <w:t xml:space="preserve">, </w:t>
      </w:r>
      <w:r w:rsidR="00051472">
        <w:t>r</w:t>
      </w:r>
      <w:r>
        <w:t xml:space="preserve">espondent sold the gold coin and silver bar Landrum had given </w:t>
      </w:r>
      <w:r w:rsidR="00051472">
        <w:t>r</w:t>
      </w:r>
      <w:r>
        <w:t>espondent as collateral</w:t>
      </w:r>
      <w:r w:rsidR="00051472">
        <w:t>.  R</w:t>
      </w:r>
      <w:r>
        <w:t>espondent kept the funds from this sale</w:t>
      </w:r>
      <w:r w:rsidR="00051472">
        <w:t xml:space="preserve">.  </w:t>
      </w:r>
      <w:r>
        <w:t>Respondent did not return the baseball card that Landrum had given her until sometime after June 30, 2006.</w:t>
      </w:r>
    </w:p>
    <w:p w:rsidR="009365FD" w:rsidRDefault="004103CB" w:rsidP="004103CB">
      <w:pPr>
        <w:pStyle w:val="Header"/>
        <w:tabs>
          <w:tab w:val="clear" w:pos="4320"/>
          <w:tab w:val="clear" w:pos="8640"/>
        </w:tabs>
        <w:spacing w:line="480" w:lineRule="auto"/>
        <w:ind w:firstLine="720"/>
      </w:pPr>
      <w:r>
        <w:t xml:space="preserve">As noted, </w:t>
      </w:r>
      <w:r w:rsidRPr="009365FD">
        <w:rPr>
          <w:i/>
        </w:rPr>
        <w:t>ante</w:t>
      </w:r>
      <w:r>
        <w:t xml:space="preserve">, respondent was </w:t>
      </w:r>
      <w:r w:rsidR="00554AC3">
        <w:t xml:space="preserve">ordered </w:t>
      </w:r>
      <w:r w:rsidR="00983AC5">
        <w:t>enrolled as an</w:t>
      </w:r>
      <w:r>
        <w:t xml:space="preserve"> inactive</w:t>
      </w:r>
      <w:r w:rsidR="00983AC5">
        <w:t xml:space="preserve"> member of </w:t>
      </w:r>
      <w:r>
        <w:t xml:space="preserve">the State Bar pursuant to </w:t>
      </w:r>
      <w:r w:rsidR="009365FD">
        <w:t>section 6007, subdivision (e)</w:t>
      </w:r>
      <w:r w:rsidR="00983AC5">
        <w:t>, effective January 7, 2005</w:t>
      </w:r>
      <w:r w:rsidR="00C65774">
        <w:t>. Respondent was returned to active status on April 4, 2005,   R</w:t>
      </w:r>
      <w:r w:rsidR="00660C6E" w:rsidRPr="00660C6E">
        <w:t>espondent</w:t>
      </w:r>
      <w:r w:rsidR="00C65774">
        <w:t xml:space="preserve">, however, </w:t>
      </w:r>
      <w:r w:rsidR="00660C6E" w:rsidRPr="00660C6E">
        <w:t>continuously represented Landrum from in or about September 2004</w:t>
      </w:r>
      <w:r w:rsidR="00660C6E">
        <w:t>,</w:t>
      </w:r>
      <w:r w:rsidR="00660C6E" w:rsidRPr="00660C6E">
        <w:t xml:space="preserve"> through, at least, March 1, 2006</w:t>
      </w:r>
      <w:r>
        <w:t>.</w:t>
      </w:r>
    </w:p>
    <w:p w:rsidR="006F51EC" w:rsidRDefault="009365FD" w:rsidP="006303C7">
      <w:pPr>
        <w:pStyle w:val="Header"/>
        <w:tabs>
          <w:tab w:val="clear" w:pos="4320"/>
          <w:tab w:val="clear" w:pos="8640"/>
        </w:tabs>
        <w:spacing w:line="480" w:lineRule="auto"/>
        <w:ind w:firstLine="720"/>
      </w:pPr>
      <w:r>
        <w:t xml:space="preserve">Between January 13, 2005 and March 2005, respondent sent letters to opposing counsel, Peter </w:t>
      </w:r>
      <w:proofErr w:type="spellStart"/>
      <w:r>
        <w:t>Wernicke</w:t>
      </w:r>
      <w:proofErr w:type="spellEnd"/>
      <w:r>
        <w:t xml:space="preserve"> (</w:t>
      </w:r>
      <w:proofErr w:type="spellStart"/>
      <w:r>
        <w:t>Wernicke</w:t>
      </w:r>
      <w:proofErr w:type="spellEnd"/>
      <w:r>
        <w:t xml:space="preserve">) regarding the dissolution matter and spoke with Landrum about his case.  Specifically, respondent </w:t>
      </w:r>
      <w:r w:rsidR="006F51EC">
        <w:t>sent letter</w:t>
      </w:r>
      <w:r>
        <w:t>s</w:t>
      </w:r>
      <w:r w:rsidR="006F51EC">
        <w:t xml:space="preserve"> to </w:t>
      </w:r>
      <w:proofErr w:type="spellStart"/>
      <w:r w:rsidR="006F51EC">
        <w:t>Wernicke</w:t>
      </w:r>
      <w:proofErr w:type="spellEnd"/>
      <w:r w:rsidR="006F51EC">
        <w:t xml:space="preserve"> regarding the Landrum dissolution matter</w:t>
      </w:r>
      <w:r>
        <w:t xml:space="preserve"> on or about January 13, 2005, o</w:t>
      </w:r>
      <w:r w:rsidR="006F51EC">
        <w:t xml:space="preserve">n or about </w:t>
      </w:r>
      <w:r>
        <w:t>J</w:t>
      </w:r>
      <w:r w:rsidR="006F51EC">
        <w:t>anuary 23, 2005,</w:t>
      </w:r>
      <w:r>
        <w:t xml:space="preserve"> and</w:t>
      </w:r>
      <w:r w:rsidR="006303C7">
        <w:t xml:space="preserve"> on or about</w:t>
      </w:r>
      <w:r>
        <w:t xml:space="preserve"> January </w:t>
      </w:r>
      <w:r w:rsidR="006F51EC">
        <w:t>24, 2005</w:t>
      </w:r>
      <w:r>
        <w:t>.  I</w:t>
      </w:r>
      <w:r w:rsidR="006F51EC">
        <w:t>n or about February</w:t>
      </w:r>
      <w:r w:rsidR="00FB616A">
        <w:t xml:space="preserve"> and March</w:t>
      </w:r>
      <w:r w:rsidR="006F51EC">
        <w:t xml:space="preserve"> 2005, </w:t>
      </w:r>
      <w:r>
        <w:t>r</w:t>
      </w:r>
      <w:r w:rsidR="006F51EC">
        <w:t>espondent worked on Landrum</w:t>
      </w:r>
      <w:r>
        <w:t>’</w:t>
      </w:r>
      <w:r w:rsidR="006F51EC">
        <w:t>s dissolution matter and held herself out as entitled to practice law by</w:t>
      </w:r>
      <w:r w:rsidR="006303C7">
        <w:t>, among other things,</w:t>
      </w:r>
      <w:r w:rsidR="006F51EC">
        <w:t xml:space="preserve"> reviewing documents and speaking with Landrum about his case.</w:t>
      </w:r>
    </w:p>
    <w:p w:rsidR="00660C6E" w:rsidRDefault="00C65774" w:rsidP="006F51EC">
      <w:pPr>
        <w:pStyle w:val="Header"/>
        <w:tabs>
          <w:tab w:val="clear" w:pos="4320"/>
          <w:tab w:val="clear" w:pos="8640"/>
        </w:tabs>
        <w:spacing w:line="480" w:lineRule="auto"/>
        <w:ind w:firstLine="720"/>
      </w:pPr>
      <w:r>
        <w:t>At no time b</w:t>
      </w:r>
      <w:r w:rsidR="006F51EC">
        <w:t>etween January 7</w:t>
      </w:r>
      <w:r>
        <w:t xml:space="preserve"> </w:t>
      </w:r>
      <w:r w:rsidR="006F51EC">
        <w:t>and April 4, 2005,</w:t>
      </w:r>
      <w:r>
        <w:t xml:space="preserve"> did </w:t>
      </w:r>
      <w:r w:rsidR="006303C7">
        <w:t>r</w:t>
      </w:r>
      <w:r w:rsidR="006F51EC">
        <w:t xml:space="preserve">espondent inform Landrum or opposing counsel </w:t>
      </w:r>
      <w:proofErr w:type="spellStart"/>
      <w:r w:rsidR="006F51EC">
        <w:t>Wernicke</w:t>
      </w:r>
      <w:proofErr w:type="spellEnd"/>
      <w:r w:rsidR="006F51EC">
        <w:t xml:space="preserve"> that she was not entitled to practice law during th</w:t>
      </w:r>
      <w:r w:rsidR="00FE5E87">
        <w:t>at</w:t>
      </w:r>
      <w:r w:rsidR="006F51EC">
        <w:t xml:space="preserve"> period.</w:t>
      </w:r>
    </w:p>
    <w:p w:rsidR="00486197" w:rsidRDefault="00486197" w:rsidP="00486197">
      <w:pPr>
        <w:pStyle w:val="Header"/>
        <w:spacing w:line="480" w:lineRule="auto"/>
        <w:ind w:firstLine="720"/>
      </w:pPr>
      <w:r>
        <w:tab/>
        <w:t>On or about February 14, 2005, respondent sent Landrum a statement for attorney fees earned between January 1, 2005 and January 31, 2005. Respondent billed Landrum $3,570 for attorney’s fees earned between January 7, 2005 and January 31, 2005.</w:t>
      </w:r>
    </w:p>
    <w:p w:rsidR="00486197" w:rsidRDefault="00486197" w:rsidP="00486197">
      <w:pPr>
        <w:pStyle w:val="Header"/>
        <w:spacing w:line="480" w:lineRule="auto"/>
        <w:ind w:firstLine="720"/>
      </w:pPr>
      <w:r>
        <w:tab/>
        <w:t>On or about March 21, 2005, respondent sent Landrum a statement for attorney fees earned between February 1, 2005 and February 28, 2005. Respondent billed Landrum $2,280 for attorney fees earned between February 1, 2005 and February 28, 2005.</w:t>
      </w:r>
    </w:p>
    <w:p w:rsidR="00494955" w:rsidRDefault="00486197" w:rsidP="00486197">
      <w:pPr>
        <w:pStyle w:val="Header"/>
        <w:tabs>
          <w:tab w:val="clear" w:pos="4320"/>
          <w:tab w:val="clear" w:pos="8640"/>
        </w:tabs>
        <w:spacing w:line="480" w:lineRule="auto"/>
        <w:ind w:firstLine="720"/>
      </w:pPr>
      <w:r>
        <w:t>On or about May 9, 2005, respondent sent Landrum a statement for attorney fees earned between March 1, 2005, and March 31, 2005. Respondent billed Landrum $1,230 for attorney fees earned between March 1, 2005, and March 31, 2005.</w:t>
      </w:r>
    </w:p>
    <w:p w:rsidR="00177F74" w:rsidRDefault="00177F74" w:rsidP="00177F74">
      <w:pPr>
        <w:pStyle w:val="Header"/>
        <w:spacing w:line="480" w:lineRule="auto"/>
        <w:ind w:firstLine="720"/>
      </w:pPr>
      <w:r>
        <w:t xml:space="preserve">On or about September 22, 2006, the State Bar of California opened an investigation into </w:t>
      </w:r>
      <w:r w:rsidR="00FB616A">
        <w:t>r</w:t>
      </w:r>
      <w:r>
        <w:t>espondent</w:t>
      </w:r>
      <w:r w:rsidR="0066163C">
        <w:t>’</w:t>
      </w:r>
      <w:r>
        <w:t>s representation of Landrum following the receipt of a complaint from Landrum.</w:t>
      </w:r>
    </w:p>
    <w:p w:rsidR="00177F74" w:rsidRDefault="00177F74" w:rsidP="00177F74">
      <w:pPr>
        <w:pStyle w:val="Header"/>
        <w:spacing w:line="480" w:lineRule="auto"/>
        <w:ind w:firstLine="720"/>
      </w:pPr>
      <w:r>
        <w:t>On or about January 18, 2007, a State Bar investigator sent respondent an investigative letter.  The letter requested a response to the allegations contained in Landrum’s complaint</w:t>
      </w:r>
      <w:r w:rsidR="000A551A">
        <w:t>, including,</w:t>
      </w:r>
      <w:r>
        <w:t xml:space="preserve"> among other things, respondent’s failure to notify Landrum or opposing counsel about her suspension </w:t>
      </w:r>
      <w:r w:rsidR="0071216E">
        <w:t xml:space="preserve">from </w:t>
      </w:r>
      <w:r>
        <w:t>January 7, 2005 t</w:t>
      </w:r>
      <w:r w:rsidR="0071216E">
        <w:t>o</w:t>
      </w:r>
      <w:r>
        <w:t xml:space="preserve"> April 4, 2005.</w:t>
      </w:r>
    </w:p>
    <w:p w:rsidR="00177F74" w:rsidRDefault="00177F74" w:rsidP="00177F74">
      <w:pPr>
        <w:pStyle w:val="Header"/>
        <w:spacing w:line="480" w:lineRule="auto"/>
        <w:ind w:firstLine="720"/>
      </w:pPr>
      <w:r>
        <w:tab/>
        <w:t xml:space="preserve">On or about February 15, 2007, </w:t>
      </w:r>
      <w:r w:rsidR="000A551A">
        <w:t>in response to the January 18, 2007 investigative letter, r</w:t>
      </w:r>
      <w:r>
        <w:t xml:space="preserve">espondent sent a letter to </w:t>
      </w:r>
      <w:r w:rsidR="000A551A">
        <w:t>the State Bar investigator.  R</w:t>
      </w:r>
      <w:r>
        <w:t>espondent stated in the letter that she informed all of her clients of her suspension</w:t>
      </w:r>
      <w:r w:rsidR="000A551A">
        <w:t>.  F</w:t>
      </w:r>
      <w:r>
        <w:t xml:space="preserve">urther, </w:t>
      </w:r>
      <w:r w:rsidR="000A551A">
        <w:t>r</w:t>
      </w:r>
      <w:r>
        <w:t xml:space="preserve">espondent stated that opposing counsel </w:t>
      </w:r>
      <w:proofErr w:type="spellStart"/>
      <w:r>
        <w:t>Wernicke</w:t>
      </w:r>
      <w:proofErr w:type="spellEnd"/>
      <w:r>
        <w:t xml:space="preserve"> </w:t>
      </w:r>
      <w:r w:rsidR="000A551A">
        <w:t>“</w:t>
      </w:r>
      <w:r>
        <w:t>knew the situation</w:t>
      </w:r>
      <w:r w:rsidR="000A551A">
        <w:t>”</w:t>
      </w:r>
      <w:r>
        <w:t xml:space="preserve"> regarding her suspension during th</w:t>
      </w:r>
      <w:r w:rsidR="0071216E">
        <w:t>e January 7, 2005 to April 4, 2005 time</w:t>
      </w:r>
      <w:r>
        <w:t xml:space="preserve"> period.</w:t>
      </w:r>
    </w:p>
    <w:p w:rsidR="00177F74" w:rsidRDefault="00177F74" w:rsidP="00177F74">
      <w:pPr>
        <w:pStyle w:val="Header"/>
        <w:tabs>
          <w:tab w:val="clear" w:pos="4320"/>
          <w:tab w:val="clear" w:pos="8640"/>
        </w:tabs>
        <w:spacing w:line="480" w:lineRule="auto"/>
        <w:ind w:firstLine="720"/>
      </w:pPr>
      <w:r>
        <w:t>Respondent</w:t>
      </w:r>
      <w:r w:rsidR="000A551A">
        <w:t>, however, had not sent</w:t>
      </w:r>
      <w:r>
        <w:t xml:space="preserve"> a letter to Landrum or opposing counsel </w:t>
      </w:r>
      <w:proofErr w:type="spellStart"/>
      <w:r>
        <w:t>Wernicke</w:t>
      </w:r>
      <w:proofErr w:type="spellEnd"/>
      <w:r>
        <w:t xml:space="preserve"> informing them of her suspension, nor </w:t>
      </w:r>
      <w:r w:rsidR="000A551A">
        <w:t xml:space="preserve">had she at </w:t>
      </w:r>
      <w:r>
        <w:t>any time inform</w:t>
      </w:r>
      <w:r w:rsidR="000A551A">
        <w:t>ed</w:t>
      </w:r>
      <w:r>
        <w:t xml:space="preserve"> them in any other manner of her suspension between January 7, 2005, and April 4, 2005</w:t>
      </w:r>
      <w:r w:rsidR="0066163C">
        <w:t>.  R</w:t>
      </w:r>
      <w:r>
        <w:t>espondent knew</w:t>
      </w:r>
      <w:r w:rsidR="0066163C">
        <w:t xml:space="preserve"> or should have known </w:t>
      </w:r>
      <w:r>
        <w:t xml:space="preserve">that she had not informed Landrum or opposing counsel </w:t>
      </w:r>
      <w:proofErr w:type="spellStart"/>
      <w:r>
        <w:t>Wernicke</w:t>
      </w:r>
      <w:proofErr w:type="spellEnd"/>
      <w:r>
        <w:t xml:space="preserve"> of her suspension at the time she sent her February 15, 2007 letter to the State Bar in response to the State Bar</w:t>
      </w:r>
      <w:r w:rsidR="0066163C">
        <w:t>’</w:t>
      </w:r>
      <w:r>
        <w:t>s investigative letter.</w:t>
      </w:r>
    </w:p>
    <w:p w:rsidR="00B67829" w:rsidRPr="00807270" w:rsidRDefault="00B67829" w:rsidP="00B67829">
      <w:pPr>
        <w:pStyle w:val="Header"/>
        <w:spacing w:line="480" w:lineRule="auto"/>
        <w:rPr>
          <w:b/>
          <w:i/>
        </w:rPr>
      </w:pPr>
      <w:r w:rsidRPr="00807270">
        <w:rPr>
          <w:b/>
          <w:i/>
        </w:rPr>
        <w:t xml:space="preserve">Count </w:t>
      </w:r>
      <w:r>
        <w:rPr>
          <w:b/>
          <w:i/>
        </w:rPr>
        <w:t>4:  Avoiding Interests Adverse to a Client</w:t>
      </w:r>
      <w:r w:rsidRPr="00807270">
        <w:rPr>
          <w:b/>
          <w:i/>
        </w:rPr>
        <w:t xml:space="preserve"> (Rule </w:t>
      </w:r>
      <w:r>
        <w:rPr>
          <w:b/>
          <w:i/>
        </w:rPr>
        <w:t>3</w:t>
      </w:r>
      <w:r w:rsidRPr="00807270">
        <w:rPr>
          <w:b/>
          <w:i/>
        </w:rPr>
        <w:t>-</w:t>
      </w:r>
      <w:r>
        <w:rPr>
          <w:b/>
          <w:i/>
        </w:rPr>
        <w:t>3</w:t>
      </w:r>
      <w:r w:rsidRPr="00807270">
        <w:rPr>
          <w:b/>
          <w:i/>
        </w:rPr>
        <w:t>00)</w:t>
      </w:r>
    </w:p>
    <w:p w:rsidR="00B67829" w:rsidRDefault="004C5A02" w:rsidP="00B67829">
      <w:pPr>
        <w:pStyle w:val="Header"/>
        <w:spacing w:line="480" w:lineRule="auto"/>
        <w:ind w:firstLine="720"/>
      </w:pPr>
      <w:r w:rsidRPr="004C5A02">
        <w:tab/>
        <w:t xml:space="preserve">Rule 3-300 provides that an attorney must not enter into a business transaction with a client or knowingly acquire an ownership, possessory, security or other pecuniary interest adverse to a client unless the transaction or acquisition is fair and reasonable to the client, is fully disclosed to the client, the client is advised in writing that the client may seek the advice of an independent lawyer of the client’s choice and is given a reasonable opportunity to do so, and the client thereafter consents in writing to the transaction or acquisition. The purpose of this rule is to “recognize the very high level of trust </w:t>
      </w:r>
      <w:proofErr w:type="gramStart"/>
      <w:r w:rsidRPr="004C5A02">
        <w:t>a</w:t>
      </w:r>
      <w:r w:rsidR="005974E2">
        <w:t xml:space="preserve"> </w:t>
      </w:r>
      <w:r>
        <w:t>c</w:t>
      </w:r>
      <w:r w:rsidRPr="004C5A02">
        <w:t>lient</w:t>
      </w:r>
      <w:proofErr w:type="gramEnd"/>
      <w:r w:rsidRPr="004C5A02">
        <w:t xml:space="preserve"> reposes in his attorney and to ensure that that trust is not misplaced. </w:t>
      </w:r>
      <w:proofErr w:type="gramStart"/>
      <w:r w:rsidRPr="004C5A02">
        <w:t>[Citations.]</w:t>
      </w:r>
      <w:proofErr w:type="gramEnd"/>
      <w:r w:rsidRPr="004C5A02">
        <w:t xml:space="preserve">  Sadly, this case stands with too many others as an example of an attorney’s preference of his personal interests in manifest disregard of the interests of his client.”  (</w:t>
      </w:r>
      <w:r w:rsidRPr="004C5A02">
        <w:rPr>
          <w:i/>
        </w:rPr>
        <w:t xml:space="preserve">In the Matter of </w:t>
      </w:r>
      <w:proofErr w:type="spellStart"/>
      <w:r w:rsidRPr="004C5A02">
        <w:rPr>
          <w:i/>
        </w:rPr>
        <w:t>Kittrell</w:t>
      </w:r>
      <w:proofErr w:type="spellEnd"/>
      <w:r w:rsidRPr="004C5A02">
        <w:t xml:space="preserve"> (Review Dept. 2003) 4 Cal. </w:t>
      </w:r>
      <w:proofErr w:type="gramStart"/>
      <w:r w:rsidRPr="004C5A02">
        <w:t>State</w:t>
      </w:r>
      <w:proofErr w:type="gramEnd"/>
      <w:r w:rsidRPr="004C5A02">
        <w:t xml:space="preserve"> Bar Ct. </w:t>
      </w:r>
      <w:proofErr w:type="spellStart"/>
      <w:r w:rsidRPr="004C5A02">
        <w:t>Rptr</w:t>
      </w:r>
      <w:proofErr w:type="spellEnd"/>
      <w:r w:rsidRPr="004C5A02">
        <w:t>. 615, 623.)</w:t>
      </w:r>
      <w:r w:rsidR="007A573A">
        <w:t xml:space="preserve">  </w:t>
      </w:r>
    </w:p>
    <w:p w:rsidR="00494955" w:rsidRDefault="004C5A02" w:rsidP="00C45B5D">
      <w:pPr>
        <w:pStyle w:val="Header"/>
        <w:tabs>
          <w:tab w:val="clear" w:pos="4320"/>
          <w:tab w:val="clear" w:pos="8640"/>
        </w:tabs>
        <w:spacing w:line="480" w:lineRule="auto"/>
        <w:ind w:firstLine="720"/>
      </w:pPr>
      <w:r>
        <w:t>Here, r</w:t>
      </w:r>
      <w:r w:rsidRPr="004C5A02">
        <w:t>espondent wil</w:t>
      </w:r>
      <w:r>
        <w:t>l</w:t>
      </w:r>
      <w:r w:rsidRPr="004C5A02">
        <w:t xml:space="preserve">fully violated rule 3-300 by failing to comply with its prophylactic terms.  Respondent acquired an ownership, possessory, security or other pecuniary interest adverse to </w:t>
      </w:r>
      <w:r>
        <w:t>Landrum</w:t>
      </w:r>
      <w:r w:rsidRPr="004C5A02">
        <w:t xml:space="preserve"> by receiving </w:t>
      </w:r>
      <w:r>
        <w:t>Landrum’s gold coin, silver bar, and DiMaggio baseball card</w:t>
      </w:r>
      <w:r w:rsidR="00D92C7B">
        <w:t xml:space="preserve"> (personal property)</w:t>
      </w:r>
      <w:r w:rsidRPr="004C5A02">
        <w:t xml:space="preserve"> as </w:t>
      </w:r>
      <w:r>
        <w:t>collateral for the $1,000</w:t>
      </w:r>
      <w:r w:rsidR="00D92C7B">
        <w:t xml:space="preserve"> unpaid remainder of the $3,500</w:t>
      </w:r>
      <w:r>
        <w:t xml:space="preserve"> retainer fee that Landrum had agreed to pay respondent.</w:t>
      </w:r>
      <w:r w:rsidR="00EB7A3C">
        <w:t xml:space="preserve">  The acquisition/transaction was manifestly unfair and unreasonable.</w:t>
      </w:r>
      <w:r w:rsidRPr="004C5A02">
        <w:t xml:space="preserve">  </w:t>
      </w:r>
      <w:r w:rsidR="00D92C7B">
        <w:t xml:space="preserve">Respondent </w:t>
      </w:r>
      <w:r w:rsidRPr="004C5A02">
        <w:t>fail</w:t>
      </w:r>
      <w:r w:rsidR="00D92C7B">
        <w:t>ed</w:t>
      </w:r>
      <w:r w:rsidRPr="004C5A02">
        <w:t xml:space="preserve"> to advise </w:t>
      </w:r>
      <w:r>
        <w:t>Landrum</w:t>
      </w:r>
      <w:r w:rsidRPr="004C5A02">
        <w:t xml:space="preserve"> in writing</w:t>
      </w:r>
      <w:r w:rsidR="00C5082E">
        <w:t xml:space="preserve"> </w:t>
      </w:r>
      <w:r w:rsidRPr="004C5A02">
        <w:t xml:space="preserve">that he </w:t>
      </w:r>
      <w:r w:rsidR="007A573A">
        <w:t>could</w:t>
      </w:r>
      <w:r w:rsidRPr="004C5A02">
        <w:t xml:space="preserve"> consult with independent counsel regarding respondent’s possessory and security interest in the </w:t>
      </w:r>
      <w:r w:rsidR="00D92C7B">
        <w:t>personal property;</w:t>
      </w:r>
      <w:r w:rsidRPr="004C5A02">
        <w:t xml:space="preserve"> </w:t>
      </w:r>
      <w:r w:rsidR="00D92C7B">
        <w:t xml:space="preserve">respondent </w:t>
      </w:r>
      <w:r w:rsidRPr="004C5A02">
        <w:t>fail</w:t>
      </w:r>
      <w:r w:rsidR="00D92C7B">
        <w:t>ed</w:t>
      </w:r>
      <w:r w:rsidRPr="004C5A02">
        <w:t xml:space="preserve"> to give </w:t>
      </w:r>
      <w:r>
        <w:t>Landrum</w:t>
      </w:r>
      <w:r w:rsidRPr="004C5A02">
        <w:t xml:space="preserve"> a reasonable opportunity to seek </w:t>
      </w:r>
      <w:r w:rsidR="00C5082E">
        <w:t>advice from independent counsel regarding the transaction and respondent’s acquisition of the</w:t>
      </w:r>
      <w:r w:rsidR="00D92C7B">
        <w:t xml:space="preserve"> personal property; </w:t>
      </w:r>
      <w:r w:rsidRPr="004C5A02">
        <w:t xml:space="preserve">and </w:t>
      </w:r>
      <w:r w:rsidR="00D92C7B">
        <w:t xml:space="preserve">respondent </w:t>
      </w:r>
      <w:r w:rsidRPr="004C5A02">
        <w:t>fail</w:t>
      </w:r>
      <w:r w:rsidR="00D92C7B">
        <w:t xml:space="preserve">ed </w:t>
      </w:r>
      <w:r w:rsidRPr="004C5A02">
        <w:t xml:space="preserve">to obtain </w:t>
      </w:r>
      <w:r w:rsidR="00C5082E">
        <w:t>Landrum’s</w:t>
      </w:r>
      <w:r w:rsidRPr="004C5A02">
        <w:t xml:space="preserve"> written consent to the terms of the acquisition of the </w:t>
      </w:r>
      <w:r w:rsidR="00D92C7B">
        <w:t xml:space="preserve">personal property.  </w:t>
      </w:r>
      <w:r w:rsidRPr="004C5A02">
        <w:t xml:space="preserve"> </w:t>
      </w:r>
      <w:r w:rsidR="00D92C7B">
        <w:t xml:space="preserve">By so doing </w:t>
      </w:r>
      <w:r w:rsidRPr="004C5A02">
        <w:t>respondent</w:t>
      </w:r>
      <w:r w:rsidR="00D92C7B">
        <w:t>,</w:t>
      </w:r>
      <w:r w:rsidRPr="004C5A02">
        <w:t xml:space="preserve"> clearly and convincingly</w:t>
      </w:r>
      <w:r w:rsidR="00D92C7B">
        <w:t>,</w:t>
      </w:r>
      <w:r w:rsidRPr="004C5A02">
        <w:t xml:space="preserve"> improperly</w:t>
      </w:r>
      <w:r w:rsidR="00C5082E">
        <w:t xml:space="preserve"> entered into an unfair and unreasonable business transaction with a client and </w:t>
      </w:r>
      <w:r w:rsidRPr="004C5A02">
        <w:t xml:space="preserve">acquired ownership, possessory, security or other pecuniary interests adverse to </w:t>
      </w:r>
      <w:r w:rsidR="00C5082E">
        <w:t>a</w:t>
      </w:r>
      <w:r w:rsidRPr="004C5A02">
        <w:t xml:space="preserve"> client in wi</w:t>
      </w:r>
      <w:r w:rsidR="00C5082E">
        <w:t>l</w:t>
      </w:r>
      <w:r w:rsidRPr="004C5A02">
        <w:t>lful violation of</w:t>
      </w:r>
      <w:r w:rsidR="00C5082E">
        <w:t xml:space="preserve"> both the substantive and procedural protections of</w:t>
      </w:r>
      <w:r w:rsidRPr="004C5A02">
        <w:t xml:space="preserve"> rule 3-300.</w:t>
      </w:r>
    </w:p>
    <w:p w:rsidR="00471693" w:rsidRPr="00807270" w:rsidRDefault="00471693" w:rsidP="00471693">
      <w:pPr>
        <w:pStyle w:val="Header"/>
        <w:spacing w:line="480" w:lineRule="auto"/>
        <w:rPr>
          <w:b/>
          <w:i/>
        </w:rPr>
      </w:pPr>
      <w:r w:rsidRPr="00807270">
        <w:rPr>
          <w:b/>
          <w:i/>
        </w:rPr>
        <w:t xml:space="preserve">Count </w:t>
      </w:r>
      <w:r>
        <w:rPr>
          <w:b/>
          <w:i/>
        </w:rPr>
        <w:t>5</w:t>
      </w:r>
      <w:r w:rsidRPr="00807270">
        <w:rPr>
          <w:b/>
          <w:i/>
        </w:rPr>
        <w:t xml:space="preserve">: </w:t>
      </w:r>
      <w:r w:rsidR="00C45B5D">
        <w:rPr>
          <w:b/>
          <w:i/>
        </w:rPr>
        <w:t xml:space="preserve"> </w:t>
      </w:r>
      <w:r>
        <w:rPr>
          <w:b/>
          <w:i/>
        </w:rPr>
        <w:t>Failure to Deliver Client Properties Promptly</w:t>
      </w:r>
      <w:r w:rsidRPr="00807270">
        <w:rPr>
          <w:b/>
          <w:i/>
        </w:rPr>
        <w:t xml:space="preserve"> (Rule 4-</w:t>
      </w:r>
      <w:r>
        <w:rPr>
          <w:b/>
          <w:i/>
        </w:rPr>
        <w:t>1</w:t>
      </w:r>
      <w:r w:rsidRPr="00807270">
        <w:rPr>
          <w:b/>
          <w:i/>
        </w:rPr>
        <w:t>00(</w:t>
      </w:r>
      <w:r>
        <w:rPr>
          <w:b/>
          <w:i/>
        </w:rPr>
        <w:t>B</w:t>
      </w:r>
      <w:proofErr w:type="gramStart"/>
      <w:r>
        <w:rPr>
          <w:b/>
          <w:i/>
        </w:rPr>
        <w:t>)(</w:t>
      </w:r>
      <w:proofErr w:type="gramEnd"/>
      <w:r>
        <w:rPr>
          <w:b/>
          <w:i/>
        </w:rPr>
        <w:t>4</w:t>
      </w:r>
      <w:r w:rsidRPr="00807270">
        <w:rPr>
          <w:b/>
          <w:i/>
        </w:rPr>
        <w:t>))</w:t>
      </w:r>
    </w:p>
    <w:p w:rsidR="00471693" w:rsidRDefault="00471693" w:rsidP="00471693">
      <w:pPr>
        <w:pStyle w:val="Header"/>
        <w:tabs>
          <w:tab w:val="clear" w:pos="4320"/>
          <w:tab w:val="clear" w:pos="8640"/>
        </w:tabs>
        <w:spacing w:line="480" w:lineRule="auto"/>
        <w:ind w:firstLine="720"/>
      </w:pPr>
      <w:r>
        <w:t>Rule 4-100(B</w:t>
      </w:r>
      <w:proofErr w:type="gramStart"/>
      <w:r>
        <w:t>)(</w:t>
      </w:r>
      <w:proofErr w:type="gramEnd"/>
      <w:r>
        <w:t>4) requires an attorney to promptly pay or deliver any funds or properties in the possession of the attorney which the client is entitled to receive.</w:t>
      </w:r>
    </w:p>
    <w:p w:rsidR="0076085E" w:rsidRDefault="00471693" w:rsidP="00471693">
      <w:pPr>
        <w:pStyle w:val="Header"/>
        <w:tabs>
          <w:tab w:val="clear" w:pos="4320"/>
          <w:tab w:val="clear" w:pos="8640"/>
        </w:tabs>
        <w:spacing w:line="480" w:lineRule="auto"/>
        <w:ind w:firstLine="720"/>
      </w:pPr>
      <w:r>
        <w:t xml:space="preserve">By failing to return Landrum’s gold coin and silver bar and by failing to promptly return Landrum’s baseball card, </w:t>
      </w:r>
      <w:r w:rsidR="00B546A5">
        <w:t>despite the numerous requests made by Landrum and his counsel between October 1, 2004 and June 30, 2006, for respondent to return those properties, respondent failed to promptly deliver client properties in his possession in willful violation of rule 4-100(B</w:t>
      </w:r>
      <w:proofErr w:type="gramStart"/>
      <w:r w:rsidR="00B546A5">
        <w:t>)(</w:t>
      </w:r>
      <w:proofErr w:type="gramEnd"/>
      <w:r w:rsidR="00B546A5">
        <w:t>4).</w:t>
      </w:r>
    </w:p>
    <w:p w:rsidR="00C90BC4" w:rsidRPr="001A01FF" w:rsidRDefault="00C90BC4" w:rsidP="00C90BC4">
      <w:pPr>
        <w:pStyle w:val="Header"/>
        <w:spacing w:line="480" w:lineRule="auto"/>
        <w:rPr>
          <w:b/>
          <w:i/>
        </w:rPr>
      </w:pPr>
      <w:r w:rsidRPr="001A01FF">
        <w:rPr>
          <w:b/>
          <w:i/>
        </w:rPr>
        <w:t xml:space="preserve">Count </w:t>
      </w:r>
      <w:r>
        <w:rPr>
          <w:b/>
          <w:i/>
        </w:rPr>
        <w:t xml:space="preserve">6:  </w:t>
      </w:r>
      <w:r w:rsidRPr="001A01FF">
        <w:rPr>
          <w:b/>
          <w:i/>
        </w:rPr>
        <w:t xml:space="preserve">Unauthorized Practice of Law (§§ 6068, </w:t>
      </w:r>
      <w:proofErr w:type="spellStart"/>
      <w:r w:rsidRPr="001A01FF">
        <w:rPr>
          <w:b/>
          <w:i/>
        </w:rPr>
        <w:t>Subd</w:t>
      </w:r>
      <w:proofErr w:type="spellEnd"/>
      <w:r w:rsidRPr="001A01FF">
        <w:rPr>
          <w:b/>
          <w:i/>
        </w:rPr>
        <w:t>. (</w:t>
      </w:r>
      <w:proofErr w:type="gramStart"/>
      <w:r w:rsidRPr="001A01FF">
        <w:rPr>
          <w:b/>
          <w:i/>
        </w:rPr>
        <w:t>a</w:t>
      </w:r>
      <w:proofErr w:type="gramEnd"/>
      <w:r w:rsidRPr="001A01FF">
        <w:rPr>
          <w:b/>
          <w:i/>
        </w:rPr>
        <w:t>), 6125 and 6126)</w:t>
      </w:r>
    </w:p>
    <w:p w:rsidR="00494955" w:rsidRDefault="00C90BC4" w:rsidP="00C45B5D">
      <w:pPr>
        <w:pStyle w:val="Header"/>
        <w:tabs>
          <w:tab w:val="clear" w:pos="4320"/>
          <w:tab w:val="clear" w:pos="8640"/>
        </w:tabs>
        <w:spacing w:line="480" w:lineRule="auto"/>
        <w:ind w:firstLine="720"/>
      </w:pPr>
      <w:r>
        <w:t xml:space="preserve">By failing to advise Landrum and opposing counsel </w:t>
      </w:r>
      <w:proofErr w:type="spellStart"/>
      <w:r w:rsidR="00FE5E87">
        <w:t>Wernicke</w:t>
      </w:r>
      <w:proofErr w:type="spellEnd"/>
      <w:r>
        <w:t xml:space="preserve"> between January 7 and April 4, 2005 that she was not entitled to practice law during that period</w:t>
      </w:r>
      <w:r w:rsidR="00C45B5D">
        <w:t>,</w:t>
      </w:r>
      <w:r w:rsidR="000F5167">
        <w:t xml:space="preserve"> by sending letters to opposing counsel </w:t>
      </w:r>
      <w:proofErr w:type="spellStart"/>
      <w:r w:rsidR="000F5167">
        <w:t>Wernicke</w:t>
      </w:r>
      <w:proofErr w:type="spellEnd"/>
      <w:r w:rsidR="000F5167">
        <w:t xml:space="preserve">, between January 13, 2005 and March 2005, regarding Landrum’s dissolution matter, by working on Landrum’s dissolution in February and March 2005, by reviewing documents and speaking with Landrum about his case, when she was </w:t>
      </w:r>
      <w:r w:rsidR="00C45B5D">
        <w:t>an inactive member of the State Bar</w:t>
      </w:r>
      <w:r w:rsidR="000F5167">
        <w:t xml:space="preserve">, respondent willfully held herself out as practicing law or entitled to practice law or otherwise practicing law when she was not entitled </w:t>
      </w:r>
      <w:r w:rsidR="00C45B5D">
        <w:t>to do so, in willful violation of sections 6125 and 6126, and 6068, subdivision (a).</w:t>
      </w:r>
      <w:r w:rsidR="00471693">
        <w:t xml:space="preserve"> </w:t>
      </w:r>
    </w:p>
    <w:p w:rsidR="00C45B5D" w:rsidRPr="00807270" w:rsidRDefault="00C45B5D" w:rsidP="00C45B5D">
      <w:pPr>
        <w:pStyle w:val="Header"/>
        <w:spacing w:line="480" w:lineRule="auto"/>
        <w:rPr>
          <w:b/>
          <w:i/>
        </w:rPr>
      </w:pPr>
      <w:r w:rsidRPr="00807270">
        <w:rPr>
          <w:b/>
          <w:i/>
        </w:rPr>
        <w:t xml:space="preserve">Count </w:t>
      </w:r>
      <w:r>
        <w:rPr>
          <w:b/>
          <w:i/>
        </w:rPr>
        <w:t>7</w:t>
      </w:r>
      <w:r w:rsidRPr="00807270">
        <w:rPr>
          <w:b/>
          <w:i/>
        </w:rPr>
        <w:t xml:space="preserve">:  </w:t>
      </w:r>
      <w:r>
        <w:rPr>
          <w:b/>
          <w:i/>
        </w:rPr>
        <w:t>Illegal Fee</w:t>
      </w:r>
      <w:r w:rsidRPr="00807270">
        <w:rPr>
          <w:b/>
          <w:i/>
        </w:rPr>
        <w:t xml:space="preserve"> (Rule 4-</w:t>
      </w:r>
      <w:r>
        <w:rPr>
          <w:b/>
          <w:i/>
        </w:rPr>
        <w:t>2</w:t>
      </w:r>
      <w:r w:rsidRPr="00807270">
        <w:rPr>
          <w:b/>
          <w:i/>
        </w:rPr>
        <w:t>00(A))</w:t>
      </w:r>
    </w:p>
    <w:p w:rsidR="00C45B5D" w:rsidRDefault="00C213DE" w:rsidP="009C639E">
      <w:pPr>
        <w:pStyle w:val="Header"/>
        <w:spacing w:line="480" w:lineRule="auto"/>
        <w:ind w:firstLine="720"/>
      </w:pPr>
      <w:r>
        <w:t>Respondent was not entitled to practice law in California</w:t>
      </w:r>
      <w:r w:rsidR="00C02796">
        <w:t xml:space="preserve"> from January 7 to April 4, 2005.  As </w:t>
      </w:r>
      <w:r w:rsidR="002617E1">
        <w:t>discussed</w:t>
      </w:r>
      <w:r w:rsidR="00C02796">
        <w:t xml:space="preserve">, </w:t>
      </w:r>
      <w:r w:rsidR="00C02796" w:rsidRPr="00BD2588">
        <w:rPr>
          <w:i/>
        </w:rPr>
        <w:t>ante</w:t>
      </w:r>
      <w:r w:rsidR="00C02796">
        <w:t xml:space="preserve">, </w:t>
      </w:r>
      <w:r w:rsidR="002617E1">
        <w:t>respondent was</w:t>
      </w:r>
      <w:r w:rsidR="00C02796">
        <w:t xml:space="preserve"> </w:t>
      </w:r>
      <w:r w:rsidR="002617E1">
        <w:t>legally precluded from</w:t>
      </w:r>
      <w:r w:rsidR="00C02796">
        <w:t xml:space="preserve"> charg</w:t>
      </w:r>
      <w:r w:rsidR="002617E1">
        <w:t>ing</w:t>
      </w:r>
      <w:r w:rsidR="00C02796">
        <w:t xml:space="preserve"> fees for those services that constituted the unauthorized practice of law.  Yet, respondent billed Landrum $3,570 for attorney fees earned between January 7 and January 31, 2005; she billed </w:t>
      </w:r>
      <w:r w:rsidR="00AF2BA4">
        <w:t xml:space="preserve">Landrum </w:t>
      </w:r>
      <w:r w:rsidR="00C02796">
        <w:t>$2,280 for attorney fees earned between February 1 and February 28, 2005; and she billed Landrum $1,230 for attorney fees earned between March 1 and March 31, 2005.  Thus, respondent charged</w:t>
      </w:r>
      <w:r w:rsidR="00AF2BA4">
        <w:t xml:space="preserve"> Landrum</w:t>
      </w:r>
      <w:r w:rsidR="00C02796">
        <w:t xml:space="preserve"> a total of $7,080</w:t>
      </w:r>
      <w:r w:rsidR="00AF2BA4">
        <w:t xml:space="preserve"> in illegal fees for legal services performed between January 7 and April 4, 2005, in willful violation of rule 4-200(A).</w:t>
      </w:r>
      <w:r w:rsidR="00C02796">
        <w:t xml:space="preserve">        </w:t>
      </w:r>
      <w:r>
        <w:t xml:space="preserve">   </w:t>
      </w:r>
    </w:p>
    <w:p w:rsidR="006F319E" w:rsidRPr="00AA4D40" w:rsidRDefault="006F319E" w:rsidP="006F319E">
      <w:pPr>
        <w:spacing w:line="480" w:lineRule="auto"/>
        <w:rPr>
          <w:b/>
          <w:i/>
        </w:rPr>
      </w:pPr>
      <w:r w:rsidRPr="00AA4D40">
        <w:rPr>
          <w:b/>
          <w:i/>
        </w:rPr>
        <w:t xml:space="preserve">Count </w:t>
      </w:r>
      <w:r>
        <w:rPr>
          <w:b/>
          <w:i/>
        </w:rPr>
        <w:t>8</w:t>
      </w:r>
      <w:r w:rsidRPr="00AA4D40">
        <w:rPr>
          <w:b/>
          <w:i/>
        </w:rPr>
        <w:t>:  M</w:t>
      </w:r>
      <w:r>
        <w:rPr>
          <w:b/>
          <w:i/>
        </w:rPr>
        <w:t>oral Turpitude</w:t>
      </w:r>
      <w:r w:rsidRPr="00AA4D40">
        <w:rPr>
          <w:b/>
          <w:i/>
        </w:rPr>
        <w:t xml:space="preserve"> (§ 61</w:t>
      </w:r>
      <w:r>
        <w:rPr>
          <w:b/>
          <w:i/>
        </w:rPr>
        <w:t>06)</w:t>
      </w:r>
      <w:r w:rsidRPr="00AA4D40">
        <w:rPr>
          <w:b/>
          <w:i/>
        </w:rPr>
        <w:t xml:space="preserve">  </w:t>
      </w:r>
    </w:p>
    <w:p w:rsidR="006F319E" w:rsidRDefault="006F319E" w:rsidP="006F319E">
      <w:pPr>
        <w:spacing w:line="480" w:lineRule="auto"/>
        <w:ind w:firstLine="720"/>
      </w:pPr>
      <w:r>
        <w:t>Section 6106 prohibits an attorney from engaging in conduct involving moral turpitude, dishonesty or corruption.</w:t>
      </w:r>
    </w:p>
    <w:p w:rsidR="006F319E" w:rsidRDefault="006F319E" w:rsidP="006F319E">
      <w:pPr>
        <w:spacing w:line="480" w:lineRule="auto"/>
        <w:ind w:firstLine="720"/>
      </w:pPr>
      <w:r>
        <w:t xml:space="preserve">Moral turpitude has been described as “an act of baseness, vileness or depravity in the private and social duties which a man owes to his </w:t>
      </w:r>
      <w:proofErr w:type="gramStart"/>
      <w:r>
        <w:t>fellowmen,</w:t>
      </w:r>
      <w:proofErr w:type="gramEnd"/>
      <w:r>
        <w:t xml:space="preserve"> or to society in general, contrary to the accepted and customary rule of right and duty between man and man.” </w:t>
      </w:r>
      <w:proofErr w:type="gramStart"/>
      <w:r>
        <w:t>(</w:t>
      </w:r>
      <w:r w:rsidRPr="003D0BDA">
        <w:rPr>
          <w:i/>
        </w:rPr>
        <w:t>In re Craig</w:t>
      </w:r>
      <w:r>
        <w:t xml:space="preserve"> (1938) 12 </w:t>
      </w:r>
      <w:proofErr w:type="spellStart"/>
      <w:r>
        <w:t>Cal.2d</w:t>
      </w:r>
      <w:proofErr w:type="spellEnd"/>
      <w:r>
        <w:t xml:space="preserve"> 93, 97.)</w:t>
      </w:r>
      <w:proofErr w:type="gramEnd"/>
      <w:r>
        <w:t xml:space="preserve">  It has been described as any crime or misconduct without excuse (</w:t>
      </w:r>
      <w:r w:rsidRPr="003D0BDA">
        <w:rPr>
          <w:i/>
        </w:rPr>
        <w:t xml:space="preserve">In re </w:t>
      </w:r>
      <w:proofErr w:type="spellStart"/>
      <w:r w:rsidRPr="003D0BDA">
        <w:rPr>
          <w:i/>
        </w:rPr>
        <w:t>Hallinan</w:t>
      </w:r>
      <w:proofErr w:type="spellEnd"/>
      <w:r>
        <w:t xml:space="preserve"> (1954) 43 </w:t>
      </w:r>
      <w:proofErr w:type="spellStart"/>
      <w:r>
        <w:t>Cal.2d</w:t>
      </w:r>
      <w:proofErr w:type="spellEnd"/>
      <w:r>
        <w:t xml:space="preserve"> 243, 251) or any dishonest or immoral act.  Crimes which necessarily involve </w:t>
      </w:r>
      <w:proofErr w:type="gramStart"/>
      <w:r>
        <w:t>an intent</w:t>
      </w:r>
      <w:proofErr w:type="gramEnd"/>
      <w:r>
        <w:t xml:space="preserve"> to defraud, or dishonesty for personal gain, such as perjury (</w:t>
      </w:r>
      <w:r w:rsidRPr="003D0BDA">
        <w:rPr>
          <w:i/>
        </w:rPr>
        <w:t xml:space="preserve">In re </w:t>
      </w:r>
      <w:proofErr w:type="spellStart"/>
      <w:r w:rsidRPr="003D0BDA">
        <w:rPr>
          <w:i/>
        </w:rPr>
        <w:t>Kristovich</w:t>
      </w:r>
      <w:proofErr w:type="spellEnd"/>
      <w:r>
        <w:t xml:space="preserve"> (1976) 18 </w:t>
      </w:r>
      <w:proofErr w:type="spellStart"/>
      <w:r>
        <w:t>Cal.3d</w:t>
      </w:r>
      <w:proofErr w:type="spellEnd"/>
      <w:r>
        <w:t xml:space="preserve"> 468, 472), grand theft (</w:t>
      </w:r>
      <w:r w:rsidRPr="003D0BDA">
        <w:rPr>
          <w:i/>
        </w:rPr>
        <w:t xml:space="preserve">In re </w:t>
      </w:r>
      <w:proofErr w:type="spellStart"/>
      <w:r w:rsidRPr="003D0BDA">
        <w:rPr>
          <w:i/>
        </w:rPr>
        <w:t>Basinger</w:t>
      </w:r>
      <w:proofErr w:type="spellEnd"/>
      <w:r>
        <w:t xml:space="preserve"> (1988) 45 </w:t>
      </w:r>
      <w:proofErr w:type="spellStart"/>
      <w:r>
        <w:t>Cal.3d</w:t>
      </w:r>
      <w:proofErr w:type="spellEnd"/>
      <w:r>
        <w:t xml:space="preserve"> 1348, 1358) and embezzlement (</w:t>
      </w:r>
      <w:r w:rsidRPr="003D0BDA">
        <w:rPr>
          <w:i/>
        </w:rPr>
        <w:t>In re Ford</w:t>
      </w:r>
      <w:r>
        <w:t xml:space="preserve"> (1988) 44 </w:t>
      </w:r>
      <w:proofErr w:type="spellStart"/>
      <w:r>
        <w:t>Cal.3d</w:t>
      </w:r>
      <w:proofErr w:type="spellEnd"/>
      <w:r>
        <w:t xml:space="preserve"> 810) may establish moral turpitude.  Although an evil intent is not necessary for moral turpitude, at least gross negligence o</w:t>
      </w:r>
      <w:r w:rsidR="002D316C">
        <w:t>r</w:t>
      </w:r>
      <w:r>
        <w:t xml:space="preserve"> some level of guilty knowledge is required.  </w:t>
      </w:r>
      <w:proofErr w:type="gramStart"/>
      <w:r>
        <w:t>(</w:t>
      </w:r>
      <w:r w:rsidRPr="003D0BDA">
        <w:rPr>
          <w:i/>
        </w:rPr>
        <w:t xml:space="preserve">In the Matter of </w:t>
      </w:r>
      <w:proofErr w:type="spellStart"/>
      <w:r w:rsidRPr="003D0BDA">
        <w:rPr>
          <w:i/>
        </w:rPr>
        <w:t>Myrdall</w:t>
      </w:r>
      <w:proofErr w:type="spellEnd"/>
      <w:r>
        <w:t xml:space="preserve"> (Review Dept. 1995) 3 Cal. State Bar Ct. </w:t>
      </w:r>
      <w:proofErr w:type="spellStart"/>
      <w:r>
        <w:t>Rptr</w:t>
      </w:r>
      <w:proofErr w:type="spellEnd"/>
      <w:r>
        <w:t>. 363</w:t>
      </w:r>
      <w:r w:rsidR="002D316C">
        <w:t>,384</w:t>
      </w:r>
      <w:r>
        <w:t>.)</w:t>
      </w:r>
      <w:proofErr w:type="gramEnd"/>
    </w:p>
    <w:p w:rsidR="00494955" w:rsidRDefault="00313E26" w:rsidP="006F319E">
      <w:pPr>
        <w:pStyle w:val="Header"/>
        <w:tabs>
          <w:tab w:val="clear" w:pos="4320"/>
          <w:tab w:val="clear" w:pos="8640"/>
        </w:tabs>
        <w:spacing w:line="480" w:lineRule="auto"/>
        <w:ind w:firstLine="720"/>
      </w:pPr>
      <w:r>
        <w:t>The court finds by clear and convincing evidence that respondent committed an act of moral turpitude in willful violation of section 6106, b</w:t>
      </w:r>
      <w:r w:rsidR="006F319E">
        <w:t xml:space="preserve">y </w:t>
      </w:r>
      <w:r w:rsidR="00E00C4B">
        <w:t>mis</w:t>
      </w:r>
      <w:r w:rsidR="006F319E">
        <w:t xml:space="preserve">representing to the State Bar investigator that </w:t>
      </w:r>
      <w:r w:rsidR="002101D1">
        <w:t>she had</w:t>
      </w:r>
      <w:r w:rsidR="006F319E">
        <w:t xml:space="preserve"> informed all of her clients of her suspension and that opposing counsel </w:t>
      </w:r>
      <w:proofErr w:type="spellStart"/>
      <w:r w:rsidR="006F319E">
        <w:t>Wernicke</w:t>
      </w:r>
      <w:proofErr w:type="spellEnd"/>
      <w:r w:rsidR="006F319E">
        <w:t xml:space="preserve"> “knew of the situation” regarding her suspension from the practice of law for the period from January 7 to April 4, 2005</w:t>
      </w:r>
      <w:r w:rsidR="00E00C4B">
        <w:t>, when in fact respondent</w:t>
      </w:r>
      <w:r>
        <w:t xml:space="preserve"> knew or should have known that </w:t>
      </w:r>
      <w:r w:rsidR="00E00C4B">
        <w:t>at no time</w:t>
      </w:r>
      <w:r>
        <w:t xml:space="preserve"> had she</w:t>
      </w:r>
      <w:r w:rsidR="00E00C4B">
        <w:t xml:space="preserve"> informed Landrum or attorney </w:t>
      </w:r>
      <w:proofErr w:type="spellStart"/>
      <w:r w:rsidR="00E00C4B">
        <w:t>Wernicke</w:t>
      </w:r>
      <w:proofErr w:type="spellEnd"/>
      <w:r w:rsidR="00E00C4B">
        <w:t xml:space="preserve"> that she was not entitled to practice law between January 7 and April 4, 2005</w:t>
      </w:r>
      <w:r w:rsidR="003C0ECB">
        <w:t>.</w:t>
      </w:r>
      <w:r w:rsidR="00E00C4B">
        <w:t xml:space="preserve"> </w:t>
      </w:r>
    </w:p>
    <w:p w:rsidR="004D72EA" w:rsidRPr="00CE5252" w:rsidRDefault="004D72EA" w:rsidP="004D72EA">
      <w:pPr>
        <w:pStyle w:val="Header"/>
        <w:tabs>
          <w:tab w:val="clear" w:pos="4320"/>
          <w:tab w:val="clear" w:pos="8640"/>
        </w:tabs>
        <w:spacing w:line="480" w:lineRule="auto"/>
        <w:rPr>
          <w:b/>
        </w:rPr>
      </w:pPr>
      <w:r>
        <w:rPr>
          <w:b/>
        </w:rPr>
        <w:t>C</w:t>
      </w:r>
      <w:r w:rsidRPr="00CE5252">
        <w:rPr>
          <w:b/>
        </w:rPr>
        <w:t>.</w:t>
      </w:r>
      <w:r w:rsidRPr="00CE5252">
        <w:rPr>
          <w:b/>
        </w:rPr>
        <w:tab/>
      </w:r>
      <w:r w:rsidR="00550C5A">
        <w:rPr>
          <w:b/>
        </w:rPr>
        <w:t xml:space="preserve">The </w:t>
      </w:r>
      <w:r>
        <w:rPr>
          <w:b/>
        </w:rPr>
        <w:t>Client Trust Account</w:t>
      </w:r>
      <w:r w:rsidR="00550C5A">
        <w:rPr>
          <w:b/>
        </w:rPr>
        <w:t xml:space="preserve"> Matter</w:t>
      </w:r>
      <w:r>
        <w:rPr>
          <w:b/>
        </w:rPr>
        <w:t xml:space="preserve"> </w:t>
      </w:r>
      <w:r w:rsidRPr="00CE5252">
        <w:rPr>
          <w:b/>
        </w:rPr>
        <w:t>(Case No</w:t>
      </w:r>
      <w:r>
        <w:rPr>
          <w:b/>
        </w:rPr>
        <w:t>s</w:t>
      </w:r>
      <w:r w:rsidRPr="00CE5252">
        <w:rPr>
          <w:b/>
        </w:rPr>
        <w:t>. 0</w:t>
      </w:r>
      <w:r>
        <w:rPr>
          <w:b/>
        </w:rPr>
        <w:t>7</w:t>
      </w:r>
      <w:r w:rsidRPr="00CE5252">
        <w:rPr>
          <w:b/>
        </w:rPr>
        <w:t>-O-14</w:t>
      </w:r>
      <w:r>
        <w:rPr>
          <w:b/>
        </w:rPr>
        <w:t>287, 07-O-14717, 07-O-14958</w:t>
      </w:r>
      <w:r w:rsidRPr="00CE5252">
        <w:rPr>
          <w:b/>
        </w:rPr>
        <w:t>)</w:t>
      </w:r>
    </w:p>
    <w:p w:rsidR="00B510E4" w:rsidRDefault="00B510E4" w:rsidP="00B510E4">
      <w:pPr>
        <w:pStyle w:val="Header"/>
        <w:spacing w:line="480" w:lineRule="auto"/>
        <w:ind w:firstLine="720"/>
      </w:pPr>
      <w:r>
        <w:tab/>
        <w:t xml:space="preserve">On or about February 12, 2007, the balance in respondent’s </w:t>
      </w:r>
      <w:r w:rsidR="00B314B9">
        <w:t>CTA</w:t>
      </w:r>
      <w:r>
        <w:t xml:space="preserve"> was $280.21.  On or about February 12, 2007, </w:t>
      </w:r>
      <w:r w:rsidR="00B314B9">
        <w:t>r</w:t>
      </w:r>
      <w:r>
        <w:t xml:space="preserve">espondent issued check </w:t>
      </w:r>
      <w:r w:rsidR="00184DC7">
        <w:t>No.</w:t>
      </w:r>
      <w:r>
        <w:t xml:space="preserve"> 1199 from her </w:t>
      </w:r>
      <w:r w:rsidR="00B314B9">
        <w:t>CTA</w:t>
      </w:r>
      <w:r>
        <w:t xml:space="preserve"> in the amount of $300</w:t>
      </w:r>
      <w:r w:rsidR="00184DC7">
        <w:t>.  The check</w:t>
      </w:r>
      <w:r>
        <w:t xml:space="preserve"> was returned due to the account having insufficient funds</w:t>
      </w:r>
      <w:r w:rsidR="00184DC7">
        <w:t xml:space="preserve">; the CTA was assessed </w:t>
      </w:r>
      <w:r>
        <w:t>a</w:t>
      </w:r>
      <w:r w:rsidR="00184DC7">
        <w:t xml:space="preserve"> $20</w:t>
      </w:r>
      <w:r>
        <w:t xml:space="preserve"> fee</w:t>
      </w:r>
      <w:r w:rsidR="00184DC7">
        <w:t>.</w:t>
      </w:r>
      <w:r>
        <w:t xml:space="preserve"> </w:t>
      </w:r>
      <w:r w:rsidR="00184DC7">
        <w:t xml:space="preserve"> </w:t>
      </w:r>
      <w:r>
        <w:t xml:space="preserve">On or about February 12, 2007, Bank of the West wrote to </w:t>
      </w:r>
      <w:r w:rsidR="00184DC7">
        <w:t>r</w:t>
      </w:r>
      <w:r>
        <w:t>espondent</w:t>
      </w:r>
      <w:r w:rsidR="00F115FE">
        <w:t xml:space="preserve">, </w:t>
      </w:r>
      <w:r>
        <w:t>inform</w:t>
      </w:r>
      <w:r w:rsidR="00F115FE">
        <w:t>ing</w:t>
      </w:r>
      <w:r>
        <w:t xml:space="preserve"> her that check </w:t>
      </w:r>
      <w:r w:rsidR="00184DC7">
        <w:t>No.</w:t>
      </w:r>
      <w:r>
        <w:t xml:space="preserve"> 1199 had been returned due to non-sufficient funds in the </w:t>
      </w:r>
      <w:r w:rsidR="00184DC7">
        <w:t xml:space="preserve">CTA.  </w:t>
      </w:r>
      <w:r>
        <w:t xml:space="preserve"> On or about February 20, 2007, the balance in </w:t>
      </w:r>
      <w:r w:rsidR="00184DC7">
        <w:t>r</w:t>
      </w:r>
      <w:r>
        <w:t>espondent</w:t>
      </w:r>
      <w:r w:rsidR="00184DC7">
        <w:t>’</w:t>
      </w:r>
      <w:r>
        <w:t xml:space="preserve">s </w:t>
      </w:r>
      <w:r w:rsidR="00184DC7">
        <w:t>CTA</w:t>
      </w:r>
      <w:r>
        <w:t xml:space="preserve"> was $146.71.</w:t>
      </w:r>
    </w:p>
    <w:p w:rsidR="00B510E4" w:rsidRDefault="00B510E4" w:rsidP="00184DC7">
      <w:pPr>
        <w:pStyle w:val="Header"/>
        <w:spacing w:line="480" w:lineRule="auto"/>
        <w:ind w:firstLine="720"/>
      </w:pPr>
      <w:r>
        <w:tab/>
        <w:t xml:space="preserve">On or about February 20, 2007, </w:t>
      </w:r>
      <w:r w:rsidR="00184DC7">
        <w:t>r</w:t>
      </w:r>
      <w:r>
        <w:t xml:space="preserve">espondent issued check number 1203 from her </w:t>
      </w:r>
      <w:r w:rsidR="00184DC7">
        <w:t>CTA</w:t>
      </w:r>
      <w:r>
        <w:t xml:space="preserve"> in the amount of $250</w:t>
      </w:r>
      <w:r w:rsidR="00184DC7">
        <w:t>.  Th</w:t>
      </w:r>
      <w:r w:rsidR="00F115FE">
        <w:t>e</w:t>
      </w:r>
      <w:r w:rsidR="00184DC7">
        <w:t xml:space="preserve"> check</w:t>
      </w:r>
      <w:r>
        <w:t xml:space="preserve"> was returned due to the account having insufficient funds</w:t>
      </w:r>
      <w:r w:rsidR="00184DC7">
        <w:t>; the CTA was assessed a $20</w:t>
      </w:r>
      <w:r>
        <w:t xml:space="preserve"> fee</w:t>
      </w:r>
      <w:r w:rsidR="00184DC7">
        <w:t xml:space="preserve">.  On </w:t>
      </w:r>
      <w:r>
        <w:t xml:space="preserve">or about February 20, 2007, Bank of the West wrote to </w:t>
      </w:r>
      <w:r w:rsidR="00F115FE">
        <w:t>r</w:t>
      </w:r>
      <w:r>
        <w:t>espondent</w:t>
      </w:r>
      <w:r w:rsidR="00F115FE">
        <w:t>, informing</w:t>
      </w:r>
      <w:r>
        <w:t xml:space="preserve"> her that check </w:t>
      </w:r>
      <w:r w:rsidR="00F115FE">
        <w:t>No.</w:t>
      </w:r>
      <w:r>
        <w:t xml:space="preserve"> 1203 had been returned due to non-sufficient funds in the </w:t>
      </w:r>
      <w:r w:rsidR="00F115FE">
        <w:t>CTA</w:t>
      </w:r>
      <w:r>
        <w:t>.</w:t>
      </w:r>
    </w:p>
    <w:p w:rsidR="00B510E4" w:rsidRDefault="00B510E4" w:rsidP="00F115FE">
      <w:pPr>
        <w:pStyle w:val="Header"/>
        <w:spacing w:line="480" w:lineRule="auto"/>
        <w:ind w:firstLine="720"/>
      </w:pPr>
      <w:r>
        <w:tab/>
        <w:t xml:space="preserve">On or about November 6, 2007, </w:t>
      </w:r>
      <w:r w:rsidR="00F115FE">
        <w:t xml:space="preserve">respondent </w:t>
      </w:r>
      <w:r>
        <w:t>issued</w:t>
      </w:r>
      <w:r w:rsidR="006F2F03">
        <w:t xml:space="preserve"> check No. 1019</w:t>
      </w:r>
      <w:r>
        <w:t xml:space="preserve"> from her </w:t>
      </w:r>
      <w:r w:rsidR="00F115FE">
        <w:t>CTA</w:t>
      </w:r>
      <w:r>
        <w:t xml:space="preserve"> in the amount of $2,695</w:t>
      </w:r>
      <w:r w:rsidR="006F2F03">
        <w:t>.  The check</w:t>
      </w:r>
      <w:r>
        <w:t xml:space="preserve"> was returned due to the account having insufficient funds</w:t>
      </w:r>
      <w:r w:rsidR="006F2F03">
        <w:t>; t</w:t>
      </w:r>
      <w:r w:rsidR="00F115FE">
        <w:t>he CTA was assessed a</w:t>
      </w:r>
      <w:r w:rsidR="00F42B12">
        <w:t xml:space="preserve"> $32</w:t>
      </w:r>
      <w:r>
        <w:t xml:space="preserve"> fee. </w:t>
      </w:r>
      <w:r w:rsidR="006F2F03">
        <w:t xml:space="preserve"> </w:t>
      </w:r>
      <w:r w:rsidR="00377A36">
        <w:t xml:space="preserve">On or about November 6, 2007, </w:t>
      </w:r>
      <w:r>
        <w:t>the balance</w:t>
      </w:r>
      <w:r w:rsidR="00377A36">
        <w:t xml:space="preserve"> in the CTA</w:t>
      </w:r>
      <w:r>
        <w:t xml:space="preserve"> was $565.</w:t>
      </w:r>
    </w:p>
    <w:p w:rsidR="00B510E4" w:rsidRDefault="00B510E4" w:rsidP="00377A36">
      <w:pPr>
        <w:pStyle w:val="Header"/>
        <w:spacing w:line="480" w:lineRule="auto"/>
        <w:ind w:firstLine="720"/>
      </w:pPr>
      <w:r>
        <w:tab/>
        <w:t xml:space="preserve">On or about November 9, 2007, </w:t>
      </w:r>
      <w:r w:rsidR="00377A36">
        <w:t>another attempt to negotiate</w:t>
      </w:r>
      <w:r w:rsidR="00F42B12">
        <w:t xml:space="preserve"> </w:t>
      </w:r>
      <w:r>
        <w:t xml:space="preserve">check </w:t>
      </w:r>
      <w:r w:rsidR="00377A36">
        <w:t>No.</w:t>
      </w:r>
      <w:r>
        <w:t xml:space="preserve"> 1019</w:t>
      </w:r>
      <w:r w:rsidR="00F42B12">
        <w:t xml:space="preserve"> was made.  The check was again returned due to the account having insufficient funds</w:t>
      </w:r>
      <w:r w:rsidR="000F6FC3">
        <w:t>;</w:t>
      </w:r>
      <w:r w:rsidR="00F42B12">
        <w:t xml:space="preserve"> the CTA was again assessed a $32 fee.</w:t>
      </w:r>
      <w:r>
        <w:t xml:space="preserve"> </w:t>
      </w:r>
      <w:r w:rsidR="00F42B12">
        <w:t xml:space="preserve">On or about November 9, </w:t>
      </w:r>
      <w:r>
        <w:t xml:space="preserve">the </w:t>
      </w:r>
      <w:r w:rsidR="00F42B12">
        <w:t>CTA</w:t>
      </w:r>
      <w:r>
        <w:t xml:space="preserve"> balance was $489.06.</w:t>
      </w:r>
    </w:p>
    <w:p w:rsidR="00B510E4" w:rsidRDefault="00B510E4" w:rsidP="00E310BE">
      <w:pPr>
        <w:pStyle w:val="Header"/>
        <w:spacing w:line="480" w:lineRule="auto"/>
        <w:ind w:firstLine="720"/>
      </w:pPr>
      <w:r>
        <w:tab/>
        <w:t>On or about November 30, 2007,</w:t>
      </w:r>
      <w:r w:rsidR="00F42B12">
        <w:t xml:space="preserve"> respondent </w:t>
      </w:r>
      <w:r>
        <w:t>issued</w:t>
      </w:r>
      <w:r w:rsidR="00F42B12">
        <w:t xml:space="preserve"> check No. 1035</w:t>
      </w:r>
      <w:r>
        <w:t xml:space="preserve"> from her </w:t>
      </w:r>
      <w:r w:rsidR="00F42B12">
        <w:t>CTA</w:t>
      </w:r>
      <w:r>
        <w:t xml:space="preserve"> in the amount of $1,269.80</w:t>
      </w:r>
      <w:r w:rsidR="00F42B12">
        <w:t xml:space="preserve">.  The check </w:t>
      </w:r>
      <w:r>
        <w:t>was returned due to the account having insufficient funds</w:t>
      </w:r>
      <w:r w:rsidR="00F42B12">
        <w:t>; the CTA was assessed</w:t>
      </w:r>
      <w:r>
        <w:t xml:space="preserve"> was assessed</w:t>
      </w:r>
      <w:r w:rsidR="00F42B12">
        <w:t xml:space="preserve"> a $32 fee.</w:t>
      </w:r>
      <w:r w:rsidR="00E310BE">
        <w:t xml:space="preserve">  </w:t>
      </w:r>
      <w:r>
        <w:t xml:space="preserve"> </w:t>
      </w:r>
      <w:r w:rsidR="00E310BE">
        <w:t>On or about November 30, 2007,</w:t>
      </w:r>
      <w:r>
        <w:t xml:space="preserve"> the</w:t>
      </w:r>
      <w:r w:rsidR="00E310BE">
        <w:t xml:space="preserve"> balance in the CTA</w:t>
      </w:r>
      <w:r>
        <w:t xml:space="preserve"> was $643.26.</w:t>
      </w:r>
    </w:p>
    <w:p w:rsidR="00B510E4" w:rsidRDefault="00B510E4" w:rsidP="00E310BE">
      <w:pPr>
        <w:pStyle w:val="Header"/>
        <w:spacing w:line="480" w:lineRule="auto"/>
        <w:ind w:firstLine="720"/>
      </w:pPr>
      <w:r>
        <w:tab/>
        <w:t xml:space="preserve">Respondent repeatedly issued checks from her </w:t>
      </w:r>
      <w:r w:rsidR="00E310BE">
        <w:t>CTA</w:t>
      </w:r>
      <w:r>
        <w:t xml:space="preserve"> when she knew there were insufficient funds to cover them. On each occasion, Bank of the West sent notice to the State Bar as required by section 6091.1.</w:t>
      </w:r>
    </w:p>
    <w:p w:rsidR="00C06922" w:rsidRDefault="00C06922" w:rsidP="00C06922">
      <w:pPr>
        <w:pStyle w:val="Header"/>
        <w:spacing w:line="480" w:lineRule="auto"/>
        <w:ind w:firstLine="720"/>
      </w:pPr>
      <w:r>
        <w:t>On or about July 30, 2007</w:t>
      </w:r>
      <w:r w:rsidR="000F6FC3">
        <w:t>,</w:t>
      </w:r>
      <w:r>
        <w:t xml:space="preserve"> respondent issued check No. 1216 to Amstar/Red Oak Huntington Beach in the amount of $1,269.80 from her CTA to pay her personal and/or business expenses.</w:t>
      </w:r>
    </w:p>
    <w:p w:rsidR="00C06922" w:rsidRDefault="00C06922" w:rsidP="00C06922">
      <w:pPr>
        <w:pStyle w:val="Header"/>
        <w:spacing w:line="480" w:lineRule="auto"/>
        <w:ind w:firstLine="720"/>
      </w:pPr>
      <w:r>
        <w:t>In or about August 2007, respondent repeatedly issued checks from her CTA to pay her personal and/or business expenses, including, but not limited to, the following:</w:t>
      </w:r>
    </w:p>
    <w:tbl>
      <w:tblPr>
        <w:tblW w:w="0" w:type="auto"/>
        <w:jc w:val="right"/>
        <w:tblLayout w:type="fixed"/>
        <w:tblCellMar>
          <w:left w:w="0" w:type="dxa"/>
          <w:right w:w="0" w:type="dxa"/>
        </w:tblCellMar>
        <w:tblLook w:val="0000"/>
      </w:tblPr>
      <w:tblGrid>
        <w:gridCol w:w="2203"/>
        <w:gridCol w:w="2136"/>
        <w:gridCol w:w="2203"/>
        <w:gridCol w:w="1834"/>
      </w:tblGrid>
      <w:tr w:rsidR="00307BFA" w:rsidRPr="00F63D18" w:rsidTr="00307BFA">
        <w:trPr>
          <w:trHeight w:hRule="exact" w:val="494"/>
          <w:jc w:val="right"/>
        </w:trPr>
        <w:tc>
          <w:tcPr>
            <w:tcW w:w="2203" w:type="dxa"/>
          </w:tcPr>
          <w:p w:rsidR="00307BFA" w:rsidRPr="00F63D18" w:rsidRDefault="00307BFA" w:rsidP="00307BFA">
            <w:pPr>
              <w:rPr>
                <w:b/>
                <w:color w:val="000000"/>
              </w:rPr>
            </w:pPr>
            <w:r w:rsidRPr="00F63D18">
              <w:rPr>
                <w:b/>
                <w:color w:val="000000"/>
              </w:rPr>
              <w:t>CHECK NUMBER</w:t>
            </w:r>
          </w:p>
        </w:tc>
        <w:tc>
          <w:tcPr>
            <w:tcW w:w="2136" w:type="dxa"/>
          </w:tcPr>
          <w:p w:rsidR="00307BFA" w:rsidRPr="00F63D18" w:rsidRDefault="00307BFA" w:rsidP="00307BFA">
            <w:pPr>
              <w:rPr>
                <w:b/>
                <w:color w:val="000000"/>
              </w:rPr>
            </w:pPr>
            <w:r w:rsidRPr="00F63D18">
              <w:rPr>
                <w:b/>
                <w:color w:val="000000"/>
              </w:rPr>
              <w:t>DATE ISSUED</w:t>
            </w:r>
          </w:p>
        </w:tc>
        <w:tc>
          <w:tcPr>
            <w:tcW w:w="2203" w:type="dxa"/>
          </w:tcPr>
          <w:p w:rsidR="00307BFA" w:rsidRPr="00F63D18" w:rsidRDefault="00307BFA" w:rsidP="00307BFA">
            <w:pPr>
              <w:rPr>
                <w:b/>
                <w:color w:val="000000"/>
              </w:rPr>
            </w:pPr>
            <w:r w:rsidRPr="00F63D18">
              <w:rPr>
                <w:b/>
                <w:color w:val="000000"/>
              </w:rPr>
              <w:t>PAYEE</w:t>
            </w:r>
          </w:p>
        </w:tc>
        <w:tc>
          <w:tcPr>
            <w:tcW w:w="1834" w:type="dxa"/>
          </w:tcPr>
          <w:p w:rsidR="00307BFA" w:rsidRPr="00F63D18" w:rsidRDefault="00307BFA" w:rsidP="00307BFA">
            <w:pPr>
              <w:rPr>
                <w:b/>
                <w:color w:val="000000"/>
              </w:rPr>
            </w:pPr>
            <w:r w:rsidRPr="00F63D18">
              <w:rPr>
                <w:b/>
                <w:color w:val="000000"/>
              </w:rPr>
              <w:t>AMOUNT</w:t>
            </w:r>
          </w:p>
        </w:tc>
      </w:tr>
      <w:tr w:rsidR="00307BFA" w:rsidRPr="00F63D18" w:rsidTr="00307BFA">
        <w:trPr>
          <w:trHeight w:hRule="exact" w:val="494"/>
          <w:jc w:val="right"/>
        </w:trPr>
        <w:tc>
          <w:tcPr>
            <w:tcW w:w="2203" w:type="dxa"/>
          </w:tcPr>
          <w:p w:rsidR="00307BFA" w:rsidRPr="00F63D18" w:rsidRDefault="00307BFA" w:rsidP="00307BFA">
            <w:r w:rsidRPr="00F63D18">
              <w:rPr>
                <w:color w:val="000000"/>
              </w:rPr>
              <w:t>1224</w:t>
            </w:r>
          </w:p>
        </w:tc>
        <w:tc>
          <w:tcPr>
            <w:tcW w:w="2136" w:type="dxa"/>
          </w:tcPr>
          <w:p w:rsidR="00307BFA" w:rsidRPr="00F63D18" w:rsidRDefault="00307BFA" w:rsidP="00307BFA">
            <w:r w:rsidRPr="00F63D18">
              <w:rPr>
                <w:color w:val="000000"/>
              </w:rPr>
              <w:t>8/10/07</w:t>
            </w:r>
          </w:p>
        </w:tc>
        <w:tc>
          <w:tcPr>
            <w:tcW w:w="2203" w:type="dxa"/>
          </w:tcPr>
          <w:p w:rsidR="00307BFA" w:rsidRPr="00F63D18" w:rsidRDefault="00307BFA" w:rsidP="00307BFA">
            <w:r w:rsidRPr="00F63D18">
              <w:rPr>
                <w:color w:val="000000"/>
              </w:rPr>
              <w:t>Preferred Finish</w:t>
            </w:r>
          </w:p>
        </w:tc>
        <w:tc>
          <w:tcPr>
            <w:tcW w:w="1834" w:type="dxa"/>
          </w:tcPr>
          <w:p w:rsidR="00307BFA" w:rsidRPr="00F63D18" w:rsidRDefault="00307BFA" w:rsidP="00307BFA">
            <w:r w:rsidRPr="00F63D18">
              <w:rPr>
                <w:color w:val="000000"/>
              </w:rPr>
              <w:t>$2,000</w:t>
            </w:r>
          </w:p>
        </w:tc>
      </w:tr>
      <w:tr w:rsidR="00307BFA" w:rsidRPr="00F63D18" w:rsidTr="00307BFA">
        <w:trPr>
          <w:trHeight w:hRule="exact" w:val="485"/>
          <w:jc w:val="right"/>
        </w:trPr>
        <w:tc>
          <w:tcPr>
            <w:tcW w:w="2203" w:type="dxa"/>
          </w:tcPr>
          <w:p w:rsidR="00307BFA" w:rsidRPr="00F63D18" w:rsidRDefault="00307BFA" w:rsidP="00307BFA">
            <w:r w:rsidRPr="00F63D18">
              <w:rPr>
                <w:color w:val="000000"/>
              </w:rPr>
              <w:t>1230</w:t>
            </w:r>
          </w:p>
        </w:tc>
        <w:tc>
          <w:tcPr>
            <w:tcW w:w="2136" w:type="dxa"/>
          </w:tcPr>
          <w:p w:rsidR="00307BFA" w:rsidRPr="00F63D18" w:rsidRDefault="00307BFA" w:rsidP="00307BFA">
            <w:r w:rsidRPr="00F63D18">
              <w:rPr>
                <w:color w:val="000000"/>
              </w:rPr>
              <w:t>8/22/07</w:t>
            </w:r>
          </w:p>
        </w:tc>
        <w:tc>
          <w:tcPr>
            <w:tcW w:w="2203" w:type="dxa"/>
          </w:tcPr>
          <w:p w:rsidR="00307BFA" w:rsidRPr="00F63D18" w:rsidRDefault="00307BFA" w:rsidP="00307BFA">
            <w:r w:rsidRPr="00F63D18">
              <w:rPr>
                <w:color w:val="000000"/>
              </w:rPr>
              <w:t>Office Depot</w:t>
            </w:r>
          </w:p>
        </w:tc>
        <w:tc>
          <w:tcPr>
            <w:tcW w:w="1834" w:type="dxa"/>
          </w:tcPr>
          <w:p w:rsidR="00307BFA" w:rsidRPr="00F63D18" w:rsidRDefault="00307BFA" w:rsidP="00307BFA">
            <w:r w:rsidRPr="00F63D18">
              <w:rPr>
                <w:color w:val="000000"/>
              </w:rPr>
              <w:t>$56.25</w:t>
            </w:r>
          </w:p>
        </w:tc>
      </w:tr>
      <w:tr w:rsidR="00307BFA" w:rsidRPr="00F63D18" w:rsidTr="00307BFA">
        <w:trPr>
          <w:trHeight w:hRule="exact" w:val="480"/>
          <w:jc w:val="right"/>
        </w:trPr>
        <w:tc>
          <w:tcPr>
            <w:tcW w:w="2203" w:type="dxa"/>
          </w:tcPr>
          <w:p w:rsidR="00307BFA" w:rsidRPr="00F63D18" w:rsidRDefault="00307BFA" w:rsidP="00307BFA">
            <w:r w:rsidRPr="00F63D18">
              <w:rPr>
                <w:color w:val="000000"/>
              </w:rPr>
              <w:t>1231</w:t>
            </w:r>
          </w:p>
        </w:tc>
        <w:tc>
          <w:tcPr>
            <w:tcW w:w="2136" w:type="dxa"/>
          </w:tcPr>
          <w:p w:rsidR="00307BFA" w:rsidRPr="00F63D18" w:rsidRDefault="00307BFA" w:rsidP="00307BFA">
            <w:r w:rsidRPr="00F63D18">
              <w:rPr>
                <w:color w:val="000000"/>
              </w:rPr>
              <w:t>8/22/07</w:t>
            </w:r>
          </w:p>
        </w:tc>
        <w:tc>
          <w:tcPr>
            <w:tcW w:w="2203" w:type="dxa"/>
          </w:tcPr>
          <w:p w:rsidR="00307BFA" w:rsidRPr="00F63D18" w:rsidRDefault="00307BFA" w:rsidP="00307BFA">
            <w:r w:rsidRPr="00F63D18">
              <w:rPr>
                <w:color w:val="000000"/>
              </w:rPr>
              <w:t>Office Depot</w:t>
            </w:r>
          </w:p>
        </w:tc>
        <w:tc>
          <w:tcPr>
            <w:tcW w:w="1834" w:type="dxa"/>
          </w:tcPr>
          <w:p w:rsidR="00307BFA" w:rsidRPr="00F63D18" w:rsidRDefault="00307BFA" w:rsidP="00307BFA">
            <w:r w:rsidRPr="00F63D18">
              <w:rPr>
                <w:color w:val="000000"/>
              </w:rPr>
              <w:t>$25.48</w:t>
            </w:r>
          </w:p>
        </w:tc>
      </w:tr>
      <w:tr w:rsidR="00307BFA" w:rsidRPr="00F63D18" w:rsidTr="00307BFA">
        <w:trPr>
          <w:trHeight w:hRule="exact" w:val="485"/>
          <w:jc w:val="right"/>
        </w:trPr>
        <w:tc>
          <w:tcPr>
            <w:tcW w:w="2203" w:type="dxa"/>
          </w:tcPr>
          <w:p w:rsidR="00307BFA" w:rsidRPr="00F63D18" w:rsidRDefault="00307BFA" w:rsidP="00307BFA">
            <w:r w:rsidRPr="00F63D18">
              <w:rPr>
                <w:color w:val="000000"/>
              </w:rPr>
              <w:t>1232</w:t>
            </w:r>
          </w:p>
        </w:tc>
        <w:tc>
          <w:tcPr>
            <w:tcW w:w="2136" w:type="dxa"/>
          </w:tcPr>
          <w:p w:rsidR="00307BFA" w:rsidRPr="00F63D18" w:rsidRDefault="00307BFA" w:rsidP="00307BFA">
            <w:r w:rsidRPr="00F63D18">
              <w:rPr>
                <w:color w:val="000000"/>
              </w:rPr>
              <w:t>8/23/07</w:t>
            </w:r>
          </w:p>
        </w:tc>
        <w:tc>
          <w:tcPr>
            <w:tcW w:w="2203" w:type="dxa"/>
          </w:tcPr>
          <w:p w:rsidR="00307BFA" w:rsidRPr="00F63D18" w:rsidRDefault="00307BFA" w:rsidP="00307BFA">
            <w:r w:rsidRPr="00F63D18">
              <w:rPr>
                <w:color w:val="000000"/>
              </w:rPr>
              <w:t>Preferred Finish</w:t>
            </w:r>
          </w:p>
        </w:tc>
        <w:tc>
          <w:tcPr>
            <w:tcW w:w="1834" w:type="dxa"/>
          </w:tcPr>
          <w:p w:rsidR="00307BFA" w:rsidRPr="00F63D18" w:rsidRDefault="00307BFA" w:rsidP="00307BFA">
            <w:r w:rsidRPr="00F63D18">
              <w:rPr>
                <w:color w:val="000000"/>
              </w:rPr>
              <w:t>$2,000</w:t>
            </w:r>
          </w:p>
        </w:tc>
      </w:tr>
      <w:tr w:rsidR="00307BFA" w:rsidRPr="00F63D18" w:rsidTr="00307BFA">
        <w:trPr>
          <w:trHeight w:hRule="exact" w:val="702"/>
          <w:jc w:val="right"/>
        </w:trPr>
        <w:tc>
          <w:tcPr>
            <w:tcW w:w="2203" w:type="dxa"/>
          </w:tcPr>
          <w:p w:rsidR="00307BFA" w:rsidRPr="00F63D18" w:rsidRDefault="00307BFA" w:rsidP="00307BFA">
            <w:r w:rsidRPr="00F63D18">
              <w:rPr>
                <w:color w:val="000000"/>
              </w:rPr>
              <w:t>1237</w:t>
            </w:r>
          </w:p>
        </w:tc>
        <w:tc>
          <w:tcPr>
            <w:tcW w:w="2136" w:type="dxa"/>
          </w:tcPr>
          <w:p w:rsidR="00307BFA" w:rsidRPr="00F63D18" w:rsidRDefault="00307BFA" w:rsidP="00307BFA">
            <w:r w:rsidRPr="00F63D18">
              <w:rPr>
                <w:color w:val="000000"/>
              </w:rPr>
              <w:t>8/28/07</w:t>
            </w:r>
          </w:p>
        </w:tc>
        <w:tc>
          <w:tcPr>
            <w:tcW w:w="2203" w:type="dxa"/>
          </w:tcPr>
          <w:p w:rsidR="00307BFA" w:rsidRPr="00F63D18" w:rsidRDefault="00307BFA" w:rsidP="00307BFA">
            <w:r w:rsidRPr="00F63D18">
              <w:rPr>
                <w:color w:val="000000"/>
              </w:rPr>
              <w:t>Amstar/Red Oak</w:t>
            </w:r>
            <w:r>
              <w:rPr>
                <w:color w:val="000000"/>
              </w:rPr>
              <w:br/>
            </w:r>
            <w:r w:rsidRPr="00F63D18">
              <w:rPr>
                <w:color w:val="000000"/>
              </w:rPr>
              <w:t>Huntington Beach</w:t>
            </w:r>
          </w:p>
        </w:tc>
        <w:tc>
          <w:tcPr>
            <w:tcW w:w="1834" w:type="dxa"/>
          </w:tcPr>
          <w:p w:rsidR="00307BFA" w:rsidRPr="00F63D18" w:rsidRDefault="00307BFA" w:rsidP="00307BFA">
            <w:r w:rsidRPr="00F63D18">
              <w:rPr>
                <w:color w:val="000000"/>
              </w:rPr>
              <w:t>$1,269.80</w:t>
            </w:r>
          </w:p>
        </w:tc>
      </w:tr>
      <w:tr w:rsidR="00307BFA" w:rsidRPr="00F63D18" w:rsidTr="00307BFA">
        <w:trPr>
          <w:trHeight w:hRule="exact" w:val="494"/>
          <w:jc w:val="right"/>
        </w:trPr>
        <w:tc>
          <w:tcPr>
            <w:tcW w:w="2203" w:type="dxa"/>
          </w:tcPr>
          <w:p w:rsidR="00307BFA" w:rsidRPr="00F63D18" w:rsidRDefault="00307BFA" w:rsidP="00307BFA">
            <w:r w:rsidRPr="00F63D18">
              <w:rPr>
                <w:color w:val="000000"/>
              </w:rPr>
              <w:t>1240</w:t>
            </w:r>
          </w:p>
        </w:tc>
        <w:tc>
          <w:tcPr>
            <w:tcW w:w="2136" w:type="dxa"/>
          </w:tcPr>
          <w:p w:rsidR="00307BFA" w:rsidRPr="00F63D18" w:rsidRDefault="00307BFA" w:rsidP="00307BFA">
            <w:r w:rsidRPr="00F63D18">
              <w:rPr>
                <w:color w:val="000000"/>
              </w:rPr>
              <w:t>8/31/07</w:t>
            </w:r>
          </w:p>
        </w:tc>
        <w:tc>
          <w:tcPr>
            <w:tcW w:w="2203" w:type="dxa"/>
          </w:tcPr>
          <w:p w:rsidR="00307BFA" w:rsidRPr="00F63D18" w:rsidRDefault="00307BFA" w:rsidP="00307BFA">
            <w:r w:rsidRPr="00F63D18">
              <w:rPr>
                <w:color w:val="000000"/>
              </w:rPr>
              <w:t>Preferred Finish</w:t>
            </w:r>
          </w:p>
        </w:tc>
        <w:tc>
          <w:tcPr>
            <w:tcW w:w="1834" w:type="dxa"/>
          </w:tcPr>
          <w:p w:rsidR="00307BFA" w:rsidRPr="00F63D18" w:rsidRDefault="00307BFA" w:rsidP="00307BFA">
            <w:r w:rsidRPr="00F63D18">
              <w:rPr>
                <w:color w:val="000000"/>
              </w:rPr>
              <w:t>$1,000</w:t>
            </w:r>
          </w:p>
        </w:tc>
      </w:tr>
    </w:tbl>
    <w:p w:rsidR="00E24F30" w:rsidRDefault="00C06922" w:rsidP="007B32AC">
      <w:pPr>
        <w:pStyle w:val="Header"/>
        <w:tabs>
          <w:tab w:val="clear" w:pos="4320"/>
          <w:tab w:val="clear" w:pos="8640"/>
        </w:tabs>
        <w:spacing w:line="480" w:lineRule="auto"/>
        <w:ind w:firstLine="720"/>
      </w:pPr>
      <w:r>
        <w:t xml:space="preserve">On or about September 20, 2007, </w:t>
      </w:r>
      <w:r w:rsidR="007B32AC">
        <w:t>r</w:t>
      </w:r>
      <w:r>
        <w:t xml:space="preserve">espondent issued check </w:t>
      </w:r>
      <w:r w:rsidR="003C51C3">
        <w:t>No.</w:t>
      </w:r>
      <w:r>
        <w:t xml:space="preserve"> 1004 to Office Depot in the amount of $49.50 from her </w:t>
      </w:r>
      <w:r w:rsidR="00642873">
        <w:t>CTA</w:t>
      </w:r>
      <w:r>
        <w:t xml:space="preserve"> to pay her personal and/or business expenses.</w:t>
      </w:r>
    </w:p>
    <w:p w:rsidR="003C51C3" w:rsidRDefault="003C51C3" w:rsidP="003C51C3">
      <w:pPr>
        <w:pStyle w:val="ListParagraph"/>
        <w:spacing w:after="0" w:line="480" w:lineRule="auto"/>
        <w:ind w:left="0" w:firstLine="720"/>
        <w:rPr>
          <w:rFonts w:ascii="Times New Roman" w:hAnsi="Times New Roman" w:cs="Times New Roman"/>
          <w:color w:val="000000"/>
          <w:sz w:val="24"/>
          <w:szCs w:val="24"/>
        </w:rPr>
      </w:pPr>
      <w:r w:rsidRPr="009F0823">
        <w:rPr>
          <w:rFonts w:ascii="Times New Roman" w:hAnsi="Times New Roman" w:cs="Times New Roman"/>
          <w:color w:val="000000"/>
          <w:sz w:val="24"/>
          <w:szCs w:val="24"/>
        </w:rPr>
        <w:t xml:space="preserve">In or about October 2007, </w:t>
      </w:r>
      <w:r>
        <w:rPr>
          <w:rFonts w:ascii="Times New Roman" w:hAnsi="Times New Roman" w:cs="Times New Roman"/>
          <w:color w:val="000000"/>
          <w:sz w:val="24"/>
          <w:szCs w:val="24"/>
        </w:rPr>
        <w:t>r</w:t>
      </w:r>
      <w:r w:rsidRPr="009F0823">
        <w:rPr>
          <w:rFonts w:ascii="Times New Roman" w:hAnsi="Times New Roman" w:cs="Times New Roman"/>
          <w:color w:val="000000"/>
          <w:sz w:val="24"/>
          <w:szCs w:val="24"/>
        </w:rPr>
        <w:t>espondent repeatedly issued checks from her client trust account to pay her personal and/or business expenses, including, but not limited to, the following:</w:t>
      </w:r>
    </w:p>
    <w:tbl>
      <w:tblPr>
        <w:tblW w:w="0" w:type="auto"/>
        <w:jc w:val="right"/>
        <w:tblInd w:w="-548" w:type="dxa"/>
        <w:tblLayout w:type="fixed"/>
        <w:tblCellMar>
          <w:left w:w="0" w:type="dxa"/>
          <w:right w:w="0" w:type="dxa"/>
        </w:tblCellMar>
        <w:tblLook w:val="0000"/>
      </w:tblPr>
      <w:tblGrid>
        <w:gridCol w:w="2204"/>
        <w:gridCol w:w="2342"/>
        <w:gridCol w:w="2357"/>
        <w:gridCol w:w="2007"/>
      </w:tblGrid>
      <w:tr w:rsidR="00307BFA" w:rsidRPr="00440836" w:rsidTr="00307BFA">
        <w:trPr>
          <w:trHeight w:hRule="exact" w:val="552"/>
          <w:jc w:val="right"/>
        </w:trPr>
        <w:tc>
          <w:tcPr>
            <w:tcW w:w="2204" w:type="dxa"/>
          </w:tcPr>
          <w:p w:rsidR="00307BFA" w:rsidRPr="00440836" w:rsidRDefault="00307BFA" w:rsidP="00307BFA">
            <w:r w:rsidRPr="00440836">
              <w:rPr>
                <w:b/>
                <w:color w:val="000000"/>
              </w:rPr>
              <w:t>CHECK NUMBER</w:t>
            </w:r>
          </w:p>
        </w:tc>
        <w:tc>
          <w:tcPr>
            <w:tcW w:w="2342" w:type="dxa"/>
          </w:tcPr>
          <w:p w:rsidR="00307BFA" w:rsidRPr="00440836" w:rsidRDefault="00307BFA" w:rsidP="00307BFA">
            <w:r w:rsidRPr="00440836">
              <w:rPr>
                <w:b/>
                <w:color w:val="000000"/>
              </w:rPr>
              <w:t>DATE ISSUED</w:t>
            </w:r>
          </w:p>
        </w:tc>
        <w:tc>
          <w:tcPr>
            <w:tcW w:w="2357" w:type="dxa"/>
          </w:tcPr>
          <w:p w:rsidR="00307BFA" w:rsidRPr="00440836" w:rsidRDefault="00307BFA" w:rsidP="00307BFA">
            <w:r w:rsidRPr="00440836">
              <w:rPr>
                <w:b/>
                <w:color w:val="000000"/>
              </w:rPr>
              <w:t>PAYEE</w:t>
            </w:r>
          </w:p>
        </w:tc>
        <w:tc>
          <w:tcPr>
            <w:tcW w:w="2007" w:type="dxa"/>
          </w:tcPr>
          <w:p w:rsidR="00307BFA" w:rsidRPr="00440836" w:rsidRDefault="00307BFA" w:rsidP="00307BFA">
            <w:r w:rsidRPr="00440836">
              <w:rPr>
                <w:b/>
                <w:color w:val="000000"/>
              </w:rPr>
              <w:t>AMOUNT</w:t>
            </w:r>
          </w:p>
        </w:tc>
      </w:tr>
      <w:tr w:rsidR="00307BFA" w:rsidRPr="00440836" w:rsidTr="00307BFA">
        <w:trPr>
          <w:trHeight w:hRule="exact" w:val="485"/>
          <w:jc w:val="right"/>
        </w:trPr>
        <w:tc>
          <w:tcPr>
            <w:tcW w:w="2204" w:type="dxa"/>
          </w:tcPr>
          <w:p w:rsidR="00307BFA" w:rsidRPr="00440836" w:rsidRDefault="00307BFA" w:rsidP="00307BFA">
            <w:pPr>
              <w:spacing w:line="480" w:lineRule="auto"/>
            </w:pPr>
            <w:r w:rsidRPr="00440836">
              <w:rPr>
                <w:color w:val="000000"/>
              </w:rPr>
              <w:t>9088</w:t>
            </w:r>
          </w:p>
        </w:tc>
        <w:tc>
          <w:tcPr>
            <w:tcW w:w="2342" w:type="dxa"/>
          </w:tcPr>
          <w:p w:rsidR="00307BFA" w:rsidRPr="00440836" w:rsidRDefault="00307BFA" w:rsidP="00307BFA">
            <w:pPr>
              <w:spacing w:line="480" w:lineRule="auto"/>
            </w:pPr>
            <w:r w:rsidRPr="00440836">
              <w:rPr>
                <w:color w:val="000000"/>
              </w:rPr>
              <w:t>10/19/07</w:t>
            </w:r>
          </w:p>
        </w:tc>
        <w:tc>
          <w:tcPr>
            <w:tcW w:w="2357" w:type="dxa"/>
          </w:tcPr>
          <w:p w:rsidR="00307BFA" w:rsidRPr="00440836" w:rsidRDefault="00307BFA" w:rsidP="00307BFA">
            <w:pPr>
              <w:spacing w:line="480" w:lineRule="auto"/>
            </w:pPr>
            <w:r w:rsidRPr="00440836">
              <w:rPr>
                <w:color w:val="000000"/>
              </w:rPr>
              <w:t>Preferred Finish</w:t>
            </w:r>
          </w:p>
        </w:tc>
        <w:tc>
          <w:tcPr>
            <w:tcW w:w="2007" w:type="dxa"/>
          </w:tcPr>
          <w:p w:rsidR="00307BFA" w:rsidRPr="00440836" w:rsidRDefault="00307BFA" w:rsidP="00307BFA">
            <w:pPr>
              <w:spacing w:line="480" w:lineRule="auto"/>
            </w:pPr>
            <w:r w:rsidRPr="00440836">
              <w:rPr>
                <w:color w:val="000000"/>
              </w:rPr>
              <w:t>$5,000</w:t>
            </w:r>
          </w:p>
        </w:tc>
      </w:tr>
      <w:tr w:rsidR="00307BFA" w:rsidRPr="00440836" w:rsidTr="00307BFA">
        <w:trPr>
          <w:trHeight w:hRule="exact" w:val="480"/>
          <w:jc w:val="right"/>
        </w:trPr>
        <w:tc>
          <w:tcPr>
            <w:tcW w:w="2204" w:type="dxa"/>
          </w:tcPr>
          <w:p w:rsidR="00307BFA" w:rsidRPr="00440836" w:rsidRDefault="00307BFA" w:rsidP="00307BFA">
            <w:r w:rsidRPr="00440836">
              <w:rPr>
                <w:color w:val="000000"/>
              </w:rPr>
              <w:t>1014</w:t>
            </w:r>
          </w:p>
        </w:tc>
        <w:tc>
          <w:tcPr>
            <w:tcW w:w="2342" w:type="dxa"/>
          </w:tcPr>
          <w:p w:rsidR="00307BFA" w:rsidRPr="00440836" w:rsidRDefault="00307BFA" w:rsidP="00307BFA">
            <w:r w:rsidRPr="00440836">
              <w:rPr>
                <w:color w:val="000000"/>
              </w:rPr>
              <w:t>10/20/07</w:t>
            </w:r>
          </w:p>
        </w:tc>
        <w:tc>
          <w:tcPr>
            <w:tcW w:w="2357" w:type="dxa"/>
          </w:tcPr>
          <w:p w:rsidR="00307BFA" w:rsidRPr="00440836" w:rsidRDefault="00307BFA" w:rsidP="00307BFA">
            <w:r w:rsidRPr="00440836">
              <w:rPr>
                <w:color w:val="000000"/>
              </w:rPr>
              <w:t>T Mobile</w:t>
            </w:r>
          </w:p>
        </w:tc>
        <w:tc>
          <w:tcPr>
            <w:tcW w:w="2007" w:type="dxa"/>
          </w:tcPr>
          <w:p w:rsidR="00307BFA" w:rsidRPr="00440836" w:rsidRDefault="00307BFA" w:rsidP="00307BFA">
            <w:r w:rsidRPr="00440836">
              <w:rPr>
                <w:color w:val="000000"/>
              </w:rPr>
              <w:t>$215.80</w:t>
            </w:r>
          </w:p>
        </w:tc>
      </w:tr>
      <w:tr w:rsidR="00307BFA" w:rsidRPr="00440836" w:rsidTr="00307BFA">
        <w:trPr>
          <w:trHeight w:hRule="exact" w:val="490"/>
          <w:jc w:val="right"/>
        </w:trPr>
        <w:tc>
          <w:tcPr>
            <w:tcW w:w="2204" w:type="dxa"/>
          </w:tcPr>
          <w:p w:rsidR="00307BFA" w:rsidRPr="00440836" w:rsidRDefault="00307BFA" w:rsidP="00307BFA">
            <w:r w:rsidRPr="00440836">
              <w:rPr>
                <w:color w:val="000000"/>
              </w:rPr>
              <w:t>9056</w:t>
            </w:r>
          </w:p>
        </w:tc>
        <w:tc>
          <w:tcPr>
            <w:tcW w:w="2342" w:type="dxa"/>
          </w:tcPr>
          <w:p w:rsidR="00307BFA" w:rsidRPr="00440836" w:rsidRDefault="00307BFA" w:rsidP="00307BFA">
            <w:r w:rsidRPr="00440836">
              <w:rPr>
                <w:color w:val="000000"/>
              </w:rPr>
              <w:t>10/31/07</w:t>
            </w:r>
          </w:p>
        </w:tc>
        <w:tc>
          <w:tcPr>
            <w:tcW w:w="2357" w:type="dxa"/>
          </w:tcPr>
          <w:p w:rsidR="00307BFA" w:rsidRPr="00440836" w:rsidRDefault="00307BFA" w:rsidP="00307BFA">
            <w:r w:rsidRPr="00440836">
              <w:rPr>
                <w:color w:val="000000"/>
              </w:rPr>
              <w:t>Preferred Finish</w:t>
            </w:r>
          </w:p>
        </w:tc>
        <w:tc>
          <w:tcPr>
            <w:tcW w:w="2007" w:type="dxa"/>
          </w:tcPr>
          <w:p w:rsidR="00307BFA" w:rsidRPr="00440836" w:rsidRDefault="00307BFA" w:rsidP="00307BFA">
            <w:r w:rsidRPr="00440836">
              <w:rPr>
                <w:color w:val="000000"/>
              </w:rPr>
              <w:t>$3,250</w:t>
            </w:r>
          </w:p>
        </w:tc>
      </w:tr>
    </w:tbl>
    <w:p w:rsidR="00F04CCA" w:rsidRDefault="00F04CCA" w:rsidP="00F04CCA">
      <w:pPr>
        <w:spacing w:line="480" w:lineRule="auto"/>
        <w:ind w:firstLine="720"/>
        <w:jc w:val="both"/>
        <w:rPr>
          <w:color w:val="000000"/>
        </w:rPr>
      </w:pPr>
      <w:r>
        <w:rPr>
          <w:color w:val="000000"/>
        </w:rPr>
        <w:t>I</w:t>
      </w:r>
      <w:r w:rsidRPr="004D5520">
        <w:rPr>
          <w:color w:val="000000"/>
        </w:rPr>
        <w:t xml:space="preserve">n or about November 2007, </w:t>
      </w:r>
      <w:r>
        <w:rPr>
          <w:color w:val="000000"/>
        </w:rPr>
        <w:t>r</w:t>
      </w:r>
      <w:r w:rsidRPr="004D5520">
        <w:rPr>
          <w:color w:val="000000"/>
        </w:rPr>
        <w:t xml:space="preserve">espondent repeatedly issued checks from her </w:t>
      </w:r>
      <w:r>
        <w:rPr>
          <w:color w:val="000000"/>
        </w:rPr>
        <w:t>CTA</w:t>
      </w:r>
      <w:r w:rsidRPr="004D5520">
        <w:rPr>
          <w:color w:val="000000"/>
        </w:rPr>
        <w:t xml:space="preserve"> to pay her personal and/or business expenses, including, but not limited to, the following:</w:t>
      </w:r>
    </w:p>
    <w:tbl>
      <w:tblPr>
        <w:tblW w:w="0" w:type="auto"/>
        <w:tblInd w:w="558" w:type="dxa"/>
        <w:tblLook w:val="04A0"/>
      </w:tblPr>
      <w:tblGrid>
        <w:gridCol w:w="2227"/>
        <w:gridCol w:w="2311"/>
        <w:gridCol w:w="2320"/>
        <w:gridCol w:w="2070"/>
      </w:tblGrid>
      <w:tr w:rsidR="00307BFA" w:rsidRPr="00440836" w:rsidTr="00307BFA">
        <w:tc>
          <w:tcPr>
            <w:tcW w:w="2227" w:type="dxa"/>
          </w:tcPr>
          <w:p w:rsidR="00307BFA" w:rsidRPr="00F04CCA" w:rsidRDefault="00307BFA" w:rsidP="00307BFA">
            <w:pPr>
              <w:tabs>
                <w:tab w:val="center" w:pos="4320"/>
                <w:tab w:val="right" w:pos="8640"/>
              </w:tabs>
              <w:rPr>
                <w:b/>
                <w:color w:val="000000"/>
              </w:rPr>
            </w:pPr>
            <w:r w:rsidRPr="00F04CCA">
              <w:rPr>
                <w:b/>
                <w:color w:val="000000"/>
              </w:rPr>
              <w:t>CHECK NUMBER</w:t>
            </w:r>
          </w:p>
          <w:p w:rsidR="00307BFA" w:rsidRPr="00440836" w:rsidRDefault="00307BFA" w:rsidP="00307BFA">
            <w:pPr>
              <w:tabs>
                <w:tab w:val="center" w:pos="4320"/>
                <w:tab w:val="right" w:pos="8640"/>
              </w:tabs>
            </w:pPr>
          </w:p>
        </w:tc>
        <w:tc>
          <w:tcPr>
            <w:tcW w:w="2311" w:type="dxa"/>
          </w:tcPr>
          <w:p w:rsidR="00307BFA" w:rsidRPr="00440836" w:rsidRDefault="00307BFA" w:rsidP="00307BFA">
            <w:pPr>
              <w:tabs>
                <w:tab w:val="center" w:pos="4320"/>
                <w:tab w:val="right" w:pos="8640"/>
              </w:tabs>
            </w:pPr>
            <w:r w:rsidRPr="00F04CCA">
              <w:rPr>
                <w:b/>
                <w:color w:val="000000"/>
              </w:rPr>
              <w:t>DATE ISSUED</w:t>
            </w:r>
          </w:p>
        </w:tc>
        <w:tc>
          <w:tcPr>
            <w:tcW w:w="2320" w:type="dxa"/>
          </w:tcPr>
          <w:p w:rsidR="00307BFA" w:rsidRPr="00440836" w:rsidRDefault="00307BFA" w:rsidP="00307BFA">
            <w:pPr>
              <w:tabs>
                <w:tab w:val="center" w:pos="4320"/>
                <w:tab w:val="right" w:pos="8640"/>
              </w:tabs>
            </w:pPr>
            <w:r w:rsidRPr="00F04CCA">
              <w:rPr>
                <w:b/>
                <w:color w:val="000000"/>
              </w:rPr>
              <w:t>PAYEE</w:t>
            </w:r>
          </w:p>
        </w:tc>
        <w:tc>
          <w:tcPr>
            <w:tcW w:w="2070" w:type="dxa"/>
          </w:tcPr>
          <w:p w:rsidR="00307BFA" w:rsidRPr="00440836" w:rsidRDefault="00307BFA" w:rsidP="00307BFA">
            <w:pPr>
              <w:tabs>
                <w:tab w:val="center" w:pos="4320"/>
                <w:tab w:val="right" w:pos="8640"/>
              </w:tabs>
            </w:pPr>
            <w:r w:rsidRPr="00F04CCA">
              <w:rPr>
                <w:b/>
                <w:color w:val="000000"/>
              </w:rPr>
              <w:t>AMOUNT</w:t>
            </w:r>
          </w:p>
        </w:tc>
      </w:tr>
      <w:tr w:rsidR="00307BFA" w:rsidTr="00307BFA">
        <w:tc>
          <w:tcPr>
            <w:tcW w:w="2227" w:type="dxa"/>
          </w:tcPr>
          <w:p w:rsidR="00307BFA" w:rsidRDefault="00307BFA" w:rsidP="00307BFA">
            <w:pPr>
              <w:tabs>
                <w:tab w:val="center" w:pos="4320"/>
                <w:tab w:val="right" w:pos="8640"/>
              </w:tabs>
            </w:pPr>
            <w:r>
              <w:t>1019</w:t>
            </w:r>
          </w:p>
        </w:tc>
        <w:tc>
          <w:tcPr>
            <w:tcW w:w="2311" w:type="dxa"/>
          </w:tcPr>
          <w:p w:rsidR="00307BFA" w:rsidRDefault="00307BFA" w:rsidP="00307BFA">
            <w:pPr>
              <w:tabs>
                <w:tab w:val="center" w:pos="4320"/>
                <w:tab w:val="right" w:pos="8640"/>
              </w:tabs>
            </w:pPr>
            <w:r>
              <w:t>11/5/07</w:t>
            </w:r>
          </w:p>
        </w:tc>
        <w:tc>
          <w:tcPr>
            <w:tcW w:w="2320" w:type="dxa"/>
          </w:tcPr>
          <w:p w:rsidR="00307BFA" w:rsidRDefault="00307BFA" w:rsidP="00307BFA">
            <w:pPr>
              <w:tabs>
                <w:tab w:val="center" w:pos="4320"/>
                <w:tab w:val="right" w:pos="8640"/>
              </w:tabs>
            </w:pPr>
            <w:r>
              <w:t>Tom Shelley</w:t>
            </w:r>
          </w:p>
          <w:p w:rsidR="00307BFA" w:rsidRDefault="00307BFA" w:rsidP="00307BFA">
            <w:pPr>
              <w:tabs>
                <w:tab w:val="center" w:pos="4320"/>
                <w:tab w:val="right" w:pos="8640"/>
              </w:tabs>
            </w:pPr>
            <w:r>
              <w:t>(notation indicates “carpet cleaning”)</w:t>
            </w:r>
            <w:r>
              <w:br/>
            </w:r>
          </w:p>
        </w:tc>
        <w:tc>
          <w:tcPr>
            <w:tcW w:w="2070" w:type="dxa"/>
          </w:tcPr>
          <w:p w:rsidR="00307BFA" w:rsidRDefault="00307BFA" w:rsidP="00307BFA">
            <w:pPr>
              <w:tabs>
                <w:tab w:val="center" w:pos="4320"/>
                <w:tab w:val="right" w:pos="8640"/>
              </w:tabs>
            </w:pPr>
            <w:r>
              <w:t>$2</w:t>
            </w:r>
            <w:r w:rsidR="002A67A3">
              <w:t>,</w:t>
            </w:r>
            <w:r>
              <w:t>695</w:t>
            </w:r>
          </w:p>
        </w:tc>
      </w:tr>
      <w:tr w:rsidR="00307BFA" w:rsidTr="00307BFA">
        <w:trPr>
          <w:trHeight w:val="927"/>
        </w:trPr>
        <w:tc>
          <w:tcPr>
            <w:tcW w:w="2227" w:type="dxa"/>
          </w:tcPr>
          <w:p w:rsidR="00307BFA" w:rsidRDefault="00307BFA" w:rsidP="00307BFA">
            <w:pPr>
              <w:tabs>
                <w:tab w:val="center" w:pos="4320"/>
                <w:tab w:val="right" w:pos="8640"/>
              </w:tabs>
            </w:pPr>
            <w:r>
              <w:t>1023</w:t>
            </w:r>
          </w:p>
        </w:tc>
        <w:tc>
          <w:tcPr>
            <w:tcW w:w="2311" w:type="dxa"/>
          </w:tcPr>
          <w:p w:rsidR="00307BFA" w:rsidRDefault="00307BFA" w:rsidP="00307BFA">
            <w:pPr>
              <w:tabs>
                <w:tab w:val="center" w:pos="4320"/>
                <w:tab w:val="right" w:pos="8640"/>
              </w:tabs>
            </w:pPr>
            <w:r>
              <w:t>11/14/07</w:t>
            </w:r>
          </w:p>
        </w:tc>
        <w:tc>
          <w:tcPr>
            <w:tcW w:w="2320" w:type="dxa"/>
          </w:tcPr>
          <w:p w:rsidR="00307BFA" w:rsidRDefault="00307BFA" w:rsidP="00307BFA">
            <w:pPr>
              <w:tabs>
                <w:tab w:val="center" w:pos="4320"/>
                <w:tab w:val="right" w:pos="8640"/>
              </w:tabs>
            </w:pPr>
            <w:proofErr w:type="spellStart"/>
            <w:r>
              <w:t>Armstar</w:t>
            </w:r>
            <w:proofErr w:type="spellEnd"/>
            <w:r>
              <w:t>/Red Oak Huntington Beach LLC</w:t>
            </w:r>
          </w:p>
        </w:tc>
        <w:tc>
          <w:tcPr>
            <w:tcW w:w="2070" w:type="dxa"/>
          </w:tcPr>
          <w:p w:rsidR="00307BFA" w:rsidRDefault="00307BFA" w:rsidP="00307BFA">
            <w:pPr>
              <w:tabs>
                <w:tab w:val="center" w:pos="4320"/>
                <w:tab w:val="right" w:pos="8640"/>
              </w:tabs>
            </w:pPr>
            <w:r>
              <w:t>$1,401.80</w:t>
            </w:r>
          </w:p>
        </w:tc>
      </w:tr>
      <w:tr w:rsidR="00307BFA" w:rsidTr="00307BFA">
        <w:tc>
          <w:tcPr>
            <w:tcW w:w="2227" w:type="dxa"/>
          </w:tcPr>
          <w:p w:rsidR="00307BFA" w:rsidRDefault="00307BFA" w:rsidP="00307BFA">
            <w:pPr>
              <w:tabs>
                <w:tab w:val="center" w:pos="4320"/>
                <w:tab w:val="right" w:pos="8640"/>
              </w:tabs>
            </w:pPr>
            <w:r>
              <w:t>1024</w:t>
            </w:r>
          </w:p>
        </w:tc>
        <w:tc>
          <w:tcPr>
            <w:tcW w:w="2311" w:type="dxa"/>
          </w:tcPr>
          <w:p w:rsidR="00307BFA" w:rsidRDefault="00307BFA" w:rsidP="00307BFA">
            <w:pPr>
              <w:tabs>
                <w:tab w:val="center" w:pos="4320"/>
                <w:tab w:val="right" w:pos="8640"/>
              </w:tabs>
            </w:pPr>
            <w:r>
              <w:t>11/15/07</w:t>
            </w:r>
          </w:p>
        </w:tc>
        <w:tc>
          <w:tcPr>
            <w:tcW w:w="2320" w:type="dxa"/>
          </w:tcPr>
          <w:p w:rsidR="00307BFA" w:rsidRDefault="00307BFA" w:rsidP="00307BFA">
            <w:pPr>
              <w:tabs>
                <w:tab w:val="center" w:pos="4320"/>
                <w:tab w:val="right" w:pos="8640"/>
              </w:tabs>
            </w:pPr>
            <w:r>
              <w:t xml:space="preserve">Robert A. </w:t>
            </w:r>
            <w:proofErr w:type="spellStart"/>
            <w:r>
              <w:t>Arvizo</w:t>
            </w:r>
            <w:proofErr w:type="spellEnd"/>
          </w:p>
        </w:tc>
        <w:tc>
          <w:tcPr>
            <w:tcW w:w="2070" w:type="dxa"/>
          </w:tcPr>
          <w:p w:rsidR="00307BFA" w:rsidRDefault="00307BFA" w:rsidP="00307BFA">
            <w:pPr>
              <w:tabs>
                <w:tab w:val="center" w:pos="4320"/>
                <w:tab w:val="right" w:pos="8640"/>
              </w:tabs>
            </w:pPr>
            <w:r>
              <w:t>$2,000</w:t>
            </w:r>
          </w:p>
        </w:tc>
      </w:tr>
      <w:tr w:rsidR="00307BFA" w:rsidTr="00307BFA">
        <w:tc>
          <w:tcPr>
            <w:tcW w:w="2227" w:type="dxa"/>
          </w:tcPr>
          <w:p w:rsidR="00307BFA" w:rsidRDefault="00307BFA" w:rsidP="00307BFA">
            <w:pPr>
              <w:tabs>
                <w:tab w:val="center" w:pos="4320"/>
                <w:tab w:val="right" w:pos="8640"/>
              </w:tabs>
            </w:pPr>
          </w:p>
          <w:p w:rsidR="00307BFA" w:rsidRDefault="00307BFA" w:rsidP="00307BFA">
            <w:pPr>
              <w:tabs>
                <w:tab w:val="center" w:pos="4320"/>
                <w:tab w:val="right" w:pos="8640"/>
              </w:tabs>
            </w:pPr>
            <w:r>
              <w:t>1028</w:t>
            </w:r>
          </w:p>
        </w:tc>
        <w:tc>
          <w:tcPr>
            <w:tcW w:w="2311" w:type="dxa"/>
          </w:tcPr>
          <w:p w:rsidR="00307BFA" w:rsidRDefault="00307BFA" w:rsidP="00307BFA">
            <w:pPr>
              <w:tabs>
                <w:tab w:val="center" w:pos="4320"/>
                <w:tab w:val="right" w:pos="8640"/>
              </w:tabs>
            </w:pPr>
          </w:p>
          <w:p w:rsidR="00307BFA" w:rsidRDefault="00307BFA" w:rsidP="00307BFA">
            <w:pPr>
              <w:tabs>
                <w:tab w:val="center" w:pos="4320"/>
                <w:tab w:val="right" w:pos="8640"/>
              </w:tabs>
            </w:pPr>
            <w:r>
              <w:t>11/20/07</w:t>
            </w:r>
          </w:p>
        </w:tc>
        <w:tc>
          <w:tcPr>
            <w:tcW w:w="2320" w:type="dxa"/>
          </w:tcPr>
          <w:p w:rsidR="00307BFA" w:rsidRDefault="00307BFA" w:rsidP="00307BFA">
            <w:pPr>
              <w:tabs>
                <w:tab w:val="center" w:pos="4320"/>
                <w:tab w:val="right" w:pos="8640"/>
              </w:tabs>
            </w:pPr>
          </w:p>
          <w:p w:rsidR="00307BFA" w:rsidRDefault="00307BFA" w:rsidP="00307BFA">
            <w:pPr>
              <w:tabs>
                <w:tab w:val="center" w:pos="4320"/>
                <w:tab w:val="right" w:pos="8640"/>
              </w:tabs>
            </w:pPr>
            <w:r>
              <w:t>Pitney Bowes</w:t>
            </w:r>
          </w:p>
        </w:tc>
        <w:tc>
          <w:tcPr>
            <w:tcW w:w="2070" w:type="dxa"/>
          </w:tcPr>
          <w:p w:rsidR="00307BFA" w:rsidRDefault="00307BFA" w:rsidP="00307BFA">
            <w:pPr>
              <w:tabs>
                <w:tab w:val="center" w:pos="4320"/>
                <w:tab w:val="right" w:pos="8640"/>
              </w:tabs>
            </w:pPr>
          </w:p>
          <w:p w:rsidR="00307BFA" w:rsidRDefault="00307BFA" w:rsidP="00307BFA">
            <w:pPr>
              <w:tabs>
                <w:tab w:val="center" w:pos="4320"/>
                <w:tab w:val="right" w:pos="8640"/>
              </w:tabs>
            </w:pPr>
            <w:r>
              <w:t>$173.39</w:t>
            </w:r>
          </w:p>
        </w:tc>
      </w:tr>
      <w:tr w:rsidR="00307BFA" w:rsidTr="00307BFA">
        <w:tc>
          <w:tcPr>
            <w:tcW w:w="2227" w:type="dxa"/>
          </w:tcPr>
          <w:p w:rsidR="00307BFA" w:rsidRDefault="00307BFA" w:rsidP="00307BFA">
            <w:pPr>
              <w:tabs>
                <w:tab w:val="center" w:pos="4320"/>
                <w:tab w:val="right" w:pos="8640"/>
              </w:tabs>
            </w:pPr>
          </w:p>
          <w:p w:rsidR="00307BFA" w:rsidRDefault="00307BFA" w:rsidP="00307BFA">
            <w:pPr>
              <w:tabs>
                <w:tab w:val="center" w:pos="4320"/>
                <w:tab w:val="right" w:pos="8640"/>
              </w:tabs>
            </w:pPr>
            <w:r>
              <w:t>1030</w:t>
            </w:r>
          </w:p>
        </w:tc>
        <w:tc>
          <w:tcPr>
            <w:tcW w:w="2311" w:type="dxa"/>
          </w:tcPr>
          <w:p w:rsidR="00307BFA" w:rsidRDefault="00307BFA" w:rsidP="00307BFA">
            <w:pPr>
              <w:tabs>
                <w:tab w:val="center" w:pos="4320"/>
                <w:tab w:val="right" w:pos="8640"/>
              </w:tabs>
            </w:pPr>
          </w:p>
          <w:p w:rsidR="00307BFA" w:rsidRDefault="00307BFA" w:rsidP="00307BFA">
            <w:pPr>
              <w:tabs>
                <w:tab w:val="center" w:pos="4320"/>
                <w:tab w:val="right" w:pos="8640"/>
              </w:tabs>
            </w:pPr>
            <w:r>
              <w:t>11/20/07</w:t>
            </w:r>
          </w:p>
        </w:tc>
        <w:tc>
          <w:tcPr>
            <w:tcW w:w="2320" w:type="dxa"/>
          </w:tcPr>
          <w:p w:rsidR="00307BFA" w:rsidRDefault="00307BFA" w:rsidP="00307BFA">
            <w:pPr>
              <w:tabs>
                <w:tab w:val="center" w:pos="4320"/>
                <w:tab w:val="right" w:pos="8640"/>
              </w:tabs>
            </w:pPr>
          </w:p>
          <w:p w:rsidR="00307BFA" w:rsidRDefault="00307BFA" w:rsidP="00307BFA">
            <w:pPr>
              <w:tabs>
                <w:tab w:val="center" w:pos="4320"/>
                <w:tab w:val="right" w:pos="8640"/>
              </w:tabs>
            </w:pPr>
            <w:r>
              <w:t>Pitney Bowes</w:t>
            </w:r>
          </w:p>
        </w:tc>
        <w:tc>
          <w:tcPr>
            <w:tcW w:w="2070" w:type="dxa"/>
          </w:tcPr>
          <w:p w:rsidR="00307BFA" w:rsidRDefault="00307BFA" w:rsidP="00307BFA">
            <w:pPr>
              <w:tabs>
                <w:tab w:val="center" w:pos="4320"/>
                <w:tab w:val="right" w:pos="8640"/>
              </w:tabs>
            </w:pPr>
          </w:p>
          <w:p w:rsidR="00307BFA" w:rsidRDefault="00307BFA" w:rsidP="00307BFA">
            <w:pPr>
              <w:tabs>
                <w:tab w:val="center" w:pos="4320"/>
                <w:tab w:val="right" w:pos="8640"/>
              </w:tabs>
            </w:pPr>
            <w:r>
              <w:t>$3.62</w:t>
            </w:r>
          </w:p>
        </w:tc>
      </w:tr>
      <w:tr w:rsidR="00307BFA" w:rsidTr="00307BFA">
        <w:tc>
          <w:tcPr>
            <w:tcW w:w="2227" w:type="dxa"/>
          </w:tcPr>
          <w:p w:rsidR="00307BFA" w:rsidRDefault="00307BFA" w:rsidP="00307BFA">
            <w:pPr>
              <w:tabs>
                <w:tab w:val="center" w:pos="4320"/>
                <w:tab w:val="right" w:pos="8640"/>
              </w:tabs>
            </w:pPr>
          </w:p>
          <w:p w:rsidR="00307BFA" w:rsidRDefault="00307BFA" w:rsidP="00307BFA">
            <w:pPr>
              <w:tabs>
                <w:tab w:val="center" w:pos="4320"/>
                <w:tab w:val="right" w:pos="8640"/>
              </w:tabs>
            </w:pPr>
            <w:r>
              <w:t>1032</w:t>
            </w:r>
          </w:p>
        </w:tc>
        <w:tc>
          <w:tcPr>
            <w:tcW w:w="2311" w:type="dxa"/>
          </w:tcPr>
          <w:p w:rsidR="00307BFA" w:rsidRDefault="00307BFA" w:rsidP="00307BFA">
            <w:pPr>
              <w:tabs>
                <w:tab w:val="center" w:pos="4320"/>
                <w:tab w:val="right" w:pos="8640"/>
              </w:tabs>
            </w:pPr>
          </w:p>
          <w:p w:rsidR="00307BFA" w:rsidRDefault="00307BFA" w:rsidP="00307BFA">
            <w:pPr>
              <w:tabs>
                <w:tab w:val="center" w:pos="4320"/>
                <w:tab w:val="right" w:pos="8640"/>
              </w:tabs>
            </w:pPr>
            <w:r>
              <w:t>11/20/07</w:t>
            </w:r>
          </w:p>
        </w:tc>
        <w:tc>
          <w:tcPr>
            <w:tcW w:w="2320" w:type="dxa"/>
          </w:tcPr>
          <w:p w:rsidR="00307BFA" w:rsidRDefault="00307BFA" w:rsidP="00307BFA">
            <w:pPr>
              <w:tabs>
                <w:tab w:val="center" w:pos="4320"/>
                <w:tab w:val="right" w:pos="8640"/>
              </w:tabs>
            </w:pPr>
          </w:p>
          <w:p w:rsidR="00307BFA" w:rsidRDefault="00307BFA" w:rsidP="00307BFA">
            <w:pPr>
              <w:tabs>
                <w:tab w:val="center" w:pos="4320"/>
                <w:tab w:val="right" w:pos="8640"/>
              </w:tabs>
            </w:pPr>
            <w:r>
              <w:t>Arrowhead</w:t>
            </w:r>
          </w:p>
        </w:tc>
        <w:tc>
          <w:tcPr>
            <w:tcW w:w="2070" w:type="dxa"/>
          </w:tcPr>
          <w:p w:rsidR="00307BFA" w:rsidRDefault="00307BFA" w:rsidP="00307BFA">
            <w:pPr>
              <w:tabs>
                <w:tab w:val="center" w:pos="4320"/>
                <w:tab w:val="right" w:pos="8640"/>
              </w:tabs>
            </w:pPr>
          </w:p>
          <w:p w:rsidR="00307BFA" w:rsidRDefault="00307BFA" w:rsidP="00307BFA">
            <w:pPr>
              <w:tabs>
                <w:tab w:val="center" w:pos="4320"/>
                <w:tab w:val="right" w:pos="8640"/>
              </w:tabs>
            </w:pPr>
            <w:r>
              <w:t>$30.88</w:t>
            </w:r>
          </w:p>
        </w:tc>
      </w:tr>
      <w:tr w:rsidR="00307BFA" w:rsidTr="00307BFA">
        <w:tc>
          <w:tcPr>
            <w:tcW w:w="2227" w:type="dxa"/>
          </w:tcPr>
          <w:p w:rsidR="00307BFA" w:rsidRDefault="00307BFA" w:rsidP="00307BFA">
            <w:pPr>
              <w:tabs>
                <w:tab w:val="center" w:pos="4320"/>
                <w:tab w:val="right" w:pos="8640"/>
              </w:tabs>
            </w:pPr>
          </w:p>
          <w:p w:rsidR="00307BFA" w:rsidRDefault="00307BFA" w:rsidP="00307BFA">
            <w:pPr>
              <w:tabs>
                <w:tab w:val="center" w:pos="4320"/>
                <w:tab w:val="right" w:pos="8640"/>
              </w:tabs>
            </w:pPr>
            <w:r>
              <w:t>1034</w:t>
            </w:r>
          </w:p>
        </w:tc>
        <w:tc>
          <w:tcPr>
            <w:tcW w:w="2311" w:type="dxa"/>
          </w:tcPr>
          <w:p w:rsidR="00307BFA" w:rsidRDefault="00307BFA" w:rsidP="00307BFA">
            <w:pPr>
              <w:tabs>
                <w:tab w:val="center" w:pos="4320"/>
                <w:tab w:val="right" w:pos="8640"/>
              </w:tabs>
            </w:pPr>
          </w:p>
          <w:p w:rsidR="00307BFA" w:rsidRDefault="00307BFA" w:rsidP="00307BFA">
            <w:pPr>
              <w:tabs>
                <w:tab w:val="center" w:pos="4320"/>
                <w:tab w:val="right" w:pos="8640"/>
              </w:tabs>
            </w:pPr>
            <w:r>
              <w:t>11/20/07</w:t>
            </w:r>
          </w:p>
        </w:tc>
        <w:tc>
          <w:tcPr>
            <w:tcW w:w="2320" w:type="dxa"/>
          </w:tcPr>
          <w:p w:rsidR="00307BFA" w:rsidRDefault="00307BFA" w:rsidP="00307BFA">
            <w:pPr>
              <w:tabs>
                <w:tab w:val="center" w:pos="4320"/>
                <w:tab w:val="right" w:pos="8640"/>
              </w:tabs>
            </w:pPr>
          </w:p>
          <w:p w:rsidR="00307BFA" w:rsidRDefault="00307BFA" w:rsidP="00307BFA">
            <w:pPr>
              <w:tabs>
                <w:tab w:val="center" w:pos="4320"/>
                <w:tab w:val="right" w:pos="8640"/>
              </w:tabs>
            </w:pPr>
            <w:r>
              <w:t>O-TV Computers</w:t>
            </w:r>
          </w:p>
        </w:tc>
        <w:tc>
          <w:tcPr>
            <w:tcW w:w="2070" w:type="dxa"/>
          </w:tcPr>
          <w:p w:rsidR="00307BFA" w:rsidRDefault="00307BFA" w:rsidP="00307BFA">
            <w:pPr>
              <w:tabs>
                <w:tab w:val="center" w:pos="4320"/>
                <w:tab w:val="right" w:pos="8640"/>
              </w:tabs>
            </w:pPr>
          </w:p>
          <w:p w:rsidR="00307BFA" w:rsidRDefault="00307BFA" w:rsidP="00E84BB4">
            <w:pPr>
              <w:tabs>
                <w:tab w:val="center" w:pos="4320"/>
                <w:tab w:val="right" w:pos="8640"/>
              </w:tabs>
            </w:pPr>
            <w:r>
              <w:t>$270</w:t>
            </w:r>
          </w:p>
        </w:tc>
      </w:tr>
      <w:tr w:rsidR="00307BFA" w:rsidTr="00307BFA">
        <w:tc>
          <w:tcPr>
            <w:tcW w:w="2227" w:type="dxa"/>
          </w:tcPr>
          <w:p w:rsidR="00307BFA" w:rsidRDefault="00307BFA" w:rsidP="00307BFA">
            <w:pPr>
              <w:tabs>
                <w:tab w:val="center" w:pos="4320"/>
                <w:tab w:val="right" w:pos="8640"/>
              </w:tabs>
            </w:pPr>
          </w:p>
          <w:p w:rsidR="00307BFA" w:rsidRDefault="00307BFA" w:rsidP="00307BFA">
            <w:pPr>
              <w:tabs>
                <w:tab w:val="center" w:pos="4320"/>
                <w:tab w:val="right" w:pos="8640"/>
              </w:tabs>
            </w:pPr>
            <w:r>
              <w:t>1035</w:t>
            </w:r>
          </w:p>
        </w:tc>
        <w:tc>
          <w:tcPr>
            <w:tcW w:w="2311" w:type="dxa"/>
          </w:tcPr>
          <w:p w:rsidR="00307BFA" w:rsidRDefault="00307BFA" w:rsidP="00307BFA">
            <w:pPr>
              <w:tabs>
                <w:tab w:val="center" w:pos="4320"/>
                <w:tab w:val="right" w:pos="8640"/>
              </w:tabs>
            </w:pPr>
          </w:p>
          <w:p w:rsidR="00307BFA" w:rsidRDefault="00307BFA" w:rsidP="00307BFA">
            <w:pPr>
              <w:tabs>
                <w:tab w:val="center" w:pos="4320"/>
                <w:tab w:val="right" w:pos="8640"/>
              </w:tabs>
            </w:pPr>
            <w:r>
              <w:t>11/21/07</w:t>
            </w:r>
          </w:p>
        </w:tc>
        <w:tc>
          <w:tcPr>
            <w:tcW w:w="2320" w:type="dxa"/>
          </w:tcPr>
          <w:p w:rsidR="00307BFA" w:rsidRDefault="00307BFA" w:rsidP="00307BFA">
            <w:pPr>
              <w:tabs>
                <w:tab w:val="center" w:pos="4320"/>
                <w:tab w:val="right" w:pos="8640"/>
              </w:tabs>
            </w:pPr>
          </w:p>
          <w:p w:rsidR="00307BFA" w:rsidRDefault="00307BFA" w:rsidP="00307BFA">
            <w:pPr>
              <w:tabs>
                <w:tab w:val="center" w:pos="4320"/>
                <w:tab w:val="right" w:pos="8640"/>
              </w:tabs>
            </w:pPr>
            <w:proofErr w:type="spellStart"/>
            <w:r>
              <w:t>Armstar</w:t>
            </w:r>
            <w:proofErr w:type="spellEnd"/>
            <w:r>
              <w:t>/Red Oak</w:t>
            </w:r>
          </w:p>
          <w:p w:rsidR="00307BFA" w:rsidRDefault="00307BFA" w:rsidP="00307BFA">
            <w:pPr>
              <w:tabs>
                <w:tab w:val="center" w:pos="4320"/>
                <w:tab w:val="right" w:pos="8640"/>
              </w:tabs>
            </w:pPr>
            <w:r>
              <w:t>Huntington Beach</w:t>
            </w:r>
          </w:p>
          <w:p w:rsidR="00307BFA" w:rsidRDefault="00307BFA" w:rsidP="00307BFA">
            <w:pPr>
              <w:tabs>
                <w:tab w:val="center" w:pos="4320"/>
                <w:tab w:val="right" w:pos="8640"/>
              </w:tabs>
            </w:pPr>
            <w:r>
              <w:t>LLC</w:t>
            </w:r>
            <w:r>
              <w:br/>
            </w:r>
          </w:p>
        </w:tc>
        <w:tc>
          <w:tcPr>
            <w:tcW w:w="2070" w:type="dxa"/>
          </w:tcPr>
          <w:p w:rsidR="00307BFA" w:rsidRDefault="00307BFA" w:rsidP="00307BFA">
            <w:pPr>
              <w:tabs>
                <w:tab w:val="center" w:pos="4320"/>
                <w:tab w:val="right" w:pos="8640"/>
              </w:tabs>
            </w:pPr>
          </w:p>
          <w:p w:rsidR="00307BFA" w:rsidRDefault="00307BFA" w:rsidP="00307BFA">
            <w:pPr>
              <w:tabs>
                <w:tab w:val="center" w:pos="4320"/>
                <w:tab w:val="right" w:pos="8640"/>
              </w:tabs>
            </w:pPr>
            <w:r>
              <w:t>$1</w:t>
            </w:r>
            <w:r w:rsidR="002A67A3">
              <w:t>,</w:t>
            </w:r>
            <w:r>
              <w:t>269.80</w:t>
            </w:r>
          </w:p>
        </w:tc>
      </w:tr>
      <w:tr w:rsidR="00307BFA" w:rsidTr="00307BFA">
        <w:tc>
          <w:tcPr>
            <w:tcW w:w="2227" w:type="dxa"/>
          </w:tcPr>
          <w:p w:rsidR="00307BFA" w:rsidRDefault="00307BFA" w:rsidP="00307BFA">
            <w:pPr>
              <w:tabs>
                <w:tab w:val="center" w:pos="4320"/>
                <w:tab w:val="right" w:pos="8640"/>
              </w:tabs>
            </w:pPr>
            <w:r>
              <w:t>1036</w:t>
            </w:r>
          </w:p>
        </w:tc>
        <w:tc>
          <w:tcPr>
            <w:tcW w:w="2311" w:type="dxa"/>
          </w:tcPr>
          <w:p w:rsidR="00307BFA" w:rsidRDefault="00307BFA" w:rsidP="00307BFA">
            <w:pPr>
              <w:tabs>
                <w:tab w:val="center" w:pos="4320"/>
                <w:tab w:val="right" w:pos="8640"/>
              </w:tabs>
            </w:pPr>
            <w:r>
              <w:t>11/21/07</w:t>
            </w:r>
          </w:p>
        </w:tc>
        <w:tc>
          <w:tcPr>
            <w:tcW w:w="2320" w:type="dxa"/>
          </w:tcPr>
          <w:p w:rsidR="00307BFA" w:rsidRDefault="00307BFA" w:rsidP="00307BFA">
            <w:pPr>
              <w:tabs>
                <w:tab w:val="center" w:pos="4320"/>
                <w:tab w:val="right" w:pos="8640"/>
              </w:tabs>
            </w:pPr>
            <w:r>
              <w:t>T Mobile</w:t>
            </w:r>
          </w:p>
        </w:tc>
        <w:tc>
          <w:tcPr>
            <w:tcW w:w="2070" w:type="dxa"/>
          </w:tcPr>
          <w:p w:rsidR="00307BFA" w:rsidRDefault="00307BFA" w:rsidP="00307BFA">
            <w:pPr>
              <w:tabs>
                <w:tab w:val="center" w:pos="4320"/>
                <w:tab w:val="right" w:pos="8640"/>
              </w:tabs>
            </w:pPr>
            <w:r>
              <w:t>$180.22</w:t>
            </w:r>
          </w:p>
        </w:tc>
      </w:tr>
    </w:tbl>
    <w:p w:rsidR="00307BFA" w:rsidRDefault="00307BFA" w:rsidP="00F04CCA">
      <w:pPr>
        <w:spacing w:line="480" w:lineRule="auto"/>
        <w:ind w:firstLine="720"/>
        <w:rPr>
          <w:color w:val="000000"/>
        </w:rPr>
      </w:pPr>
    </w:p>
    <w:p w:rsidR="00F04CCA" w:rsidRDefault="00F04CCA" w:rsidP="00F04CCA">
      <w:pPr>
        <w:spacing w:line="480" w:lineRule="auto"/>
        <w:ind w:firstLine="720"/>
        <w:rPr>
          <w:color w:val="000000"/>
        </w:rPr>
      </w:pPr>
      <w:r w:rsidRPr="0089257E">
        <w:rPr>
          <w:color w:val="000000"/>
        </w:rPr>
        <w:t xml:space="preserve">In or about </w:t>
      </w:r>
      <w:r w:rsidR="0036179C">
        <w:rPr>
          <w:color w:val="000000"/>
        </w:rPr>
        <w:t>December 2007</w:t>
      </w:r>
      <w:r w:rsidRPr="0089257E">
        <w:rPr>
          <w:color w:val="000000"/>
        </w:rPr>
        <w:t xml:space="preserve">, </w:t>
      </w:r>
      <w:r>
        <w:rPr>
          <w:color w:val="000000"/>
        </w:rPr>
        <w:t>r</w:t>
      </w:r>
      <w:r w:rsidRPr="0089257E">
        <w:rPr>
          <w:color w:val="000000"/>
        </w:rPr>
        <w:t xml:space="preserve">espondent repeatedly issued checks from her </w:t>
      </w:r>
      <w:r>
        <w:rPr>
          <w:color w:val="000000"/>
        </w:rPr>
        <w:t>CTA</w:t>
      </w:r>
      <w:r w:rsidRPr="0089257E">
        <w:rPr>
          <w:color w:val="000000"/>
        </w:rPr>
        <w:t xml:space="preserve"> to pay her personal and/or business expenses, including, but not limited to, the</w:t>
      </w:r>
      <w:r>
        <w:rPr>
          <w:color w:val="000000"/>
        </w:rPr>
        <w:t xml:space="preserve"> </w:t>
      </w:r>
      <w:r w:rsidRPr="0089257E">
        <w:rPr>
          <w:color w:val="000000"/>
        </w:rPr>
        <w:t>following:</w:t>
      </w:r>
    </w:p>
    <w:tbl>
      <w:tblPr>
        <w:tblW w:w="17836" w:type="dxa"/>
        <w:tblInd w:w="558" w:type="dxa"/>
        <w:tblLook w:val="04A0"/>
      </w:tblPr>
      <w:tblGrid>
        <w:gridCol w:w="2227"/>
        <w:gridCol w:w="2227"/>
        <w:gridCol w:w="2227"/>
        <w:gridCol w:w="2227"/>
        <w:gridCol w:w="2227"/>
        <w:gridCol w:w="2317"/>
        <w:gridCol w:w="2317"/>
        <w:gridCol w:w="2067"/>
      </w:tblGrid>
      <w:tr w:rsidR="00307BFA" w:rsidRPr="00440836" w:rsidTr="00307BFA">
        <w:tc>
          <w:tcPr>
            <w:tcW w:w="2227" w:type="dxa"/>
          </w:tcPr>
          <w:p w:rsidR="00307BFA" w:rsidRPr="00440836" w:rsidRDefault="00307BFA" w:rsidP="00307BFA">
            <w:pPr>
              <w:tabs>
                <w:tab w:val="center" w:pos="4320"/>
                <w:tab w:val="right" w:pos="8640"/>
              </w:tabs>
            </w:pPr>
            <w:r w:rsidRPr="00F04CCA">
              <w:rPr>
                <w:b/>
                <w:color w:val="000000"/>
              </w:rPr>
              <w:t>CHECK NUMBER</w:t>
            </w:r>
          </w:p>
        </w:tc>
        <w:tc>
          <w:tcPr>
            <w:tcW w:w="2227" w:type="dxa"/>
          </w:tcPr>
          <w:p w:rsidR="00307BFA" w:rsidRPr="00440836" w:rsidRDefault="00307BFA" w:rsidP="00307BFA">
            <w:pPr>
              <w:tabs>
                <w:tab w:val="center" w:pos="4320"/>
                <w:tab w:val="right" w:pos="8640"/>
              </w:tabs>
            </w:pPr>
            <w:r w:rsidRPr="00F04CCA">
              <w:rPr>
                <w:b/>
                <w:color w:val="000000"/>
              </w:rPr>
              <w:t>DATE ISSUED</w:t>
            </w:r>
          </w:p>
        </w:tc>
        <w:tc>
          <w:tcPr>
            <w:tcW w:w="2227" w:type="dxa"/>
          </w:tcPr>
          <w:p w:rsidR="00307BFA" w:rsidRPr="00440836" w:rsidRDefault="00307BFA" w:rsidP="00307BFA">
            <w:pPr>
              <w:tabs>
                <w:tab w:val="center" w:pos="4320"/>
                <w:tab w:val="right" w:pos="8640"/>
              </w:tabs>
            </w:pPr>
            <w:r w:rsidRPr="00F04CCA">
              <w:rPr>
                <w:b/>
                <w:color w:val="000000"/>
              </w:rPr>
              <w:t>PAYEE</w:t>
            </w:r>
          </w:p>
        </w:tc>
        <w:tc>
          <w:tcPr>
            <w:tcW w:w="2227" w:type="dxa"/>
          </w:tcPr>
          <w:p w:rsidR="00307BFA" w:rsidRPr="00440836" w:rsidRDefault="00307BFA" w:rsidP="00307BFA">
            <w:pPr>
              <w:tabs>
                <w:tab w:val="center" w:pos="4320"/>
                <w:tab w:val="right" w:pos="8640"/>
              </w:tabs>
            </w:pPr>
            <w:r w:rsidRPr="00F04CCA">
              <w:rPr>
                <w:b/>
                <w:color w:val="000000"/>
              </w:rPr>
              <w:t>AMOUNT</w:t>
            </w:r>
          </w:p>
        </w:tc>
        <w:tc>
          <w:tcPr>
            <w:tcW w:w="2227" w:type="dxa"/>
          </w:tcPr>
          <w:p w:rsidR="00307BFA" w:rsidRPr="00440836" w:rsidRDefault="00307BFA" w:rsidP="00F04CCA">
            <w:pPr>
              <w:tabs>
                <w:tab w:val="center" w:pos="4320"/>
                <w:tab w:val="right" w:pos="8640"/>
              </w:tabs>
            </w:pPr>
          </w:p>
        </w:tc>
        <w:tc>
          <w:tcPr>
            <w:tcW w:w="2317" w:type="dxa"/>
          </w:tcPr>
          <w:p w:rsidR="00307BFA" w:rsidRPr="00440836" w:rsidRDefault="00307BFA" w:rsidP="00F04CCA">
            <w:pPr>
              <w:tabs>
                <w:tab w:val="center" w:pos="4320"/>
                <w:tab w:val="right" w:pos="8640"/>
              </w:tabs>
            </w:pPr>
          </w:p>
        </w:tc>
        <w:tc>
          <w:tcPr>
            <w:tcW w:w="2317" w:type="dxa"/>
          </w:tcPr>
          <w:p w:rsidR="00307BFA" w:rsidRPr="00440836" w:rsidRDefault="00307BFA" w:rsidP="00F04CCA">
            <w:pPr>
              <w:tabs>
                <w:tab w:val="center" w:pos="4320"/>
                <w:tab w:val="right" w:pos="8640"/>
              </w:tabs>
            </w:pPr>
          </w:p>
        </w:tc>
        <w:tc>
          <w:tcPr>
            <w:tcW w:w="2067" w:type="dxa"/>
          </w:tcPr>
          <w:p w:rsidR="00307BFA" w:rsidRPr="00440836" w:rsidRDefault="00307BFA" w:rsidP="00F04CCA">
            <w:pPr>
              <w:tabs>
                <w:tab w:val="center" w:pos="4320"/>
                <w:tab w:val="right" w:pos="8640"/>
              </w:tabs>
            </w:pPr>
          </w:p>
        </w:tc>
      </w:tr>
      <w:tr w:rsidR="00307BFA" w:rsidTr="00307BFA">
        <w:tc>
          <w:tcPr>
            <w:tcW w:w="2227" w:type="dxa"/>
          </w:tcPr>
          <w:p w:rsidR="00307BFA" w:rsidRDefault="00307BFA" w:rsidP="00307BFA">
            <w:pPr>
              <w:tabs>
                <w:tab w:val="center" w:pos="4320"/>
                <w:tab w:val="right" w:pos="8640"/>
              </w:tabs>
            </w:pPr>
          </w:p>
          <w:p w:rsidR="00307BFA" w:rsidRDefault="00307BFA" w:rsidP="00307BFA">
            <w:pPr>
              <w:tabs>
                <w:tab w:val="center" w:pos="4320"/>
                <w:tab w:val="right" w:pos="8640"/>
              </w:tabs>
            </w:pPr>
            <w:r>
              <w:t>1041</w:t>
            </w:r>
          </w:p>
        </w:tc>
        <w:tc>
          <w:tcPr>
            <w:tcW w:w="2227" w:type="dxa"/>
          </w:tcPr>
          <w:p w:rsidR="00307BFA" w:rsidRDefault="00307BFA" w:rsidP="00307BFA">
            <w:pPr>
              <w:tabs>
                <w:tab w:val="center" w:pos="4320"/>
                <w:tab w:val="right" w:pos="8640"/>
              </w:tabs>
            </w:pPr>
          </w:p>
          <w:p w:rsidR="00307BFA" w:rsidRDefault="00307BFA" w:rsidP="00307BFA">
            <w:pPr>
              <w:tabs>
                <w:tab w:val="center" w:pos="4320"/>
                <w:tab w:val="right" w:pos="8640"/>
              </w:tabs>
            </w:pPr>
            <w:r>
              <w:t>12/11/07</w:t>
            </w:r>
          </w:p>
        </w:tc>
        <w:tc>
          <w:tcPr>
            <w:tcW w:w="2227" w:type="dxa"/>
          </w:tcPr>
          <w:p w:rsidR="00307BFA" w:rsidRDefault="00307BFA" w:rsidP="00307BFA">
            <w:pPr>
              <w:tabs>
                <w:tab w:val="center" w:pos="4320"/>
                <w:tab w:val="right" w:pos="8640"/>
              </w:tabs>
            </w:pPr>
          </w:p>
          <w:p w:rsidR="00307BFA" w:rsidRDefault="00307BFA" w:rsidP="00307BFA">
            <w:pPr>
              <w:tabs>
                <w:tab w:val="center" w:pos="4320"/>
                <w:tab w:val="right" w:pos="8640"/>
              </w:tabs>
            </w:pPr>
            <w:proofErr w:type="spellStart"/>
            <w:r>
              <w:t>Coreland</w:t>
            </w:r>
            <w:proofErr w:type="spellEnd"/>
          </w:p>
        </w:tc>
        <w:tc>
          <w:tcPr>
            <w:tcW w:w="2227" w:type="dxa"/>
          </w:tcPr>
          <w:p w:rsidR="00307BFA" w:rsidRDefault="00307BFA" w:rsidP="00307BFA">
            <w:pPr>
              <w:tabs>
                <w:tab w:val="center" w:pos="4320"/>
                <w:tab w:val="right" w:pos="8640"/>
              </w:tabs>
            </w:pPr>
          </w:p>
          <w:p w:rsidR="00307BFA" w:rsidRDefault="00307BFA" w:rsidP="00307BFA">
            <w:pPr>
              <w:tabs>
                <w:tab w:val="center" w:pos="4320"/>
                <w:tab w:val="right" w:pos="8640"/>
              </w:tabs>
            </w:pPr>
            <w:r>
              <w:t>$1,269.80</w:t>
            </w:r>
          </w:p>
        </w:tc>
        <w:tc>
          <w:tcPr>
            <w:tcW w:w="2227" w:type="dxa"/>
          </w:tcPr>
          <w:p w:rsidR="00307BFA" w:rsidRDefault="00307BFA" w:rsidP="00F04CCA">
            <w:pPr>
              <w:tabs>
                <w:tab w:val="center" w:pos="4320"/>
                <w:tab w:val="right" w:pos="8640"/>
              </w:tabs>
            </w:pPr>
          </w:p>
        </w:tc>
        <w:tc>
          <w:tcPr>
            <w:tcW w:w="2317" w:type="dxa"/>
          </w:tcPr>
          <w:p w:rsidR="00307BFA" w:rsidRDefault="00307BFA" w:rsidP="00F04CCA">
            <w:pPr>
              <w:tabs>
                <w:tab w:val="center" w:pos="4320"/>
                <w:tab w:val="right" w:pos="8640"/>
              </w:tabs>
            </w:pPr>
          </w:p>
        </w:tc>
        <w:tc>
          <w:tcPr>
            <w:tcW w:w="2317" w:type="dxa"/>
          </w:tcPr>
          <w:p w:rsidR="00307BFA" w:rsidRDefault="00307BFA" w:rsidP="00F04CCA">
            <w:pPr>
              <w:tabs>
                <w:tab w:val="center" w:pos="4320"/>
                <w:tab w:val="right" w:pos="8640"/>
              </w:tabs>
            </w:pPr>
          </w:p>
        </w:tc>
        <w:tc>
          <w:tcPr>
            <w:tcW w:w="2067" w:type="dxa"/>
          </w:tcPr>
          <w:p w:rsidR="00307BFA" w:rsidRDefault="00307BFA" w:rsidP="00F04CCA">
            <w:pPr>
              <w:tabs>
                <w:tab w:val="center" w:pos="4320"/>
                <w:tab w:val="right" w:pos="8640"/>
              </w:tabs>
            </w:pPr>
          </w:p>
        </w:tc>
      </w:tr>
      <w:tr w:rsidR="00307BFA" w:rsidTr="00307BFA">
        <w:tc>
          <w:tcPr>
            <w:tcW w:w="2227" w:type="dxa"/>
          </w:tcPr>
          <w:p w:rsidR="00307BFA" w:rsidRDefault="00307BFA" w:rsidP="00307BFA">
            <w:pPr>
              <w:tabs>
                <w:tab w:val="center" w:pos="4320"/>
                <w:tab w:val="right" w:pos="8640"/>
              </w:tabs>
            </w:pPr>
          </w:p>
          <w:p w:rsidR="00307BFA" w:rsidRDefault="00307BFA" w:rsidP="00307BFA">
            <w:pPr>
              <w:tabs>
                <w:tab w:val="center" w:pos="4320"/>
                <w:tab w:val="right" w:pos="8640"/>
              </w:tabs>
            </w:pPr>
            <w:r>
              <w:t>1059</w:t>
            </w:r>
          </w:p>
        </w:tc>
        <w:tc>
          <w:tcPr>
            <w:tcW w:w="2227" w:type="dxa"/>
          </w:tcPr>
          <w:p w:rsidR="00307BFA" w:rsidRDefault="00307BFA" w:rsidP="00307BFA">
            <w:pPr>
              <w:tabs>
                <w:tab w:val="center" w:pos="4320"/>
                <w:tab w:val="right" w:pos="8640"/>
              </w:tabs>
            </w:pPr>
          </w:p>
          <w:p w:rsidR="00307BFA" w:rsidRDefault="00307BFA" w:rsidP="00307BFA">
            <w:pPr>
              <w:tabs>
                <w:tab w:val="center" w:pos="4320"/>
                <w:tab w:val="right" w:pos="8640"/>
              </w:tabs>
            </w:pPr>
            <w:r>
              <w:t>12/27/07</w:t>
            </w:r>
          </w:p>
        </w:tc>
        <w:tc>
          <w:tcPr>
            <w:tcW w:w="2227" w:type="dxa"/>
          </w:tcPr>
          <w:p w:rsidR="00307BFA" w:rsidRDefault="00307BFA" w:rsidP="00307BFA">
            <w:pPr>
              <w:tabs>
                <w:tab w:val="center" w:pos="4320"/>
                <w:tab w:val="right" w:pos="8640"/>
              </w:tabs>
            </w:pPr>
          </w:p>
          <w:p w:rsidR="00307BFA" w:rsidRDefault="00307BFA" w:rsidP="00307BFA">
            <w:pPr>
              <w:tabs>
                <w:tab w:val="center" w:pos="4320"/>
                <w:tab w:val="right" w:pos="8640"/>
              </w:tabs>
            </w:pPr>
            <w:r>
              <w:t>American Express</w:t>
            </w:r>
          </w:p>
        </w:tc>
        <w:tc>
          <w:tcPr>
            <w:tcW w:w="2227" w:type="dxa"/>
          </w:tcPr>
          <w:p w:rsidR="00307BFA" w:rsidRDefault="00307BFA" w:rsidP="00307BFA">
            <w:pPr>
              <w:tabs>
                <w:tab w:val="center" w:pos="4320"/>
                <w:tab w:val="right" w:pos="8640"/>
              </w:tabs>
            </w:pPr>
          </w:p>
          <w:p w:rsidR="00307BFA" w:rsidRDefault="00307BFA" w:rsidP="00307BFA">
            <w:pPr>
              <w:tabs>
                <w:tab w:val="center" w:pos="4320"/>
                <w:tab w:val="right" w:pos="8640"/>
              </w:tabs>
            </w:pPr>
            <w:r>
              <w:t>$63.98</w:t>
            </w:r>
          </w:p>
        </w:tc>
        <w:tc>
          <w:tcPr>
            <w:tcW w:w="2227" w:type="dxa"/>
          </w:tcPr>
          <w:p w:rsidR="00307BFA" w:rsidRDefault="00307BFA" w:rsidP="00F04CCA">
            <w:pPr>
              <w:tabs>
                <w:tab w:val="center" w:pos="4320"/>
                <w:tab w:val="right" w:pos="8640"/>
              </w:tabs>
            </w:pPr>
          </w:p>
        </w:tc>
        <w:tc>
          <w:tcPr>
            <w:tcW w:w="2317" w:type="dxa"/>
          </w:tcPr>
          <w:p w:rsidR="00307BFA" w:rsidRDefault="00307BFA" w:rsidP="00F04CCA">
            <w:pPr>
              <w:tabs>
                <w:tab w:val="center" w:pos="4320"/>
                <w:tab w:val="right" w:pos="8640"/>
              </w:tabs>
            </w:pPr>
          </w:p>
        </w:tc>
        <w:tc>
          <w:tcPr>
            <w:tcW w:w="2317" w:type="dxa"/>
          </w:tcPr>
          <w:p w:rsidR="00307BFA" w:rsidRDefault="00307BFA" w:rsidP="00F04CCA">
            <w:pPr>
              <w:tabs>
                <w:tab w:val="center" w:pos="4320"/>
                <w:tab w:val="right" w:pos="8640"/>
              </w:tabs>
            </w:pPr>
          </w:p>
        </w:tc>
        <w:tc>
          <w:tcPr>
            <w:tcW w:w="2067" w:type="dxa"/>
          </w:tcPr>
          <w:p w:rsidR="00307BFA" w:rsidRDefault="00307BFA" w:rsidP="00F04CCA">
            <w:pPr>
              <w:tabs>
                <w:tab w:val="center" w:pos="4320"/>
                <w:tab w:val="right" w:pos="8640"/>
              </w:tabs>
            </w:pPr>
          </w:p>
        </w:tc>
      </w:tr>
      <w:tr w:rsidR="00307BFA" w:rsidTr="00307BFA">
        <w:tc>
          <w:tcPr>
            <w:tcW w:w="2227" w:type="dxa"/>
          </w:tcPr>
          <w:p w:rsidR="00307BFA" w:rsidRDefault="00307BFA" w:rsidP="00307BFA">
            <w:pPr>
              <w:tabs>
                <w:tab w:val="center" w:pos="4320"/>
                <w:tab w:val="right" w:pos="8640"/>
              </w:tabs>
            </w:pPr>
          </w:p>
        </w:tc>
        <w:tc>
          <w:tcPr>
            <w:tcW w:w="2227" w:type="dxa"/>
          </w:tcPr>
          <w:p w:rsidR="00307BFA" w:rsidRDefault="00307BFA" w:rsidP="00307BFA">
            <w:pPr>
              <w:tabs>
                <w:tab w:val="center" w:pos="4320"/>
                <w:tab w:val="right" w:pos="8640"/>
              </w:tabs>
            </w:pPr>
          </w:p>
        </w:tc>
        <w:tc>
          <w:tcPr>
            <w:tcW w:w="2227" w:type="dxa"/>
          </w:tcPr>
          <w:p w:rsidR="00307BFA" w:rsidRDefault="00307BFA" w:rsidP="00307BFA">
            <w:pPr>
              <w:tabs>
                <w:tab w:val="center" w:pos="4320"/>
                <w:tab w:val="right" w:pos="8640"/>
              </w:tabs>
            </w:pPr>
          </w:p>
        </w:tc>
        <w:tc>
          <w:tcPr>
            <w:tcW w:w="2227" w:type="dxa"/>
          </w:tcPr>
          <w:p w:rsidR="00307BFA" w:rsidRDefault="00307BFA" w:rsidP="00307BFA">
            <w:pPr>
              <w:tabs>
                <w:tab w:val="center" w:pos="4320"/>
                <w:tab w:val="right" w:pos="8640"/>
              </w:tabs>
            </w:pPr>
          </w:p>
        </w:tc>
        <w:tc>
          <w:tcPr>
            <w:tcW w:w="2227" w:type="dxa"/>
          </w:tcPr>
          <w:p w:rsidR="00307BFA" w:rsidRDefault="00307BFA" w:rsidP="00F04CCA">
            <w:pPr>
              <w:tabs>
                <w:tab w:val="center" w:pos="4320"/>
                <w:tab w:val="right" w:pos="8640"/>
              </w:tabs>
            </w:pPr>
          </w:p>
        </w:tc>
        <w:tc>
          <w:tcPr>
            <w:tcW w:w="2317" w:type="dxa"/>
          </w:tcPr>
          <w:p w:rsidR="00307BFA" w:rsidRDefault="00307BFA" w:rsidP="00F04CCA">
            <w:pPr>
              <w:tabs>
                <w:tab w:val="center" w:pos="4320"/>
                <w:tab w:val="right" w:pos="8640"/>
              </w:tabs>
            </w:pPr>
          </w:p>
        </w:tc>
        <w:tc>
          <w:tcPr>
            <w:tcW w:w="2317" w:type="dxa"/>
          </w:tcPr>
          <w:p w:rsidR="00307BFA" w:rsidRDefault="00307BFA" w:rsidP="00F04CCA">
            <w:pPr>
              <w:tabs>
                <w:tab w:val="center" w:pos="4320"/>
                <w:tab w:val="right" w:pos="8640"/>
              </w:tabs>
            </w:pPr>
          </w:p>
        </w:tc>
        <w:tc>
          <w:tcPr>
            <w:tcW w:w="2067" w:type="dxa"/>
          </w:tcPr>
          <w:p w:rsidR="00307BFA" w:rsidRDefault="00307BFA" w:rsidP="00F04CCA">
            <w:pPr>
              <w:tabs>
                <w:tab w:val="center" w:pos="4320"/>
                <w:tab w:val="right" w:pos="8640"/>
              </w:tabs>
            </w:pPr>
          </w:p>
        </w:tc>
      </w:tr>
    </w:tbl>
    <w:p w:rsidR="003D241C" w:rsidRDefault="003D241C" w:rsidP="003D241C">
      <w:pPr>
        <w:spacing w:line="480" w:lineRule="auto"/>
        <w:ind w:firstLine="720"/>
      </w:pPr>
      <w:r w:rsidRPr="009F1487">
        <w:t xml:space="preserve">In or about January 2008, </w:t>
      </w:r>
      <w:r>
        <w:t>r</w:t>
      </w:r>
      <w:r w:rsidRPr="009F1487">
        <w:t xml:space="preserve">espondent repeatedly issued checks from her </w:t>
      </w:r>
      <w:r>
        <w:t>CTA</w:t>
      </w:r>
      <w:r w:rsidRPr="009F1487">
        <w:t xml:space="preserve"> to pay her personal and/or business expenses, including, but not limited to, the following:</w:t>
      </w:r>
    </w:p>
    <w:tbl>
      <w:tblPr>
        <w:tblW w:w="0" w:type="auto"/>
        <w:tblInd w:w="558" w:type="dxa"/>
        <w:tblLook w:val="04A0"/>
      </w:tblPr>
      <w:tblGrid>
        <w:gridCol w:w="2227"/>
        <w:gridCol w:w="2311"/>
        <w:gridCol w:w="2320"/>
        <w:gridCol w:w="2070"/>
      </w:tblGrid>
      <w:tr w:rsidR="00CC6F0B" w:rsidRPr="00440836" w:rsidTr="002C102F">
        <w:tc>
          <w:tcPr>
            <w:tcW w:w="2227" w:type="dxa"/>
          </w:tcPr>
          <w:p w:rsidR="00CC6F0B" w:rsidRPr="00440836" w:rsidRDefault="00CC6F0B" w:rsidP="002C102F">
            <w:pPr>
              <w:tabs>
                <w:tab w:val="center" w:pos="4320"/>
                <w:tab w:val="right" w:pos="8640"/>
              </w:tabs>
            </w:pPr>
            <w:r w:rsidRPr="003D241C">
              <w:rPr>
                <w:b/>
                <w:color w:val="000000"/>
              </w:rPr>
              <w:t>CHECK NUMBER</w:t>
            </w:r>
          </w:p>
        </w:tc>
        <w:tc>
          <w:tcPr>
            <w:tcW w:w="2311" w:type="dxa"/>
          </w:tcPr>
          <w:p w:rsidR="00CC6F0B" w:rsidRPr="00440836" w:rsidRDefault="00CC6F0B" w:rsidP="002C102F">
            <w:pPr>
              <w:tabs>
                <w:tab w:val="center" w:pos="4320"/>
                <w:tab w:val="right" w:pos="8640"/>
              </w:tabs>
            </w:pPr>
            <w:r w:rsidRPr="003D241C">
              <w:rPr>
                <w:b/>
                <w:color w:val="000000"/>
              </w:rPr>
              <w:t>DATE ISSUED</w:t>
            </w:r>
          </w:p>
        </w:tc>
        <w:tc>
          <w:tcPr>
            <w:tcW w:w="2320" w:type="dxa"/>
          </w:tcPr>
          <w:p w:rsidR="00CC6F0B" w:rsidRPr="00440836" w:rsidRDefault="00CC6F0B" w:rsidP="002C102F">
            <w:pPr>
              <w:tabs>
                <w:tab w:val="center" w:pos="4320"/>
                <w:tab w:val="right" w:pos="8640"/>
              </w:tabs>
            </w:pPr>
            <w:r w:rsidRPr="003D241C">
              <w:rPr>
                <w:b/>
                <w:color w:val="000000"/>
              </w:rPr>
              <w:t>PAYEE</w:t>
            </w:r>
          </w:p>
        </w:tc>
        <w:tc>
          <w:tcPr>
            <w:tcW w:w="2070" w:type="dxa"/>
          </w:tcPr>
          <w:p w:rsidR="00CC6F0B" w:rsidRPr="00440836" w:rsidRDefault="00CC6F0B" w:rsidP="002C102F">
            <w:pPr>
              <w:tabs>
                <w:tab w:val="center" w:pos="4320"/>
                <w:tab w:val="right" w:pos="8640"/>
              </w:tabs>
            </w:pPr>
            <w:r w:rsidRPr="003D241C">
              <w:rPr>
                <w:b/>
                <w:color w:val="000000"/>
              </w:rPr>
              <w:t>AMOUNT</w:t>
            </w:r>
          </w:p>
        </w:tc>
      </w:tr>
      <w:tr w:rsidR="00CC6F0B" w:rsidTr="002C102F">
        <w:tc>
          <w:tcPr>
            <w:tcW w:w="2227" w:type="dxa"/>
          </w:tcPr>
          <w:p w:rsidR="00CC6F0B" w:rsidRDefault="00CC6F0B" w:rsidP="002C102F">
            <w:pPr>
              <w:tabs>
                <w:tab w:val="center" w:pos="4320"/>
                <w:tab w:val="right" w:pos="8640"/>
              </w:tabs>
            </w:pPr>
          </w:p>
          <w:p w:rsidR="00CC6F0B" w:rsidRDefault="00CC6F0B" w:rsidP="002C102F">
            <w:pPr>
              <w:tabs>
                <w:tab w:val="center" w:pos="4320"/>
                <w:tab w:val="right" w:pos="8640"/>
              </w:tabs>
            </w:pPr>
            <w:r>
              <w:t>1075</w:t>
            </w:r>
          </w:p>
        </w:tc>
        <w:tc>
          <w:tcPr>
            <w:tcW w:w="2311" w:type="dxa"/>
          </w:tcPr>
          <w:p w:rsidR="00CC6F0B" w:rsidRDefault="00CC6F0B" w:rsidP="002C102F">
            <w:pPr>
              <w:tabs>
                <w:tab w:val="center" w:pos="4320"/>
                <w:tab w:val="right" w:pos="8640"/>
              </w:tabs>
            </w:pPr>
          </w:p>
          <w:p w:rsidR="00CC6F0B" w:rsidRDefault="00CC6F0B" w:rsidP="002C102F">
            <w:pPr>
              <w:tabs>
                <w:tab w:val="center" w:pos="4320"/>
                <w:tab w:val="right" w:pos="8640"/>
              </w:tabs>
            </w:pPr>
            <w:r>
              <w:t>1/22/08</w:t>
            </w:r>
          </w:p>
        </w:tc>
        <w:tc>
          <w:tcPr>
            <w:tcW w:w="2320" w:type="dxa"/>
          </w:tcPr>
          <w:p w:rsidR="00CC6F0B" w:rsidRDefault="00CC6F0B" w:rsidP="002C102F">
            <w:pPr>
              <w:tabs>
                <w:tab w:val="center" w:pos="4320"/>
                <w:tab w:val="right" w:pos="8640"/>
              </w:tabs>
            </w:pPr>
          </w:p>
          <w:p w:rsidR="00CC6F0B" w:rsidRDefault="00CC6F0B" w:rsidP="002C102F">
            <w:pPr>
              <w:tabs>
                <w:tab w:val="center" w:pos="4320"/>
                <w:tab w:val="right" w:pos="8640"/>
              </w:tabs>
            </w:pPr>
            <w:proofErr w:type="spellStart"/>
            <w:r>
              <w:t>Armstar</w:t>
            </w:r>
            <w:proofErr w:type="spellEnd"/>
            <w:r>
              <w:t>/Red Oak</w:t>
            </w:r>
          </w:p>
        </w:tc>
        <w:tc>
          <w:tcPr>
            <w:tcW w:w="2070" w:type="dxa"/>
          </w:tcPr>
          <w:p w:rsidR="00CC6F0B" w:rsidRDefault="00CC6F0B" w:rsidP="002C102F">
            <w:pPr>
              <w:tabs>
                <w:tab w:val="center" w:pos="4320"/>
                <w:tab w:val="right" w:pos="8640"/>
              </w:tabs>
            </w:pPr>
          </w:p>
          <w:p w:rsidR="00CC6F0B" w:rsidRDefault="00CC6F0B" w:rsidP="002C102F">
            <w:pPr>
              <w:tabs>
                <w:tab w:val="center" w:pos="4320"/>
                <w:tab w:val="right" w:pos="8640"/>
              </w:tabs>
            </w:pPr>
            <w:r>
              <w:t>$1,294.80</w:t>
            </w:r>
          </w:p>
        </w:tc>
      </w:tr>
      <w:tr w:rsidR="00CC6F0B" w:rsidTr="002C102F">
        <w:tc>
          <w:tcPr>
            <w:tcW w:w="2227" w:type="dxa"/>
          </w:tcPr>
          <w:p w:rsidR="00CC6F0B" w:rsidRDefault="00CC6F0B" w:rsidP="002C102F">
            <w:pPr>
              <w:tabs>
                <w:tab w:val="center" w:pos="4320"/>
                <w:tab w:val="right" w:pos="8640"/>
              </w:tabs>
            </w:pPr>
          </w:p>
          <w:p w:rsidR="00CC6F0B" w:rsidRDefault="00CC6F0B" w:rsidP="002C102F">
            <w:pPr>
              <w:tabs>
                <w:tab w:val="center" w:pos="4320"/>
                <w:tab w:val="right" w:pos="8640"/>
              </w:tabs>
            </w:pPr>
            <w:r>
              <w:t>1072</w:t>
            </w:r>
          </w:p>
        </w:tc>
        <w:tc>
          <w:tcPr>
            <w:tcW w:w="2311" w:type="dxa"/>
          </w:tcPr>
          <w:p w:rsidR="00CC6F0B" w:rsidRDefault="00CC6F0B" w:rsidP="002C102F">
            <w:pPr>
              <w:tabs>
                <w:tab w:val="center" w:pos="4320"/>
                <w:tab w:val="right" w:pos="8640"/>
              </w:tabs>
            </w:pPr>
          </w:p>
          <w:p w:rsidR="00CC6F0B" w:rsidRDefault="00CC6F0B" w:rsidP="002C102F">
            <w:pPr>
              <w:tabs>
                <w:tab w:val="center" w:pos="4320"/>
                <w:tab w:val="right" w:pos="8640"/>
              </w:tabs>
            </w:pPr>
            <w:r>
              <w:t>1/23/08</w:t>
            </w:r>
          </w:p>
        </w:tc>
        <w:tc>
          <w:tcPr>
            <w:tcW w:w="2320" w:type="dxa"/>
          </w:tcPr>
          <w:p w:rsidR="00CC6F0B" w:rsidRDefault="00CC6F0B" w:rsidP="002C102F">
            <w:pPr>
              <w:tabs>
                <w:tab w:val="center" w:pos="4320"/>
                <w:tab w:val="right" w:pos="8640"/>
              </w:tabs>
            </w:pPr>
          </w:p>
          <w:p w:rsidR="00CC6F0B" w:rsidRDefault="00CC6F0B" w:rsidP="002C102F">
            <w:pPr>
              <w:tabs>
                <w:tab w:val="center" w:pos="4320"/>
                <w:tab w:val="right" w:pos="8640"/>
              </w:tabs>
            </w:pPr>
            <w:r>
              <w:t>Preferred Finish</w:t>
            </w:r>
          </w:p>
        </w:tc>
        <w:tc>
          <w:tcPr>
            <w:tcW w:w="2070" w:type="dxa"/>
          </w:tcPr>
          <w:p w:rsidR="00CC6F0B" w:rsidRDefault="00CC6F0B" w:rsidP="002C102F">
            <w:pPr>
              <w:tabs>
                <w:tab w:val="center" w:pos="4320"/>
                <w:tab w:val="right" w:pos="8640"/>
              </w:tabs>
            </w:pPr>
          </w:p>
          <w:p w:rsidR="00CC6F0B" w:rsidRDefault="00CC6F0B" w:rsidP="002C102F">
            <w:pPr>
              <w:tabs>
                <w:tab w:val="center" w:pos="4320"/>
                <w:tab w:val="right" w:pos="8640"/>
              </w:tabs>
            </w:pPr>
            <w:r>
              <w:t>$2,000</w:t>
            </w:r>
          </w:p>
        </w:tc>
      </w:tr>
      <w:tr w:rsidR="00CC6F0B" w:rsidTr="002C102F">
        <w:tc>
          <w:tcPr>
            <w:tcW w:w="2227" w:type="dxa"/>
          </w:tcPr>
          <w:p w:rsidR="00CC6F0B" w:rsidRDefault="00CC6F0B" w:rsidP="002C102F">
            <w:pPr>
              <w:tabs>
                <w:tab w:val="center" w:pos="4320"/>
                <w:tab w:val="right" w:pos="8640"/>
              </w:tabs>
            </w:pPr>
          </w:p>
          <w:p w:rsidR="00CC6F0B" w:rsidRDefault="00CC6F0B" w:rsidP="002C102F">
            <w:pPr>
              <w:tabs>
                <w:tab w:val="center" w:pos="4320"/>
                <w:tab w:val="right" w:pos="8640"/>
              </w:tabs>
            </w:pPr>
            <w:r>
              <w:t>1087</w:t>
            </w:r>
          </w:p>
        </w:tc>
        <w:tc>
          <w:tcPr>
            <w:tcW w:w="2311" w:type="dxa"/>
          </w:tcPr>
          <w:p w:rsidR="00CC6F0B" w:rsidRDefault="00CC6F0B" w:rsidP="002C102F">
            <w:pPr>
              <w:tabs>
                <w:tab w:val="center" w:pos="4320"/>
                <w:tab w:val="right" w:pos="8640"/>
              </w:tabs>
            </w:pPr>
          </w:p>
          <w:p w:rsidR="00CC6F0B" w:rsidRDefault="00CC6F0B" w:rsidP="002C102F">
            <w:pPr>
              <w:tabs>
                <w:tab w:val="center" w:pos="4320"/>
                <w:tab w:val="right" w:pos="8640"/>
              </w:tabs>
            </w:pPr>
            <w:r>
              <w:t>1/30/08</w:t>
            </w:r>
          </w:p>
        </w:tc>
        <w:tc>
          <w:tcPr>
            <w:tcW w:w="2320" w:type="dxa"/>
          </w:tcPr>
          <w:p w:rsidR="00CC6F0B" w:rsidRDefault="00CC6F0B" w:rsidP="002C102F">
            <w:pPr>
              <w:tabs>
                <w:tab w:val="center" w:pos="4320"/>
                <w:tab w:val="right" w:pos="8640"/>
              </w:tabs>
            </w:pPr>
          </w:p>
          <w:p w:rsidR="00CC6F0B" w:rsidRDefault="00CC6F0B" w:rsidP="002C102F">
            <w:pPr>
              <w:tabs>
                <w:tab w:val="center" w:pos="4320"/>
                <w:tab w:val="right" w:pos="8640"/>
              </w:tabs>
            </w:pPr>
            <w:r>
              <w:t>Preferred Finish</w:t>
            </w:r>
          </w:p>
        </w:tc>
        <w:tc>
          <w:tcPr>
            <w:tcW w:w="2070" w:type="dxa"/>
          </w:tcPr>
          <w:p w:rsidR="00CC6F0B" w:rsidRDefault="00CC6F0B" w:rsidP="002C102F">
            <w:pPr>
              <w:tabs>
                <w:tab w:val="center" w:pos="4320"/>
                <w:tab w:val="right" w:pos="8640"/>
              </w:tabs>
            </w:pPr>
          </w:p>
          <w:p w:rsidR="00CC6F0B" w:rsidRDefault="00CC6F0B" w:rsidP="002C102F">
            <w:pPr>
              <w:tabs>
                <w:tab w:val="center" w:pos="4320"/>
                <w:tab w:val="right" w:pos="8640"/>
              </w:tabs>
            </w:pPr>
            <w:r>
              <w:t>$750</w:t>
            </w:r>
          </w:p>
        </w:tc>
      </w:tr>
      <w:tr w:rsidR="00CC6F0B" w:rsidTr="002C102F">
        <w:tc>
          <w:tcPr>
            <w:tcW w:w="2227" w:type="dxa"/>
          </w:tcPr>
          <w:p w:rsidR="00CC6F0B" w:rsidRDefault="00CC6F0B" w:rsidP="002C102F">
            <w:pPr>
              <w:tabs>
                <w:tab w:val="center" w:pos="4320"/>
                <w:tab w:val="right" w:pos="8640"/>
              </w:tabs>
            </w:pPr>
          </w:p>
          <w:p w:rsidR="00CC6F0B" w:rsidRDefault="00CC6F0B" w:rsidP="002C102F">
            <w:pPr>
              <w:tabs>
                <w:tab w:val="center" w:pos="4320"/>
                <w:tab w:val="right" w:pos="8640"/>
              </w:tabs>
            </w:pPr>
            <w:r>
              <w:t>1083</w:t>
            </w:r>
          </w:p>
        </w:tc>
        <w:tc>
          <w:tcPr>
            <w:tcW w:w="2311" w:type="dxa"/>
          </w:tcPr>
          <w:p w:rsidR="00CC6F0B" w:rsidRDefault="00CC6F0B" w:rsidP="002C102F">
            <w:pPr>
              <w:tabs>
                <w:tab w:val="center" w:pos="4320"/>
                <w:tab w:val="right" w:pos="8640"/>
              </w:tabs>
            </w:pPr>
          </w:p>
          <w:p w:rsidR="00CC6F0B" w:rsidRDefault="00CC6F0B" w:rsidP="002C102F">
            <w:pPr>
              <w:tabs>
                <w:tab w:val="center" w:pos="4320"/>
                <w:tab w:val="right" w:pos="8640"/>
              </w:tabs>
            </w:pPr>
            <w:r>
              <w:t>1/30/08</w:t>
            </w:r>
          </w:p>
        </w:tc>
        <w:tc>
          <w:tcPr>
            <w:tcW w:w="2320" w:type="dxa"/>
          </w:tcPr>
          <w:p w:rsidR="00CC6F0B" w:rsidRDefault="00CC6F0B" w:rsidP="002C102F">
            <w:pPr>
              <w:tabs>
                <w:tab w:val="center" w:pos="4320"/>
                <w:tab w:val="right" w:pos="8640"/>
              </w:tabs>
            </w:pPr>
          </w:p>
          <w:p w:rsidR="00CC6F0B" w:rsidRDefault="00CC6F0B" w:rsidP="002C102F">
            <w:pPr>
              <w:tabs>
                <w:tab w:val="center" w:pos="4320"/>
                <w:tab w:val="right" w:pos="8640"/>
              </w:tabs>
            </w:pPr>
            <w:proofErr w:type="spellStart"/>
            <w:r>
              <w:t>OTV</w:t>
            </w:r>
            <w:proofErr w:type="spellEnd"/>
          </w:p>
        </w:tc>
        <w:tc>
          <w:tcPr>
            <w:tcW w:w="2070" w:type="dxa"/>
          </w:tcPr>
          <w:p w:rsidR="00CC6F0B" w:rsidRDefault="00CC6F0B" w:rsidP="002C102F">
            <w:pPr>
              <w:tabs>
                <w:tab w:val="center" w:pos="4320"/>
                <w:tab w:val="right" w:pos="8640"/>
              </w:tabs>
            </w:pPr>
          </w:p>
          <w:p w:rsidR="00CC6F0B" w:rsidRDefault="00CC6F0B" w:rsidP="002C102F">
            <w:pPr>
              <w:tabs>
                <w:tab w:val="center" w:pos="4320"/>
                <w:tab w:val="right" w:pos="8640"/>
              </w:tabs>
            </w:pPr>
            <w:r>
              <w:t>$60</w:t>
            </w:r>
          </w:p>
          <w:p w:rsidR="00CC6F0B" w:rsidRDefault="00CC6F0B" w:rsidP="002C102F">
            <w:pPr>
              <w:tabs>
                <w:tab w:val="center" w:pos="4320"/>
                <w:tab w:val="right" w:pos="8640"/>
              </w:tabs>
            </w:pPr>
          </w:p>
        </w:tc>
      </w:tr>
    </w:tbl>
    <w:p w:rsidR="0036179C" w:rsidRDefault="00A45516" w:rsidP="0036179C">
      <w:pPr>
        <w:spacing w:line="480" w:lineRule="auto"/>
        <w:ind w:firstLine="720"/>
        <w:rPr>
          <w:color w:val="000000"/>
        </w:rPr>
      </w:pPr>
      <w:r w:rsidRPr="00A45516">
        <w:rPr>
          <w:rFonts w:asciiTheme="minorHAnsi" w:hAnsiTheme="minorHAnsi" w:cstheme="minorBidi"/>
          <w:sz w:val="22"/>
          <w:szCs w:val="22"/>
        </w:rPr>
        <w:pict>
          <v:shapetype id="_x0000_t202" coordsize="21600,21600" o:spt="202" path="m,l,21600r21600,l21600,xe">
            <v:stroke joinstyle="miter"/>
            <v:path gradientshapeok="t" o:connecttype="rect"/>
          </v:shapetype>
          <v:shape id="_x0000_s1026" type="#_x0000_t202" style="position:absolute;left:0;text-align:left;margin-left:0;margin-top:0;width:50pt;height:50pt;z-index:251660288;visibility:hidden;mso-position-horizontal-relative:text;mso-position-vertical-relative:text">
            <v:stroke joinstyle="round"/>
            <v:path gradientshapeok="f" o:connecttype="segments"/>
            <o:lock v:ext="edit" selection="t"/>
          </v:shape>
        </w:pict>
      </w:r>
      <w:r w:rsidR="0036179C" w:rsidRPr="009F0823">
        <w:rPr>
          <w:color w:val="000000"/>
        </w:rPr>
        <w:t xml:space="preserve">In or about February 2008, </w:t>
      </w:r>
      <w:r w:rsidR="0036179C">
        <w:rPr>
          <w:color w:val="000000"/>
        </w:rPr>
        <w:t>r</w:t>
      </w:r>
      <w:r w:rsidR="0036179C" w:rsidRPr="009F0823">
        <w:rPr>
          <w:color w:val="000000"/>
        </w:rPr>
        <w:t xml:space="preserve">espondent repeatedly issued checks from her </w:t>
      </w:r>
      <w:r w:rsidR="0036179C">
        <w:rPr>
          <w:color w:val="000000"/>
        </w:rPr>
        <w:t>CTA</w:t>
      </w:r>
      <w:r w:rsidR="0036179C" w:rsidRPr="009F0823">
        <w:rPr>
          <w:color w:val="000000"/>
        </w:rPr>
        <w:t xml:space="preserve"> to pay her personal and/or business expenses, including, but not limited to, the following:</w:t>
      </w:r>
    </w:p>
    <w:tbl>
      <w:tblPr>
        <w:tblW w:w="9000" w:type="dxa"/>
        <w:tblInd w:w="456" w:type="dxa"/>
        <w:tblLayout w:type="fixed"/>
        <w:tblCellMar>
          <w:left w:w="0" w:type="dxa"/>
          <w:right w:w="0" w:type="dxa"/>
        </w:tblCellMar>
        <w:tblLook w:val="0000"/>
      </w:tblPr>
      <w:tblGrid>
        <w:gridCol w:w="2250"/>
        <w:gridCol w:w="2340"/>
        <w:gridCol w:w="2291"/>
        <w:gridCol w:w="2119"/>
      </w:tblGrid>
      <w:tr w:rsidR="00CC6F0B" w:rsidRPr="00440836" w:rsidTr="002C102F">
        <w:trPr>
          <w:trHeight w:hRule="exact" w:val="405"/>
        </w:trPr>
        <w:tc>
          <w:tcPr>
            <w:tcW w:w="2250" w:type="dxa"/>
          </w:tcPr>
          <w:p w:rsidR="00CC6F0B" w:rsidRPr="00440836" w:rsidRDefault="00CC6F0B" w:rsidP="002C102F">
            <w:r w:rsidRPr="00440836">
              <w:rPr>
                <w:b/>
                <w:color w:val="000000"/>
              </w:rPr>
              <w:t>CHECK NUMBER</w:t>
            </w:r>
          </w:p>
        </w:tc>
        <w:tc>
          <w:tcPr>
            <w:tcW w:w="2340" w:type="dxa"/>
          </w:tcPr>
          <w:p w:rsidR="00CC6F0B" w:rsidRPr="00440836" w:rsidRDefault="00CC6F0B" w:rsidP="002C102F">
            <w:r w:rsidRPr="00440836">
              <w:rPr>
                <w:b/>
                <w:color w:val="000000"/>
              </w:rPr>
              <w:t>DATE ISSUED</w:t>
            </w:r>
          </w:p>
        </w:tc>
        <w:tc>
          <w:tcPr>
            <w:tcW w:w="2291" w:type="dxa"/>
          </w:tcPr>
          <w:p w:rsidR="00CC6F0B" w:rsidRPr="00440836" w:rsidRDefault="00CC6F0B" w:rsidP="002C102F">
            <w:r w:rsidRPr="00440836">
              <w:rPr>
                <w:b/>
                <w:color w:val="000000"/>
              </w:rPr>
              <w:t>PAYEE</w:t>
            </w:r>
          </w:p>
        </w:tc>
        <w:tc>
          <w:tcPr>
            <w:tcW w:w="2119" w:type="dxa"/>
          </w:tcPr>
          <w:p w:rsidR="00CC6F0B" w:rsidRPr="00440836" w:rsidRDefault="00CC6F0B" w:rsidP="002C102F">
            <w:r w:rsidRPr="00440836">
              <w:rPr>
                <w:b/>
                <w:color w:val="000000"/>
              </w:rPr>
              <w:t>AMOUNT</w:t>
            </w:r>
          </w:p>
        </w:tc>
      </w:tr>
      <w:tr w:rsidR="00CC6F0B" w:rsidRPr="009B712D" w:rsidTr="002C102F">
        <w:trPr>
          <w:trHeight w:hRule="exact" w:val="480"/>
        </w:trPr>
        <w:tc>
          <w:tcPr>
            <w:tcW w:w="2250" w:type="dxa"/>
          </w:tcPr>
          <w:p w:rsidR="00CC6F0B" w:rsidRPr="009B712D" w:rsidRDefault="00CC6F0B" w:rsidP="002C102F">
            <w:r w:rsidRPr="009B712D">
              <w:rPr>
                <w:color w:val="000000"/>
              </w:rPr>
              <w:t>1093</w:t>
            </w:r>
          </w:p>
        </w:tc>
        <w:tc>
          <w:tcPr>
            <w:tcW w:w="2340" w:type="dxa"/>
          </w:tcPr>
          <w:p w:rsidR="00CC6F0B" w:rsidRPr="009B712D" w:rsidRDefault="00CC6F0B" w:rsidP="002C102F">
            <w:r w:rsidRPr="009B712D">
              <w:rPr>
                <w:color w:val="000000"/>
              </w:rPr>
              <w:t>2/4/08</w:t>
            </w:r>
          </w:p>
        </w:tc>
        <w:tc>
          <w:tcPr>
            <w:tcW w:w="2291" w:type="dxa"/>
          </w:tcPr>
          <w:p w:rsidR="00CC6F0B" w:rsidRPr="009B712D" w:rsidRDefault="00CC6F0B" w:rsidP="002C102F">
            <w:r w:rsidRPr="009B712D">
              <w:rPr>
                <w:color w:val="000000"/>
              </w:rPr>
              <w:t>Arrowhead</w:t>
            </w:r>
          </w:p>
        </w:tc>
        <w:tc>
          <w:tcPr>
            <w:tcW w:w="2119" w:type="dxa"/>
          </w:tcPr>
          <w:p w:rsidR="00CC6F0B" w:rsidRPr="009B712D" w:rsidRDefault="00CC6F0B" w:rsidP="002C102F">
            <w:r w:rsidRPr="009B712D">
              <w:rPr>
                <w:color w:val="000000"/>
              </w:rPr>
              <w:t>$45.88</w:t>
            </w:r>
          </w:p>
        </w:tc>
      </w:tr>
      <w:tr w:rsidR="00CC6F0B" w:rsidRPr="009B712D" w:rsidTr="002C102F">
        <w:trPr>
          <w:trHeight w:hRule="exact" w:val="484"/>
        </w:trPr>
        <w:tc>
          <w:tcPr>
            <w:tcW w:w="2250" w:type="dxa"/>
          </w:tcPr>
          <w:p w:rsidR="00CC6F0B" w:rsidRPr="009B712D" w:rsidRDefault="00CC6F0B" w:rsidP="002C102F">
            <w:r w:rsidRPr="009B712D">
              <w:rPr>
                <w:color w:val="000000"/>
              </w:rPr>
              <w:t>1095</w:t>
            </w:r>
          </w:p>
        </w:tc>
        <w:tc>
          <w:tcPr>
            <w:tcW w:w="2340" w:type="dxa"/>
          </w:tcPr>
          <w:p w:rsidR="00CC6F0B" w:rsidRPr="009B712D" w:rsidRDefault="00CC6F0B" w:rsidP="002C102F">
            <w:r w:rsidRPr="009B712D">
              <w:rPr>
                <w:color w:val="000000"/>
              </w:rPr>
              <w:t>2/4/08</w:t>
            </w:r>
          </w:p>
        </w:tc>
        <w:tc>
          <w:tcPr>
            <w:tcW w:w="2291" w:type="dxa"/>
          </w:tcPr>
          <w:p w:rsidR="00CC6F0B" w:rsidRPr="009B712D" w:rsidRDefault="00CC6F0B" w:rsidP="002C102F">
            <w:r w:rsidRPr="009B712D">
              <w:rPr>
                <w:color w:val="000000"/>
              </w:rPr>
              <w:t>T Mobile</w:t>
            </w:r>
          </w:p>
        </w:tc>
        <w:tc>
          <w:tcPr>
            <w:tcW w:w="2119" w:type="dxa"/>
          </w:tcPr>
          <w:p w:rsidR="00CC6F0B" w:rsidRPr="009B712D" w:rsidRDefault="00CC6F0B" w:rsidP="002C102F">
            <w:r w:rsidRPr="009B712D">
              <w:rPr>
                <w:color w:val="000000"/>
              </w:rPr>
              <w:t>$183.66</w:t>
            </w:r>
          </w:p>
        </w:tc>
      </w:tr>
      <w:tr w:rsidR="00CC6F0B" w:rsidRPr="009B712D" w:rsidTr="002C102F">
        <w:trPr>
          <w:trHeight w:hRule="exact" w:val="485"/>
        </w:trPr>
        <w:tc>
          <w:tcPr>
            <w:tcW w:w="2250" w:type="dxa"/>
          </w:tcPr>
          <w:p w:rsidR="00CC6F0B" w:rsidRPr="009B712D" w:rsidRDefault="00CC6F0B" w:rsidP="002C102F">
            <w:r w:rsidRPr="009B712D">
              <w:rPr>
                <w:color w:val="000000"/>
              </w:rPr>
              <w:t>1110</w:t>
            </w:r>
          </w:p>
        </w:tc>
        <w:tc>
          <w:tcPr>
            <w:tcW w:w="2340" w:type="dxa"/>
          </w:tcPr>
          <w:p w:rsidR="00CC6F0B" w:rsidRPr="009B712D" w:rsidRDefault="00CC6F0B" w:rsidP="002C102F">
            <w:r w:rsidRPr="009B712D">
              <w:rPr>
                <w:color w:val="000000"/>
              </w:rPr>
              <w:t>2/26/08</w:t>
            </w:r>
          </w:p>
        </w:tc>
        <w:tc>
          <w:tcPr>
            <w:tcW w:w="2291" w:type="dxa"/>
          </w:tcPr>
          <w:p w:rsidR="00CC6F0B" w:rsidRPr="009B712D" w:rsidRDefault="00CC6F0B" w:rsidP="002C102F">
            <w:r w:rsidRPr="009B712D">
              <w:rPr>
                <w:color w:val="000000"/>
              </w:rPr>
              <w:t>T Mobile</w:t>
            </w:r>
          </w:p>
        </w:tc>
        <w:tc>
          <w:tcPr>
            <w:tcW w:w="2119" w:type="dxa"/>
          </w:tcPr>
          <w:p w:rsidR="00CC6F0B" w:rsidRPr="009B712D" w:rsidRDefault="00CC6F0B" w:rsidP="002C102F">
            <w:r w:rsidRPr="009B712D">
              <w:rPr>
                <w:color w:val="000000"/>
              </w:rPr>
              <w:t>$170.60</w:t>
            </w:r>
          </w:p>
        </w:tc>
      </w:tr>
      <w:tr w:rsidR="00CC6F0B" w:rsidRPr="009B712D" w:rsidTr="002C102F">
        <w:trPr>
          <w:trHeight w:hRule="exact" w:val="485"/>
        </w:trPr>
        <w:tc>
          <w:tcPr>
            <w:tcW w:w="2250" w:type="dxa"/>
          </w:tcPr>
          <w:p w:rsidR="00CC6F0B" w:rsidRPr="009B712D" w:rsidRDefault="00CC6F0B" w:rsidP="002C102F">
            <w:r w:rsidRPr="009B712D">
              <w:rPr>
                <w:color w:val="000000"/>
              </w:rPr>
              <w:t>1111</w:t>
            </w:r>
          </w:p>
        </w:tc>
        <w:tc>
          <w:tcPr>
            <w:tcW w:w="2340" w:type="dxa"/>
          </w:tcPr>
          <w:p w:rsidR="00CC6F0B" w:rsidRPr="009B712D" w:rsidRDefault="00CC6F0B" w:rsidP="002C102F">
            <w:r w:rsidRPr="009B712D">
              <w:rPr>
                <w:color w:val="000000"/>
              </w:rPr>
              <w:t>2/26/08</w:t>
            </w:r>
          </w:p>
        </w:tc>
        <w:tc>
          <w:tcPr>
            <w:tcW w:w="2291" w:type="dxa"/>
          </w:tcPr>
          <w:p w:rsidR="00CC6F0B" w:rsidRPr="009B712D" w:rsidRDefault="00CC6F0B" w:rsidP="002C102F">
            <w:r w:rsidRPr="009B712D">
              <w:rPr>
                <w:color w:val="000000"/>
              </w:rPr>
              <w:t>Verizon</w:t>
            </w:r>
          </w:p>
        </w:tc>
        <w:tc>
          <w:tcPr>
            <w:tcW w:w="2119" w:type="dxa"/>
          </w:tcPr>
          <w:p w:rsidR="00CC6F0B" w:rsidRPr="009B712D" w:rsidRDefault="00CC6F0B" w:rsidP="002C102F">
            <w:r w:rsidRPr="009B712D">
              <w:rPr>
                <w:color w:val="000000"/>
              </w:rPr>
              <w:t>$253.27</w:t>
            </w:r>
          </w:p>
        </w:tc>
      </w:tr>
      <w:tr w:rsidR="00CC6F0B" w:rsidRPr="009B712D" w:rsidTr="002C102F">
        <w:trPr>
          <w:trHeight w:hRule="exact" w:val="747"/>
        </w:trPr>
        <w:tc>
          <w:tcPr>
            <w:tcW w:w="2250" w:type="dxa"/>
          </w:tcPr>
          <w:p w:rsidR="00CC6F0B" w:rsidRPr="009B712D" w:rsidRDefault="00CC6F0B" w:rsidP="002C102F">
            <w:r w:rsidRPr="009B712D">
              <w:rPr>
                <w:color w:val="000000"/>
              </w:rPr>
              <w:t>1115</w:t>
            </w:r>
          </w:p>
        </w:tc>
        <w:tc>
          <w:tcPr>
            <w:tcW w:w="2340" w:type="dxa"/>
          </w:tcPr>
          <w:p w:rsidR="00CC6F0B" w:rsidRPr="009B712D" w:rsidRDefault="00CC6F0B" w:rsidP="002C102F">
            <w:r w:rsidRPr="009B712D">
              <w:rPr>
                <w:color w:val="000000"/>
              </w:rPr>
              <w:t>2/26/08</w:t>
            </w:r>
          </w:p>
        </w:tc>
        <w:tc>
          <w:tcPr>
            <w:tcW w:w="2291" w:type="dxa"/>
          </w:tcPr>
          <w:p w:rsidR="00CC6F0B" w:rsidRPr="009B712D" w:rsidRDefault="00CC6F0B" w:rsidP="002C102F">
            <w:r w:rsidRPr="009B712D">
              <w:rPr>
                <w:color w:val="000000"/>
              </w:rPr>
              <w:t>Amstar/ Red Oak Huntington Beach</w:t>
            </w:r>
          </w:p>
        </w:tc>
        <w:tc>
          <w:tcPr>
            <w:tcW w:w="2119" w:type="dxa"/>
          </w:tcPr>
          <w:p w:rsidR="00CC6F0B" w:rsidRPr="009B712D" w:rsidRDefault="00CC6F0B" w:rsidP="002C102F">
            <w:r w:rsidRPr="009B712D">
              <w:rPr>
                <w:color w:val="000000"/>
              </w:rPr>
              <w:t>$55.53</w:t>
            </w:r>
          </w:p>
        </w:tc>
      </w:tr>
      <w:tr w:rsidR="00CC6F0B" w:rsidRPr="009B712D" w:rsidTr="002C102F">
        <w:trPr>
          <w:trHeight w:hRule="exact" w:val="540"/>
        </w:trPr>
        <w:tc>
          <w:tcPr>
            <w:tcW w:w="2250" w:type="dxa"/>
          </w:tcPr>
          <w:p w:rsidR="00CC6F0B" w:rsidRPr="009B712D" w:rsidRDefault="00CC6F0B" w:rsidP="002C102F">
            <w:r w:rsidRPr="009B712D">
              <w:rPr>
                <w:color w:val="000000"/>
              </w:rPr>
              <w:t>1116</w:t>
            </w:r>
          </w:p>
        </w:tc>
        <w:tc>
          <w:tcPr>
            <w:tcW w:w="2340" w:type="dxa"/>
          </w:tcPr>
          <w:p w:rsidR="00CC6F0B" w:rsidRPr="009B712D" w:rsidRDefault="00CC6F0B" w:rsidP="002C102F">
            <w:r w:rsidRPr="009B712D">
              <w:rPr>
                <w:color w:val="000000"/>
              </w:rPr>
              <w:t>2/26/08</w:t>
            </w:r>
          </w:p>
        </w:tc>
        <w:tc>
          <w:tcPr>
            <w:tcW w:w="2291" w:type="dxa"/>
          </w:tcPr>
          <w:p w:rsidR="00CC6F0B" w:rsidRPr="009B712D" w:rsidRDefault="00CC6F0B" w:rsidP="002C102F">
            <w:r w:rsidRPr="009B712D">
              <w:rPr>
                <w:color w:val="000000"/>
              </w:rPr>
              <w:t>Amstar/ Red Oak Huntington Beach</w:t>
            </w:r>
          </w:p>
        </w:tc>
        <w:tc>
          <w:tcPr>
            <w:tcW w:w="2119" w:type="dxa"/>
          </w:tcPr>
          <w:p w:rsidR="00CC6F0B" w:rsidRPr="009B712D" w:rsidRDefault="00CC6F0B" w:rsidP="002C102F">
            <w:r w:rsidRPr="009B712D">
              <w:rPr>
                <w:color w:val="000000"/>
              </w:rPr>
              <w:t>$1</w:t>
            </w:r>
            <w:r w:rsidR="002A67A3">
              <w:rPr>
                <w:color w:val="000000"/>
              </w:rPr>
              <w:t>,</w:t>
            </w:r>
            <w:r w:rsidRPr="009B712D">
              <w:rPr>
                <w:color w:val="000000"/>
              </w:rPr>
              <w:t>306.80</w:t>
            </w:r>
          </w:p>
        </w:tc>
      </w:tr>
    </w:tbl>
    <w:p w:rsidR="0037466A" w:rsidRDefault="0037466A" w:rsidP="00EE27DA">
      <w:pPr>
        <w:spacing w:line="480" w:lineRule="auto"/>
        <w:rPr>
          <w:b/>
          <w:i/>
        </w:rPr>
      </w:pPr>
    </w:p>
    <w:p w:rsidR="00EE27DA" w:rsidRPr="00AA4D40" w:rsidRDefault="00EE27DA" w:rsidP="00EE27DA">
      <w:pPr>
        <w:spacing w:line="480" w:lineRule="auto"/>
        <w:rPr>
          <w:b/>
          <w:i/>
        </w:rPr>
      </w:pPr>
      <w:r w:rsidRPr="00AA4D40">
        <w:rPr>
          <w:b/>
          <w:i/>
        </w:rPr>
        <w:t xml:space="preserve">Count </w:t>
      </w:r>
      <w:r w:rsidR="008223FB">
        <w:rPr>
          <w:b/>
          <w:i/>
        </w:rPr>
        <w:t>9</w:t>
      </w:r>
      <w:r w:rsidRPr="00AA4D40">
        <w:rPr>
          <w:b/>
          <w:i/>
        </w:rPr>
        <w:t>:  M</w:t>
      </w:r>
      <w:r>
        <w:rPr>
          <w:b/>
          <w:i/>
        </w:rPr>
        <w:t>oral Turpitude</w:t>
      </w:r>
      <w:r w:rsidRPr="00AA4D40">
        <w:rPr>
          <w:b/>
          <w:i/>
        </w:rPr>
        <w:t xml:space="preserve"> (§ 61</w:t>
      </w:r>
      <w:r>
        <w:rPr>
          <w:b/>
          <w:i/>
        </w:rPr>
        <w:t>06)</w:t>
      </w:r>
    </w:p>
    <w:p w:rsidR="00AE2CF9" w:rsidRPr="00EE20AB" w:rsidRDefault="00AE2CF9" w:rsidP="00EE27DA">
      <w:pPr>
        <w:spacing w:line="480" w:lineRule="auto"/>
        <w:ind w:firstLine="720"/>
      </w:pPr>
      <w:r>
        <w:t xml:space="preserve">It is well settled that the “conduct of issuing numerous checks with insufficient funds ‘manifests an abiding disregard of the fundamental rule of ethics – that of common honesty – without which the profession is worse than valueless in the place it holds in the administration of justice.’”  </w:t>
      </w:r>
      <w:proofErr w:type="gramStart"/>
      <w:r>
        <w:t>(</w:t>
      </w:r>
      <w:proofErr w:type="spellStart"/>
      <w:r w:rsidRPr="00607BAF">
        <w:rPr>
          <w:i/>
        </w:rPr>
        <w:t>Bambic</w:t>
      </w:r>
      <w:proofErr w:type="spellEnd"/>
      <w:r w:rsidRPr="00607BAF">
        <w:rPr>
          <w:i/>
        </w:rPr>
        <w:t xml:space="preserve"> v. State Bar</w:t>
      </w:r>
      <w:r>
        <w:t xml:space="preserve"> (1985) 40 </w:t>
      </w:r>
      <w:proofErr w:type="spellStart"/>
      <w:r>
        <w:t>Cal.3d</w:t>
      </w:r>
      <w:proofErr w:type="spellEnd"/>
      <w:r>
        <w:t xml:space="preserve"> 314, 324, citing </w:t>
      </w:r>
      <w:r w:rsidRPr="00607BAF">
        <w:rPr>
          <w:i/>
        </w:rPr>
        <w:t>Tomlinson v. State Bar</w:t>
      </w:r>
      <w:r>
        <w:t xml:space="preserve"> (1975) 13 </w:t>
      </w:r>
      <w:proofErr w:type="spellStart"/>
      <w:r>
        <w:t>Cal.3d</w:t>
      </w:r>
      <w:proofErr w:type="spellEnd"/>
      <w:r>
        <w:t xml:space="preserve"> 567, 577.)</w:t>
      </w:r>
      <w:proofErr w:type="gramEnd"/>
      <w:r w:rsidR="00EE20AB">
        <w:t xml:space="preserve">  Moreover, “[</w:t>
      </w:r>
      <w:proofErr w:type="spellStart"/>
      <w:r w:rsidR="00EE20AB">
        <w:t>i</w:t>
      </w:r>
      <w:proofErr w:type="spellEnd"/>
      <w:r w:rsidR="00EE20AB">
        <w:t xml:space="preserve">]n every instance of which we are aware, where an attorney was found to have written multiple bad checks, the Court has found such continued conduct to be an act of moral turpitude.  </w:t>
      </w:r>
      <w:proofErr w:type="gramStart"/>
      <w:r w:rsidR="00EE20AB">
        <w:t>[Citations.]”</w:t>
      </w:r>
      <w:proofErr w:type="gramEnd"/>
      <w:r w:rsidR="00EE20AB">
        <w:t xml:space="preserve">  </w:t>
      </w:r>
      <w:proofErr w:type="gramStart"/>
      <w:r w:rsidR="00EE20AB">
        <w:t>(</w:t>
      </w:r>
      <w:r w:rsidR="00EE20AB">
        <w:rPr>
          <w:i/>
        </w:rPr>
        <w:t xml:space="preserve">In the Matter of </w:t>
      </w:r>
      <w:proofErr w:type="spellStart"/>
      <w:r w:rsidR="00EE20AB">
        <w:rPr>
          <w:i/>
        </w:rPr>
        <w:t>Heiser</w:t>
      </w:r>
      <w:proofErr w:type="spellEnd"/>
      <w:r w:rsidR="00EE20AB">
        <w:t xml:space="preserve"> (Review Dept. 1990) 1 Cal. State Bar Ct. </w:t>
      </w:r>
      <w:proofErr w:type="spellStart"/>
      <w:r w:rsidR="00EE20AB">
        <w:t>Rptr</w:t>
      </w:r>
      <w:proofErr w:type="spellEnd"/>
      <w:r w:rsidR="00EE20AB">
        <w:t>. 47, 53-54.)</w:t>
      </w:r>
      <w:proofErr w:type="gramEnd"/>
    </w:p>
    <w:p w:rsidR="00EE27DA" w:rsidRDefault="00EE20AB" w:rsidP="00EE27DA">
      <w:pPr>
        <w:spacing w:line="480" w:lineRule="auto"/>
        <w:ind w:firstLine="720"/>
      </w:pPr>
      <w:r>
        <w:t xml:space="preserve">Accordingly, respondent willfully violated section 6106, by engaging in acts of moral turpitude by </w:t>
      </w:r>
      <w:r w:rsidR="00AE2CF9">
        <w:t>repeatedly issuing checks drawn upon her Bank of the West CTA when she</w:t>
      </w:r>
      <w:r w:rsidR="00BE68F8">
        <w:t xml:space="preserve"> knew or was grossly negligent in not knowing that there were insufficient funds in the account to pay them, and by failing to ensure that there were sufficient funds in the account to pay the checks</w:t>
      </w:r>
      <w:r>
        <w:t>.</w:t>
      </w:r>
    </w:p>
    <w:p w:rsidR="006C1BB7" w:rsidRPr="006C1BB7" w:rsidRDefault="006C1BB7" w:rsidP="006C1BB7">
      <w:pPr>
        <w:spacing w:line="480" w:lineRule="auto"/>
        <w:rPr>
          <w:b/>
          <w:i/>
        </w:rPr>
      </w:pPr>
      <w:r w:rsidRPr="006C1BB7">
        <w:rPr>
          <w:b/>
          <w:i/>
        </w:rPr>
        <w:t>Count 10:  Commingling (Rule 4-100(A))</w:t>
      </w:r>
    </w:p>
    <w:p w:rsidR="007C612D" w:rsidRDefault="006C1BB7" w:rsidP="003D2D51">
      <w:pPr>
        <w:spacing w:line="480" w:lineRule="auto"/>
        <w:ind w:firstLine="720"/>
      </w:pPr>
      <w:r>
        <w:t xml:space="preserve"> Rule 4-100(A) “absolutely bars use of the trust account for personal purposes, even if client funds are not on deposit.  Because [respondent] used the account while it was ... denominated a trust account, even if he [did not intend] ... to use it for trust purposes, rule [4-100(A)] was violated.  The rule leaves no room for inquiry into the depositor’s intent.”  </w:t>
      </w:r>
      <w:proofErr w:type="gramStart"/>
      <w:r>
        <w:t>(</w:t>
      </w:r>
      <w:r w:rsidRPr="006C1BB7">
        <w:rPr>
          <w:i/>
        </w:rPr>
        <w:t>Doyle v. State Bar</w:t>
      </w:r>
      <w:r>
        <w:t xml:space="preserve"> (1982) 32 </w:t>
      </w:r>
      <w:proofErr w:type="spellStart"/>
      <w:r>
        <w:t>Cal.3d</w:t>
      </w:r>
      <w:proofErr w:type="spellEnd"/>
      <w:r>
        <w:t xml:space="preserve"> 12, 22-23.)</w:t>
      </w:r>
      <w:proofErr w:type="gramEnd"/>
    </w:p>
    <w:p w:rsidR="00BE68F8" w:rsidRDefault="003D2D51" w:rsidP="007C612D">
      <w:pPr>
        <w:spacing w:line="480" w:lineRule="auto"/>
        <w:ind w:firstLine="720"/>
      </w:pPr>
      <w:r>
        <w:t>Thus, b</w:t>
      </w:r>
      <w:r w:rsidR="006C1BB7">
        <w:t>y</w:t>
      </w:r>
      <w:r w:rsidR="007C612D">
        <w:t xml:space="preserve"> i</w:t>
      </w:r>
      <w:r w:rsidR="006C1BB7">
        <w:t>ssuing checks for her personal and</w:t>
      </w:r>
      <w:r w:rsidR="002A1380">
        <w:t>/or</w:t>
      </w:r>
      <w:r w:rsidR="006C1BB7">
        <w:t xml:space="preserve"> business expenses from her</w:t>
      </w:r>
      <w:r w:rsidR="007C612D">
        <w:t xml:space="preserve"> Bank of the West</w:t>
      </w:r>
      <w:r w:rsidR="006C1BB7">
        <w:t xml:space="preserve"> CTA, respondent commingled her personal funds in a client trust account.  </w:t>
      </w:r>
      <w:r>
        <w:t>Accordingly, the court finds by clear and convincing evidence that r</w:t>
      </w:r>
      <w:r w:rsidR="006C1BB7">
        <w:t>espondent</w:t>
      </w:r>
      <w:r w:rsidR="002A1380">
        <w:t xml:space="preserve"> </w:t>
      </w:r>
      <w:r w:rsidR="006C1BB7">
        <w:t>willful</w:t>
      </w:r>
      <w:r>
        <w:t>ly</w:t>
      </w:r>
      <w:r w:rsidR="006C1BB7">
        <w:t xml:space="preserve"> violat</w:t>
      </w:r>
      <w:r>
        <w:t>ed</w:t>
      </w:r>
      <w:r w:rsidR="006C1BB7">
        <w:t xml:space="preserve"> rule 4-100(A).</w:t>
      </w:r>
    </w:p>
    <w:p w:rsidR="007C612D" w:rsidRPr="007C612D" w:rsidRDefault="007C612D" w:rsidP="007C612D">
      <w:pPr>
        <w:pStyle w:val="Header"/>
        <w:spacing w:line="480" w:lineRule="auto"/>
        <w:jc w:val="center"/>
        <w:rPr>
          <w:b/>
        </w:rPr>
      </w:pPr>
      <w:r w:rsidRPr="007C612D">
        <w:rPr>
          <w:b/>
        </w:rPr>
        <w:t>IV</w:t>
      </w:r>
      <w:proofErr w:type="gramStart"/>
      <w:r w:rsidRPr="007C612D">
        <w:rPr>
          <w:b/>
        </w:rPr>
        <w:t xml:space="preserve">. </w:t>
      </w:r>
      <w:r w:rsidR="00720AA1">
        <w:rPr>
          <w:b/>
        </w:rPr>
        <w:t xml:space="preserve"> </w:t>
      </w:r>
      <w:r w:rsidRPr="007C612D">
        <w:rPr>
          <w:b/>
        </w:rPr>
        <w:t>Mitigating</w:t>
      </w:r>
      <w:proofErr w:type="gramEnd"/>
      <w:r w:rsidRPr="007C612D">
        <w:rPr>
          <w:b/>
        </w:rPr>
        <w:t xml:space="preserve"> and Aggravating Circumstances</w:t>
      </w:r>
    </w:p>
    <w:p w:rsidR="007C612D" w:rsidRDefault="007C612D" w:rsidP="007C612D">
      <w:pPr>
        <w:pStyle w:val="Header"/>
        <w:spacing w:line="480" w:lineRule="auto"/>
        <w:ind w:firstLine="720"/>
      </w:pPr>
      <w:r>
        <w:tab/>
        <w:t xml:space="preserve">The parties bear the burden of establishing mitigation and aggravation by clear and convincing evidence.  (Rules Proc. of State Bar, tit. IV, </w:t>
      </w:r>
      <w:proofErr w:type="spellStart"/>
      <w:r>
        <w:t>Stds</w:t>
      </w:r>
      <w:proofErr w:type="spellEnd"/>
      <w:r>
        <w:t>. for Atty. Sanctions for Prof. Misconduct,</w:t>
      </w:r>
      <w:r>
        <w:rPr>
          <w:rStyle w:val="FootnoteReference"/>
        </w:rPr>
        <w:footnoteReference w:id="4"/>
      </w:r>
      <w:r>
        <w:t xml:space="preserve">  </w:t>
      </w:r>
      <w:proofErr w:type="spellStart"/>
      <w:proofErr w:type="gramStart"/>
      <w:r>
        <w:t>stds</w:t>
      </w:r>
      <w:proofErr w:type="spellEnd"/>
      <w:proofErr w:type="gramEnd"/>
      <w:r>
        <w:t xml:space="preserve">. </w:t>
      </w:r>
      <w:proofErr w:type="gramStart"/>
      <w:r>
        <w:t>1.2(e) and (b).)</w:t>
      </w:r>
      <w:proofErr w:type="gramEnd"/>
      <w:r>
        <w:t xml:space="preserve">  </w:t>
      </w:r>
    </w:p>
    <w:p w:rsidR="007C612D" w:rsidRPr="00353AF0" w:rsidRDefault="007C612D" w:rsidP="00353AF0">
      <w:pPr>
        <w:pStyle w:val="Header"/>
        <w:tabs>
          <w:tab w:val="clear" w:pos="4320"/>
          <w:tab w:val="clear" w:pos="8640"/>
        </w:tabs>
        <w:spacing w:line="480" w:lineRule="auto"/>
        <w:rPr>
          <w:b/>
        </w:rPr>
      </w:pPr>
      <w:r w:rsidRPr="00353AF0">
        <w:rPr>
          <w:b/>
        </w:rPr>
        <w:t>A.</w:t>
      </w:r>
      <w:r w:rsidR="00353AF0" w:rsidRPr="00353AF0">
        <w:rPr>
          <w:b/>
        </w:rPr>
        <w:tab/>
      </w:r>
      <w:r w:rsidRPr="00353AF0">
        <w:rPr>
          <w:b/>
        </w:rPr>
        <w:t>Mitigation</w:t>
      </w:r>
    </w:p>
    <w:p w:rsidR="007C612D" w:rsidRDefault="007C612D" w:rsidP="00353AF0">
      <w:pPr>
        <w:pStyle w:val="Header"/>
        <w:spacing w:line="480" w:lineRule="auto"/>
        <w:ind w:firstLine="720"/>
      </w:pPr>
      <w:r>
        <w:t xml:space="preserve">No mitigation was submitted into evidence.  </w:t>
      </w:r>
      <w:proofErr w:type="gramStart"/>
      <w:r>
        <w:t>(Std. 1.2(e).)</w:t>
      </w:r>
      <w:proofErr w:type="gramEnd"/>
      <w:r>
        <w:t xml:space="preserve"> </w:t>
      </w:r>
    </w:p>
    <w:p w:rsidR="007C612D" w:rsidRPr="00353AF0" w:rsidRDefault="007C612D" w:rsidP="00353AF0">
      <w:pPr>
        <w:pStyle w:val="Header"/>
        <w:tabs>
          <w:tab w:val="clear" w:pos="4320"/>
          <w:tab w:val="clear" w:pos="8640"/>
        </w:tabs>
        <w:spacing w:line="480" w:lineRule="auto"/>
        <w:rPr>
          <w:b/>
        </w:rPr>
      </w:pPr>
      <w:r w:rsidRPr="00353AF0">
        <w:rPr>
          <w:b/>
        </w:rPr>
        <w:t>B.</w:t>
      </w:r>
      <w:r w:rsidR="00353AF0" w:rsidRPr="00353AF0">
        <w:rPr>
          <w:b/>
        </w:rPr>
        <w:tab/>
      </w:r>
      <w:r w:rsidRPr="00353AF0">
        <w:rPr>
          <w:b/>
        </w:rPr>
        <w:t>Aggravation</w:t>
      </w:r>
    </w:p>
    <w:p w:rsidR="007C612D" w:rsidRDefault="007C612D" w:rsidP="00353AF0">
      <w:pPr>
        <w:pStyle w:val="Header"/>
        <w:spacing w:line="480" w:lineRule="auto"/>
        <w:ind w:firstLine="720"/>
      </w:pPr>
      <w:r>
        <w:t xml:space="preserve">There are several aggravating factors.  </w:t>
      </w:r>
      <w:proofErr w:type="gramStart"/>
      <w:r>
        <w:t>(Std. 1.2(b).)</w:t>
      </w:r>
      <w:proofErr w:type="gramEnd"/>
    </w:p>
    <w:p w:rsidR="0071684F" w:rsidRDefault="007C612D" w:rsidP="00353AF0">
      <w:pPr>
        <w:pStyle w:val="Header"/>
        <w:tabs>
          <w:tab w:val="clear" w:pos="4320"/>
          <w:tab w:val="clear" w:pos="8640"/>
        </w:tabs>
        <w:spacing w:line="480" w:lineRule="auto"/>
        <w:ind w:firstLine="720"/>
      </w:pPr>
      <w:r>
        <w:t>Respondent has a prior record of discipline.  (Std. 1.2(b</w:t>
      </w:r>
      <w:proofErr w:type="gramStart"/>
      <w:r>
        <w:t>)(</w:t>
      </w:r>
      <w:proofErr w:type="spellStart"/>
      <w:proofErr w:type="gramEnd"/>
      <w:r>
        <w:t>i</w:t>
      </w:r>
      <w:proofErr w:type="spellEnd"/>
      <w:r>
        <w:t xml:space="preserve">).)  On </w:t>
      </w:r>
      <w:r w:rsidR="00D0771C">
        <w:t>August</w:t>
      </w:r>
      <w:r w:rsidR="00353AF0">
        <w:t xml:space="preserve"> 21, 2005,</w:t>
      </w:r>
      <w:r w:rsidR="0071684F">
        <w:t xml:space="preserve"> respondent, upon stipulation, was</w:t>
      </w:r>
      <w:r>
        <w:t xml:space="preserve"> privately reproved for</w:t>
      </w:r>
      <w:r w:rsidR="00D0771C">
        <w:t xml:space="preserve"> fail</w:t>
      </w:r>
      <w:r w:rsidR="0071684F">
        <w:t>ure</w:t>
      </w:r>
      <w:r w:rsidR="00D0771C">
        <w:t xml:space="preserve"> to perform legal services competently</w:t>
      </w:r>
      <w:r w:rsidR="001076AA">
        <w:t xml:space="preserve"> </w:t>
      </w:r>
      <w:r w:rsidR="00D0771C">
        <w:t>and fail</w:t>
      </w:r>
      <w:r w:rsidR="0071684F">
        <w:t>ure</w:t>
      </w:r>
      <w:r w:rsidR="00D0771C">
        <w:t xml:space="preserve"> to cooperate</w:t>
      </w:r>
      <w:r w:rsidR="001076AA">
        <w:t xml:space="preserve"> with the State Bar. </w:t>
      </w:r>
      <w:r w:rsidR="0071684F">
        <w:t>(State Bar Court case No. 04-O-12160.)</w:t>
      </w:r>
    </w:p>
    <w:p w:rsidR="0071684F" w:rsidRDefault="0071684F" w:rsidP="00353AF0">
      <w:pPr>
        <w:pStyle w:val="Header"/>
        <w:tabs>
          <w:tab w:val="clear" w:pos="4320"/>
          <w:tab w:val="clear" w:pos="8640"/>
        </w:tabs>
        <w:spacing w:line="480" w:lineRule="auto"/>
        <w:ind w:firstLine="720"/>
      </w:pPr>
      <w:r w:rsidRPr="0071684F">
        <w:t xml:space="preserve">Respondent committed multiple acts of wrongdoing by </w:t>
      </w:r>
      <w:r w:rsidR="00142676">
        <w:t xml:space="preserve">failing to deposit client funds in a client trust account, by engaging in the unauthorized practice of law, charging an illegal fee, failing to avoid adverse interests, failing to deliver client properties promptly, committing acts of moral turpitude, and </w:t>
      </w:r>
      <w:r w:rsidRPr="0071684F">
        <w:t>commingling personal funds with client funds in his CTA</w:t>
      </w:r>
      <w:r w:rsidR="00142676">
        <w:t>.  (Std.</w:t>
      </w:r>
      <w:r w:rsidR="00F6795D">
        <w:t xml:space="preserve"> </w:t>
      </w:r>
      <w:r w:rsidR="00142676">
        <w:t>1.2(b</w:t>
      </w:r>
      <w:proofErr w:type="gramStart"/>
      <w:r w:rsidR="00142676">
        <w:t>)(</w:t>
      </w:r>
      <w:proofErr w:type="gramEnd"/>
      <w:r w:rsidR="00142676">
        <w:t>ii).)</w:t>
      </w:r>
    </w:p>
    <w:p w:rsidR="00F6795D" w:rsidRDefault="0025310F" w:rsidP="00353AF0">
      <w:pPr>
        <w:pStyle w:val="Header"/>
        <w:tabs>
          <w:tab w:val="clear" w:pos="4320"/>
          <w:tab w:val="clear" w:pos="8640"/>
        </w:tabs>
        <w:spacing w:line="480" w:lineRule="auto"/>
        <w:ind w:firstLine="720"/>
      </w:pPr>
      <w:r>
        <w:t xml:space="preserve">Respondent </w:t>
      </w:r>
      <w:r w:rsidR="001F212C">
        <w:t xml:space="preserve">sold </w:t>
      </w:r>
      <w:r w:rsidR="00D066FE">
        <w:t>client</w:t>
      </w:r>
      <w:r w:rsidR="00914E9C">
        <w:t xml:space="preserve"> Landrum’s</w:t>
      </w:r>
      <w:r w:rsidR="00D066FE">
        <w:t xml:space="preserve"> </w:t>
      </w:r>
      <w:r w:rsidR="000A770A">
        <w:t>gold coin and silver bar</w:t>
      </w:r>
      <w:r w:rsidR="007434AB">
        <w:t xml:space="preserve"> </w:t>
      </w:r>
      <w:r w:rsidR="000A770A">
        <w:t xml:space="preserve">without </w:t>
      </w:r>
      <w:r w:rsidR="00523CE0">
        <w:t xml:space="preserve">receiving </w:t>
      </w:r>
      <w:r w:rsidR="00914E9C">
        <w:t>his</w:t>
      </w:r>
      <w:r w:rsidR="00523CE0">
        <w:t xml:space="preserve"> consent</w:t>
      </w:r>
      <w:r w:rsidR="00D066FE">
        <w:t xml:space="preserve"> to</w:t>
      </w:r>
      <w:r w:rsidR="00914E9C">
        <w:t xml:space="preserve"> the sale.</w:t>
      </w:r>
      <w:r w:rsidR="00D066FE">
        <w:t xml:space="preserve">  </w:t>
      </w:r>
      <w:r w:rsidR="00914E9C">
        <w:t xml:space="preserve">Furthermore, </w:t>
      </w:r>
      <w:r w:rsidR="00523CE0">
        <w:t>respondent</w:t>
      </w:r>
      <w:r w:rsidR="00D066FE">
        <w:t xml:space="preserve"> </w:t>
      </w:r>
      <w:r w:rsidR="004D1E74">
        <w:t>failed to advise</w:t>
      </w:r>
      <w:r w:rsidR="00523CE0">
        <w:t xml:space="preserve"> </w:t>
      </w:r>
      <w:r w:rsidR="00914E9C">
        <w:t>Landrum</w:t>
      </w:r>
      <w:r w:rsidR="00523CE0">
        <w:t xml:space="preserve"> of the sale</w:t>
      </w:r>
      <w:r w:rsidR="00FA2A71">
        <w:t>, and kept the funds from the sale</w:t>
      </w:r>
      <w:r w:rsidR="00D066FE">
        <w:t>.  That misconduct</w:t>
      </w:r>
      <w:r w:rsidR="00523CE0">
        <w:t xml:space="preserve"> </w:t>
      </w:r>
      <w:r>
        <w:t>was surrounded by bad faith, dishonesty, concealment</w:t>
      </w:r>
      <w:r w:rsidR="00321E99">
        <w:t>,</w:t>
      </w:r>
      <w:r>
        <w:t xml:space="preserve"> and overreaching</w:t>
      </w:r>
      <w:r w:rsidR="00D066FE">
        <w:t>.</w:t>
      </w:r>
      <w:r w:rsidR="00F6795D">
        <w:t xml:space="preserve">  </w:t>
      </w:r>
      <w:proofErr w:type="gramStart"/>
      <w:r w:rsidR="00F6795D">
        <w:t>(Std.</w:t>
      </w:r>
      <w:proofErr w:type="gramEnd"/>
      <w:r w:rsidR="00F6795D">
        <w:t xml:space="preserve">  1.2(b</w:t>
      </w:r>
      <w:proofErr w:type="gramStart"/>
      <w:r w:rsidR="00F6795D">
        <w:t>)(</w:t>
      </w:r>
      <w:proofErr w:type="gramEnd"/>
      <w:r w:rsidR="00F6795D">
        <w:t>iii).)</w:t>
      </w:r>
    </w:p>
    <w:p w:rsidR="0071684F" w:rsidRDefault="00F6795D" w:rsidP="00353AF0">
      <w:pPr>
        <w:pStyle w:val="Header"/>
        <w:tabs>
          <w:tab w:val="clear" w:pos="4320"/>
          <w:tab w:val="clear" w:pos="8640"/>
        </w:tabs>
        <w:spacing w:line="480" w:lineRule="auto"/>
        <w:ind w:firstLine="720"/>
      </w:pPr>
      <w:r>
        <w:t>Respondent’s misconduct</w:t>
      </w:r>
      <w:r w:rsidRPr="00F6795D">
        <w:t xml:space="preserve"> significantly</w:t>
      </w:r>
      <w:r>
        <w:t xml:space="preserve"> </w:t>
      </w:r>
      <w:r w:rsidRPr="00F6795D">
        <w:t>harmed h</w:t>
      </w:r>
      <w:r>
        <w:t>er</w:t>
      </w:r>
      <w:r w:rsidRPr="00F6795D">
        <w:t xml:space="preserve"> client.  (Std. 1.2(b</w:t>
      </w:r>
      <w:proofErr w:type="gramStart"/>
      <w:r w:rsidRPr="00F6795D">
        <w:t>)(</w:t>
      </w:r>
      <w:proofErr w:type="gramEnd"/>
      <w:r w:rsidRPr="00F6795D">
        <w:t xml:space="preserve">iv).)  </w:t>
      </w:r>
      <w:r>
        <w:t xml:space="preserve">Landrum had to hire an attorney to assist him in obtaining his </w:t>
      </w:r>
      <w:r w:rsidR="001E136C">
        <w:t>gold coin, silver bar</w:t>
      </w:r>
      <w:r w:rsidR="00145071">
        <w:t>,</w:t>
      </w:r>
      <w:r w:rsidR="001E136C">
        <w:t xml:space="preserve"> and DiMaggio baseball card </w:t>
      </w:r>
      <w:r>
        <w:t xml:space="preserve">from respondent.  Moreover, respondent sold </w:t>
      </w:r>
      <w:r w:rsidR="004D1E74">
        <w:t>Landrum’s</w:t>
      </w:r>
      <w:r>
        <w:t xml:space="preserve"> gold coin and silver bar</w:t>
      </w:r>
      <w:r w:rsidR="001E136C">
        <w:t>, thus depriving h</w:t>
      </w:r>
      <w:r w:rsidR="004D1E74">
        <w:t>im</w:t>
      </w:r>
      <w:r w:rsidR="001E136C">
        <w:t xml:space="preserve"> of his property</w:t>
      </w:r>
      <w:r>
        <w:t xml:space="preserve">. </w:t>
      </w:r>
    </w:p>
    <w:p w:rsidR="0071684F" w:rsidRDefault="001E136C" w:rsidP="00353AF0">
      <w:pPr>
        <w:pStyle w:val="Header"/>
        <w:tabs>
          <w:tab w:val="clear" w:pos="4320"/>
          <w:tab w:val="clear" w:pos="8640"/>
        </w:tabs>
        <w:spacing w:line="480" w:lineRule="auto"/>
        <w:ind w:firstLine="720"/>
      </w:pPr>
      <w:r>
        <w:t xml:space="preserve">Respondent’s failure to participate in this disciplinary </w:t>
      </w:r>
      <w:r w:rsidR="00720AA1">
        <w:t xml:space="preserve">matter before the entry of her default is a serious aggravating factor.  </w:t>
      </w:r>
      <w:proofErr w:type="gramStart"/>
      <w:r w:rsidR="00720AA1">
        <w:t>(Std.</w:t>
      </w:r>
      <w:proofErr w:type="gramEnd"/>
      <w:r w:rsidR="00720AA1">
        <w:t xml:space="preserve">  1.2(b</w:t>
      </w:r>
      <w:proofErr w:type="gramStart"/>
      <w:r w:rsidR="00720AA1">
        <w:t>)(</w:t>
      </w:r>
      <w:proofErr w:type="gramEnd"/>
      <w:r w:rsidR="00720AA1">
        <w:t>vi).)</w:t>
      </w:r>
      <w:r>
        <w:t xml:space="preserve"> </w:t>
      </w:r>
    </w:p>
    <w:p w:rsidR="0036179C" w:rsidRPr="001C6F4D" w:rsidRDefault="00720AA1" w:rsidP="001C6F4D">
      <w:pPr>
        <w:pStyle w:val="Header"/>
        <w:tabs>
          <w:tab w:val="clear" w:pos="4320"/>
          <w:tab w:val="clear" w:pos="8640"/>
        </w:tabs>
        <w:spacing w:line="480" w:lineRule="auto"/>
        <w:jc w:val="center"/>
        <w:rPr>
          <w:b/>
        </w:rPr>
      </w:pPr>
      <w:r w:rsidRPr="001C6F4D">
        <w:rPr>
          <w:b/>
        </w:rPr>
        <w:t>V.  Discussion</w:t>
      </w:r>
    </w:p>
    <w:p w:rsidR="001C6F4D" w:rsidRDefault="001C6F4D" w:rsidP="001C6F4D">
      <w:pPr>
        <w:pStyle w:val="Header"/>
        <w:spacing w:line="480" w:lineRule="auto"/>
        <w:ind w:firstLine="720"/>
      </w:pPr>
      <w:r>
        <w:tab/>
        <w:t xml:space="preserve">The purpose of State Bar disciplinary proceedings is not to punish the attorney, but to protect the public, to preserve public confidence in the profession, and to maintain the highest possible professional standards for attorneys.  </w:t>
      </w:r>
      <w:proofErr w:type="gramStart"/>
      <w:r>
        <w:t>(</w:t>
      </w:r>
      <w:r w:rsidRPr="001C6F4D">
        <w:rPr>
          <w:i/>
        </w:rPr>
        <w:t>Chadwick v. State Bar</w:t>
      </w:r>
      <w:r>
        <w:t xml:space="preserve"> (1989) 49 </w:t>
      </w:r>
      <w:proofErr w:type="spellStart"/>
      <w:r>
        <w:t>Cal.3d</w:t>
      </w:r>
      <w:proofErr w:type="spellEnd"/>
      <w:r>
        <w:t xml:space="preserve"> 103, 111; </w:t>
      </w:r>
      <w:r w:rsidRPr="00034EFA">
        <w:rPr>
          <w:i/>
        </w:rPr>
        <w:t>Cooper v. State Bar</w:t>
      </w:r>
      <w:r>
        <w:t xml:space="preserve"> (1987) 43 </w:t>
      </w:r>
      <w:proofErr w:type="spellStart"/>
      <w:r>
        <w:t>Cal.3d</w:t>
      </w:r>
      <w:proofErr w:type="spellEnd"/>
      <w:r>
        <w:t xml:space="preserve"> 1016, 1025; std. 1.3.)</w:t>
      </w:r>
      <w:proofErr w:type="gramEnd"/>
      <w:r>
        <w:t xml:space="preserve"> </w:t>
      </w:r>
    </w:p>
    <w:p w:rsidR="0036179C" w:rsidRDefault="001C6F4D" w:rsidP="001C6F4D">
      <w:pPr>
        <w:pStyle w:val="Header"/>
        <w:tabs>
          <w:tab w:val="clear" w:pos="4320"/>
          <w:tab w:val="clear" w:pos="8640"/>
        </w:tabs>
        <w:spacing w:line="480" w:lineRule="auto"/>
        <w:ind w:firstLine="720"/>
      </w:pPr>
      <w:r>
        <w:t>In determining the appropriate level of discipline, the court looks first to the standards for guidance.  (</w:t>
      </w:r>
      <w:proofErr w:type="spellStart"/>
      <w:r w:rsidRPr="00034EFA">
        <w:rPr>
          <w:i/>
        </w:rPr>
        <w:t>Drociak</w:t>
      </w:r>
      <w:proofErr w:type="spellEnd"/>
      <w:r w:rsidRPr="00034EFA">
        <w:rPr>
          <w:i/>
        </w:rPr>
        <w:t xml:space="preserve"> v. State Bar</w:t>
      </w:r>
      <w:r>
        <w:t xml:space="preserve"> (1991) 52 </w:t>
      </w:r>
      <w:proofErr w:type="spellStart"/>
      <w:r>
        <w:t>Cal.3d</w:t>
      </w:r>
      <w:proofErr w:type="spellEnd"/>
      <w:r>
        <w:t xml:space="preserve"> 1095, 1090; </w:t>
      </w:r>
      <w:r w:rsidRPr="00034EFA">
        <w:rPr>
          <w:i/>
        </w:rPr>
        <w:t>In the Matter of Koehler</w:t>
      </w:r>
      <w:r>
        <w:t xml:space="preserve"> (Review Dept. 1991) 1 Cal. State Bar Ct. </w:t>
      </w:r>
      <w:proofErr w:type="spellStart"/>
      <w:r>
        <w:t>Rptr</w:t>
      </w:r>
      <w:proofErr w:type="spellEnd"/>
      <w:r>
        <w:t xml:space="preserve">. 615, 628.)  The standards provide a broad range of sanctions ranging from </w:t>
      </w:r>
      <w:proofErr w:type="spellStart"/>
      <w:r>
        <w:t>reproval</w:t>
      </w:r>
      <w:proofErr w:type="spellEnd"/>
      <w:r>
        <w:t xml:space="preserve"> to disbarment, depending upon the gravity of the offenses and the harm to the victim.  Standards 2.2(b), 2.3, 2.6,</w:t>
      </w:r>
      <w:r w:rsidR="00034EFA">
        <w:t xml:space="preserve"> 2.8,</w:t>
      </w:r>
      <w:r>
        <w:t xml:space="preserve"> and 2.10 apply in this matter.</w:t>
      </w:r>
    </w:p>
    <w:p w:rsidR="00034EFA" w:rsidRDefault="00034EFA" w:rsidP="00034EFA">
      <w:pPr>
        <w:pStyle w:val="Header"/>
        <w:spacing w:line="480" w:lineRule="auto"/>
        <w:ind w:firstLine="720"/>
      </w:pPr>
      <w:r>
        <w:tab/>
        <w:t xml:space="preserve">The Supreme Court gives the standards “great weight” and will reject a recommendation consistent with the standards only where the court entertains “grave doubts” as to its propriety.  </w:t>
      </w:r>
      <w:proofErr w:type="gramStart"/>
      <w:r>
        <w:t>(</w:t>
      </w:r>
      <w:r w:rsidRPr="00034EFA">
        <w:rPr>
          <w:i/>
        </w:rPr>
        <w:t>In re Silverton</w:t>
      </w:r>
      <w:r>
        <w:t xml:space="preserve"> (2005) 36 </w:t>
      </w:r>
      <w:proofErr w:type="spellStart"/>
      <w:r>
        <w:t>Cal.4th</w:t>
      </w:r>
      <w:proofErr w:type="spellEnd"/>
      <w:r>
        <w:t xml:space="preserve"> 81, 91-92; </w:t>
      </w:r>
      <w:r w:rsidRPr="00034EFA">
        <w:rPr>
          <w:i/>
        </w:rPr>
        <w:t xml:space="preserve">In re </w:t>
      </w:r>
      <w:proofErr w:type="spellStart"/>
      <w:r w:rsidRPr="00034EFA">
        <w:rPr>
          <w:i/>
        </w:rPr>
        <w:t>Naney</w:t>
      </w:r>
      <w:proofErr w:type="spellEnd"/>
      <w:r>
        <w:t xml:space="preserve"> (1990) 51 </w:t>
      </w:r>
      <w:proofErr w:type="spellStart"/>
      <w:r>
        <w:t>Cal.3d</w:t>
      </w:r>
      <w:proofErr w:type="spellEnd"/>
      <w:r>
        <w:t xml:space="preserve"> 186, 190.)</w:t>
      </w:r>
      <w:proofErr w:type="gramEnd"/>
      <w:r>
        <w:t xml:space="preserve">  Although the standards are not mandatory, they may be deviated from when there is a compelling, well-defined reason to do so.  </w:t>
      </w:r>
      <w:proofErr w:type="gramStart"/>
      <w:r>
        <w:t>(</w:t>
      </w:r>
      <w:r w:rsidRPr="00034EFA">
        <w:rPr>
          <w:i/>
        </w:rPr>
        <w:t>Bates v. State Bar</w:t>
      </w:r>
      <w:r>
        <w:t xml:space="preserve"> (1990) 51 </w:t>
      </w:r>
      <w:proofErr w:type="spellStart"/>
      <w:r>
        <w:t>Cal.3d</w:t>
      </w:r>
      <w:proofErr w:type="spellEnd"/>
      <w:r>
        <w:t xml:space="preserve"> 1056, 1061, fn. 2; </w:t>
      </w:r>
      <w:proofErr w:type="spellStart"/>
      <w:r w:rsidRPr="00034EFA">
        <w:rPr>
          <w:i/>
        </w:rPr>
        <w:t>Aronin</w:t>
      </w:r>
      <w:proofErr w:type="spellEnd"/>
      <w:r w:rsidRPr="00034EFA">
        <w:rPr>
          <w:i/>
        </w:rPr>
        <w:t xml:space="preserve"> v. State Bar</w:t>
      </w:r>
      <w:r>
        <w:t xml:space="preserve"> (1990) 52 </w:t>
      </w:r>
      <w:proofErr w:type="spellStart"/>
      <w:r>
        <w:t>Cal.3d</w:t>
      </w:r>
      <w:proofErr w:type="spellEnd"/>
      <w:r>
        <w:t xml:space="preserve"> 276, 291.)</w:t>
      </w:r>
      <w:proofErr w:type="gramEnd"/>
    </w:p>
    <w:p w:rsidR="00720AA1" w:rsidRDefault="00034EFA" w:rsidP="00034EFA">
      <w:pPr>
        <w:pStyle w:val="Header"/>
        <w:tabs>
          <w:tab w:val="clear" w:pos="4320"/>
          <w:tab w:val="clear" w:pos="8640"/>
        </w:tabs>
        <w:spacing w:line="480" w:lineRule="auto"/>
        <w:ind w:firstLine="720"/>
      </w:pPr>
      <w:r>
        <w:t>Standard 1.6(a) provides that, when two or more acts of misconduct are found in a single disciplinary proceeding and different sanctions are prescribed for those acts, the recommended sanction is to be the most severe of the different sanctions.</w:t>
      </w:r>
    </w:p>
    <w:p w:rsidR="00034EFA" w:rsidRDefault="00034EFA" w:rsidP="00034EFA">
      <w:pPr>
        <w:pStyle w:val="Header"/>
        <w:spacing w:line="480" w:lineRule="auto"/>
        <w:ind w:firstLine="720"/>
      </w:pPr>
      <w:r>
        <w:tab/>
        <w:t>Standard 2.2(b) provides that the commission of a violation of rule 4-100, including commingling, must result in at least a three-month actual suspension, irrespective of mitigating circumstances.</w:t>
      </w:r>
    </w:p>
    <w:p w:rsidR="00034EFA" w:rsidRDefault="00034EFA" w:rsidP="00034EFA">
      <w:pPr>
        <w:pStyle w:val="Header"/>
        <w:spacing w:line="480" w:lineRule="auto"/>
        <w:ind w:firstLine="720"/>
      </w:pPr>
      <w:r>
        <w:tab/>
        <w:t>Standard 2.3 provides that culpability of moral turpitude and intentional dishonesty toward a court or a client must result in actual suspension or disbarment.</w:t>
      </w:r>
    </w:p>
    <w:p w:rsidR="00034EFA" w:rsidRDefault="00034EFA" w:rsidP="00034EFA">
      <w:pPr>
        <w:pStyle w:val="Header"/>
        <w:spacing w:line="480" w:lineRule="auto"/>
        <w:ind w:firstLine="720"/>
      </w:pPr>
      <w:r>
        <w:tab/>
        <w:t>Standard 2.6 provides that culpability of certain provisions of the Business and Professions Code must result in disbarment or suspension depending on the gravity of the offense or the harm to the victim.</w:t>
      </w:r>
    </w:p>
    <w:p w:rsidR="00034EFA" w:rsidRDefault="00034EFA" w:rsidP="00034EFA">
      <w:pPr>
        <w:pStyle w:val="Header"/>
        <w:spacing w:line="480" w:lineRule="auto"/>
        <w:ind w:firstLine="720"/>
      </w:pPr>
      <w:r>
        <w:t xml:space="preserve">Standard 2.8 provides that culpability of </w:t>
      </w:r>
      <w:r w:rsidR="00485139">
        <w:t xml:space="preserve">a willful violation of rule 3-300 must result in suspension, unless the extent of the member’s misconduct and the harm to the client are minimal, in which case, the degree of discipline must be </w:t>
      </w:r>
      <w:proofErr w:type="spellStart"/>
      <w:r w:rsidR="00485139">
        <w:t>reproval</w:t>
      </w:r>
      <w:proofErr w:type="spellEnd"/>
      <w:r w:rsidR="00485139">
        <w:t xml:space="preserve">.   </w:t>
      </w:r>
    </w:p>
    <w:p w:rsidR="00720AA1" w:rsidRDefault="00034EFA" w:rsidP="00034EFA">
      <w:pPr>
        <w:pStyle w:val="Header"/>
        <w:tabs>
          <w:tab w:val="clear" w:pos="4320"/>
          <w:tab w:val="clear" w:pos="8640"/>
        </w:tabs>
        <w:spacing w:line="480" w:lineRule="auto"/>
        <w:ind w:firstLine="720"/>
      </w:pPr>
      <w:r>
        <w:t xml:space="preserve">Standard 2.10 provides that culpability of other provisions of the Business and Professions Code or Rules of Professional Conduct not specified in these standards must result in </w:t>
      </w:r>
      <w:proofErr w:type="spellStart"/>
      <w:r>
        <w:t>reproval</w:t>
      </w:r>
      <w:proofErr w:type="spellEnd"/>
      <w:r>
        <w:t xml:space="preserve"> or suspension depending upon the extent of the misconduct and the degree of harm to the client.</w:t>
      </w:r>
    </w:p>
    <w:p w:rsidR="00CF44AB" w:rsidRDefault="00485139" w:rsidP="00720AA1">
      <w:pPr>
        <w:pStyle w:val="Header"/>
        <w:tabs>
          <w:tab w:val="clear" w:pos="4320"/>
          <w:tab w:val="clear" w:pos="8640"/>
        </w:tabs>
        <w:spacing w:line="480" w:lineRule="auto"/>
        <w:ind w:firstLine="720"/>
      </w:pPr>
      <w:r>
        <w:t xml:space="preserve">The State Bar urges </w:t>
      </w:r>
      <w:r w:rsidR="007E1E0D">
        <w:t xml:space="preserve">that the discipline </w:t>
      </w:r>
      <w:r w:rsidR="00286941">
        <w:t>in the instant matter</w:t>
      </w:r>
      <w:r w:rsidR="007E1E0D">
        <w:t xml:space="preserve"> include three years’ stayed suspension and actual suspension</w:t>
      </w:r>
      <w:r w:rsidR="00286941">
        <w:t xml:space="preserve"> for two years </w:t>
      </w:r>
      <w:r w:rsidR="007E1E0D">
        <w:t>and until the State Bar Court grants a motion to terminate respondent’s suspension under rule 20</w:t>
      </w:r>
      <w:r w:rsidR="00515E49">
        <w:t>5 of the Rules of Procedure of the State Bar</w:t>
      </w:r>
      <w:r w:rsidR="00CF1733">
        <w:t xml:space="preserve">.  In support of its recommendation, the State Bar </w:t>
      </w:r>
      <w:r w:rsidR="00515E49">
        <w:t>cit</w:t>
      </w:r>
      <w:r w:rsidR="00CF1733">
        <w:t>es</w:t>
      </w:r>
      <w:r w:rsidR="00286941">
        <w:t xml:space="preserve"> to</w:t>
      </w:r>
      <w:r w:rsidR="00CF44AB">
        <w:t>, among other cases,</w:t>
      </w:r>
      <w:r w:rsidR="00515E49">
        <w:t xml:space="preserve"> </w:t>
      </w:r>
      <w:r w:rsidR="00515E49">
        <w:rPr>
          <w:i/>
        </w:rPr>
        <w:t>In the Matter of Broderick</w:t>
      </w:r>
      <w:r w:rsidR="00515E49">
        <w:t xml:space="preserve"> (Review Dept. 1994) 3 Cal. State Bar Ct. </w:t>
      </w:r>
      <w:proofErr w:type="spellStart"/>
      <w:r w:rsidR="00515E49">
        <w:t>Rptr</w:t>
      </w:r>
      <w:proofErr w:type="spellEnd"/>
      <w:r w:rsidR="00515E49">
        <w:t xml:space="preserve">. 138; </w:t>
      </w:r>
      <w:r w:rsidR="00515E49">
        <w:rPr>
          <w:i/>
        </w:rPr>
        <w:t>Rose v. State Bar</w:t>
      </w:r>
      <w:r w:rsidR="00515E49">
        <w:t xml:space="preserve"> (1989) 49 </w:t>
      </w:r>
      <w:proofErr w:type="spellStart"/>
      <w:r w:rsidR="00515E49">
        <w:t>Cal.3d</w:t>
      </w:r>
      <w:proofErr w:type="spellEnd"/>
      <w:r w:rsidR="00515E49">
        <w:t xml:space="preserve"> 646</w:t>
      </w:r>
      <w:r w:rsidR="00CF44AB">
        <w:t xml:space="preserve">, and </w:t>
      </w:r>
      <w:r w:rsidR="00CF44AB">
        <w:rPr>
          <w:i/>
        </w:rPr>
        <w:t>Rodgers v. State Bar</w:t>
      </w:r>
      <w:r w:rsidR="00CF44AB">
        <w:t xml:space="preserve"> (1989) 48 </w:t>
      </w:r>
      <w:proofErr w:type="spellStart"/>
      <w:r w:rsidR="00CF44AB">
        <w:t>Cal.3d</w:t>
      </w:r>
      <w:proofErr w:type="spellEnd"/>
      <w:r w:rsidR="00CF44AB">
        <w:t xml:space="preserve"> 300.  The court finds the cited cases</w:t>
      </w:r>
      <w:r w:rsidR="00286941">
        <w:t xml:space="preserve"> instructive in determining the discipline to be imposed in the instant matter, as th</w:t>
      </w:r>
      <w:r w:rsidR="000A770A">
        <w:t>ose</w:t>
      </w:r>
      <w:r w:rsidR="00286941">
        <w:t xml:space="preserve"> cases  </w:t>
      </w:r>
      <w:r w:rsidR="00CF44AB">
        <w:t xml:space="preserve"> involve facts and considerations</w:t>
      </w:r>
      <w:r w:rsidR="00286941">
        <w:t xml:space="preserve"> </w:t>
      </w:r>
      <w:r w:rsidR="00CF44AB">
        <w:t>similar to those present</w:t>
      </w:r>
      <w:r w:rsidR="00286941">
        <w:t xml:space="preserve"> her</w:t>
      </w:r>
      <w:r w:rsidR="000C1C9E">
        <w:t>e.</w:t>
      </w:r>
    </w:p>
    <w:p w:rsidR="00452EC3" w:rsidRDefault="00F26FB1" w:rsidP="00720AA1">
      <w:pPr>
        <w:pStyle w:val="Header"/>
        <w:tabs>
          <w:tab w:val="clear" w:pos="4320"/>
          <w:tab w:val="clear" w:pos="8640"/>
        </w:tabs>
        <w:spacing w:line="480" w:lineRule="auto"/>
        <w:ind w:firstLine="720"/>
      </w:pPr>
      <w:r>
        <w:t xml:space="preserve">In recommending discipline, the “paramount concern is protection of the public, the courts and the integrity of the legal profession.”  </w:t>
      </w:r>
      <w:proofErr w:type="gramStart"/>
      <w:r>
        <w:t>(</w:t>
      </w:r>
      <w:r w:rsidRPr="002B7C4F">
        <w:rPr>
          <w:i/>
        </w:rPr>
        <w:t>Snyder v. State Bar</w:t>
      </w:r>
      <w:r>
        <w:t xml:space="preserve"> (1990) 49 </w:t>
      </w:r>
      <w:proofErr w:type="spellStart"/>
      <w:r>
        <w:t>Cal.3d</w:t>
      </w:r>
      <w:proofErr w:type="spellEnd"/>
      <w:r>
        <w:t xml:space="preserve"> 1302.)</w:t>
      </w:r>
      <w:proofErr w:type="gramEnd"/>
      <w:r>
        <w:t xml:space="preserve">  </w:t>
      </w:r>
      <w:r w:rsidR="00D97E84">
        <w:t xml:space="preserve">Failing to appear and participate in the hearing shows that respondent comprehends neither the seriousness of the charges against her, nor her duty as an officer of the court to participate in disciplinary proceedings.  </w:t>
      </w:r>
      <w:proofErr w:type="gramStart"/>
      <w:r w:rsidR="00D97E84">
        <w:t>(</w:t>
      </w:r>
      <w:r w:rsidR="00D97E84" w:rsidRPr="002B7C4F">
        <w:rPr>
          <w:i/>
        </w:rPr>
        <w:t>Conroy v. State Bar</w:t>
      </w:r>
      <w:r w:rsidR="00D97E84">
        <w:t xml:space="preserve"> (1991) 53 </w:t>
      </w:r>
      <w:proofErr w:type="spellStart"/>
      <w:r w:rsidR="00D97E84">
        <w:t>Cal.3d</w:t>
      </w:r>
      <w:proofErr w:type="spellEnd"/>
      <w:r w:rsidR="00D97E84">
        <w:t xml:space="preserve"> 495, 507-508.)</w:t>
      </w:r>
      <w:proofErr w:type="gramEnd"/>
      <w:r w:rsidR="00D97E84">
        <w:t xml:space="preserve">  Respondent’s failure to participate in this proceeding leaves the court without information about the underlying cause of her misconduct or of any mitigating circumstances surrounding her misconduct.</w:t>
      </w:r>
    </w:p>
    <w:p w:rsidR="00973D11" w:rsidRDefault="00D97E84" w:rsidP="00720AA1">
      <w:pPr>
        <w:pStyle w:val="Header"/>
        <w:tabs>
          <w:tab w:val="clear" w:pos="4320"/>
          <w:tab w:val="clear" w:pos="8640"/>
        </w:tabs>
        <w:spacing w:line="480" w:lineRule="auto"/>
        <w:ind w:firstLine="720"/>
      </w:pPr>
      <w:r>
        <w:t>Balancing all relevant factors – respondent’s misconduct, the standards, the case law, and the aggravating evidence, the court concludes that placing respondent on a suspension for a minimum of two years would be appropriate to protect the public and to preserve public confidence in the profession.</w:t>
      </w:r>
    </w:p>
    <w:p w:rsidR="00973D11" w:rsidRPr="00744366" w:rsidRDefault="00973D11" w:rsidP="00744366">
      <w:pPr>
        <w:pStyle w:val="Header"/>
        <w:tabs>
          <w:tab w:val="clear" w:pos="4320"/>
          <w:tab w:val="clear" w:pos="8640"/>
        </w:tabs>
        <w:spacing w:line="480" w:lineRule="auto"/>
        <w:jc w:val="center"/>
        <w:rPr>
          <w:b/>
        </w:rPr>
      </w:pPr>
      <w:r w:rsidRPr="00744366">
        <w:rPr>
          <w:b/>
        </w:rPr>
        <w:t>VI</w:t>
      </w:r>
      <w:proofErr w:type="gramStart"/>
      <w:r w:rsidRPr="00744366">
        <w:rPr>
          <w:b/>
        </w:rPr>
        <w:t>.  Recommendations</w:t>
      </w:r>
      <w:proofErr w:type="gramEnd"/>
    </w:p>
    <w:p w:rsidR="00225A0B" w:rsidRPr="00744366" w:rsidRDefault="00973D11" w:rsidP="00973D11">
      <w:pPr>
        <w:pStyle w:val="Header"/>
        <w:tabs>
          <w:tab w:val="clear" w:pos="4320"/>
          <w:tab w:val="clear" w:pos="8640"/>
        </w:tabs>
        <w:spacing w:line="480" w:lineRule="auto"/>
        <w:rPr>
          <w:b/>
        </w:rPr>
      </w:pPr>
      <w:r w:rsidRPr="00744366">
        <w:rPr>
          <w:b/>
        </w:rPr>
        <w:t>A.</w:t>
      </w:r>
      <w:r w:rsidRPr="00744366">
        <w:rPr>
          <w:b/>
        </w:rPr>
        <w:tab/>
        <w:t>Discipline</w:t>
      </w:r>
      <w:r w:rsidR="00D97E84" w:rsidRPr="00744366">
        <w:rPr>
          <w:b/>
        </w:rPr>
        <w:t xml:space="preserve"> </w:t>
      </w:r>
    </w:p>
    <w:p w:rsidR="00744366" w:rsidRDefault="00744366" w:rsidP="00744366">
      <w:pPr>
        <w:pStyle w:val="Header"/>
        <w:spacing w:line="480" w:lineRule="auto"/>
        <w:ind w:firstLine="720"/>
      </w:pPr>
      <w:r>
        <w:tab/>
        <w:t xml:space="preserve">Accordingly, the court hereby recommends that respondent </w:t>
      </w:r>
      <w:r w:rsidR="004B5A63" w:rsidRPr="00744366">
        <w:rPr>
          <w:b/>
        </w:rPr>
        <w:t>Susan Ann Mitchell</w:t>
      </w:r>
      <w:r w:rsidR="004B5A63">
        <w:t xml:space="preserve"> </w:t>
      </w:r>
      <w:r>
        <w:t xml:space="preserve">be suspended from the practice of law in California for </w:t>
      </w:r>
      <w:r w:rsidR="004B5A63">
        <w:t>three</w:t>
      </w:r>
      <w:r>
        <w:t xml:space="preserve"> years</w:t>
      </w:r>
      <w:r w:rsidR="00452EC3">
        <w:t xml:space="preserve">, that </w:t>
      </w:r>
      <w:r w:rsidR="004B5A63">
        <w:t xml:space="preserve">execution of that period of </w:t>
      </w:r>
      <w:r>
        <w:t>suspension be stayed</w:t>
      </w:r>
      <w:r w:rsidR="00452EC3">
        <w:t>, and that respondent be suspended</w:t>
      </w:r>
      <w:r>
        <w:t xml:space="preserve"> from the practice of law for a minimum of </w:t>
      </w:r>
      <w:r w:rsidR="004B5A63">
        <w:t>two years</w:t>
      </w:r>
      <w:r w:rsidR="002B5D6D">
        <w:t xml:space="preserve"> and</w:t>
      </w:r>
      <w:r w:rsidR="00452EC3">
        <w:t xml:space="preserve"> she</w:t>
      </w:r>
      <w:r w:rsidR="002B5D6D">
        <w:t xml:space="preserve"> remain suspended until</w:t>
      </w:r>
      <w:r>
        <w:t xml:space="preserve"> the</w:t>
      </w:r>
      <w:r w:rsidR="00452EC3">
        <w:t xml:space="preserve"> following requirements are satisfied:</w:t>
      </w:r>
      <w:r>
        <w:t xml:space="preserve"> </w:t>
      </w:r>
    </w:p>
    <w:p w:rsidR="00AC2E3F" w:rsidRDefault="00AC2E3F" w:rsidP="00AC2E3F">
      <w:pPr>
        <w:pStyle w:val="Header"/>
        <w:tabs>
          <w:tab w:val="clear" w:pos="4320"/>
          <w:tab w:val="clear" w:pos="8640"/>
        </w:tabs>
        <w:spacing w:line="480" w:lineRule="auto"/>
        <w:ind w:firstLine="720"/>
      </w:pPr>
      <w:r>
        <w:t>1.</w:t>
      </w:r>
      <w:r>
        <w:tab/>
        <w:t xml:space="preserve">The State Bar Court grants a motion to terminate </w:t>
      </w:r>
      <w:r w:rsidR="00161D3B">
        <w:t>respondent’s</w:t>
      </w:r>
      <w:r>
        <w:t xml:space="preserve"> suspension </w:t>
      </w:r>
      <w:r w:rsidR="00161D3B">
        <w:tab/>
      </w:r>
      <w:r w:rsidR="00161D3B">
        <w:tab/>
      </w:r>
      <w:r w:rsidR="00161D3B">
        <w:tab/>
      </w:r>
      <w:r>
        <w:t>pursuant to rule</w:t>
      </w:r>
      <w:r w:rsidR="00161D3B">
        <w:t xml:space="preserve"> </w:t>
      </w:r>
      <w:r>
        <w:t>205 of the Rules of Procedure of the State Bar; and</w:t>
      </w:r>
    </w:p>
    <w:p w:rsidR="00225A0B" w:rsidRDefault="00AC2E3F" w:rsidP="00AC2E3F">
      <w:pPr>
        <w:pStyle w:val="Header"/>
        <w:tabs>
          <w:tab w:val="clear" w:pos="4320"/>
          <w:tab w:val="clear" w:pos="8640"/>
        </w:tabs>
        <w:spacing w:line="480" w:lineRule="auto"/>
        <w:ind w:firstLine="720"/>
      </w:pPr>
      <w:r>
        <w:t>2.</w:t>
      </w:r>
      <w:r>
        <w:tab/>
      </w:r>
      <w:r w:rsidR="00CF1733">
        <w:t xml:space="preserve">Respondent </w:t>
      </w:r>
      <w:r>
        <w:t>provide</w:t>
      </w:r>
      <w:r w:rsidR="00CF1733">
        <w:t>s</w:t>
      </w:r>
      <w:r>
        <w:t xml:space="preserve"> proof to the State Bar Court of her rehabilitation, fitness to </w:t>
      </w:r>
      <w:r>
        <w:tab/>
      </w:r>
      <w:r>
        <w:tab/>
        <w:t xml:space="preserve">practice and learning and ability in the general law before her suspension will be </w:t>
      </w:r>
      <w:r>
        <w:tab/>
      </w:r>
      <w:r>
        <w:tab/>
        <w:t xml:space="preserve">terminated.  (Rules Proc. of State Bar, tit. IV, </w:t>
      </w:r>
      <w:proofErr w:type="spellStart"/>
      <w:r>
        <w:t>Stds</w:t>
      </w:r>
      <w:proofErr w:type="spellEnd"/>
      <w:r>
        <w:t xml:space="preserve">. for Atty. Sanctions for Prof. </w:t>
      </w:r>
      <w:r>
        <w:tab/>
      </w:r>
      <w:r>
        <w:tab/>
        <w:t>Misconduct, std. 1.4(c</w:t>
      </w:r>
      <w:proofErr w:type="gramStart"/>
      <w:r>
        <w:t>)(</w:t>
      </w:r>
      <w:proofErr w:type="gramEnd"/>
      <w:r>
        <w:t>ii).)</w:t>
      </w:r>
    </w:p>
    <w:p w:rsidR="00AC2E3F" w:rsidRDefault="00AC2E3F" w:rsidP="00AC2E3F">
      <w:pPr>
        <w:pStyle w:val="Header"/>
        <w:tabs>
          <w:tab w:val="clear" w:pos="4320"/>
          <w:tab w:val="clear" w:pos="8640"/>
        </w:tabs>
        <w:spacing w:line="480" w:lineRule="auto"/>
        <w:ind w:firstLine="720"/>
      </w:pPr>
      <w:r w:rsidRPr="00AC2E3F">
        <w:t>It is recommended that respondent be ordered to comply with any probation conditions imposed by the State Bar Court as a condition for terminating h</w:t>
      </w:r>
      <w:r>
        <w:t>er</w:t>
      </w:r>
      <w:r w:rsidRPr="00AC2E3F">
        <w:t xml:space="preserve"> suspension.  </w:t>
      </w:r>
      <w:proofErr w:type="gramStart"/>
      <w:r w:rsidRPr="00AC2E3F">
        <w:t>(Rules Proc. of State Bar, rule 205(g).)</w:t>
      </w:r>
      <w:proofErr w:type="gramEnd"/>
    </w:p>
    <w:p w:rsidR="00816007" w:rsidRPr="00816007" w:rsidRDefault="00816007" w:rsidP="00816007">
      <w:pPr>
        <w:pStyle w:val="Header"/>
        <w:tabs>
          <w:tab w:val="clear" w:pos="4320"/>
          <w:tab w:val="clear" w:pos="8640"/>
        </w:tabs>
        <w:spacing w:line="480" w:lineRule="auto"/>
        <w:rPr>
          <w:b/>
        </w:rPr>
      </w:pPr>
      <w:r w:rsidRPr="00816007">
        <w:rPr>
          <w:b/>
        </w:rPr>
        <w:t>B.</w:t>
      </w:r>
      <w:r w:rsidRPr="00816007">
        <w:rPr>
          <w:b/>
        </w:rPr>
        <w:tab/>
        <w:t>Multistate Professional Responsibility Exam</w:t>
      </w:r>
    </w:p>
    <w:p w:rsidR="00AC2E3F" w:rsidRDefault="00AC2E3F" w:rsidP="00816007">
      <w:pPr>
        <w:pStyle w:val="Header"/>
        <w:tabs>
          <w:tab w:val="clear" w:pos="4320"/>
          <w:tab w:val="clear" w:pos="8640"/>
        </w:tabs>
        <w:spacing w:line="480" w:lineRule="auto"/>
        <w:ind w:firstLine="720"/>
      </w:pPr>
      <w:r>
        <w:t xml:space="preserve">It is further recommended that respondent take and </w:t>
      </w:r>
      <w:proofErr w:type="gramStart"/>
      <w:r>
        <w:t>pass</w:t>
      </w:r>
      <w:proofErr w:type="gramEnd"/>
      <w:r>
        <w:t xml:space="preserve"> the Multistate Professional Responsibility Examination during the period of h</w:t>
      </w:r>
      <w:r w:rsidR="00816007">
        <w:t>er</w:t>
      </w:r>
      <w:r>
        <w:t xml:space="preserve"> suspension and provide satisfactory proof of such passage to the State Bar’s Office of Probation in Los Angeles within the same period.  Failure to do so may result in an automatic suspension.  (Cal. Rules of Court, rule 9.10(b).)</w:t>
      </w:r>
    </w:p>
    <w:p w:rsidR="00AC2E3F" w:rsidRPr="00816007" w:rsidRDefault="00816007" w:rsidP="00816007">
      <w:pPr>
        <w:pStyle w:val="Header"/>
        <w:tabs>
          <w:tab w:val="clear" w:pos="4320"/>
          <w:tab w:val="clear" w:pos="8640"/>
        </w:tabs>
        <w:spacing w:line="480" w:lineRule="auto"/>
        <w:rPr>
          <w:b/>
        </w:rPr>
      </w:pPr>
      <w:r w:rsidRPr="00816007">
        <w:rPr>
          <w:b/>
        </w:rPr>
        <w:t>C.</w:t>
      </w:r>
      <w:r w:rsidRPr="00816007">
        <w:rPr>
          <w:b/>
        </w:rPr>
        <w:tab/>
        <w:t>California Rules of Court, Rule 9.20</w:t>
      </w:r>
    </w:p>
    <w:p w:rsidR="00816007" w:rsidRDefault="00816007" w:rsidP="00816007">
      <w:pPr>
        <w:pStyle w:val="Header"/>
        <w:tabs>
          <w:tab w:val="clear" w:pos="4320"/>
          <w:tab w:val="clear" w:pos="8640"/>
        </w:tabs>
        <w:spacing w:line="480" w:lineRule="auto"/>
        <w:ind w:firstLine="720"/>
      </w:pPr>
      <w:r w:rsidRPr="00816007">
        <w:t xml:space="preserve">Respondent must also comply with rule 9.20 of the California Rules of Court and perform the acts specified in subdivisions (a) and (c) of that rule within 30 and 40 calendar days, respectively, after the effective date of this order.  Willful failure to do so may result in revocation of probation, suspension, </w:t>
      </w:r>
      <w:proofErr w:type="gramStart"/>
      <w:r w:rsidRPr="00816007">
        <w:t>disbarment</w:t>
      </w:r>
      <w:proofErr w:type="gramEnd"/>
      <w:r w:rsidRPr="00816007">
        <w:t>, denial of reinstatement, conviction of contempt, or criminal conviction.</w:t>
      </w:r>
      <w:r>
        <w:rPr>
          <w:rStyle w:val="FootnoteReference"/>
        </w:rPr>
        <w:footnoteReference w:id="5"/>
      </w:r>
    </w:p>
    <w:p w:rsidR="00AC2E3F" w:rsidRPr="006D12BC" w:rsidRDefault="00816007" w:rsidP="00816007">
      <w:pPr>
        <w:pStyle w:val="Header"/>
        <w:tabs>
          <w:tab w:val="clear" w:pos="4320"/>
          <w:tab w:val="clear" w:pos="8640"/>
        </w:tabs>
        <w:spacing w:line="480" w:lineRule="auto"/>
        <w:rPr>
          <w:b/>
        </w:rPr>
      </w:pPr>
      <w:r w:rsidRPr="006D12BC">
        <w:rPr>
          <w:b/>
        </w:rPr>
        <w:t>D.</w:t>
      </w:r>
      <w:r w:rsidRPr="006D12BC">
        <w:rPr>
          <w:b/>
        </w:rPr>
        <w:tab/>
        <w:t>Costs</w:t>
      </w:r>
    </w:p>
    <w:p w:rsidR="00816007" w:rsidRDefault="006D12BC" w:rsidP="00816007">
      <w:pPr>
        <w:pStyle w:val="Header"/>
        <w:tabs>
          <w:tab w:val="clear" w:pos="4320"/>
          <w:tab w:val="clear" w:pos="8640"/>
        </w:tabs>
        <w:spacing w:line="480" w:lineRule="auto"/>
      </w:pPr>
      <w:r w:rsidRPr="006D12BC">
        <w:tab/>
        <w:t>It is further recommended that costs be awarded to the State Bar in accordance with Business and Professions Code section 6086.10 and are enforceable both as provided in Business and Professions Code section 6140.7 and as a money judgment.</w:t>
      </w:r>
    </w:p>
    <w:p w:rsidR="00AC2E3F" w:rsidRDefault="00AC2E3F" w:rsidP="00AC2E3F">
      <w:pPr>
        <w:pStyle w:val="Header"/>
        <w:tabs>
          <w:tab w:val="clear" w:pos="4320"/>
          <w:tab w:val="clear" w:pos="8640"/>
        </w:tabs>
        <w:spacing w:line="480" w:lineRule="auto"/>
        <w:ind w:firstLine="720"/>
      </w:pPr>
    </w:p>
    <w:p w:rsidR="00AC2E3F" w:rsidRDefault="00AC2E3F" w:rsidP="00AC2E3F">
      <w:pPr>
        <w:pStyle w:val="Header"/>
        <w:tabs>
          <w:tab w:val="clear" w:pos="4320"/>
          <w:tab w:val="clear" w:pos="8640"/>
        </w:tabs>
        <w:spacing w:line="480" w:lineRule="auto"/>
        <w:ind w:firstLine="720"/>
      </w:pPr>
    </w:p>
    <w:p w:rsidR="00452EC3" w:rsidRDefault="00452EC3" w:rsidP="00720AA1">
      <w:pPr>
        <w:pStyle w:val="Header"/>
        <w:tabs>
          <w:tab w:val="clear" w:pos="4320"/>
          <w:tab w:val="clear" w:pos="8640"/>
        </w:tabs>
        <w:spacing w:line="480" w:lineRule="auto"/>
        <w:ind w:firstLine="720"/>
      </w:pPr>
    </w:p>
    <w:tbl>
      <w:tblPr>
        <w:tblW w:w="0" w:type="auto"/>
        <w:tblInd w:w="5" w:type="dxa"/>
        <w:tblBorders>
          <w:left w:val="single" w:sz="4" w:space="0" w:color="auto"/>
          <w:bottom w:val="single" w:sz="4" w:space="0" w:color="auto"/>
          <w:right w:val="single" w:sz="4" w:space="0" w:color="auto"/>
        </w:tblBorders>
        <w:tblCellMar>
          <w:left w:w="0" w:type="dxa"/>
          <w:right w:w="0" w:type="dxa"/>
        </w:tblCellMar>
        <w:tblLook w:val="0000"/>
      </w:tblPr>
      <w:tblGrid>
        <w:gridCol w:w="4746"/>
        <w:gridCol w:w="4519"/>
      </w:tblGrid>
      <w:tr w:rsidR="003D3B12" w:rsidTr="006D12BC">
        <w:tc>
          <w:tcPr>
            <w:tcW w:w="4746" w:type="dxa"/>
            <w:tcBorders>
              <w:left w:val="nil"/>
              <w:bottom w:val="nil"/>
            </w:tcBorders>
          </w:tcPr>
          <w:p w:rsidR="003D3B12" w:rsidRDefault="003D3B12">
            <w:pPr>
              <w:pStyle w:val="Header"/>
              <w:tabs>
                <w:tab w:val="clear" w:pos="4320"/>
                <w:tab w:val="clear" w:pos="8640"/>
              </w:tabs>
            </w:pPr>
            <w:r>
              <w:t xml:space="preserve">Dated:  </w:t>
            </w:r>
            <w:fldSimple w:instr=" DATE \@ &quot;MMMM _____, yyyy&quot; \* MERGEFORMAT ">
              <w:r w:rsidR="00712C3B">
                <w:rPr>
                  <w:noProof/>
                </w:rPr>
                <w:t>October __</w:t>
              </w:r>
              <w:r w:rsidR="00712C3B" w:rsidRPr="00712C3B">
                <w:rPr>
                  <w:noProof/>
                  <w:u w:val="single"/>
                </w:rPr>
                <w:t>_</w:t>
              </w:r>
              <w:r w:rsidR="00712C3B">
                <w:rPr>
                  <w:noProof/>
                </w:rPr>
                <w:t>__, 2009</w:t>
              </w:r>
            </w:fldSimple>
          </w:p>
        </w:tc>
        <w:tc>
          <w:tcPr>
            <w:tcW w:w="4519" w:type="dxa"/>
            <w:tcBorders>
              <w:top w:val="single" w:sz="4" w:space="0" w:color="auto"/>
              <w:bottom w:val="nil"/>
              <w:right w:val="nil"/>
            </w:tcBorders>
          </w:tcPr>
          <w:p w:rsidR="003D3B12" w:rsidRDefault="00ED6419">
            <w:bookmarkStart w:id="6" w:name="judge"/>
            <w:bookmarkEnd w:id="6"/>
            <w:r>
              <w:t>RICHARD A. HONN</w:t>
            </w:r>
          </w:p>
        </w:tc>
      </w:tr>
      <w:tr w:rsidR="003D3B12" w:rsidTr="006D12BC">
        <w:tc>
          <w:tcPr>
            <w:tcW w:w="4746" w:type="dxa"/>
            <w:tcBorders>
              <w:left w:val="nil"/>
              <w:bottom w:val="nil"/>
            </w:tcBorders>
          </w:tcPr>
          <w:p w:rsidR="003D3B12" w:rsidRDefault="003D3B12"/>
        </w:tc>
        <w:tc>
          <w:tcPr>
            <w:tcW w:w="4519" w:type="dxa"/>
            <w:tcBorders>
              <w:bottom w:val="nil"/>
              <w:right w:val="nil"/>
            </w:tcBorders>
          </w:tcPr>
          <w:p w:rsidR="003D3B12" w:rsidRDefault="003D3B12">
            <w:r>
              <w:t>Judge of the State Bar Court</w:t>
            </w:r>
          </w:p>
        </w:tc>
      </w:tr>
    </w:tbl>
    <w:p w:rsidR="003D3B12" w:rsidRDefault="003D3B12" w:rsidP="00EE3AFC">
      <w:pPr>
        <w:spacing w:line="480" w:lineRule="auto"/>
      </w:pPr>
    </w:p>
    <w:sectPr w:rsidR="003D3B12" w:rsidSect="009C639E">
      <w:footerReference w:type="even" r:id="rId8"/>
      <w:footerReference w:type="default" r:id="rId9"/>
      <w:footerReference w:type="first" r:id="rId10"/>
      <w:pgSz w:w="12240" w:h="15840" w:code="1"/>
      <w:pgMar w:top="1440" w:right="1440" w:bottom="360" w:left="1530" w:header="720" w:footer="720" w:gutter="0"/>
      <w:pgNumType w:fmt="numberInDash"/>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244F" w:rsidRDefault="000E244F">
      <w:r>
        <w:separator/>
      </w:r>
    </w:p>
  </w:endnote>
  <w:endnote w:type="continuationSeparator" w:id="0">
    <w:p w:rsidR="000E244F" w:rsidRDefault="000E24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7255" w:rsidRDefault="00A45516" w:rsidP="003B44D5">
    <w:pPr>
      <w:pStyle w:val="Footer"/>
      <w:framePr w:wrap="around" w:vAnchor="text" w:hAnchor="margin" w:xAlign="center" w:y="1"/>
      <w:rPr>
        <w:rStyle w:val="PageNumber"/>
      </w:rPr>
    </w:pPr>
    <w:r>
      <w:rPr>
        <w:rStyle w:val="PageNumber"/>
      </w:rPr>
      <w:fldChar w:fldCharType="begin"/>
    </w:r>
    <w:r w:rsidR="00C17255">
      <w:rPr>
        <w:rStyle w:val="PageNumber"/>
      </w:rPr>
      <w:instrText xml:space="preserve">PAGE  </w:instrText>
    </w:r>
    <w:r>
      <w:rPr>
        <w:rStyle w:val="PageNumber"/>
      </w:rPr>
      <w:fldChar w:fldCharType="end"/>
    </w:r>
  </w:p>
  <w:p w:rsidR="00C17255" w:rsidRDefault="00C1725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7255" w:rsidRDefault="00A45516" w:rsidP="00200B09">
    <w:pPr>
      <w:pStyle w:val="Footer"/>
      <w:framePr w:wrap="around" w:vAnchor="text" w:hAnchor="margin" w:xAlign="center" w:y="1"/>
      <w:rPr>
        <w:rStyle w:val="PageNumber"/>
      </w:rPr>
    </w:pPr>
    <w:r>
      <w:rPr>
        <w:rStyle w:val="PageNumber"/>
      </w:rPr>
      <w:fldChar w:fldCharType="begin"/>
    </w:r>
    <w:r w:rsidR="00C17255">
      <w:rPr>
        <w:rStyle w:val="PageNumber"/>
      </w:rPr>
      <w:instrText xml:space="preserve">PAGE  </w:instrText>
    </w:r>
    <w:r>
      <w:rPr>
        <w:rStyle w:val="PageNumber"/>
      </w:rPr>
      <w:fldChar w:fldCharType="separate"/>
    </w:r>
    <w:r w:rsidR="00712C3B">
      <w:rPr>
        <w:rStyle w:val="PageNumber"/>
        <w:noProof/>
      </w:rPr>
      <w:t>- 5 -</w:t>
    </w:r>
    <w:r>
      <w:rPr>
        <w:rStyle w:val="PageNumber"/>
      </w:rPr>
      <w:fldChar w:fldCharType="end"/>
    </w:r>
  </w:p>
  <w:p w:rsidR="00C17255" w:rsidRDefault="00C17255" w:rsidP="00CF203F">
    <w:pPr>
      <w:pStyle w:val="Footer"/>
      <w:tabs>
        <w:tab w:val="left" w:pos="4770"/>
      </w:tabs>
    </w:pP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7255" w:rsidRDefault="00C17255">
    <w:pPr>
      <w:pStyle w:val="Footer"/>
      <w:framePr w:wrap="around" w:vAnchor="text" w:hAnchor="margin" w:xAlign="center" w:y="1"/>
      <w:rPr>
        <w:rStyle w:val="PageNumber"/>
      </w:rPr>
    </w:pPr>
  </w:p>
  <w:p w:rsidR="00C17255" w:rsidRDefault="00C1725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244F" w:rsidRDefault="000E244F">
      <w:r>
        <w:separator/>
      </w:r>
    </w:p>
  </w:footnote>
  <w:footnote w:type="continuationSeparator" w:id="0">
    <w:p w:rsidR="000E244F" w:rsidRDefault="000E244F">
      <w:r>
        <w:continuationSeparator/>
      </w:r>
    </w:p>
  </w:footnote>
  <w:footnote w:id="1">
    <w:p w:rsidR="00C17255" w:rsidRDefault="00C17255">
      <w:pPr>
        <w:pStyle w:val="FootnoteText"/>
      </w:pPr>
      <w:r>
        <w:rPr>
          <w:rStyle w:val="FootnoteReference"/>
        </w:rPr>
        <w:footnoteRef/>
      </w:r>
      <w:r>
        <w:t xml:space="preserve"> </w:t>
      </w:r>
      <w:r w:rsidRPr="002B40B1">
        <w:t>Pursuant to Business and Professions Code section 6007, subdivision (e), respondent’s involuntary inactive enrollment was effective</w:t>
      </w:r>
      <w:r>
        <w:t xml:space="preserve"> June 7, 2009, </w:t>
      </w:r>
      <w:r w:rsidRPr="002B40B1">
        <w:t>three days</w:t>
      </w:r>
      <w:r>
        <w:t xml:space="preserve"> </w:t>
      </w:r>
      <w:r w:rsidRPr="002B40B1">
        <w:t>after the service of the Order of Involuntary Inactive Enrollment by mail.</w:t>
      </w:r>
    </w:p>
  </w:footnote>
  <w:footnote w:id="2">
    <w:p w:rsidR="00C17255" w:rsidRDefault="00C17255">
      <w:pPr>
        <w:pStyle w:val="FootnoteText"/>
      </w:pPr>
      <w:r>
        <w:rPr>
          <w:rStyle w:val="FootnoteReference"/>
        </w:rPr>
        <w:footnoteRef/>
      </w:r>
      <w:r>
        <w:t xml:space="preserve"> All further references to “section(s)” are to the provisions of the Business and Professions Code, unless otherwise stated.</w:t>
      </w:r>
    </w:p>
  </w:footnote>
  <w:footnote w:id="3">
    <w:p w:rsidR="00C17255" w:rsidRDefault="00C17255">
      <w:pPr>
        <w:pStyle w:val="FootnoteText"/>
      </w:pPr>
      <w:r>
        <w:rPr>
          <w:rStyle w:val="FootnoteReference"/>
        </w:rPr>
        <w:footnoteRef/>
      </w:r>
      <w:r>
        <w:t xml:space="preserve"> </w:t>
      </w:r>
      <w:r w:rsidRPr="00E54492">
        <w:t>References to rule</w:t>
      </w:r>
      <w:r w:rsidR="00D322CB">
        <w:t>(</w:t>
      </w:r>
      <w:r w:rsidRPr="00E54492">
        <w:t>s</w:t>
      </w:r>
      <w:r w:rsidR="00D322CB">
        <w:t>)</w:t>
      </w:r>
      <w:r w:rsidRPr="00E54492">
        <w:t xml:space="preserve"> are to the Rules of Professional Conduct, unless otherwise indicated.</w:t>
      </w:r>
    </w:p>
  </w:footnote>
  <w:footnote w:id="4">
    <w:p w:rsidR="00C17255" w:rsidRDefault="00C17255">
      <w:pPr>
        <w:pStyle w:val="FootnoteText"/>
      </w:pPr>
      <w:r>
        <w:rPr>
          <w:rStyle w:val="FootnoteReference"/>
        </w:rPr>
        <w:footnoteRef/>
      </w:r>
      <w:r>
        <w:t xml:space="preserve"> Future references to standard(s) or std. are to this source.</w:t>
      </w:r>
    </w:p>
  </w:footnote>
  <w:footnote w:id="5">
    <w:p w:rsidR="00C17255" w:rsidRDefault="00C17255">
      <w:pPr>
        <w:pStyle w:val="FootnoteText"/>
      </w:pPr>
      <w:r>
        <w:rPr>
          <w:rStyle w:val="FootnoteReference"/>
        </w:rPr>
        <w:footnoteRef/>
      </w:r>
      <w:r>
        <w:t xml:space="preserve"> </w:t>
      </w:r>
      <w:r w:rsidRPr="00816007">
        <w:t xml:space="preserve">Respondent is required to file a rule 9.20(c) affidavit even if he has no clients to notify.  </w:t>
      </w:r>
      <w:proofErr w:type="gramStart"/>
      <w:r w:rsidRPr="00816007">
        <w:t>(</w:t>
      </w:r>
      <w:r w:rsidRPr="00816007">
        <w:rPr>
          <w:i/>
        </w:rPr>
        <w:t>Powers v. State Bar</w:t>
      </w:r>
      <w:r w:rsidRPr="00816007">
        <w:t xml:space="preserve"> (1988) 44 </w:t>
      </w:r>
      <w:proofErr w:type="spellStart"/>
      <w:r w:rsidRPr="00816007">
        <w:t>Cal.3d</w:t>
      </w:r>
      <w:proofErr w:type="spellEnd"/>
      <w:r w:rsidRPr="00816007">
        <w:t xml:space="preserve"> 337, 341.)</w:t>
      </w:r>
      <w:proofErr w:type="gramEnd"/>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A3E07"/>
    <w:multiLevelType w:val="multilevel"/>
    <w:tmpl w:val="9496EB26"/>
    <w:lvl w:ilvl="0">
      <w:start w:val="50"/>
      <w:numFmt w:val="decimal"/>
      <w:lvlText w:val="%1."/>
      <w:lvlJc w:val="left"/>
      <w:pPr>
        <w:tabs>
          <w:tab w:val="num" w:pos="432"/>
        </w:tabs>
        <w:ind w:left="720"/>
      </w:pPr>
      <w:rPr>
        <w:rFonts w:ascii="Times New Roman"/>
        <w:strike w:val="0"/>
        <w:color w:val="000000"/>
        <w:spacing w:val="-7"/>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proofState w:spelling="clean" w:grammar="clean"/>
  <w:attachedTemplate r:id="rId1"/>
  <w:defaultTabStop w:val="720"/>
  <w:drawingGridHorizontalSpacing w:val="12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rsids>
    <w:rsidRoot w:val="00192849"/>
    <w:rsid w:val="00003A13"/>
    <w:rsid w:val="000125FD"/>
    <w:rsid w:val="00017D08"/>
    <w:rsid w:val="00033C28"/>
    <w:rsid w:val="00034EFA"/>
    <w:rsid w:val="00051472"/>
    <w:rsid w:val="00060228"/>
    <w:rsid w:val="00082B7D"/>
    <w:rsid w:val="0008336A"/>
    <w:rsid w:val="00091E8E"/>
    <w:rsid w:val="000A551A"/>
    <w:rsid w:val="000A770A"/>
    <w:rsid w:val="000C1C9E"/>
    <w:rsid w:val="000E0FBB"/>
    <w:rsid w:val="000E244F"/>
    <w:rsid w:val="000E6363"/>
    <w:rsid w:val="000F22D6"/>
    <w:rsid w:val="000F5167"/>
    <w:rsid w:val="000F6FC3"/>
    <w:rsid w:val="00103E48"/>
    <w:rsid w:val="001076AA"/>
    <w:rsid w:val="00107D15"/>
    <w:rsid w:val="00111F8E"/>
    <w:rsid w:val="0011592C"/>
    <w:rsid w:val="00116E22"/>
    <w:rsid w:val="00126288"/>
    <w:rsid w:val="00130A22"/>
    <w:rsid w:val="00142676"/>
    <w:rsid w:val="00145071"/>
    <w:rsid w:val="00157A09"/>
    <w:rsid w:val="00161D3B"/>
    <w:rsid w:val="00174192"/>
    <w:rsid w:val="001776F0"/>
    <w:rsid w:val="00177F74"/>
    <w:rsid w:val="00184DC7"/>
    <w:rsid w:val="00192849"/>
    <w:rsid w:val="001A01FF"/>
    <w:rsid w:val="001A3918"/>
    <w:rsid w:val="001A5C5B"/>
    <w:rsid w:val="001B199D"/>
    <w:rsid w:val="001B33AE"/>
    <w:rsid w:val="001C2E74"/>
    <w:rsid w:val="001C6F4D"/>
    <w:rsid w:val="001E136C"/>
    <w:rsid w:val="001E2451"/>
    <w:rsid w:val="001E4E10"/>
    <w:rsid w:val="001F212C"/>
    <w:rsid w:val="001F6C00"/>
    <w:rsid w:val="00200B09"/>
    <w:rsid w:val="002031EC"/>
    <w:rsid w:val="002101D1"/>
    <w:rsid w:val="00221158"/>
    <w:rsid w:val="00225A0B"/>
    <w:rsid w:val="00234161"/>
    <w:rsid w:val="00234E68"/>
    <w:rsid w:val="00242F71"/>
    <w:rsid w:val="002431DD"/>
    <w:rsid w:val="00246BF4"/>
    <w:rsid w:val="002474FA"/>
    <w:rsid w:val="0025310F"/>
    <w:rsid w:val="002617E1"/>
    <w:rsid w:val="00262E3F"/>
    <w:rsid w:val="00264A8C"/>
    <w:rsid w:val="00265242"/>
    <w:rsid w:val="00286941"/>
    <w:rsid w:val="002873E6"/>
    <w:rsid w:val="00293738"/>
    <w:rsid w:val="00293C3D"/>
    <w:rsid w:val="002A1380"/>
    <w:rsid w:val="002A67A3"/>
    <w:rsid w:val="002B40B1"/>
    <w:rsid w:val="002B5D6D"/>
    <w:rsid w:val="002B7C4F"/>
    <w:rsid w:val="002C102F"/>
    <w:rsid w:val="002C6952"/>
    <w:rsid w:val="002D316C"/>
    <w:rsid w:val="003010BA"/>
    <w:rsid w:val="00307BFA"/>
    <w:rsid w:val="00313E26"/>
    <w:rsid w:val="00316AB9"/>
    <w:rsid w:val="00321D06"/>
    <w:rsid w:val="00321E99"/>
    <w:rsid w:val="00353AF0"/>
    <w:rsid w:val="0036179C"/>
    <w:rsid w:val="00361E1D"/>
    <w:rsid w:val="00364060"/>
    <w:rsid w:val="0037466A"/>
    <w:rsid w:val="00375E3D"/>
    <w:rsid w:val="00377A36"/>
    <w:rsid w:val="00383753"/>
    <w:rsid w:val="00387E8D"/>
    <w:rsid w:val="003A2F25"/>
    <w:rsid w:val="003A544C"/>
    <w:rsid w:val="003B44D5"/>
    <w:rsid w:val="003C0ECB"/>
    <w:rsid w:val="003C18BC"/>
    <w:rsid w:val="003C51C3"/>
    <w:rsid w:val="003C6473"/>
    <w:rsid w:val="003D241C"/>
    <w:rsid w:val="003D2D51"/>
    <w:rsid w:val="003D3B12"/>
    <w:rsid w:val="003E243E"/>
    <w:rsid w:val="003E5A87"/>
    <w:rsid w:val="003E67F3"/>
    <w:rsid w:val="003F1514"/>
    <w:rsid w:val="003F25B8"/>
    <w:rsid w:val="00402E13"/>
    <w:rsid w:val="00403895"/>
    <w:rsid w:val="00405C3A"/>
    <w:rsid w:val="004103CB"/>
    <w:rsid w:val="00412763"/>
    <w:rsid w:val="00414E3B"/>
    <w:rsid w:val="004215FE"/>
    <w:rsid w:val="00421915"/>
    <w:rsid w:val="00423F5D"/>
    <w:rsid w:val="00430752"/>
    <w:rsid w:val="00434356"/>
    <w:rsid w:val="00436F8D"/>
    <w:rsid w:val="00440152"/>
    <w:rsid w:val="0044783A"/>
    <w:rsid w:val="00452EC3"/>
    <w:rsid w:val="004578C7"/>
    <w:rsid w:val="00466402"/>
    <w:rsid w:val="00471693"/>
    <w:rsid w:val="00472004"/>
    <w:rsid w:val="00485139"/>
    <w:rsid w:val="00486197"/>
    <w:rsid w:val="00494955"/>
    <w:rsid w:val="00496FF0"/>
    <w:rsid w:val="004B5A63"/>
    <w:rsid w:val="004C5A02"/>
    <w:rsid w:val="004D1E74"/>
    <w:rsid w:val="004D72EA"/>
    <w:rsid w:val="004E76B4"/>
    <w:rsid w:val="00515E49"/>
    <w:rsid w:val="00523CE0"/>
    <w:rsid w:val="005318DA"/>
    <w:rsid w:val="00544C8C"/>
    <w:rsid w:val="00550C5A"/>
    <w:rsid w:val="00554AC3"/>
    <w:rsid w:val="0058262A"/>
    <w:rsid w:val="005974E2"/>
    <w:rsid w:val="005A4093"/>
    <w:rsid w:val="005D216A"/>
    <w:rsid w:val="005E2C09"/>
    <w:rsid w:val="005F09B0"/>
    <w:rsid w:val="005F6333"/>
    <w:rsid w:val="00615FC0"/>
    <w:rsid w:val="00623C08"/>
    <w:rsid w:val="006303C7"/>
    <w:rsid w:val="00642873"/>
    <w:rsid w:val="0065041E"/>
    <w:rsid w:val="00660642"/>
    <w:rsid w:val="00660C6E"/>
    <w:rsid w:val="0066163C"/>
    <w:rsid w:val="006918EE"/>
    <w:rsid w:val="006C1BB7"/>
    <w:rsid w:val="006C3A7F"/>
    <w:rsid w:val="006D12BC"/>
    <w:rsid w:val="006D3F65"/>
    <w:rsid w:val="006D47C8"/>
    <w:rsid w:val="006E271D"/>
    <w:rsid w:val="006E3FDD"/>
    <w:rsid w:val="006F2F03"/>
    <w:rsid w:val="006F319E"/>
    <w:rsid w:val="006F42C3"/>
    <w:rsid w:val="006F51EC"/>
    <w:rsid w:val="007069A2"/>
    <w:rsid w:val="0071216E"/>
    <w:rsid w:val="00712C3B"/>
    <w:rsid w:val="0071684F"/>
    <w:rsid w:val="00720AA1"/>
    <w:rsid w:val="007434AB"/>
    <w:rsid w:val="00744366"/>
    <w:rsid w:val="00760848"/>
    <w:rsid w:val="0076085E"/>
    <w:rsid w:val="0076185D"/>
    <w:rsid w:val="007A573A"/>
    <w:rsid w:val="007B32AC"/>
    <w:rsid w:val="007C5B1B"/>
    <w:rsid w:val="007C612D"/>
    <w:rsid w:val="007E1E0D"/>
    <w:rsid w:val="007E5469"/>
    <w:rsid w:val="007E6C5F"/>
    <w:rsid w:val="00807270"/>
    <w:rsid w:val="008105B2"/>
    <w:rsid w:val="00816007"/>
    <w:rsid w:val="008223FB"/>
    <w:rsid w:val="00826201"/>
    <w:rsid w:val="00840213"/>
    <w:rsid w:val="0087565B"/>
    <w:rsid w:val="0087614E"/>
    <w:rsid w:val="00880896"/>
    <w:rsid w:val="00892286"/>
    <w:rsid w:val="00893DE7"/>
    <w:rsid w:val="008B4811"/>
    <w:rsid w:val="008E220A"/>
    <w:rsid w:val="008E7FEF"/>
    <w:rsid w:val="00914E9C"/>
    <w:rsid w:val="00922ED7"/>
    <w:rsid w:val="00923B39"/>
    <w:rsid w:val="00924E73"/>
    <w:rsid w:val="009365FD"/>
    <w:rsid w:val="00967D33"/>
    <w:rsid w:val="00973D11"/>
    <w:rsid w:val="00976667"/>
    <w:rsid w:val="00977BFF"/>
    <w:rsid w:val="00983AC5"/>
    <w:rsid w:val="009A71D1"/>
    <w:rsid w:val="009C639E"/>
    <w:rsid w:val="009E1ECE"/>
    <w:rsid w:val="009E4929"/>
    <w:rsid w:val="00A115CA"/>
    <w:rsid w:val="00A164AC"/>
    <w:rsid w:val="00A45516"/>
    <w:rsid w:val="00A544B5"/>
    <w:rsid w:val="00A65048"/>
    <w:rsid w:val="00A716C4"/>
    <w:rsid w:val="00A91AE8"/>
    <w:rsid w:val="00AC2E3F"/>
    <w:rsid w:val="00AC7ECC"/>
    <w:rsid w:val="00AE2CF9"/>
    <w:rsid w:val="00AF2BA4"/>
    <w:rsid w:val="00AF4F58"/>
    <w:rsid w:val="00B04981"/>
    <w:rsid w:val="00B15B14"/>
    <w:rsid w:val="00B314B9"/>
    <w:rsid w:val="00B31CEC"/>
    <w:rsid w:val="00B510E4"/>
    <w:rsid w:val="00B52B2A"/>
    <w:rsid w:val="00B546A5"/>
    <w:rsid w:val="00B62CEF"/>
    <w:rsid w:val="00B67829"/>
    <w:rsid w:val="00B76DF8"/>
    <w:rsid w:val="00B8543A"/>
    <w:rsid w:val="00BB2942"/>
    <w:rsid w:val="00BD2588"/>
    <w:rsid w:val="00BE2531"/>
    <w:rsid w:val="00BE68F8"/>
    <w:rsid w:val="00BF3535"/>
    <w:rsid w:val="00C01C1E"/>
    <w:rsid w:val="00C02796"/>
    <w:rsid w:val="00C05548"/>
    <w:rsid w:val="00C06922"/>
    <w:rsid w:val="00C14170"/>
    <w:rsid w:val="00C17255"/>
    <w:rsid w:val="00C213DE"/>
    <w:rsid w:val="00C3297E"/>
    <w:rsid w:val="00C35FA8"/>
    <w:rsid w:val="00C4460A"/>
    <w:rsid w:val="00C45B5D"/>
    <w:rsid w:val="00C45B8B"/>
    <w:rsid w:val="00C5082E"/>
    <w:rsid w:val="00C65774"/>
    <w:rsid w:val="00C66ABC"/>
    <w:rsid w:val="00C87647"/>
    <w:rsid w:val="00C90BC4"/>
    <w:rsid w:val="00C968AC"/>
    <w:rsid w:val="00C97B0A"/>
    <w:rsid w:val="00CA1BC0"/>
    <w:rsid w:val="00CA6818"/>
    <w:rsid w:val="00CC3D80"/>
    <w:rsid w:val="00CC6D87"/>
    <w:rsid w:val="00CC6F0B"/>
    <w:rsid w:val="00CE1DE9"/>
    <w:rsid w:val="00CE5252"/>
    <w:rsid w:val="00CF1733"/>
    <w:rsid w:val="00CF203F"/>
    <w:rsid w:val="00CF44AB"/>
    <w:rsid w:val="00CF4A37"/>
    <w:rsid w:val="00D066FE"/>
    <w:rsid w:val="00D0771C"/>
    <w:rsid w:val="00D269DD"/>
    <w:rsid w:val="00D322CB"/>
    <w:rsid w:val="00D8083E"/>
    <w:rsid w:val="00D92C7B"/>
    <w:rsid w:val="00D97E84"/>
    <w:rsid w:val="00DA21EF"/>
    <w:rsid w:val="00DC4446"/>
    <w:rsid w:val="00DD08CF"/>
    <w:rsid w:val="00DE1F24"/>
    <w:rsid w:val="00DE4444"/>
    <w:rsid w:val="00E00C4B"/>
    <w:rsid w:val="00E230C1"/>
    <w:rsid w:val="00E24F30"/>
    <w:rsid w:val="00E27321"/>
    <w:rsid w:val="00E310BE"/>
    <w:rsid w:val="00E32AEB"/>
    <w:rsid w:val="00E401C7"/>
    <w:rsid w:val="00E4513F"/>
    <w:rsid w:val="00E54492"/>
    <w:rsid w:val="00E84BB4"/>
    <w:rsid w:val="00E91C57"/>
    <w:rsid w:val="00EB10F1"/>
    <w:rsid w:val="00EB7A3C"/>
    <w:rsid w:val="00EC5AF2"/>
    <w:rsid w:val="00ED6419"/>
    <w:rsid w:val="00EE1951"/>
    <w:rsid w:val="00EE20AB"/>
    <w:rsid w:val="00EE27DA"/>
    <w:rsid w:val="00EE3AFC"/>
    <w:rsid w:val="00F04C3B"/>
    <w:rsid w:val="00F04CCA"/>
    <w:rsid w:val="00F115FE"/>
    <w:rsid w:val="00F23917"/>
    <w:rsid w:val="00F26FB1"/>
    <w:rsid w:val="00F347CA"/>
    <w:rsid w:val="00F42B12"/>
    <w:rsid w:val="00F65BF8"/>
    <w:rsid w:val="00F6795D"/>
    <w:rsid w:val="00F836F0"/>
    <w:rsid w:val="00F83E0F"/>
    <w:rsid w:val="00FA2A71"/>
    <w:rsid w:val="00FB616A"/>
    <w:rsid w:val="00FE5E87"/>
    <w:rsid w:val="00FE7E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6F0"/>
    <w:rPr>
      <w:sz w:val="24"/>
      <w:szCs w:val="24"/>
    </w:rPr>
  </w:style>
  <w:style w:type="paragraph" w:styleId="Heading1">
    <w:name w:val="heading 1"/>
    <w:basedOn w:val="Normal"/>
    <w:next w:val="Normal"/>
    <w:qFormat/>
    <w:rsid w:val="00F836F0"/>
    <w:pPr>
      <w:keepNext/>
      <w:spacing w:line="480" w:lineRule="auto"/>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F836F0"/>
    <w:pPr>
      <w:spacing w:before="28"/>
      <w:ind w:right="90"/>
    </w:pPr>
    <w:rPr>
      <w:sz w:val="19"/>
      <w:szCs w:val="19"/>
    </w:rPr>
  </w:style>
  <w:style w:type="paragraph" w:styleId="Header">
    <w:name w:val="header"/>
    <w:basedOn w:val="Normal"/>
    <w:semiHidden/>
    <w:rsid w:val="00F836F0"/>
    <w:pPr>
      <w:tabs>
        <w:tab w:val="center" w:pos="4320"/>
        <w:tab w:val="right" w:pos="8640"/>
      </w:tabs>
    </w:pPr>
  </w:style>
  <w:style w:type="paragraph" w:styleId="Footer">
    <w:name w:val="footer"/>
    <w:basedOn w:val="Normal"/>
    <w:semiHidden/>
    <w:rsid w:val="00F836F0"/>
    <w:pPr>
      <w:tabs>
        <w:tab w:val="center" w:pos="4320"/>
        <w:tab w:val="right" w:pos="8640"/>
      </w:tabs>
    </w:pPr>
  </w:style>
  <w:style w:type="character" w:styleId="PageNumber">
    <w:name w:val="page number"/>
    <w:basedOn w:val="DefaultParagraphFont"/>
    <w:semiHidden/>
    <w:rsid w:val="00F836F0"/>
  </w:style>
  <w:style w:type="paragraph" w:styleId="FootnoteText">
    <w:name w:val="footnote text"/>
    <w:basedOn w:val="Normal"/>
    <w:link w:val="FootnoteTextChar"/>
    <w:semiHidden/>
    <w:rsid w:val="00F836F0"/>
    <w:pPr>
      <w:ind w:firstLine="720"/>
    </w:pPr>
    <w:rPr>
      <w:szCs w:val="20"/>
    </w:rPr>
  </w:style>
  <w:style w:type="character" w:styleId="FootnoteReference">
    <w:name w:val="footnote reference"/>
    <w:basedOn w:val="DefaultParagraphFont"/>
    <w:rsid w:val="00F836F0"/>
    <w:rPr>
      <w:vertAlign w:val="superscript"/>
    </w:rPr>
  </w:style>
  <w:style w:type="paragraph" w:styleId="BalloonText">
    <w:name w:val="Balloon Text"/>
    <w:basedOn w:val="Normal"/>
    <w:link w:val="BalloonTextChar"/>
    <w:uiPriority w:val="99"/>
    <w:semiHidden/>
    <w:unhideWhenUsed/>
    <w:rsid w:val="00CE1DE9"/>
    <w:rPr>
      <w:rFonts w:ascii="Tahoma" w:hAnsi="Tahoma" w:cs="Tahoma"/>
      <w:sz w:val="16"/>
      <w:szCs w:val="16"/>
    </w:rPr>
  </w:style>
  <w:style w:type="character" w:customStyle="1" w:styleId="BalloonTextChar">
    <w:name w:val="Balloon Text Char"/>
    <w:basedOn w:val="DefaultParagraphFont"/>
    <w:link w:val="BalloonText"/>
    <w:uiPriority w:val="99"/>
    <w:semiHidden/>
    <w:rsid w:val="00CE1DE9"/>
    <w:rPr>
      <w:rFonts w:ascii="Tahoma" w:hAnsi="Tahoma" w:cs="Tahoma"/>
      <w:sz w:val="16"/>
      <w:szCs w:val="16"/>
    </w:rPr>
  </w:style>
  <w:style w:type="character" w:customStyle="1" w:styleId="FootnoteTextChar">
    <w:name w:val="Footnote Text Char"/>
    <w:basedOn w:val="DefaultParagraphFont"/>
    <w:link w:val="FootnoteText"/>
    <w:semiHidden/>
    <w:rsid w:val="006F319E"/>
    <w:rPr>
      <w:sz w:val="24"/>
    </w:rPr>
  </w:style>
  <w:style w:type="paragraph" w:styleId="ListParagraph">
    <w:name w:val="List Paragraph"/>
    <w:basedOn w:val="Normal"/>
    <w:uiPriority w:val="34"/>
    <w:qFormat/>
    <w:rsid w:val="003C51C3"/>
    <w:pPr>
      <w:spacing w:after="200" w:line="276"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59"/>
    <w:rsid w:val="00F04CCA"/>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V:\User%20Templates\CNSL_Wrkgp\Counsel-Judge%20Forms\No_line_pleadi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810BFB-698B-4E4E-BD64-A23B19CC8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No_line_pleading.dot</Template>
  <TotalTime>0</TotalTime>
  <Pages>6</Pages>
  <Words>6125</Words>
  <Characters>34917</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STATE BAR COURT OF CALIFORNIA</vt:lpstr>
    </vt:vector>
  </TitlesOfParts>
  <Company>State Bar of California</Company>
  <LinksUpToDate>false</LinksUpToDate>
  <CharactersWithSpaces>40961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BAR COURT OF CALIFORNIA</dc:title>
  <dc:subject/>
  <dc:creator>Ellen Biberfeld</dc:creator>
  <cp:keywords/>
  <dc:description/>
  <cp:lastModifiedBy>Cristina Potter</cp:lastModifiedBy>
  <cp:revision>2</cp:revision>
  <cp:lastPrinted>2009-10-30T00:16:00Z</cp:lastPrinted>
  <dcterms:created xsi:type="dcterms:W3CDTF">2009-10-30T19:46:00Z</dcterms:created>
  <dcterms:modified xsi:type="dcterms:W3CDTF">2009-10-30T19:46:00Z</dcterms:modified>
</cp:coreProperties>
</file>