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54" w:rsidRDefault="001C72B4" w:rsidP="00FE28B1">
      <w:pPr>
        <w:pStyle w:val="Footnote"/>
        <w:jc w:val="left"/>
      </w:pPr>
      <w:bookmarkStart w:id="0" w:name="designation"/>
      <w:bookmarkEnd w:id="0"/>
      <w:r>
        <w:t>PUBLIC MATTER – NOT DESIGNATED FOR PUBLICATION</w:t>
      </w:r>
    </w:p>
    <w:p w:rsidR="00FE28B1" w:rsidRDefault="00FE28B1" w:rsidP="00694781">
      <w:pPr>
        <w:ind w:left="720"/>
      </w:pPr>
    </w:p>
    <w:p w:rsidR="001E534C" w:rsidRPr="00694781" w:rsidRDefault="00694781" w:rsidP="00694781">
      <w:pPr>
        <w:jc w:val="right"/>
        <w:rPr>
          <w:b/>
        </w:rPr>
      </w:pPr>
      <w:r w:rsidRPr="00694781">
        <w:rPr>
          <w:b/>
        </w:rPr>
        <w:t>FILED JUNE 07, 2010</w:t>
      </w:r>
    </w:p>
    <w:p w:rsidR="00FE28B1" w:rsidRDefault="00FE28B1" w:rsidP="00C11CC8">
      <w:pPr>
        <w:spacing w:line="240" w:lineRule="auto"/>
        <w:jc w:val="center"/>
        <w:rPr>
          <w:b/>
        </w:rPr>
      </w:pPr>
    </w:p>
    <w:p w:rsidR="00C11CC8" w:rsidRPr="00C11CC8" w:rsidRDefault="00C11CC8" w:rsidP="00C11CC8">
      <w:pPr>
        <w:spacing w:line="240" w:lineRule="auto"/>
        <w:jc w:val="center"/>
        <w:rPr>
          <w:b/>
        </w:rPr>
      </w:pPr>
      <w:r w:rsidRPr="00C11CC8">
        <w:rPr>
          <w:b/>
        </w:rPr>
        <w:t>REVIEW DEPARTMENT OF THE STATE BAR COURT</w:t>
      </w:r>
    </w:p>
    <w:p w:rsidR="00C11CC8" w:rsidRPr="00C11CC8" w:rsidRDefault="00C11CC8" w:rsidP="00C11CC8">
      <w:pPr>
        <w:rPr>
          <w:b/>
        </w:rPr>
      </w:pPr>
    </w:p>
    <w:tbl>
      <w:tblPr>
        <w:tblStyle w:val="TableGrid"/>
        <w:tblW w:w="0" w:type="auto"/>
        <w:tblLook w:val="04A0"/>
      </w:tblPr>
      <w:tblGrid>
        <w:gridCol w:w="4230"/>
        <w:gridCol w:w="540"/>
        <w:gridCol w:w="4698"/>
      </w:tblGrid>
      <w:tr w:rsidR="00C11CC8" w:rsidRPr="00C11CC8" w:rsidTr="004E074E">
        <w:tc>
          <w:tcPr>
            <w:tcW w:w="4230" w:type="dxa"/>
            <w:tcBorders>
              <w:top w:val="nil"/>
              <w:left w:val="nil"/>
              <w:right w:val="nil"/>
            </w:tcBorders>
            <w:tcMar>
              <w:left w:w="0" w:type="dxa"/>
              <w:right w:w="0" w:type="dxa"/>
            </w:tcMar>
          </w:tcPr>
          <w:p w:rsidR="00C11CC8" w:rsidRDefault="00C11CC8" w:rsidP="009216E0">
            <w:pPr>
              <w:spacing w:line="240" w:lineRule="auto"/>
            </w:pPr>
            <w:r>
              <w:t>In the Matter of</w:t>
            </w:r>
          </w:p>
          <w:p w:rsidR="009216E0" w:rsidRDefault="009216E0" w:rsidP="009216E0">
            <w:pPr>
              <w:spacing w:line="240" w:lineRule="auto"/>
            </w:pPr>
          </w:p>
          <w:p w:rsidR="00C11CC8" w:rsidRPr="00497A94" w:rsidRDefault="001C72B4" w:rsidP="009216E0">
            <w:pPr>
              <w:spacing w:line="240" w:lineRule="auto"/>
              <w:rPr>
                <w:b/>
              </w:rPr>
            </w:pPr>
            <w:bookmarkStart w:id="1" w:name="Respondent"/>
            <w:bookmarkEnd w:id="1"/>
            <w:r>
              <w:rPr>
                <w:b/>
              </w:rPr>
              <w:t xml:space="preserve">DAVID G. </w:t>
            </w:r>
            <w:proofErr w:type="spellStart"/>
            <w:r>
              <w:rPr>
                <w:b/>
              </w:rPr>
              <w:t>RONQUILLO</w:t>
            </w:r>
            <w:proofErr w:type="spellEnd"/>
            <w:r w:rsidRPr="00497A94">
              <w:rPr>
                <w:b/>
              </w:rPr>
              <w:t>,</w:t>
            </w:r>
          </w:p>
          <w:p w:rsidR="009216E0" w:rsidRDefault="009216E0" w:rsidP="009216E0">
            <w:pPr>
              <w:spacing w:line="240" w:lineRule="auto"/>
            </w:pPr>
          </w:p>
          <w:p w:rsidR="009216E0" w:rsidRPr="009216E0" w:rsidRDefault="002F24D7" w:rsidP="009216E0">
            <w:pPr>
              <w:spacing w:line="240" w:lineRule="auto"/>
            </w:pPr>
            <w:bookmarkStart w:id="2" w:name="type"/>
            <w:bookmarkEnd w:id="2"/>
            <w:r>
              <w:t>A Member of the State Bar.</w:t>
            </w:r>
          </w:p>
          <w:p w:rsidR="009216E0" w:rsidRPr="00C11CC8" w:rsidRDefault="009216E0" w:rsidP="009216E0">
            <w:pPr>
              <w:spacing w:line="240" w:lineRule="auto"/>
            </w:pPr>
          </w:p>
        </w:tc>
        <w:tc>
          <w:tcPr>
            <w:tcW w:w="540" w:type="dxa"/>
            <w:tcBorders>
              <w:top w:val="nil"/>
              <w:left w:val="nil"/>
              <w:bottom w:val="nil"/>
              <w:right w:val="nil"/>
            </w:tcBorders>
            <w:tcMar>
              <w:left w:w="0" w:type="dxa"/>
              <w:right w:w="0" w:type="dxa"/>
            </w:tcMar>
          </w:tcPr>
          <w:p w:rsidR="00C11CC8" w:rsidRDefault="00C11CC8" w:rsidP="009216E0">
            <w:pPr>
              <w:spacing w:line="240" w:lineRule="auto"/>
              <w:rPr>
                <w:b/>
              </w:rPr>
            </w:pPr>
            <w:r>
              <w:rPr>
                <w:b/>
              </w:rPr>
              <w:t>)</w:t>
            </w:r>
          </w:p>
          <w:p w:rsidR="009216E0" w:rsidRPr="00C11CC8" w:rsidRDefault="009216E0" w:rsidP="009216E0">
            <w:pPr>
              <w:spacing w:line="240" w:lineRule="auto"/>
              <w:rPr>
                <w:b/>
              </w:rPr>
            </w:pPr>
            <w:r>
              <w:rPr>
                <w:b/>
              </w:rPr>
              <w:t>)</w:t>
            </w:r>
            <w:r>
              <w:rPr>
                <w:b/>
              </w:rPr>
              <w:br/>
              <w:t>)</w:t>
            </w:r>
            <w:r>
              <w:rPr>
                <w:b/>
              </w:rPr>
              <w:br/>
              <w:t>)</w:t>
            </w:r>
            <w:r>
              <w:rPr>
                <w:b/>
              </w:rPr>
              <w:br/>
              <w:t>)</w:t>
            </w:r>
            <w:r>
              <w:rPr>
                <w:b/>
              </w:rPr>
              <w:br/>
              <w:t>)</w:t>
            </w:r>
          </w:p>
        </w:tc>
        <w:tc>
          <w:tcPr>
            <w:tcW w:w="4698" w:type="dxa"/>
            <w:tcBorders>
              <w:top w:val="nil"/>
              <w:left w:val="nil"/>
              <w:bottom w:val="nil"/>
              <w:right w:val="nil"/>
            </w:tcBorders>
          </w:tcPr>
          <w:p w:rsidR="00C11CC8" w:rsidRPr="00497A94" w:rsidRDefault="00C11CC8" w:rsidP="009216E0">
            <w:pPr>
              <w:spacing w:line="240" w:lineRule="auto"/>
              <w:rPr>
                <w:b/>
              </w:rPr>
            </w:pPr>
            <w:r>
              <w:t>No</w:t>
            </w:r>
            <w:r w:rsidR="001E534C">
              <w:t>s</w:t>
            </w:r>
            <w:r w:rsidRPr="00497A94">
              <w:rPr>
                <w:b/>
              </w:rPr>
              <w:t>.</w:t>
            </w:r>
            <w:r w:rsidR="009216E0" w:rsidRPr="00497A94">
              <w:rPr>
                <w:b/>
              </w:rPr>
              <w:t xml:space="preserve"> </w:t>
            </w:r>
            <w:bookmarkStart w:id="3" w:name="caseno"/>
            <w:bookmarkEnd w:id="3"/>
            <w:r w:rsidR="002F24D7">
              <w:rPr>
                <w:b/>
              </w:rPr>
              <w:t>07-O-12701; 07-O-14524</w:t>
            </w:r>
          </w:p>
          <w:p w:rsidR="009216E0" w:rsidRDefault="009216E0" w:rsidP="009216E0">
            <w:pPr>
              <w:spacing w:line="240" w:lineRule="auto"/>
            </w:pPr>
          </w:p>
          <w:p w:rsidR="001E534C" w:rsidRDefault="001E534C" w:rsidP="009216E0">
            <w:pPr>
              <w:spacing w:line="240" w:lineRule="auto"/>
            </w:pPr>
          </w:p>
          <w:p w:rsidR="007F537A" w:rsidRDefault="002F24D7" w:rsidP="009216E0">
            <w:pPr>
              <w:spacing w:line="240" w:lineRule="auto"/>
              <w:rPr>
                <w:b/>
              </w:rPr>
            </w:pPr>
            <w:bookmarkStart w:id="4" w:name="title"/>
            <w:bookmarkEnd w:id="4"/>
            <w:r>
              <w:rPr>
                <w:b/>
              </w:rPr>
              <w:t xml:space="preserve">OPINION </w:t>
            </w:r>
            <w:r w:rsidR="009D722D">
              <w:rPr>
                <w:b/>
              </w:rPr>
              <w:t xml:space="preserve">AND ORDER </w:t>
            </w:r>
            <w:r>
              <w:rPr>
                <w:b/>
              </w:rPr>
              <w:t>ON REVIEW</w:t>
            </w:r>
          </w:p>
          <w:p w:rsidR="003F17B7" w:rsidRPr="009216E0" w:rsidRDefault="003F17B7" w:rsidP="00A72097">
            <w:pPr>
              <w:spacing w:line="240" w:lineRule="auto"/>
              <w:rPr>
                <w:b/>
              </w:rPr>
            </w:pPr>
          </w:p>
        </w:tc>
      </w:tr>
    </w:tbl>
    <w:p w:rsidR="001C72B4" w:rsidRDefault="001C72B4" w:rsidP="001C72B4">
      <w:pPr>
        <w:spacing w:line="240" w:lineRule="auto"/>
      </w:pPr>
    </w:p>
    <w:p w:rsidR="002F24D7" w:rsidRDefault="002F24D7" w:rsidP="001C72B4">
      <w:pPr>
        <w:spacing w:line="240" w:lineRule="auto"/>
      </w:pPr>
      <w:r>
        <w:t>BY THE COURT</w:t>
      </w:r>
      <w:r w:rsidR="001C72B4">
        <w:t>:</w:t>
      </w:r>
      <w:r>
        <w:rPr>
          <w:rStyle w:val="FootnoteReference"/>
        </w:rPr>
        <w:footnoteReference w:id="2"/>
      </w:r>
    </w:p>
    <w:p w:rsidR="001C72B4" w:rsidRDefault="001C72B4" w:rsidP="001C72B4">
      <w:pPr>
        <w:spacing w:line="240" w:lineRule="auto"/>
      </w:pPr>
    </w:p>
    <w:p w:rsidR="00B05F22" w:rsidRDefault="002F24D7" w:rsidP="00C11CC8">
      <w:r>
        <w:tab/>
        <w:t xml:space="preserve">This </w:t>
      </w:r>
      <w:r w:rsidR="00B64DF3">
        <w:t>matter</w:t>
      </w:r>
      <w:r w:rsidR="00B6046B">
        <w:t>, which</w:t>
      </w:r>
      <w:r w:rsidR="000E469D">
        <w:t xml:space="preserve"> </w:t>
      </w:r>
      <w:r w:rsidR="00F56543">
        <w:t xml:space="preserve">involves </w:t>
      </w:r>
      <w:r>
        <w:t>an attorney’s</w:t>
      </w:r>
      <w:r w:rsidR="003D4A60">
        <w:t xml:space="preserve"> intentional misappropriation of $124,065 in trust funds from two clients,</w:t>
      </w:r>
      <w:r w:rsidR="000E469D">
        <w:t xml:space="preserve"> </w:t>
      </w:r>
      <w:r w:rsidR="00167CA7">
        <w:t>illustrate</w:t>
      </w:r>
      <w:r w:rsidR="00F56543">
        <w:t>s</w:t>
      </w:r>
      <w:r w:rsidR="00167CA7">
        <w:t xml:space="preserve"> </w:t>
      </w:r>
      <w:r>
        <w:t>the importan</w:t>
      </w:r>
      <w:r w:rsidR="003D4A60">
        <w:t xml:space="preserve">ce of the disciplinary goal of </w:t>
      </w:r>
      <w:r>
        <w:t xml:space="preserve">public </w:t>
      </w:r>
      <w:r w:rsidR="00F56543">
        <w:t xml:space="preserve">protection as provided by </w:t>
      </w:r>
      <w:r>
        <w:t>S</w:t>
      </w:r>
      <w:r w:rsidR="00F71E2E">
        <w:t xml:space="preserve">tandard </w:t>
      </w:r>
      <w:r>
        <w:t>1.3</w:t>
      </w:r>
      <w:r w:rsidR="00F71E2E">
        <w:t xml:space="preserve"> of the </w:t>
      </w:r>
      <w:r w:rsidR="009344EA">
        <w:t xml:space="preserve">Rules of Procedure of the State Bar, title IV, </w:t>
      </w:r>
      <w:r w:rsidR="00F71E2E">
        <w:t>Standards</w:t>
      </w:r>
      <w:r w:rsidR="00773FFE">
        <w:t xml:space="preserve"> for Attorn</w:t>
      </w:r>
      <w:r w:rsidR="0037173F">
        <w:t>e</w:t>
      </w:r>
      <w:r w:rsidR="00773FFE">
        <w:t>y</w:t>
      </w:r>
      <w:r>
        <w:t xml:space="preserve"> Sanctions for Professional Misconduct.</w:t>
      </w:r>
      <w:r w:rsidR="007830A7">
        <w:rPr>
          <w:rStyle w:val="FootnoteReference"/>
        </w:rPr>
        <w:footnoteReference w:id="3"/>
      </w:r>
      <w:r w:rsidR="00B10D52">
        <w:t xml:space="preserve">  </w:t>
      </w:r>
      <w:r w:rsidR="000E469D">
        <w:t>I</w:t>
      </w:r>
      <w:r w:rsidR="002723D0">
        <w:t>n addition to misappropriation involving moral turpitude,</w:t>
      </w:r>
      <w:r w:rsidR="000E469D" w:rsidRPr="000E469D">
        <w:t xml:space="preserve"> </w:t>
      </w:r>
      <w:r w:rsidR="000E469D">
        <w:t>the hearing judge found</w:t>
      </w:r>
      <w:r w:rsidR="002723D0">
        <w:t xml:space="preserve"> that </w:t>
      </w:r>
      <w:r w:rsidR="00A00BEA">
        <w:t xml:space="preserve">respondent, David G. </w:t>
      </w:r>
      <w:proofErr w:type="spellStart"/>
      <w:r w:rsidR="00A00BEA">
        <w:t>Ronquillo</w:t>
      </w:r>
      <w:proofErr w:type="spellEnd"/>
      <w:r w:rsidR="002723D0">
        <w:t>,</w:t>
      </w:r>
      <w:r w:rsidR="00A00BEA">
        <w:t xml:space="preserve"> </w:t>
      </w:r>
      <w:r w:rsidR="003D4A60">
        <w:t>fail</w:t>
      </w:r>
      <w:r w:rsidR="00A00BEA">
        <w:t xml:space="preserve">ed </w:t>
      </w:r>
      <w:r w:rsidR="003D4A60">
        <w:t xml:space="preserve">to maintain client funds in a trust account and to render an accounting.  </w:t>
      </w:r>
      <w:r w:rsidR="0011170C">
        <w:t xml:space="preserve">The hearing judge recommended that </w:t>
      </w:r>
      <w:proofErr w:type="spellStart"/>
      <w:r w:rsidR="0011170C">
        <w:t>Ronquillo</w:t>
      </w:r>
      <w:proofErr w:type="spellEnd"/>
      <w:r w:rsidR="0011170C">
        <w:t xml:space="preserve"> be disbarred and ordered that he be involuntarily enrolled as an inactive member</w:t>
      </w:r>
      <w:r w:rsidR="005E30B2">
        <w:t>.</w:t>
      </w:r>
    </w:p>
    <w:p w:rsidR="00F044D6" w:rsidRDefault="00A00BEA" w:rsidP="00B05F22">
      <w:pPr>
        <w:ind w:firstLine="720"/>
      </w:pPr>
      <w:proofErr w:type="spellStart"/>
      <w:r>
        <w:t>Ronquillo</w:t>
      </w:r>
      <w:proofErr w:type="spellEnd"/>
      <w:r>
        <w:t xml:space="preserve"> does not dispute the hearing judge’s culpability determinations.  </w:t>
      </w:r>
      <w:r w:rsidR="003D4A60">
        <w:t>Rather,</w:t>
      </w:r>
      <w:r>
        <w:t xml:space="preserve"> he</w:t>
      </w:r>
      <w:r w:rsidR="003D4A60">
        <w:t xml:space="preserve"> is seeking review of only one issue: whether the hearing judge abuse</w:t>
      </w:r>
      <w:r>
        <w:t xml:space="preserve">d his </w:t>
      </w:r>
      <w:r w:rsidR="003D4A60">
        <w:t>discretion</w:t>
      </w:r>
      <w:r>
        <w:t xml:space="preserve"> in </w:t>
      </w:r>
      <w:r w:rsidR="00B05F22">
        <w:t>excluding</w:t>
      </w:r>
      <w:r>
        <w:t xml:space="preserve"> the testimony of </w:t>
      </w:r>
      <w:r w:rsidR="003D4A60">
        <w:t>five character witnesses</w:t>
      </w:r>
      <w:r w:rsidR="008106E6">
        <w:t xml:space="preserve"> </w:t>
      </w:r>
      <w:r w:rsidR="00B05F22">
        <w:t xml:space="preserve">after </w:t>
      </w:r>
      <w:proofErr w:type="spellStart"/>
      <w:r w:rsidR="00B05F22">
        <w:t>Ronquillo</w:t>
      </w:r>
      <w:proofErr w:type="spellEnd"/>
      <w:r w:rsidR="00B05F22">
        <w:t xml:space="preserve"> failed to file a required pretrial statement.  </w:t>
      </w:r>
      <w:proofErr w:type="spellStart"/>
      <w:r>
        <w:t>Ronquillo</w:t>
      </w:r>
      <w:proofErr w:type="spellEnd"/>
      <w:r w:rsidR="003D4A60">
        <w:t xml:space="preserve"> argues</w:t>
      </w:r>
      <w:r w:rsidR="00671208">
        <w:t xml:space="preserve"> that</w:t>
      </w:r>
      <w:r w:rsidR="003D4A60">
        <w:t xml:space="preserve"> </w:t>
      </w:r>
      <w:r w:rsidR="002723D0">
        <w:t xml:space="preserve">the </w:t>
      </w:r>
      <w:r w:rsidR="000E469D">
        <w:t xml:space="preserve">character </w:t>
      </w:r>
      <w:r w:rsidR="002723D0">
        <w:t>testimony</w:t>
      </w:r>
      <w:r w:rsidR="000D3E65">
        <w:t>, which was intended solely to</w:t>
      </w:r>
      <w:r w:rsidR="000E469D">
        <w:t xml:space="preserve"> </w:t>
      </w:r>
      <w:r w:rsidR="00B05F22">
        <w:t xml:space="preserve">establish </w:t>
      </w:r>
      <w:r w:rsidR="00B05F22">
        <w:lastRenderedPageBreak/>
        <w:t xml:space="preserve">mitigation, </w:t>
      </w:r>
      <w:r w:rsidR="000D3E65">
        <w:t xml:space="preserve">would have </w:t>
      </w:r>
      <w:r w:rsidR="002723D0">
        <w:t>justif</w:t>
      </w:r>
      <w:r w:rsidR="000D3E65">
        <w:t>ied</w:t>
      </w:r>
      <w:r w:rsidR="00B05F22">
        <w:t xml:space="preserve"> </w:t>
      </w:r>
      <w:r w:rsidR="00BD5281">
        <w:t>a</w:t>
      </w:r>
      <w:r>
        <w:t xml:space="preserve"> </w:t>
      </w:r>
      <w:r w:rsidR="00F044D6">
        <w:t>m</w:t>
      </w:r>
      <w:r w:rsidR="002872EE">
        <w:t xml:space="preserve">ore lenient discipline than the hearing judge’s </w:t>
      </w:r>
      <w:r w:rsidR="00F044D6">
        <w:t>d</w:t>
      </w:r>
      <w:r w:rsidR="003D4A60">
        <w:t>isbarment</w:t>
      </w:r>
      <w:r w:rsidR="00F044D6">
        <w:t xml:space="preserve"> recommend</w:t>
      </w:r>
      <w:r w:rsidR="002723D0">
        <w:t>ation</w:t>
      </w:r>
      <w:r w:rsidR="00F044D6">
        <w:t>.</w:t>
      </w:r>
    </w:p>
    <w:p w:rsidR="0011170C" w:rsidRPr="00FD6E95" w:rsidRDefault="0011170C" w:rsidP="0011170C">
      <w:pPr>
        <w:jc w:val="center"/>
        <w:rPr>
          <w:b/>
        </w:rPr>
      </w:pPr>
      <w:r>
        <w:rPr>
          <w:b/>
        </w:rPr>
        <w:t xml:space="preserve">I.  </w:t>
      </w:r>
      <w:r w:rsidRPr="00FD6E95">
        <w:rPr>
          <w:b/>
        </w:rPr>
        <w:t>FINDINGS OF FACT AND CONCLUSIONS OF LAW</w:t>
      </w:r>
    </w:p>
    <w:p w:rsidR="0011170C" w:rsidRDefault="0011170C" w:rsidP="0011170C">
      <w:r>
        <w:tab/>
      </w:r>
      <w:proofErr w:type="spellStart"/>
      <w:r>
        <w:t>Ronquillo</w:t>
      </w:r>
      <w:proofErr w:type="spellEnd"/>
      <w:r>
        <w:t xml:space="preserve"> was admitted to practice in California in December 1975.  He has one prior record of discipline in 2004 that resulted in thirty days’ actual suspension.</w:t>
      </w:r>
    </w:p>
    <w:p w:rsidR="0011170C" w:rsidRDefault="0011170C" w:rsidP="0011170C">
      <w:pPr>
        <w:ind w:firstLine="720"/>
      </w:pPr>
      <w:r>
        <w:t>As this is a plenary review, we have independently reviewed the record (</w:t>
      </w:r>
      <w:r w:rsidRPr="00E70239">
        <w:t>Cal. Rules of Court, rule 9.12</w:t>
      </w:r>
      <w:r>
        <w:t xml:space="preserve">).  We find clear and convincing evidence to support the hearing judge’s findings and conclusions as to the five counts of misconduct charged in the Notice of Disciplinary Charges filed on October 30, 2008.  Because these findings and conclusions bear greatly on the degree of discipline (see </w:t>
      </w:r>
      <w:r w:rsidRPr="0039168B">
        <w:rPr>
          <w:i/>
        </w:rPr>
        <w:t>In re Wright</w:t>
      </w:r>
      <w:r>
        <w:t xml:space="preserve"> (1973) 10 </w:t>
      </w:r>
      <w:proofErr w:type="spellStart"/>
      <w:r>
        <w:t>Cal.3d</w:t>
      </w:r>
      <w:proofErr w:type="spellEnd"/>
      <w:r>
        <w:t xml:space="preserve"> 374, 376), we summarize them below.  </w:t>
      </w:r>
    </w:p>
    <w:p w:rsidR="00407602" w:rsidRDefault="00BB3D14" w:rsidP="00B6046B">
      <w:r>
        <w:tab/>
      </w:r>
      <w:r w:rsidR="002E3179">
        <w:t xml:space="preserve">The procedural history is undisputed.  On December 2, 2008, </w:t>
      </w:r>
      <w:proofErr w:type="spellStart"/>
      <w:r w:rsidR="002E3179">
        <w:t>Ronquillo</w:t>
      </w:r>
      <w:proofErr w:type="spellEnd"/>
      <w:r w:rsidR="002E3179">
        <w:t xml:space="preserve"> personally appeared in </w:t>
      </w:r>
      <w:proofErr w:type="spellStart"/>
      <w:r w:rsidR="002E3179">
        <w:t>propria</w:t>
      </w:r>
      <w:proofErr w:type="spellEnd"/>
      <w:r w:rsidR="002E3179">
        <w:t xml:space="preserve"> persona at a status conference where the hearing judge ordered that the pretrial settlement be filed no later than July 6, 2009.  The hearing judge also set a pretrial conference for July 13, 2009.  </w:t>
      </w:r>
      <w:r w:rsidR="004005B8">
        <w:t xml:space="preserve">On December 10, 2008, </w:t>
      </w:r>
      <w:proofErr w:type="spellStart"/>
      <w:r w:rsidR="00651272">
        <w:t>Ronquillo</w:t>
      </w:r>
      <w:proofErr w:type="spellEnd"/>
      <w:r w:rsidR="00651272">
        <w:t xml:space="preserve"> was served by mail</w:t>
      </w:r>
      <w:r w:rsidR="009E6A9D">
        <w:t xml:space="preserve"> </w:t>
      </w:r>
      <w:r w:rsidR="000702AF">
        <w:t>at his official address</w:t>
      </w:r>
      <w:r w:rsidR="00C7798E">
        <w:t xml:space="preserve"> </w:t>
      </w:r>
      <w:r w:rsidR="00651272">
        <w:t xml:space="preserve">with </w:t>
      </w:r>
      <w:r w:rsidR="00151F60">
        <w:t xml:space="preserve">an </w:t>
      </w:r>
      <w:r w:rsidR="007C5042">
        <w:t>o</w:t>
      </w:r>
      <w:r w:rsidR="00651272" w:rsidRPr="007C5042">
        <w:t>rder</w:t>
      </w:r>
      <w:r w:rsidR="00FB169F">
        <w:t xml:space="preserve"> </w:t>
      </w:r>
      <w:r w:rsidR="00D453D5">
        <w:t xml:space="preserve">specifying </w:t>
      </w:r>
      <w:r w:rsidR="00956920">
        <w:t>the same dates</w:t>
      </w:r>
      <w:r w:rsidR="0037173F">
        <w:t xml:space="preserve"> for</w:t>
      </w:r>
      <w:r w:rsidR="00763D60">
        <w:t xml:space="preserve"> filing </w:t>
      </w:r>
      <w:r w:rsidR="00167CA7">
        <w:t>the pre</w:t>
      </w:r>
      <w:r w:rsidR="00C04E2A">
        <w:t xml:space="preserve">trial statement and </w:t>
      </w:r>
      <w:r w:rsidR="00167CA7">
        <w:t>the pre</w:t>
      </w:r>
      <w:r w:rsidR="000702AF">
        <w:t xml:space="preserve">trial </w:t>
      </w:r>
      <w:r w:rsidR="00C04E2A">
        <w:t>conference</w:t>
      </w:r>
      <w:r w:rsidR="00B6046B">
        <w:t>.</w:t>
      </w:r>
      <w:r w:rsidR="00FB169F">
        <w:rPr>
          <w:rStyle w:val="FootnoteReference"/>
        </w:rPr>
        <w:footnoteReference w:id="4"/>
      </w:r>
      <w:r w:rsidR="00B6046B">
        <w:t xml:space="preserve">  The order also set</w:t>
      </w:r>
      <w:r w:rsidR="00D453D5">
        <w:t xml:space="preserve"> the trial date for July 20, 2009</w:t>
      </w:r>
      <w:r w:rsidR="0037173F">
        <w:t>.</w:t>
      </w:r>
      <w:r w:rsidR="00B6046B">
        <w:t xml:space="preserve">  </w:t>
      </w:r>
      <w:proofErr w:type="spellStart"/>
      <w:r w:rsidR="004005B8">
        <w:t>Ronquillo</w:t>
      </w:r>
      <w:proofErr w:type="spellEnd"/>
      <w:r w:rsidR="004005B8">
        <w:t xml:space="preserve"> does not dispute that he had notice of the</w:t>
      </w:r>
      <w:r w:rsidR="00B6046B">
        <w:t>se</w:t>
      </w:r>
      <w:r w:rsidR="004005B8">
        <w:t xml:space="preserve"> dates</w:t>
      </w:r>
      <w:r w:rsidR="00B6046B">
        <w:t xml:space="preserve">, yet </w:t>
      </w:r>
      <w:r w:rsidR="001E69D8">
        <w:t xml:space="preserve">he provided </w:t>
      </w:r>
      <w:r w:rsidR="00C62004">
        <w:t xml:space="preserve">no evidence that </w:t>
      </w:r>
      <w:r w:rsidR="00B6046B">
        <w:t>he</w:t>
      </w:r>
      <w:r w:rsidR="00C62004">
        <w:t xml:space="preserve"> took any affirmative</w:t>
      </w:r>
      <w:r w:rsidR="00C62004" w:rsidRPr="00337A88">
        <w:t xml:space="preserve"> </w:t>
      </w:r>
      <w:r w:rsidR="00C62004">
        <w:t>steps to file his pretrial statement.</w:t>
      </w:r>
      <w:r w:rsidR="00FB169F">
        <w:t xml:space="preserve">  Based on his failure to file a pretrial statement, the hearing judge ordered at the pretrial conference that </w:t>
      </w:r>
      <w:proofErr w:type="spellStart"/>
      <w:r w:rsidR="00FB169F">
        <w:t>Ronquillo</w:t>
      </w:r>
      <w:proofErr w:type="spellEnd"/>
      <w:r w:rsidR="00DD6D70">
        <w:t xml:space="preserve"> was precluded from calling witnesses or submitting evidence.</w:t>
      </w:r>
    </w:p>
    <w:p w:rsidR="00DB03C5" w:rsidRDefault="004005B8" w:rsidP="00407602">
      <w:pPr>
        <w:ind w:firstLine="720"/>
      </w:pPr>
      <w:proofErr w:type="spellStart"/>
      <w:r>
        <w:lastRenderedPageBreak/>
        <w:t>Ronquillo</w:t>
      </w:r>
      <w:proofErr w:type="spellEnd"/>
      <w:r>
        <w:t xml:space="preserve"> </w:t>
      </w:r>
      <w:r w:rsidR="00860C31">
        <w:t>now claims that</w:t>
      </w:r>
      <w:r w:rsidR="00C867BF">
        <w:t xml:space="preserve"> </w:t>
      </w:r>
      <w:r w:rsidR="002D65E4">
        <w:t xml:space="preserve">he did not timely file a pretrial statement because </w:t>
      </w:r>
      <w:r w:rsidR="00C867BF">
        <w:t xml:space="preserve">his </w:t>
      </w:r>
      <w:r w:rsidR="00C867BF" w:rsidRPr="00407602">
        <w:rPr>
          <w:i/>
        </w:rPr>
        <w:t>counsel</w:t>
      </w:r>
      <w:r w:rsidR="00C62004">
        <w:t xml:space="preserve">, whom he retained after the December 2008 status conference, </w:t>
      </w:r>
      <w:r w:rsidR="00C867BF">
        <w:t>did not have</w:t>
      </w:r>
      <w:r w:rsidR="00860C31">
        <w:t xml:space="preserve"> notice of the July 6</w:t>
      </w:r>
      <w:r w:rsidR="00DD7C40">
        <w:t>th</w:t>
      </w:r>
      <w:r w:rsidR="00860C31">
        <w:t xml:space="preserve"> pretrial </w:t>
      </w:r>
      <w:r w:rsidR="00671208">
        <w:t xml:space="preserve">conference </w:t>
      </w:r>
      <w:r w:rsidR="002B5095">
        <w:t xml:space="preserve">until two days before </w:t>
      </w:r>
      <w:r w:rsidR="00860C31">
        <w:t xml:space="preserve">the </w:t>
      </w:r>
      <w:r w:rsidR="00671208">
        <w:t>conference</w:t>
      </w:r>
      <w:r w:rsidR="002B5095">
        <w:t xml:space="preserve"> when </w:t>
      </w:r>
      <w:r w:rsidR="00C62004">
        <w:t>he</w:t>
      </w:r>
      <w:r w:rsidR="002B5095">
        <w:t xml:space="preserve"> spoke with the State Bar prosecutor.  </w:t>
      </w:r>
      <w:proofErr w:type="spellStart"/>
      <w:r w:rsidR="002D65E4">
        <w:t>Ronquillo’s</w:t>
      </w:r>
      <w:proofErr w:type="spellEnd"/>
      <w:r w:rsidR="002D65E4">
        <w:t xml:space="preserve"> counsel appeared in this matter as early as February 2009 and had ample opportunity to review the file as well as all outstanding orders.  </w:t>
      </w:r>
      <w:r w:rsidR="00C867BF">
        <w:t xml:space="preserve">Regardless of whether </w:t>
      </w:r>
      <w:proofErr w:type="spellStart"/>
      <w:r w:rsidR="00C867BF">
        <w:t>Ronquillo’s</w:t>
      </w:r>
      <w:proofErr w:type="spellEnd"/>
      <w:r w:rsidR="00C867BF">
        <w:t xml:space="preserve"> attorney had </w:t>
      </w:r>
      <w:r w:rsidR="00C867BF" w:rsidRPr="00407602">
        <w:t>actual</w:t>
      </w:r>
      <w:r w:rsidR="00C867BF">
        <w:t xml:space="preserve"> notice</w:t>
      </w:r>
      <w:r w:rsidR="00407602">
        <w:t xml:space="preserve"> of the pretrial hearing</w:t>
      </w:r>
      <w:r w:rsidR="002D65E4">
        <w:t xml:space="preserve"> date</w:t>
      </w:r>
      <w:r w:rsidR="00C867BF">
        <w:t>, w</w:t>
      </w:r>
      <w:r w:rsidR="00D453D5">
        <w:t xml:space="preserve">e find that </w:t>
      </w:r>
      <w:r w:rsidR="00C867BF">
        <w:t>h</w:t>
      </w:r>
      <w:r w:rsidR="00DD7C40">
        <w:t>e</w:t>
      </w:r>
      <w:r w:rsidR="00D453D5">
        <w:t xml:space="preserve"> </w:t>
      </w:r>
      <w:r w:rsidR="00C867BF">
        <w:t>had</w:t>
      </w:r>
      <w:r w:rsidR="00DB03C5">
        <w:t xml:space="preserve"> </w:t>
      </w:r>
      <w:r w:rsidR="00DB03C5" w:rsidRPr="00407602">
        <w:t xml:space="preserve">constructive </w:t>
      </w:r>
      <w:r w:rsidR="00DB03C5">
        <w:t>notice of</w:t>
      </w:r>
      <w:r w:rsidR="00286C24">
        <w:t xml:space="preserve"> </w:t>
      </w:r>
      <w:r w:rsidR="00407602">
        <w:t xml:space="preserve">the orders and pleadings served on </w:t>
      </w:r>
      <w:proofErr w:type="spellStart"/>
      <w:r w:rsidR="00407602">
        <w:t>Ronquillo</w:t>
      </w:r>
      <w:proofErr w:type="spellEnd"/>
      <w:r w:rsidR="002D65E4">
        <w:t xml:space="preserve">, </w:t>
      </w:r>
      <w:r w:rsidR="00407602">
        <w:t>including the order to</w:t>
      </w:r>
      <w:r w:rsidR="00286C24">
        <w:t xml:space="preserve"> timely file a pretrial statement.  </w:t>
      </w:r>
      <w:r w:rsidR="00DB03C5">
        <w:t>(</w:t>
      </w:r>
      <w:r w:rsidR="00DB03C5">
        <w:rPr>
          <w:i/>
        </w:rPr>
        <w:t xml:space="preserve">Nelson v. </w:t>
      </w:r>
      <w:r w:rsidR="00DB03C5" w:rsidRPr="00503A0E">
        <w:rPr>
          <w:i/>
        </w:rPr>
        <w:t>Nelson</w:t>
      </w:r>
      <w:r w:rsidR="00DB03C5">
        <w:rPr>
          <w:i/>
        </w:rPr>
        <w:t xml:space="preserve"> </w:t>
      </w:r>
      <w:r w:rsidR="00DB03C5">
        <w:t xml:space="preserve">(1933) 131 </w:t>
      </w:r>
      <w:proofErr w:type="spellStart"/>
      <w:r w:rsidR="00DB03C5">
        <w:t>Cal.App</w:t>
      </w:r>
      <w:proofErr w:type="spellEnd"/>
      <w:r w:rsidR="00DB03C5">
        <w:t>. 126, 133</w:t>
      </w:r>
      <w:r w:rsidR="009344EA">
        <w:t>.</w:t>
      </w:r>
      <w:r w:rsidR="00DB03C5">
        <w:t xml:space="preserve">)   </w:t>
      </w:r>
    </w:p>
    <w:p w:rsidR="00F27CFF" w:rsidRDefault="00FB169F" w:rsidP="0005580A">
      <w:pPr>
        <w:ind w:firstLine="720"/>
        <w:rPr>
          <w:color w:val="000000"/>
        </w:rPr>
      </w:pPr>
      <w:r>
        <w:t xml:space="preserve">We find that the hearing judge did not abuse his discretion in excluding </w:t>
      </w:r>
      <w:proofErr w:type="spellStart"/>
      <w:r>
        <w:t>Ronquillo’s</w:t>
      </w:r>
      <w:proofErr w:type="spellEnd"/>
      <w:r>
        <w:t xml:space="preserve"> character witnesses.  </w:t>
      </w:r>
      <w:r w:rsidR="002D65E4">
        <w:t>T</w:t>
      </w:r>
      <w:r w:rsidR="006F5983">
        <w:t xml:space="preserve">he </w:t>
      </w:r>
      <w:r w:rsidR="00286C24">
        <w:t xml:space="preserve">exclusionary </w:t>
      </w:r>
      <w:r w:rsidR="006F5983">
        <w:t xml:space="preserve">order was neither arbitrary </w:t>
      </w:r>
      <w:r w:rsidR="00286C24">
        <w:t>n</w:t>
      </w:r>
      <w:r w:rsidR="006F5983">
        <w:t>or capricious</w:t>
      </w:r>
      <w:r w:rsidR="00286C24">
        <w:t xml:space="preserve"> (</w:t>
      </w:r>
      <w:r w:rsidR="00286C24" w:rsidRPr="006F5983">
        <w:rPr>
          <w:i/>
        </w:rPr>
        <w:t>In re Cortez</w:t>
      </w:r>
      <w:r w:rsidR="00286C24">
        <w:t xml:space="preserve"> (1971) 6 </w:t>
      </w:r>
      <w:proofErr w:type="spellStart"/>
      <w:r w:rsidR="00286C24">
        <w:t>Cal.3d</w:t>
      </w:r>
      <w:proofErr w:type="spellEnd"/>
      <w:r w:rsidR="00286C24">
        <w:t xml:space="preserve"> 78, 85)</w:t>
      </w:r>
      <w:r w:rsidR="00A71D10">
        <w:t>,</w:t>
      </w:r>
      <w:r w:rsidR="00286C24">
        <w:t xml:space="preserve"> and</w:t>
      </w:r>
      <w:r w:rsidR="00407602">
        <w:t xml:space="preserve"> </w:t>
      </w:r>
      <w:r w:rsidR="00286C24">
        <w:t>did not exceed the bounds of reason.  (</w:t>
      </w:r>
      <w:proofErr w:type="spellStart"/>
      <w:r w:rsidR="00286C24" w:rsidRPr="00286C24">
        <w:rPr>
          <w:i/>
        </w:rPr>
        <w:t>Shamblin</w:t>
      </w:r>
      <w:proofErr w:type="spellEnd"/>
      <w:r w:rsidR="00286C24" w:rsidRPr="00286C24">
        <w:rPr>
          <w:i/>
        </w:rPr>
        <w:t xml:space="preserve"> v. Brattain</w:t>
      </w:r>
      <w:r w:rsidR="00286C24">
        <w:t xml:space="preserve"> (1988) 44 </w:t>
      </w:r>
      <w:proofErr w:type="spellStart"/>
      <w:r w:rsidR="00286C24">
        <w:t>Cal.3d</w:t>
      </w:r>
      <w:proofErr w:type="spellEnd"/>
      <w:r w:rsidR="00286C24">
        <w:t xml:space="preserve"> 474, 478.)  </w:t>
      </w:r>
      <w:r w:rsidR="00A71D10">
        <w:t>The</w:t>
      </w:r>
      <w:r w:rsidR="008C620E">
        <w:t xml:space="preserve"> </w:t>
      </w:r>
      <w:r w:rsidR="00014F05">
        <w:t>h</w:t>
      </w:r>
      <w:r w:rsidR="008C620E">
        <w:t xml:space="preserve">earing </w:t>
      </w:r>
      <w:r w:rsidR="00014F05">
        <w:t>j</w:t>
      </w:r>
      <w:r w:rsidR="008C620E">
        <w:t xml:space="preserve">udge </w:t>
      </w:r>
      <w:r w:rsidR="00C62004">
        <w:t>had</w:t>
      </w:r>
      <w:r w:rsidR="00014F05">
        <w:t xml:space="preserve"> broad </w:t>
      </w:r>
      <w:r w:rsidR="008C620E">
        <w:t>inherent authority to exercise reasonable control over his proceedings</w:t>
      </w:r>
      <w:r w:rsidR="00E50692">
        <w:t>.</w:t>
      </w:r>
      <w:r w:rsidR="008C620E">
        <w:t xml:space="preserve"> </w:t>
      </w:r>
      <w:r w:rsidR="00E50692">
        <w:t xml:space="preserve"> </w:t>
      </w:r>
      <w:r w:rsidR="008C620E">
        <w:t>(</w:t>
      </w:r>
      <w:r w:rsidR="008C620E">
        <w:rPr>
          <w:i/>
        </w:rPr>
        <w:t>Jones v. State Bar</w:t>
      </w:r>
      <w:r w:rsidR="008C620E">
        <w:t xml:space="preserve"> (1989) 49 </w:t>
      </w:r>
      <w:proofErr w:type="spellStart"/>
      <w:r w:rsidR="008C620E">
        <w:t>Cal.3d</w:t>
      </w:r>
      <w:proofErr w:type="spellEnd"/>
      <w:r w:rsidR="008C620E">
        <w:t xml:space="preserve"> 273, 287</w:t>
      </w:r>
      <w:r w:rsidR="00E50692">
        <w:t>.</w:t>
      </w:r>
      <w:r w:rsidR="008C620E">
        <w:t>)</w:t>
      </w:r>
      <w:r w:rsidR="009A6150">
        <w:t xml:space="preserve"> </w:t>
      </w:r>
      <w:r w:rsidR="00DD7C40">
        <w:t xml:space="preserve"> Also, h</w:t>
      </w:r>
      <w:r w:rsidR="00A71D10">
        <w:t>e</w:t>
      </w:r>
      <w:r w:rsidR="00763D60">
        <w:t xml:space="preserve"> </w:t>
      </w:r>
      <w:r w:rsidR="00C62004">
        <w:t xml:space="preserve">was </w:t>
      </w:r>
      <w:r w:rsidR="00A71D10">
        <w:t xml:space="preserve">expressly </w:t>
      </w:r>
      <w:r w:rsidR="00903C01">
        <w:t xml:space="preserve">authorized </w:t>
      </w:r>
      <w:r w:rsidR="00244C17">
        <w:t>under</w:t>
      </w:r>
      <w:r w:rsidR="00244C17" w:rsidRPr="00914AD6">
        <w:t xml:space="preserve"> Rules of Procedure of t</w:t>
      </w:r>
      <w:r w:rsidR="009344EA">
        <w:t>he State Bar, rule 211</w:t>
      </w:r>
      <w:r w:rsidR="00244C17" w:rsidRPr="00914AD6">
        <w:t>(f)</w:t>
      </w:r>
      <w:r w:rsidR="00DD7C40">
        <w:t>,</w:t>
      </w:r>
      <w:r w:rsidR="00903C01" w:rsidRPr="00903C01">
        <w:t xml:space="preserve"> </w:t>
      </w:r>
      <w:r w:rsidR="00903C01">
        <w:t xml:space="preserve">to </w:t>
      </w:r>
      <w:r w:rsidR="00BA5828">
        <w:t>order the exclusion of</w:t>
      </w:r>
      <w:r w:rsidR="00903C01">
        <w:t xml:space="preserve"> evidence</w:t>
      </w:r>
      <w:r w:rsidR="00BA5828">
        <w:t xml:space="preserve"> </w:t>
      </w:r>
      <w:r w:rsidR="00A71D10">
        <w:t xml:space="preserve">as the result of </w:t>
      </w:r>
      <w:proofErr w:type="spellStart"/>
      <w:r w:rsidR="00A71D10">
        <w:t>Ronquillo’s</w:t>
      </w:r>
      <w:proofErr w:type="spellEnd"/>
      <w:r w:rsidR="00A71D10">
        <w:t xml:space="preserve"> failure to file a pretrial statement</w:t>
      </w:r>
      <w:r w:rsidR="00244C17">
        <w:t xml:space="preserve">.  </w:t>
      </w:r>
      <w:r w:rsidR="00BA5828">
        <w:t>Indeed, the p</w:t>
      </w:r>
      <w:r w:rsidR="00187884">
        <w:t>retrial statement</w:t>
      </w:r>
      <w:r w:rsidR="00BA5828">
        <w:t xml:space="preserve"> is an </w:t>
      </w:r>
      <w:r w:rsidR="00187884">
        <w:t xml:space="preserve">important </w:t>
      </w:r>
      <w:r w:rsidR="002941F0">
        <w:t>tool</w:t>
      </w:r>
      <w:r w:rsidR="00187884">
        <w:t xml:space="preserve"> to </w:t>
      </w:r>
      <w:r w:rsidR="002941F0">
        <w:t>aid</w:t>
      </w:r>
      <w:r w:rsidR="00187884">
        <w:t xml:space="preserve"> the hearing judge</w:t>
      </w:r>
      <w:r w:rsidR="002941F0">
        <w:t xml:space="preserve"> in</w:t>
      </w:r>
      <w:r w:rsidR="00187884">
        <w:t xml:space="preserve"> manag</w:t>
      </w:r>
      <w:r w:rsidR="002941F0">
        <w:t>ing</w:t>
      </w:r>
      <w:r w:rsidR="00187884">
        <w:t xml:space="preserve"> trials,</w:t>
      </w:r>
      <w:r w:rsidR="002941F0">
        <w:t xml:space="preserve"> and</w:t>
      </w:r>
      <w:r w:rsidR="00187884">
        <w:t xml:space="preserve"> </w:t>
      </w:r>
      <w:r w:rsidR="00B018A8">
        <w:t>it</w:t>
      </w:r>
      <w:r w:rsidR="004C646F">
        <w:t xml:space="preserve"> </w:t>
      </w:r>
      <w:r w:rsidR="00187884">
        <w:t>benefit</w:t>
      </w:r>
      <w:r w:rsidR="004C646F">
        <w:t>s</w:t>
      </w:r>
      <w:r w:rsidR="00187884">
        <w:t xml:space="preserve"> </w:t>
      </w:r>
      <w:r w:rsidR="00C120D0">
        <w:t xml:space="preserve">both </w:t>
      </w:r>
      <w:r w:rsidR="00187884">
        <w:t>the court and counsel in avoiding surprise and needless consumption of time at trial.</w:t>
      </w:r>
      <w:r w:rsidR="009337D8">
        <w:t xml:space="preserve">  Accordingly, we reject </w:t>
      </w:r>
      <w:proofErr w:type="spellStart"/>
      <w:r w:rsidR="009337D8">
        <w:t>Ronquillo’s</w:t>
      </w:r>
      <w:proofErr w:type="spellEnd"/>
      <w:r w:rsidR="009337D8">
        <w:t xml:space="preserve"> claim of abuse of discretion.</w:t>
      </w:r>
      <w:r w:rsidR="009E771B">
        <w:t xml:space="preserve">  (</w:t>
      </w:r>
      <w:r w:rsidR="009E771B">
        <w:rPr>
          <w:i/>
          <w:iCs/>
          <w:color w:val="000000"/>
        </w:rPr>
        <w:t>In the Matter of Dixon</w:t>
      </w:r>
      <w:r w:rsidR="009E771B">
        <w:rPr>
          <w:color w:val="000000"/>
        </w:rPr>
        <w:t xml:space="preserve"> (Review Dept. 1999) 4 Cal. State Bar Ct. </w:t>
      </w:r>
      <w:proofErr w:type="spellStart"/>
      <w:r w:rsidR="009E771B">
        <w:rPr>
          <w:color w:val="000000"/>
        </w:rPr>
        <w:t>Rptr</w:t>
      </w:r>
      <w:proofErr w:type="spellEnd"/>
      <w:r w:rsidR="009E771B">
        <w:rPr>
          <w:color w:val="000000"/>
        </w:rPr>
        <w:t xml:space="preserve">. 23, </w:t>
      </w:r>
      <w:r w:rsidR="009344EA">
        <w:rPr>
          <w:color w:val="000000"/>
        </w:rPr>
        <w:t>37-</w:t>
      </w:r>
      <w:r w:rsidR="009E771B">
        <w:rPr>
          <w:color w:val="000000"/>
        </w:rPr>
        <w:t>3</w:t>
      </w:r>
      <w:r w:rsidR="009344EA">
        <w:rPr>
          <w:color w:val="000000"/>
        </w:rPr>
        <w:t>9</w:t>
      </w:r>
      <w:r w:rsidR="009E771B">
        <w:rPr>
          <w:color w:val="000000"/>
        </w:rPr>
        <w:t xml:space="preserve"> [hearing judge did not abuse discretion </w:t>
      </w:r>
      <w:r w:rsidR="009E771B">
        <w:rPr>
          <w:color w:val="000000"/>
        </w:rPr>
        <w:lastRenderedPageBreak/>
        <w:t>by issuing sanction order prohibiting respondent from calling witnesses or introducing any exhibits</w:t>
      </w:r>
      <w:r w:rsidR="004C646F">
        <w:rPr>
          <w:color w:val="000000"/>
        </w:rPr>
        <w:t xml:space="preserve"> for failure to submit a</w:t>
      </w:r>
      <w:r w:rsidR="00B61C8C">
        <w:rPr>
          <w:color w:val="000000"/>
        </w:rPr>
        <w:t xml:space="preserve">n acceptable </w:t>
      </w:r>
      <w:r w:rsidR="004C646F">
        <w:rPr>
          <w:color w:val="000000"/>
        </w:rPr>
        <w:t>pretrial statement</w:t>
      </w:r>
      <w:r w:rsidR="009E771B">
        <w:rPr>
          <w:color w:val="000000"/>
        </w:rPr>
        <w:t>].)</w:t>
      </w:r>
      <w:r w:rsidR="0005580A">
        <w:rPr>
          <w:rStyle w:val="FootnoteReference"/>
        </w:rPr>
        <w:footnoteReference w:id="5"/>
      </w:r>
      <w:r w:rsidR="0005580A">
        <w:t xml:space="preserve">  </w:t>
      </w:r>
    </w:p>
    <w:p w:rsidR="008B142C" w:rsidRPr="00FD6E95" w:rsidRDefault="00FD6E95" w:rsidP="00FD6E95">
      <w:pPr>
        <w:rPr>
          <w:b/>
        </w:rPr>
      </w:pPr>
      <w:r>
        <w:rPr>
          <w:b/>
        </w:rPr>
        <w:t>A.</w:t>
      </w:r>
      <w:r>
        <w:rPr>
          <w:b/>
        </w:rPr>
        <w:tab/>
      </w:r>
      <w:r w:rsidR="00AA523C" w:rsidRPr="00FD6E95">
        <w:rPr>
          <w:b/>
        </w:rPr>
        <w:t>Case No. 07-O-12701 (Shepherd Matter)</w:t>
      </w:r>
    </w:p>
    <w:p w:rsidR="001A25FD" w:rsidRDefault="00C22CB3" w:rsidP="00331DEC">
      <w:pPr>
        <w:ind w:firstLine="720"/>
      </w:pPr>
      <w:r>
        <w:t xml:space="preserve">Thomas Shepherd, a resident of Ontario, Canada, was injured in a tragic automobile accident in </w:t>
      </w:r>
      <w:r w:rsidR="0071732C">
        <w:t xml:space="preserve">1999 while driving </w:t>
      </w:r>
      <w:r>
        <w:t>between</w:t>
      </w:r>
      <w:r w:rsidR="0071732C">
        <w:t xml:space="preserve"> California and Nevada.  </w:t>
      </w:r>
      <w:r w:rsidR="00167CA7">
        <w:t>His</w:t>
      </w:r>
      <w:r w:rsidR="0071732C">
        <w:t xml:space="preserve"> wife was killed</w:t>
      </w:r>
      <w:r w:rsidR="00167CA7">
        <w:t>,</w:t>
      </w:r>
      <w:r w:rsidR="0071732C">
        <w:t xml:space="preserve"> as was the uninsured driver of the other vehicle</w:t>
      </w:r>
      <w:r w:rsidR="00717660">
        <w:t>,</w:t>
      </w:r>
      <w:r w:rsidR="0071732C">
        <w:t xml:space="preserve"> who was later </w:t>
      </w:r>
      <w:r w:rsidR="000D612B">
        <w:t>found</w:t>
      </w:r>
      <w:r w:rsidR="0071732C">
        <w:t xml:space="preserve"> liab</w:t>
      </w:r>
      <w:r w:rsidR="00717660">
        <w:t>le for the accident.  Two other passengers</w:t>
      </w:r>
      <w:r w:rsidR="0071732C">
        <w:t xml:space="preserve"> in Shepherd’s car </w:t>
      </w:r>
      <w:r w:rsidR="00D5005C">
        <w:t xml:space="preserve">also </w:t>
      </w:r>
      <w:r w:rsidR="0071732C">
        <w:t xml:space="preserve">were injured.  In 2000, Shepherd hired </w:t>
      </w:r>
      <w:proofErr w:type="spellStart"/>
      <w:r w:rsidR="000528E0">
        <w:t>Ronquillo</w:t>
      </w:r>
      <w:proofErr w:type="spellEnd"/>
      <w:r w:rsidR="0071732C">
        <w:t xml:space="preserve"> to represent him.  After </w:t>
      </w:r>
      <w:proofErr w:type="spellStart"/>
      <w:r w:rsidR="000528E0">
        <w:t>Ronquillo</w:t>
      </w:r>
      <w:proofErr w:type="spellEnd"/>
      <w:r w:rsidR="0071732C">
        <w:t xml:space="preserve"> obtained judgment against the uninsured driver’s estate and determined that </w:t>
      </w:r>
      <w:r w:rsidR="00DD6CFD">
        <w:t>it had</w:t>
      </w:r>
      <w:r w:rsidR="0071732C">
        <w:t xml:space="preserve"> no assets to satisfy the judgment, </w:t>
      </w:r>
      <w:r w:rsidR="00717660">
        <w:t>he</w:t>
      </w:r>
      <w:r w:rsidR="0071732C">
        <w:t xml:space="preserve"> pursued</w:t>
      </w:r>
      <w:r w:rsidR="00C120D0">
        <w:t xml:space="preserve"> a </w:t>
      </w:r>
      <w:r w:rsidR="0071732C">
        <w:t xml:space="preserve">claim against Shepherd’s insurer, Dominion of Canada (“Dominion”).  In </w:t>
      </w:r>
      <w:r w:rsidR="00747B0C">
        <w:t xml:space="preserve">December </w:t>
      </w:r>
      <w:r w:rsidR="0071732C">
        <w:t>2005, Domini</w:t>
      </w:r>
      <w:r w:rsidR="00853562">
        <w:t xml:space="preserve">on settled </w:t>
      </w:r>
      <w:r w:rsidR="00717660">
        <w:t>the matter for</w:t>
      </w:r>
      <w:r w:rsidR="00853562">
        <w:t xml:space="preserve"> $</w:t>
      </w:r>
      <w:r w:rsidR="0071732C">
        <w:t>235,606</w:t>
      </w:r>
      <w:r w:rsidR="00D5005C">
        <w:t>,</w:t>
      </w:r>
      <w:r w:rsidR="00853562">
        <w:rPr>
          <w:rStyle w:val="FootnoteReference"/>
        </w:rPr>
        <w:footnoteReference w:id="6"/>
      </w:r>
      <w:r w:rsidR="00DD6CFD">
        <w:t xml:space="preserve"> and</w:t>
      </w:r>
      <w:r w:rsidR="00C120D0">
        <w:t xml:space="preserve"> </w:t>
      </w:r>
      <w:r w:rsidR="00D5005C">
        <w:t xml:space="preserve">after a deduction of </w:t>
      </w:r>
      <w:proofErr w:type="spellStart"/>
      <w:r w:rsidR="00D5005C">
        <w:t>Ronquillo’s</w:t>
      </w:r>
      <w:proofErr w:type="spellEnd"/>
      <w:r w:rsidR="00D5005C">
        <w:t xml:space="preserve"> legal fees and costs, </w:t>
      </w:r>
      <w:r w:rsidR="0071732C">
        <w:t xml:space="preserve">Shepherd’s share </w:t>
      </w:r>
      <w:r w:rsidR="00D5005C">
        <w:t xml:space="preserve">of the settlement </w:t>
      </w:r>
      <w:r w:rsidR="00C120D0">
        <w:t>w</w:t>
      </w:r>
      <w:r w:rsidR="0071732C">
        <w:t xml:space="preserve">as $115,065. </w:t>
      </w:r>
      <w:r w:rsidR="00717660">
        <w:t xml:space="preserve"> </w:t>
      </w:r>
      <w:r w:rsidR="00747B0C">
        <w:t xml:space="preserve">On December 20, 2005, </w:t>
      </w:r>
      <w:proofErr w:type="spellStart"/>
      <w:r w:rsidR="000528E0">
        <w:t>Ronquillo</w:t>
      </w:r>
      <w:proofErr w:type="spellEnd"/>
      <w:r w:rsidR="0071732C">
        <w:t xml:space="preserve"> deposited </w:t>
      </w:r>
      <w:r w:rsidR="00AE51B0">
        <w:t>the</w:t>
      </w:r>
      <w:r w:rsidR="0071732C">
        <w:t xml:space="preserve"> </w:t>
      </w:r>
      <w:r w:rsidR="00D5005C">
        <w:t xml:space="preserve">$235,606 </w:t>
      </w:r>
      <w:r w:rsidR="0071732C">
        <w:t>in</w:t>
      </w:r>
      <w:r w:rsidR="00D5005C">
        <w:t>to</w:t>
      </w:r>
      <w:r w:rsidR="0071732C">
        <w:t xml:space="preserve"> his </w:t>
      </w:r>
      <w:r w:rsidR="00BB41CB">
        <w:t xml:space="preserve">client </w:t>
      </w:r>
      <w:r w:rsidR="0071732C">
        <w:t>trust account</w:t>
      </w:r>
      <w:r w:rsidR="00BB41CB">
        <w:t xml:space="preserve"> (CTA)</w:t>
      </w:r>
      <w:r w:rsidR="00C120D0">
        <w:t>,</w:t>
      </w:r>
      <w:r w:rsidR="0071732C">
        <w:t xml:space="preserve"> </w:t>
      </w:r>
      <w:r w:rsidR="006E0EB1">
        <w:t>but</w:t>
      </w:r>
      <w:r w:rsidR="0071732C">
        <w:t xml:space="preserve"> </w:t>
      </w:r>
      <w:r w:rsidR="00717660">
        <w:t>the next day</w:t>
      </w:r>
      <w:r w:rsidR="00DD6CFD">
        <w:t>,</w:t>
      </w:r>
      <w:r w:rsidR="00717660">
        <w:t xml:space="preserve"> </w:t>
      </w:r>
      <w:r w:rsidR="00BB41CB">
        <w:t xml:space="preserve">he </w:t>
      </w:r>
      <w:r w:rsidR="00717660">
        <w:t>withdrew the entire</w:t>
      </w:r>
      <w:r w:rsidR="00C120D0">
        <w:t xml:space="preserve"> </w:t>
      </w:r>
      <w:r w:rsidR="00717660">
        <w:t>amount</w:t>
      </w:r>
      <w:r w:rsidR="00C120D0">
        <w:t xml:space="preserve"> </w:t>
      </w:r>
      <w:r w:rsidR="002515BF">
        <w:t xml:space="preserve">to repay a third party who had advanced monies to </w:t>
      </w:r>
      <w:proofErr w:type="spellStart"/>
      <w:r w:rsidR="002515BF">
        <w:t>Ronquillo</w:t>
      </w:r>
      <w:proofErr w:type="spellEnd"/>
      <w:r w:rsidR="002515BF">
        <w:t xml:space="preserve"> to cover</w:t>
      </w:r>
      <w:r w:rsidR="00C120D0">
        <w:t xml:space="preserve"> office and other litigation</w:t>
      </w:r>
      <w:r w:rsidR="00C120D0" w:rsidRPr="00C120D0">
        <w:t xml:space="preserve"> </w:t>
      </w:r>
      <w:r w:rsidR="00C120D0">
        <w:t xml:space="preserve">expenses unrelated to Shepherd’s case.  </w:t>
      </w:r>
      <w:r w:rsidR="00E56A03">
        <w:t xml:space="preserve">At the time of the </w:t>
      </w:r>
      <w:r w:rsidR="00747B0C">
        <w:t>trial</w:t>
      </w:r>
      <w:r w:rsidR="0071732C">
        <w:t xml:space="preserve">, </w:t>
      </w:r>
      <w:proofErr w:type="spellStart"/>
      <w:r w:rsidR="000528E0">
        <w:t>Ronquillo</w:t>
      </w:r>
      <w:proofErr w:type="spellEnd"/>
      <w:r w:rsidR="0071732C">
        <w:t xml:space="preserve"> </w:t>
      </w:r>
      <w:r w:rsidR="00E56A03">
        <w:t>had not</w:t>
      </w:r>
      <w:r w:rsidR="0071732C">
        <w:t xml:space="preserve"> repaid</w:t>
      </w:r>
      <w:r w:rsidR="00E56A03">
        <w:t xml:space="preserve"> anything </w:t>
      </w:r>
      <w:r w:rsidR="0071732C">
        <w:t>to Shepherd</w:t>
      </w:r>
      <w:r w:rsidR="000D612B">
        <w:t>,</w:t>
      </w:r>
      <w:r w:rsidR="0071732C">
        <w:t xml:space="preserve"> </w:t>
      </w:r>
      <w:r w:rsidR="001A25FD">
        <w:t>despite repeated requests</w:t>
      </w:r>
      <w:r w:rsidR="0078646E">
        <w:t xml:space="preserve"> by</w:t>
      </w:r>
      <w:r w:rsidR="000D612B">
        <w:t xml:space="preserve"> Shepherd and another attorney </w:t>
      </w:r>
      <w:r w:rsidR="00DD6CFD">
        <w:t>he</w:t>
      </w:r>
      <w:r w:rsidR="004E074E">
        <w:t xml:space="preserve"> </w:t>
      </w:r>
      <w:r w:rsidR="000D612B">
        <w:t xml:space="preserve">hired to </w:t>
      </w:r>
      <w:r w:rsidR="00DD6CFD">
        <w:t>obtain restitution from</w:t>
      </w:r>
      <w:r w:rsidR="000D612B">
        <w:t xml:space="preserve"> </w:t>
      </w:r>
      <w:proofErr w:type="spellStart"/>
      <w:r w:rsidR="000528E0">
        <w:t>Ronquillo</w:t>
      </w:r>
      <w:proofErr w:type="spellEnd"/>
      <w:r w:rsidR="000D612B">
        <w:t>.</w:t>
      </w:r>
    </w:p>
    <w:p w:rsidR="00727C69" w:rsidRDefault="0078646E" w:rsidP="0078646E">
      <w:pPr>
        <w:ind w:firstLine="720"/>
      </w:pPr>
      <w:r>
        <w:t xml:space="preserve">We find </w:t>
      </w:r>
      <w:r w:rsidR="0082037E">
        <w:t xml:space="preserve">that </w:t>
      </w:r>
      <w:proofErr w:type="spellStart"/>
      <w:r w:rsidR="00B125D0">
        <w:t>Ronquillo</w:t>
      </w:r>
      <w:proofErr w:type="spellEnd"/>
      <w:r w:rsidR="0082037E">
        <w:t xml:space="preserve"> violated </w:t>
      </w:r>
      <w:r w:rsidR="00626EB1">
        <w:t>Rules of Professional Conduct, rule 4-100(A)</w:t>
      </w:r>
      <w:r w:rsidR="006E0EB1">
        <w:rPr>
          <w:rStyle w:val="FootnoteReference"/>
        </w:rPr>
        <w:footnoteReference w:id="7"/>
      </w:r>
      <w:r w:rsidR="00B125D0">
        <w:t xml:space="preserve"> </w:t>
      </w:r>
      <w:r w:rsidR="00626EB1">
        <w:t>because</w:t>
      </w:r>
      <w:r w:rsidR="00747B0C">
        <w:t xml:space="preserve"> he failed </w:t>
      </w:r>
      <w:r w:rsidR="00B125D0">
        <w:t>to maintain</w:t>
      </w:r>
      <w:r w:rsidR="00C46332">
        <w:t xml:space="preserve"> </w:t>
      </w:r>
      <w:r w:rsidR="00DD6CFD">
        <w:t xml:space="preserve">in his CTA </w:t>
      </w:r>
      <w:r w:rsidR="00C46332">
        <w:t>the</w:t>
      </w:r>
      <w:r w:rsidR="00B125D0">
        <w:t xml:space="preserve"> funds</w:t>
      </w:r>
      <w:r w:rsidR="00C46332">
        <w:t xml:space="preserve"> </w:t>
      </w:r>
      <w:r w:rsidR="00747B0C">
        <w:t xml:space="preserve"> </w:t>
      </w:r>
      <w:r w:rsidR="00C46332">
        <w:t>received on behalf of Shepherd</w:t>
      </w:r>
      <w:r w:rsidR="00B125D0">
        <w:t xml:space="preserve">. </w:t>
      </w:r>
      <w:r w:rsidR="00C46332">
        <w:t xml:space="preserve"> We further conclude </w:t>
      </w:r>
      <w:r w:rsidR="00747B0C">
        <w:lastRenderedPageBreak/>
        <w:t xml:space="preserve">that </w:t>
      </w:r>
      <w:proofErr w:type="spellStart"/>
      <w:r w:rsidR="00747B0C">
        <w:t>Ronquillo</w:t>
      </w:r>
      <w:proofErr w:type="spellEnd"/>
      <w:r w:rsidR="00747B0C">
        <w:t xml:space="preserve"> violated</w:t>
      </w:r>
      <w:r w:rsidR="00C46332">
        <w:t xml:space="preserve"> Bus</w:t>
      </w:r>
      <w:r w:rsidR="0082037E">
        <w:t xml:space="preserve">iness and </w:t>
      </w:r>
      <w:r w:rsidR="00C46332">
        <w:t>Prof</w:t>
      </w:r>
      <w:r w:rsidR="0082037E">
        <w:t>essions</w:t>
      </w:r>
      <w:r w:rsidR="00C46332">
        <w:t xml:space="preserve"> Code</w:t>
      </w:r>
      <w:r w:rsidR="0082037E">
        <w:t xml:space="preserve"> section 6</w:t>
      </w:r>
      <w:r w:rsidR="00C46332">
        <w:t>106</w:t>
      </w:r>
      <w:r w:rsidR="0082037E">
        <w:rPr>
          <w:rStyle w:val="FootnoteReference"/>
        </w:rPr>
        <w:footnoteReference w:id="8"/>
      </w:r>
      <w:r w:rsidR="0082037E">
        <w:t xml:space="preserve"> because </w:t>
      </w:r>
      <w:r w:rsidR="00747B0C">
        <w:t xml:space="preserve">he </w:t>
      </w:r>
      <w:r>
        <w:t>intentionally</w:t>
      </w:r>
      <w:r w:rsidR="0082037E">
        <w:t xml:space="preserve"> misappropriat</w:t>
      </w:r>
      <w:r w:rsidR="006E0EB1">
        <w:t>ed</w:t>
      </w:r>
      <w:r w:rsidR="0082037E">
        <w:t xml:space="preserve"> $115,065 in settlement funds </w:t>
      </w:r>
      <w:r w:rsidR="00AE51B0">
        <w:t xml:space="preserve">held in trust for </w:t>
      </w:r>
      <w:r w:rsidR="0082037E">
        <w:t>Shepherd and us</w:t>
      </w:r>
      <w:r w:rsidR="006E0EB1">
        <w:t>ed</w:t>
      </w:r>
      <w:r w:rsidR="0082037E">
        <w:t xml:space="preserve"> th</w:t>
      </w:r>
      <w:r w:rsidR="00132034">
        <w:t>at money</w:t>
      </w:r>
      <w:r w:rsidR="0082037E">
        <w:t xml:space="preserve"> to satisfy </w:t>
      </w:r>
      <w:r w:rsidR="007D24E4">
        <w:t>his</w:t>
      </w:r>
      <w:r w:rsidR="0082037E">
        <w:t xml:space="preserve"> </w:t>
      </w:r>
      <w:r w:rsidR="007423B9">
        <w:t xml:space="preserve">personal </w:t>
      </w:r>
      <w:r w:rsidR="0082037E">
        <w:t>obligations</w:t>
      </w:r>
      <w:r w:rsidR="00747B0C">
        <w:t xml:space="preserve">.  This misappropriation constitutes </w:t>
      </w:r>
      <w:r w:rsidR="00B125D0">
        <w:t>moral turpitude</w:t>
      </w:r>
      <w:r w:rsidR="0082037E">
        <w:t>.</w:t>
      </w:r>
      <w:r w:rsidR="00EA0FAF">
        <w:t xml:space="preserve">  </w:t>
      </w:r>
      <w:r w:rsidR="00EA0FAF" w:rsidRPr="00EA0FAF">
        <w:t>(</w:t>
      </w:r>
      <w:r w:rsidR="00EA0FAF" w:rsidRPr="00EA0FAF">
        <w:rPr>
          <w:i/>
        </w:rPr>
        <w:t xml:space="preserve">In the Matter of </w:t>
      </w:r>
      <w:proofErr w:type="spellStart"/>
      <w:r w:rsidR="00EA0FAF" w:rsidRPr="00EA0FAF">
        <w:rPr>
          <w:i/>
        </w:rPr>
        <w:t>Priamos</w:t>
      </w:r>
      <w:proofErr w:type="spellEnd"/>
      <w:r w:rsidR="00EA0FAF" w:rsidRPr="00EA0FAF">
        <w:t xml:space="preserve"> (Review Dept. 1998) 3 Cal. State Bar Ct. </w:t>
      </w:r>
      <w:proofErr w:type="spellStart"/>
      <w:r w:rsidR="00EA0FAF" w:rsidRPr="00EA0FAF">
        <w:t>Rptr</w:t>
      </w:r>
      <w:proofErr w:type="spellEnd"/>
      <w:r w:rsidR="00EA0FAF" w:rsidRPr="00EA0FAF">
        <w:t xml:space="preserve">. 824, 829-830 [attorney’s willful misappropriation of trust funds </w:t>
      </w:r>
      <w:r w:rsidR="00EA0FAF">
        <w:t>ordinarily constitutes</w:t>
      </w:r>
      <w:r w:rsidR="00EA0FAF" w:rsidRPr="00EA0FAF">
        <w:t xml:space="preserve"> moral turpitude].)  </w:t>
      </w:r>
    </w:p>
    <w:p w:rsidR="0082037E" w:rsidRPr="00FD6E95" w:rsidRDefault="00FD6E95" w:rsidP="00FD6E95">
      <w:pPr>
        <w:rPr>
          <w:b/>
        </w:rPr>
      </w:pPr>
      <w:r>
        <w:rPr>
          <w:b/>
        </w:rPr>
        <w:t>B.</w:t>
      </w:r>
      <w:r>
        <w:rPr>
          <w:b/>
        </w:rPr>
        <w:tab/>
      </w:r>
      <w:r w:rsidR="0082037E" w:rsidRPr="00FD6E95">
        <w:rPr>
          <w:b/>
        </w:rPr>
        <w:t>Case No. 07-O-1</w:t>
      </w:r>
      <w:r w:rsidR="0005629A" w:rsidRPr="00FD6E95">
        <w:rPr>
          <w:b/>
        </w:rPr>
        <w:t>4524</w:t>
      </w:r>
      <w:r w:rsidR="0082037E" w:rsidRPr="00FD6E95">
        <w:rPr>
          <w:b/>
        </w:rPr>
        <w:t xml:space="preserve"> (</w:t>
      </w:r>
      <w:proofErr w:type="spellStart"/>
      <w:r w:rsidR="0005629A" w:rsidRPr="00FD6E95">
        <w:rPr>
          <w:b/>
        </w:rPr>
        <w:t>Rhine</w:t>
      </w:r>
      <w:r w:rsidR="006E0EB1">
        <w:rPr>
          <w:b/>
        </w:rPr>
        <w:t>s</w:t>
      </w:r>
      <w:proofErr w:type="spellEnd"/>
      <w:r w:rsidR="0082037E" w:rsidRPr="00FD6E95">
        <w:rPr>
          <w:b/>
        </w:rPr>
        <w:t xml:space="preserve"> Matter)</w:t>
      </w:r>
    </w:p>
    <w:p w:rsidR="00E0030C" w:rsidRDefault="000528E0" w:rsidP="00B83C40">
      <w:pPr>
        <w:ind w:firstLine="720"/>
      </w:pPr>
      <w:proofErr w:type="spellStart"/>
      <w:r>
        <w:t>Ronquillo</w:t>
      </w:r>
      <w:proofErr w:type="spellEnd"/>
      <w:r w:rsidR="00111266">
        <w:t xml:space="preserve"> </w:t>
      </w:r>
      <w:r w:rsidR="00542E15">
        <w:t>defended</w:t>
      </w:r>
      <w:r w:rsidR="001A25FD">
        <w:t xml:space="preserve"> </w:t>
      </w:r>
      <w:r w:rsidR="000D612B">
        <w:t>Jeffrey</w:t>
      </w:r>
      <w:r w:rsidR="001A25FD">
        <w:t xml:space="preserve"> and </w:t>
      </w:r>
      <w:r w:rsidR="000D612B">
        <w:t>Holly</w:t>
      </w:r>
      <w:r w:rsidR="001A25FD">
        <w:t xml:space="preserve"> Rhine in</w:t>
      </w:r>
      <w:r w:rsidR="000D612B">
        <w:t xml:space="preserve"> April 2007 in</w:t>
      </w:r>
      <w:r w:rsidR="001A25FD">
        <w:t xml:space="preserve"> an unlawful detainer action</w:t>
      </w:r>
      <w:r w:rsidR="0055522C">
        <w:t xml:space="preserve">.  </w:t>
      </w:r>
      <w:r w:rsidR="005B344F">
        <w:t xml:space="preserve">Pursuant to </w:t>
      </w:r>
      <w:r w:rsidR="001D28A7">
        <w:t>a retainer</w:t>
      </w:r>
      <w:r w:rsidR="005B344F">
        <w:t xml:space="preserve"> agreement</w:t>
      </w:r>
      <w:r w:rsidR="001D28A7">
        <w:t xml:space="preserve"> between the </w:t>
      </w:r>
      <w:proofErr w:type="spellStart"/>
      <w:r w:rsidR="001D28A7">
        <w:t>Rhines</w:t>
      </w:r>
      <w:proofErr w:type="spellEnd"/>
      <w:r w:rsidR="001D28A7">
        <w:t xml:space="preserve"> and </w:t>
      </w:r>
      <w:proofErr w:type="spellStart"/>
      <w:r w:rsidR="001D28A7">
        <w:t>Ronquillo</w:t>
      </w:r>
      <w:proofErr w:type="spellEnd"/>
      <w:r w:rsidR="001D28A7">
        <w:t xml:space="preserve">, </w:t>
      </w:r>
      <w:r w:rsidR="00B0794F">
        <w:t>signed on</w:t>
      </w:r>
      <w:r w:rsidR="005B344F">
        <w:t xml:space="preserve"> April</w:t>
      </w:r>
      <w:r w:rsidR="00B0794F">
        <w:t xml:space="preserve"> 27</w:t>
      </w:r>
      <w:r w:rsidR="005B344F">
        <w:t xml:space="preserve">, 2007, the </w:t>
      </w:r>
      <w:proofErr w:type="spellStart"/>
      <w:r w:rsidR="001A25FD">
        <w:t>Rhines</w:t>
      </w:r>
      <w:proofErr w:type="spellEnd"/>
      <w:r w:rsidR="001A25FD">
        <w:t xml:space="preserve"> </w:t>
      </w:r>
      <w:r w:rsidR="005B344F">
        <w:t xml:space="preserve">paid </w:t>
      </w:r>
      <w:r w:rsidR="007423B9">
        <w:t xml:space="preserve">him </w:t>
      </w:r>
      <w:r w:rsidR="001A25FD">
        <w:t>$10,000</w:t>
      </w:r>
      <w:r w:rsidR="00860328">
        <w:t xml:space="preserve"> </w:t>
      </w:r>
      <w:r w:rsidR="005B344F">
        <w:t>as a “</w:t>
      </w:r>
      <w:r w:rsidR="00860328">
        <w:t>deposit</w:t>
      </w:r>
      <w:r w:rsidR="005B344F">
        <w:t>”</w:t>
      </w:r>
      <w:r w:rsidR="00993EB2">
        <w:t xml:space="preserve"> which was</w:t>
      </w:r>
      <w:r w:rsidR="005B344F">
        <w:t xml:space="preserve"> “to be used to pay costs and expenses and fees for legal services.”</w:t>
      </w:r>
      <w:r w:rsidR="00860328">
        <w:t xml:space="preserve"> </w:t>
      </w:r>
      <w:r w:rsidR="008A2C5F">
        <w:t xml:space="preserve"> </w:t>
      </w:r>
      <w:r w:rsidR="001D28A7">
        <w:t xml:space="preserve">In accordance with </w:t>
      </w:r>
      <w:r w:rsidR="0055522C">
        <w:t xml:space="preserve">the </w:t>
      </w:r>
      <w:r w:rsidR="001D28A7">
        <w:t>retainer agreement, he immediately deposited t</w:t>
      </w:r>
      <w:r w:rsidR="008A2C5F">
        <w:t xml:space="preserve">he $10,000 </w:t>
      </w:r>
      <w:r w:rsidR="001D28A7">
        <w:t>into his</w:t>
      </w:r>
      <w:r w:rsidR="008A2C5F">
        <w:t xml:space="preserve"> CTA</w:t>
      </w:r>
      <w:r w:rsidR="001D28A7">
        <w:t xml:space="preserve">.  </w:t>
      </w:r>
      <w:r w:rsidR="0078646E">
        <w:t>T</w:t>
      </w:r>
      <w:r w:rsidR="00542E15">
        <w:t>hree days</w:t>
      </w:r>
      <w:r w:rsidR="00B0794F">
        <w:t xml:space="preserve"> later</w:t>
      </w:r>
      <w:r w:rsidR="00132034">
        <w:t>,</w:t>
      </w:r>
      <w:r w:rsidR="00F62CE1">
        <w:t xml:space="preserve"> </w:t>
      </w:r>
      <w:r w:rsidR="001D28A7">
        <w:t>on April 30</w:t>
      </w:r>
      <w:r w:rsidR="001D28A7" w:rsidRPr="001D28A7">
        <w:rPr>
          <w:vertAlign w:val="superscript"/>
        </w:rPr>
        <w:t>th</w:t>
      </w:r>
      <w:r w:rsidR="001D28A7">
        <w:t xml:space="preserve">, </w:t>
      </w:r>
      <w:r w:rsidR="00F62CE1">
        <w:t>he withdrew the entire amount to pay for office expenses</w:t>
      </w:r>
      <w:r w:rsidR="008A2C5F">
        <w:t xml:space="preserve">.  </w:t>
      </w:r>
      <w:r w:rsidR="001A25FD">
        <w:t xml:space="preserve">It is undisputed that </w:t>
      </w:r>
      <w:proofErr w:type="spellStart"/>
      <w:r>
        <w:t>Ronquillo</w:t>
      </w:r>
      <w:proofErr w:type="spellEnd"/>
      <w:r w:rsidR="001A25FD">
        <w:t xml:space="preserve"> earned only $1,000 of the </w:t>
      </w:r>
      <w:proofErr w:type="spellStart"/>
      <w:r w:rsidR="001A25FD">
        <w:t>Rhines</w:t>
      </w:r>
      <w:proofErr w:type="spellEnd"/>
      <w:r w:rsidR="001A25FD">
        <w:t>’ advance</w:t>
      </w:r>
      <w:r w:rsidR="00993EB2">
        <w:t>d</w:t>
      </w:r>
      <w:r w:rsidR="001A25FD">
        <w:t xml:space="preserve"> fees</w:t>
      </w:r>
      <w:r w:rsidR="00F62CE1">
        <w:t xml:space="preserve">.  </w:t>
      </w:r>
    </w:p>
    <w:p w:rsidR="0011170C" w:rsidRDefault="0082037E" w:rsidP="00B81016">
      <w:pPr>
        <w:ind w:firstLine="720"/>
      </w:pPr>
      <w:r w:rsidRPr="008A2C5F">
        <w:t xml:space="preserve">We </w:t>
      </w:r>
      <w:r w:rsidR="001A3116">
        <w:t>find</w:t>
      </w:r>
      <w:r w:rsidRPr="008A2C5F">
        <w:t xml:space="preserve"> that </w:t>
      </w:r>
      <w:proofErr w:type="spellStart"/>
      <w:r w:rsidRPr="008A2C5F">
        <w:t>Ronquillo</w:t>
      </w:r>
      <w:proofErr w:type="spellEnd"/>
      <w:r w:rsidRPr="008A2C5F">
        <w:t xml:space="preserve"> violated rule 4-100(A) because </w:t>
      </w:r>
      <w:r w:rsidR="008A2C5F" w:rsidRPr="008A2C5F">
        <w:t>he failed</w:t>
      </w:r>
      <w:r w:rsidRPr="008A2C5F">
        <w:t xml:space="preserve"> to maintain</w:t>
      </w:r>
      <w:r w:rsidR="00EA7544" w:rsidRPr="00EA7544">
        <w:t xml:space="preserve"> </w:t>
      </w:r>
      <w:r w:rsidR="00F651E2">
        <w:t xml:space="preserve">the unearned </w:t>
      </w:r>
      <w:r w:rsidR="005B0606">
        <w:t>fees</w:t>
      </w:r>
      <w:r w:rsidR="00F651E2">
        <w:t xml:space="preserve"> he received</w:t>
      </w:r>
      <w:r w:rsidR="001D28A7">
        <w:t xml:space="preserve"> in his CTA pursuant with the terms of his retainer agreement with the </w:t>
      </w:r>
      <w:proofErr w:type="spellStart"/>
      <w:r w:rsidR="001D28A7">
        <w:t>Rhines</w:t>
      </w:r>
      <w:proofErr w:type="spellEnd"/>
      <w:r w:rsidR="001D28A7">
        <w:t xml:space="preserve">.  </w:t>
      </w:r>
      <w:r w:rsidRPr="008A2C5F">
        <w:t xml:space="preserve">We further </w:t>
      </w:r>
      <w:r w:rsidR="003C18BF">
        <w:t xml:space="preserve">find </w:t>
      </w:r>
      <w:proofErr w:type="spellStart"/>
      <w:r w:rsidRPr="008A2C5F">
        <w:t>Ronquillo</w:t>
      </w:r>
      <w:proofErr w:type="spellEnd"/>
      <w:r w:rsidR="001D28A7">
        <w:t xml:space="preserve"> committed an</w:t>
      </w:r>
      <w:r w:rsidR="006E0EB1">
        <w:t xml:space="preserve"> </w:t>
      </w:r>
      <w:r w:rsidR="003C18BF">
        <w:t xml:space="preserve">act of </w:t>
      </w:r>
      <w:r w:rsidR="006E0EB1">
        <w:t>moral turpitude in violation of</w:t>
      </w:r>
      <w:r w:rsidRPr="008A2C5F">
        <w:t xml:space="preserve"> section 6106 because </w:t>
      </w:r>
      <w:r w:rsidR="006E0EB1">
        <w:t>he</w:t>
      </w:r>
      <w:r w:rsidRPr="008A2C5F">
        <w:t xml:space="preserve"> </w:t>
      </w:r>
      <w:r w:rsidR="001D28A7">
        <w:t>intentionally</w:t>
      </w:r>
      <w:r w:rsidRPr="008A2C5F">
        <w:t xml:space="preserve"> misappropriat</w:t>
      </w:r>
      <w:r w:rsidR="006E0EB1">
        <w:t>ed</w:t>
      </w:r>
      <w:r w:rsidRPr="008A2C5F">
        <w:t xml:space="preserve"> $</w:t>
      </w:r>
      <w:r w:rsidR="008A2C5F" w:rsidRPr="008A2C5F">
        <w:t xml:space="preserve">9,000 of the </w:t>
      </w:r>
      <w:proofErr w:type="spellStart"/>
      <w:r w:rsidR="00132034">
        <w:t>Rhines</w:t>
      </w:r>
      <w:proofErr w:type="spellEnd"/>
      <w:r w:rsidR="00132034">
        <w:t xml:space="preserve">’ </w:t>
      </w:r>
      <w:r w:rsidR="006E0EB1">
        <w:t>advanced fees</w:t>
      </w:r>
      <w:r w:rsidRPr="008A2C5F">
        <w:t xml:space="preserve"> to satisfy </w:t>
      </w:r>
      <w:r w:rsidR="008A2C5F" w:rsidRPr="008A2C5F">
        <w:t xml:space="preserve">his </w:t>
      </w:r>
      <w:r w:rsidR="00542E15">
        <w:t>own</w:t>
      </w:r>
      <w:r w:rsidR="008A2C5F" w:rsidRPr="008A2C5F">
        <w:t xml:space="preserve"> expenses</w:t>
      </w:r>
      <w:r w:rsidRPr="008A2C5F">
        <w:t xml:space="preserve">. </w:t>
      </w:r>
      <w:r w:rsidR="00167CA7">
        <w:t xml:space="preserve"> </w:t>
      </w:r>
      <w:r w:rsidR="0055522C">
        <w:t>As h</w:t>
      </w:r>
      <w:r w:rsidR="0099260D">
        <w:t xml:space="preserve">e testified: “It was a decision I was making because I was trying to keep this practice and during this period of time I just did not have the wherewithal to be able to pay [these expenses].”  </w:t>
      </w:r>
      <w:r w:rsidR="001D28A7">
        <w:t xml:space="preserve">At the time of </w:t>
      </w:r>
      <w:r w:rsidR="009F04FC">
        <w:t>trial</w:t>
      </w:r>
      <w:r w:rsidR="001D28A7">
        <w:t xml:space="preserve">, </w:t>
      </w:r>
      <w:proofErr w:type="spellStart"/>
      <w:r w:rsidR="00BF60AC">
        <w:t>Ronquillo</w:t>
      </w:r>
      <w:proofErr w:type="spellEnd"/>
      <w:r w:rsidR="00BF60AC">
        <w:t xml:space="preserve"> ha</w:t>
      </w:r>
      <w:r w:rsidR="009F04FC">
        <w:t>d</w:t>
      </w:r>
      <w:r w:rsidR="00BF60AC">
        <w:t xml:space="preserve"> </w:t>
      </w:r>
      <w:r w:rsidR="009F04FC">
        <w:t xml:space="preserve">not </w:t>
      </w:r>
      <w:r w:rsidR="00BF60AC">
        <w:t xml:space="preserve">repaid the </w:t>
      </w:r>
      <w:proofErr w:type="spellStart"/>
      <w:r w:rsidR="00BF60AC">
        <w:t>Rhines</w:t>
      </w:r>
      <w:proofErr w:type="spellEnd"/>
      <w:r w:rsidR="00BF60AC" w:rsidRPr="00BF60AC">
        <w:t xml:space="preserve"> </w:t>
      </w:r>
      <w:r w:rsidR="00132034">
        <w:t>de</w:t>
      </w:r>
      <w:r w:rsidR="00746DDA">
        <w:t xml:space="preserve">spite </w:t>
      </w:r>
      <w:r w:rsidR="00BF60AC">
        <w:t xml:space="preserve">their repeated demands for restitution.  </w:t>
      </w:r>
      <w:r w:rsidR="003C18BF">
        <w:t>A</w:t>
      </w:r>
      <w:r w:rsidRPr="008A2C5F">
        <w:t>dditional</w:t>
      </w:r>
      <w:r w:rsidR="008A2C5F" w:rsidRPr="008A2C5F">
        <w:t>ly</w:t>
      </w:r>
      <w:r w:rsidR="00167CA7">
        <w:t>,</w:t>
      </w:r>
      <w:r w:rsidR="008A2C5F" w:rsidRPr="008A2C5F">
        <w:t xml:space="preserve"> </w:t>
      </w:r>
      <w:r w:rsidR="003C18BF">
        <w:t xml:space="preserve">we find </w:t>
      </w:r>
      <w:r w:rsidR="008A2C5F" w:rsidRPr="008A2C5F">
        <w:t xml:space="preserve">that </w:t>
      </w:r>
      <w:proofErr w:type="spellStart"/>
      <w:r w:rsidR="008A2C5F" w:rsidRPr="008A2C5F">
        <w:t>Ronquillo</w:t>
      </w:r>
      <w:proofErr w:type="spellEnd"/>
      <w:r w:rsidR="008A2C5F" w:rsidRPr="008A2C5F">
        <w:t xml:space="preserve"> </w:t>
      </w:r>
      <w:r w:rsidRPr="008A2C5F">
        <w:t>violat</w:t>
      </w:r>
      <w:r w:rsidR="008A2C5F" w:rsidRPr="008A2C5F">
        <w:t>ed r</w:t>
      </w:r>
      <w:r w:rsidRPr="008A2C5F">
        <w:t>ule 4-100(B)(3)</w:t>
      </w:r>
      <w:r w:rsidR="008A2C5F" w:rsidRPr="008A2C5F">
        <w:t xml:space="preserve"> because he failed to account to the </w:t>
      </w:r>
      <w:proofErr w:type="spellStart"/>
      <w:r w:rsidR="008A2C5F" w:rsidRPr="008A2C5F">
        <w:t>Rhines</w:t>
      </w:r>
      <w:proofErr w:type="spellEnd"/>
      <w:r w:rsidR="00BF60AC">
        <w:t xml:space="preserve">, </w:t>
      </w:r>
      <w:r w:rsidR="00F62CE1">
        <w:t>d</w:t>
      </w:r>
      <w:r w:rsidR="00566ECB">
        <w:t xml:space="preserve">isregarding </w:t>
      </w:r>
      <w:r w:rsidR="00F62CE1">
        <w:t xml:space="preserve">their </w:t>
      </w:r>
      <w:r w:rsidR="00566ECB">
        <w:t>continuing</w:t>
      </w:r>
      <w:r w:rsidR="00F62CE1">
        <w:t xml:space="preserve"> requests for an accounting</w:t>
      </w:r>
      <w:r w:rsidR="00BF60AC">
        <w:t xml:space="preserve">. </w:t>
      </w:r>
      <w:r w:rsidR="00F62CE1">
        <w:t xml:space="preserve"> </w:t>
      </w:r>
    </w:p>
    <w:p w:rsidR="0011170C" w:rsidRDefault="0011170C">
      <w:pPr>
        <w:spacing w:after="200" w:line="276" w:lineRule="auto"/>
      </w:pPr>
      <w:r>
        <w:br w:type="page"/>
      </w:r>
    </w:p>
    <w:p w:rsidR="00EA7544" w:rsidRPr="00FD6E95" w:rsidRDefault="00FD6E95" w:rsidP="00FD6E95">
      <w:pPr>
        <w:jc w:val="center"/>
        <w:rPr>
          <w:b/>
        </w:rPr>
      </w:pPr>
      <w:r>
        <w:rPr>
          <w:b/>
        </w:rPr>
        <w:lastRenderedPageBreak/>
        <w:t xml:space="preserve">II.  </w:t>
      </w:r>
      <w:r w:rsidR="00547AF7" w:rsidRPr="00FD6E95">
        <w:rPr>
          <w:b/>
        </w:rPr>
        <w:t>MITIGATION</w:t>
      </w:r>
      <w:r w:rsidR="00FD34D9" w:rsidRPr="00FD6E95">
        <w:rPr>
          <w:b/>
        </w:rPr>
        <w:t>/</w:t>
      </w:r>
      <w:r w:rsidR="00EA7544" w:rsidRPr="00FD6E95">
        <w:rPr>
          <w:b/>
        </w:rPr>
        <w:t>AGGRAVATION</w:t>
      </w:r>
    </w:p>
    <w:p w:rsidR="00F044D6" w:rsidRDefault="00FD6E95" w:rsidP="00727C69">
      <w:pPr>
        <w:rPr>
          <w:b/>
        </w:rPr>
      </w:pPr>
      <w:r>
        <w:rPr>
          <w:b/>
        </w:rPr>
        <w:t>A.</w:t>
      </w:r>
      <w:r>
        <w:rPr>
          <w:b/>
        </w:rPr>
        <w:tab/>
      </w:r>
      <w:r w:rsidR="00547AF7" w:rsidRPr="00FD6E95">
        <w:rPr>
          <w:b/>
        </w:rPr>
        <w:t xml:space="preserve">Mitigation </w:t>
      </w:r>
    </w:p>
    <w:p w:rsidR="00855B57" w:rsidRDefault="00EA7544" w:rsidP="0099260D">
      <w:pPr>
        <w:ind w:firstLine="720"/>
      </w:pPr>
      <w:proofErr w:type="spellStart"/>
      <w:r>
        <w:t>Ronquillo</w:t>
      </w:r>
      <w:proofErr w:type="spellEnd"/>
      <w:r w:rsidR="007E7538">
        <w:t xml:space="preserve"> offered no evidence in mitigation other than his testimony tha</w:t>
      </w:r>
      <w:r>
        <w:t xml:space="preserve">t he </w:t>
      </w:r>
      <w:r w:rsidR="00212BAD">
        <w:t>did not intend to</w:t>
      </w:r>
      <w:r>
        <w:t xml:space="preserve"> permanently depriv</w:t>
      </w:r>
      <w:r w:rsidR="00212BAD">
        <w:t xml:space="preserve">e </w:t>
      </w:r>
      <w:r>
        <w:t xml:space="preserve">Shepherd or the </w:t>
      </w:r>
      <w:proofErr w:type="spellStart"/>
      <w:r>
        <w:t>Rhines</w:t>
      </w:r>
      <w:proofErr w:type="spellEnd"/>
      <w:r>
        <w:t xml:space="preserve"> of their funds</w:t>
      </w:r>
      <w:r w:rsidR="00547AF7">
        <w:t>.</w:t>
      </w:r>
      <w:r w:rsidR="009F04FC">
        <w:t xml:space="preserve">  </w:t>
      </w:r>
      <w:r w:rsidR="00B33485">
        <w:t>He testified</w:t>
      </w:r>
      <w:r w:rsidR="00547AF7">
        <w:t>:  “</w:t>
      </w:r>
      <w:r w:rsidR="00584C32">
        <w:t>[I]t was not done with a willful intent to withhold this money forever.</w:t>
      </w:r>
      <w:r w:rsidR="0099260D">
        <w:t xml:space="preserve">”  </w:t>
      </w:r>
      <w:proofErr w:type="spellStart"/>
      <w:r w:rsidR="00584C32">
        <w:t>Ronquillo</w:t>
      </w:r>
      <w:proofErr w:type="spellEnd"/>
      <w:r w:rsidR="00584C32">
        <w:t xml:space="preserve"> also</w:t>
      </w:r>
      <w:r w:rsidR="00547AF7">
        <w:t xml:space="preserve"> professed his desire to repay </w:t>
      </w:r>
      <w:r w:rsidR="00584C32">
        <w:t xml:space="preserve">Shepherd and the </w:t>
      </w:r>
      <w:proofErr w:type="spellStart"/>
      <w:r w:rsidR="00584C32">
        <w:t>Rhines</w:t>
      </w:r>
      <w:proofErr w:type="spellEnd"/>
      <w:r w:rsidR="00584C32">
        <w:t xml:space="preserve">, but </w:t>
      </w:r>
      <w:r w:rsidR="00212BAD">
        <w:t xml:space="preserve">he has not done so.  </w:t>
      </w:r>
      <w:r w:rsidR="00584C32">
        <w:t xml:space="preserve">The hearing judge found that </w:t>
      </w:r>
      <w:proofErr w:type="spellStart"/>
      <w:r w:rsidR="00584C32">
        <w:t>Ronquillo</w:t>
      </w:r>
      <w:proofErr w:type="spellEnd"/>
      <w:r w:rsidR="00584C32">
        <w:t xml:space="preserve"> did not establish clear and convincing evidence in mitig</w:t>
      </w:r>
      <w:r w:rsidR="00212BAD">
        <w:t>ation.  We agree</w:t>
      </w:r>
      <w:r w:rsidR="00584C32">
        <w:t>.</w:t>
      </w:r>
      <w:r w:rsidR="00071F8F">
        <w:t xml:space="preserve">  Taking money from clients to pay for </w:t>
      </w:r>
      <w:r w:rsidR="00566ECB">
        <w:t xml:space="preserve">personal and/or </w:t>
      </w:r>
      <w:r w:rsidR="00071F8F">
        <w:t>office expenses is theft, regardless of the intent</w:t>
      </w:r>
      <w:r w:rsidR="00566ECB">
        <w:t>ion</w:t>
      </w:r>
      <w:r w:rsidR="00071F8F">
        <w:t xml:space="preserve"> to repay the funds at some future date.</w:t>
      </w:r>
      <w:r w:rsidR="007E7538">
        <w:t xml:space="preserve"> </w:t>
      </w:r>
    </w:p>
    <w:p w:rsidR="00773FFE" w:rsidRPr="00FD6E95" w:rsidRDefault="00FD6E95" w:rsidP="00FD6E95">
      <w:pPr>
        <w:rPr>
          <w:b/>
        </w:rPr>
      </w:pPr>
      <w:r>
        <w:rPr>
          <w:b/>
        </w:rPr>
        <w:t>B.</w:t>
      </w:r>
      <w:r>
        <w:rPr>
          <w:b/>
        </w:rPr>
        <w:tab/>
      </w:r>
      <w:r w:rsidR="00773FFE" w:rsidRPr="00FD6E95">
        <w:rPr>
          <w:b/>
        </w:rPr>
        <w:t>Aggravation</w:t>
      </w:r>
    </w:p>
    <w:p w:rsidR="00581321" w:rsidRDefault="00E0030C" w:rsidP="00C11CC8">
      <w:r>
        <w:tab/>
      </w:r>
      <w:r w:rsidR="00581321">
        <w:t xml:space="preserve">The hearing judge found three factors in </w:t>
      </w:r>
      <w:r w:rsidR="0055522C">
        <w:t>aggravation</w:t>
      </w:r>
      <w:r w:rsidR="00566ECB">
        <w:t>,</w:t>
      </w:r>
      <w:r w:rsidR="00581321">
        <w:t xml:space="preserve"> and we agree.</w:t>
      </w:r>
    </w:p>
    <w:p w:rsidR="00EA7AA7" w:rsidRDefault="000528E0" w:rsidP="00581321">
      <w:pPr>
        <w:ind w:firstLine="720"/>
      </w:pPr>
      <w:proofErr w:type="spellStart"/>
      <w:r>
        <w:t>Ronquillo</w:t>
      </w:r>
      <w:proofErr w:type="spellEnd"/>
      <w:r w:rsidR="00E0030C">
        <w:t xml:space="preserve"> was </w:t>
      </w:r>
      <w:r w:rsidR="00773FFE">
        <w:t xml:space="preserve">previously </w:t>
      </w:r>
      <w:r w:rsidR="00E0030C">
        <w:t>suspended</w:t>
      </w:r>
      <w:r w:rsidR="00773FFE">
        <w:t xml:space="preserve"> </w:t>
      </w:r>
      <w:r w:rsidR="00EA7AA7">
        <w:t xml:space="preserve">for 30 days </w:t>
      </w:r>
      <w:r w:rsidR="00E0030C">
        <w:t>in 200</w:t>
      </w:r>
      <w:r w:rsidR="00083424">
        <w:t>4</w:t>
      </w:r>
      <w:r w:rsidR="00E0030C">
        <w:t xml:space="preserve"> for </w:t>
      </w:r>
      <w:r w:rsidR="001133F0">
        <w:t>misusing</w:t>
      </w:r>
      <w:r w:rsidR="00D54544">
        <w:t xml:space="preserve"> his </w:t>
      </w:r>
      <w:r w:rsidR="006E4E26">
        <w:t>CTA</w:t>
      </w:r>
      <w:r w:rsidR="00D54544">
        <w:t xml:space="preserve"> </w:t>
      </w:r>
      <w:r w:rsidR="00B66096">
        <w:t>to pay personal and law office expenditures</w:t>
      </w:r>
      <w:r w:rsidR="00773FFE">
        <w:t xml:space="preserve"> in violation of </w:t>
      </w:r>
      <w:r w:rsidR="00B66096">
        <w:t xml:space="preserve">rule 4-100(A). </w:t>
      </w:r>
      <w:r w:rsidR="00E0030C">
        <w:t xml:space="preserve"> </w:t>
      </w:r>
      <w:r w:rsidR="00773FFE">
        <w:t>We consider this prior discipline to be a serious aggravating factor</w:t>
      </w:r>
      <w:r w:rsidR="00B81016">
        <w:t xml:space="preserve"> under standard 1.2(b)(</w:t>
      </w:r>
      <w:proofErr w:type="spellStart"/>
      <w:r w:rsidR="00B81016">
        <w:t>i</w:t>
      </w:r>
      <w:proofErr w:type="spellEnd"/>
      <w:r w:rsidR="00EA7AA7">
        <w:t>)</w:t>
      </w:r>
      <w:r w:rsidR="00773FFE">
        <w:t xml:space="preserve"> because it </w:t>
      </w:r>
      <w:r w:rsidR="00EA7AA7">
        <w:t xml:space="preserve">mirrors </w:t>
      </w:r>
      <w:r w:rsidR="00773FFE">
        <w:t xml:space="preserve">the misconduct </w:t>
      </w:r>
      <w:r w:rsidR="006E4E26">
        <w:t>before us</w:t>
      </w:r>
      <w:r w:rsidR="00EA7AA7">
        <w:t xml:space="preserve">.  </w:t>
      </w:r>
      <w:r w:rsidR="0055522C">
        <w:t>In fact</w:t>
      </w:r>
      <w:r w:rsidR="00EA7AA7">
        <w:t>,</w:t>
      </w:r>
      <w:r w:rsidR="00773FFE">
        <w:t xml:space="preserve"> the </w:t>
      </w:r>
      <w:r w:rsidR="00566ECB">
        <w:t>wrongdoing</w:t>
      </w:r>
      <w:r w:rsidR="00773FFE">
        <w:t xml:space="preserve"> </w:t>
      </w:r>
      <w:r w:rsidR="001133F0">
        <w:t xml:space="preserve">in the Shepherd matter </w:t>
      </w:r>
      <w:r w:rsidR="00773FFE">
        <w:t xml:space="preserve">occurred while </w:t>
      </w:r>
      <w:proofErr w:type="spellStart"/>
      <w:r w:rsidR="00773FFE">
        <w:t>Ronquillo</w:t>
      </w:r>
      <w:proofErr w:type="spellEnd"/>
      <w:r w:rsidR="00773FFE">
        <w:t xml:space="preserve"> was still on probation</w:t>
      </w:r>
      <w:r w:rsidR="00EA7AA7">
        <w:t xml:space="preserve"> from h</w:t>
      </w:r>
      <w:r w:rsidR="00773FFE">
        <w:t xml:space="preserve">is </w:t>
      </w:r>
      <w:r w:rsidR="00EA7AA7">
        <w:t>2004 discipline.</w:t>
      </w:r>
      <w:r w:rsidR="00DA74D0">
        <w:t xml:space="preserve">  We also agree with the hearing judge that </w:t>
      </w:r>
      <w:proofErr w:type="spellStart"/>
      <w:r w:rsidR="007F4391">
        <w:t>Ronquillo’s</w:t>
      </w:r>
      <w:proofErr w:type="spellEnd"/>
      <w:r w:rsidR="007F4391">
        <w:t xml:space="preserve"> culpability is aggravated by multiple acts of misconduct (st</w:t>
      </w:r>
      <w:r w:rsidR="00566ECB">
        <w:t>d.</w:t>
      </w:r>
      <w:r w:rsidR="007F4391">
        <w:t xml:space="preserve"> 1.2(b)(ii)</w:t>
      </w:r>
      <w:r w:rsidR="00167CA7">
        <w:t>)</w:t>
      </w:r>
      <w:r w:rsidR="007F4391">
        <w:t xml:space="preserve"> and that his </w:t>
      </w:r>
      <w:r w:rsidR="0055522C">
        <w:t>misappropriations</w:t>
      </w:r>
      <w:r w:rsidR="007F4391">
        <w:t xml:space="preserve"> greatly harmed his clients</w:t>
      </w:r>
      <w:r w:rsidR="0055522C">
        <w:t xml:space="preserve"> financially</w:t>
      </w:r>
      <w:r w:rsidR="007F4391">
        <w:t>.  (Std.</w:t>
      </w:r>
      <w:r w:rsidR="00167CA7">
        <w:t xml:space="preserve"> </w:t>
      </w:r>
      <w:r w:rsidR="007F4391">
        <w:t>1.2(b)(iv).)</w:t>
      </w:r>
      <w:r w:rsidR="00EA7AA7">
        <w:t xml:space="preserve">  </w:t>
      </w:r>
    </w:p>
    <w:p w:rsidR="00EA7AA7" w:rsidRPr="00FD6E95" w:rsidRDefault="00FD6E95" w:rsidP="00FD6E95">
      <w:pPr>
        <w:jc w:val="center"/>
        <w:rPr>
          <w:b/>
        </w:rPr>
      </w:pPr>
      <w:r>
        <w:rPr>
          <w:b/>
        </w:rPr>
        <w:t>I</w:t>
      </w:r>
      <w:r w:rsidR="005B4655">
        <w:rPr>
          <w:b/>
        </w:rPr>
        <w:t>II</w:t>
      </w:r>
      <w:r>
        <w:rPr>
          <w:b/>
        </w:rPr>
        <w:t xml:space="preserve">. </w:t>
      </w:r>
      <w:r w:rsidR="00EA7AA7" w:rsidRPr="00FD6E95">
        <w:rPr>
          <w:b/>
        </w:rPr>
        <w:t>DISCIPLINE ANALYSIS</w:t>
      </w:r>
    </w:p>
    <w:p w:rsidR="00581321" w:rsidRDefault="00FD34D9" w:rsidP="003C12CB">
      <w:pPr>
        <w:ind w:firstLine="720"/>
      </w:pPr>
      <w:r w:rsidRPr="007D0C6C">
        <w:t xml:space="preserve">We start with the standards in determining the appropriate discipline to recommend.  </w:t>
      </w:r>
      <w:r w:rsidR="00364637">
        <w:t xml:space="preserve">According to </w:t>
      </w:r>
      <w:r w:rsidRPr="007D0C6C">
        <w:t xml:space="preserve">standard 1.6(a), we </w:t>
      </w:r>
      <w:r w:rsidR="00364637">
        <w:t xml:space="preserve">should </w:t>
      </w:r>
      <w:r w:rsidRPr="007D0C6C">
        <w:t xml:space="preserve">consider the most severe discipline provided by the various standards applicable to the misconduct.  Standard 2.3 provides for actual suspension or disbarment for an act of moral turpitude, while standard 2.2(a) suggests disbarment for willful misappropriation unless the amount of money is insignificant or the most compelling mitigating </w:t>
      </w:r>
      <w:r w:rsidR="001F4DEA">
        <w:lastRenderedPageBreak/>
        <w:t>c</w:t>
      </w:r>
      <w:r w:rsidRPr="007D0C6C">
        <w:t xml:space="preserve">ircumstances </w:t>
      </w:r>
      <w:r w:rsidR="00364637">
        <w:t xml:space="preserve">clearly </w:t>
      </w:r>
      <w:r w:rsidRPr="007D0C6C">
        <w:t>predominate.</w:t>
      </w:r>
      <w:r w:rsidR="00581321">
        <w:rPr>
          <w:rStyle w:val="FootnoteReference"/>
        </w:rPr>
        <w:footnoteReference w:id="9"/>
      </w:r>
      <w:r w:rsidR="00704A94">
        <w:t xml:space="preserve">  </w:t>
      </w:r>
      <w:r w:rsidR="00704A94" w:rsidRPr="007D0C6C">
        <w:t>Neither of the exceptions in standard 2.2(a) applies</w:t>
      </w:r>
      <w:r w:rsidR="00704A94">
        <w:t xml:space="preserve"> here.  </w:t>
      </w:r>
      <w:proofErr w:type="spellStart"/>
      <w:r w:rsidR="00704A94" w:rsidRPr="007D0C6C">
        <w:t>Ronquillo</w:t>
      </w:r>
      <w:proofErr w:type="spellEnd"/>
      <w:r w:rsidR="00704A94" w:rsidRPr="007D0C6C">
        <w:t xml:space="preserve"> misappropriated $124,065, a significant amount</w:t>
      </w:r>
      <w:r w:rsidR="00722585">
        <w:t xml:space="preserve">, and </w:t>
      </w:r>
      <w:r w:rsidR="0011170C">
        <w:t>he</w:t>
      </w:r>
      <w:r w:rsidR="00722585">
        <w:t xml:space="preserve"> failed to establish compelling mitigation that </w:t>
      </w:r>
      <w:r w:rsidR="003C12CB">
        <w:t>clearly</w:t>
      </w:r>
      <w:r w:rsidR="00704A94">
        <w:t xml:space="preserve"> outweigh</w:t>
      </w:r>
      <w:r w:rsidR="00722585">
        <w:t>s</w:t>
      </w:r>
      <w:r w:rsidR="00704A94">
        <w:t xml:space="preserve"> the</w:t>
      </w:r>
      <w:r w:rsidR="00704A94" w:rsidRPr="007D0C6C">
        <w:t xml:space="preserve"> </w:t>
      </w:r>
      <w:r w:rsidR="003C12CB">
        <w:t xml:space="preserve">serious </w:t>
      </w:r>
      <w:r w:rsidR="00704A94" w:rsidRPr="007D0C6C">
        <w:t>factors in aggravation</w:t>
      </w:r>
      <w:r w:rsidR="00704A94">
        <w:t xml:space="preserve">, </w:t>
      </w:r>
      <w:r w:rsidR="00704A94" w:rsidRPr="007D0C6C">
        <w:t xml:space="preserve">particularly his prior misconduct. </w:t>
      </w:r>
      <w:r w:rsidR="00581321">
        <w:t xml:space="preserve"> </w:t>
      </w:r>
      <w:r w:rsidRPr="007D0C6C">
        <w:t xml:space="preserve">  </w:t>
      </w:r>
    </w:p>
    <w:p w:rsidR="00FD34D9" w:rsidRPr="007D0C6C" w:rsidRDefault="007D0C6C" w:rsidP="00FD34D9">
      <w:r w:rsidRPr="007D0C6C">
        <w:tab/>
        <w:t>W</w:t>
      </w:r>
      <w:r w:rsidR="00FD34D9" w:rsidRPr="007D0C6C">
        <w:t>e are permitted to temper the letter of the law with considerations peculiar to the offense and the offender (</w:t>
      </w:r>
      <w:r w:rsidR="00FD34D9" w:rsidRPr="007D0C6C">
        <w:rPr>
          <w:i/>
        </w:rPr>
        <w:t>In the Matter of Van Sickle</w:t>
      </w:r>
      <w:r w:rsidR="00FD34D9" w:rsidRPr="007D0C6C">
        <w:t xml:space="preserve"> (Review Dept. 2006) 4 Cal. State Bar Ct. </w:t>
      </w:r>
      <w:proofErr w:type="spellStart"/>
      <w:r w:rsidR="00FD34D9" w:rsidRPr="007D0C6C">
        <w:t>Rptr</w:t>
      </w:r>
      <w:proofErr w:type="spellEnd"/>
      <w:r w:rsidR="00FD34D9" w:rsidRPr="007D0C6C">
        <w:t xml:space="preserve">. 980, 994), </w:t>
      </w:r>
      <w:r w:rsidR="00555FAC">
        <w:t xml:space="preserve">but </w:t>
      </w:r>
      <w:r w:rsidR="00FD34D9" w:rsidRPr="007D0C6C">
        <w:t xml:space="preserve">we find </w:t>
      </w:r>
      <w:r w:rsidR="00555FAC">
        <w:t>insufficient eviden</w:t>
      </w:r>
      <w:r w:rsidR="00B81016">
        <w:t>ce</w:t>
      </w:r>
      <w:r w:rsidR="00555FAC">
        <w:t xml:space="preserve"> to justify a </w:t>
      </w:r>
      <w:r w:rsidR="00FD34D9" w:rsidRPr="007D0C6C">
        <w:t>depart</w:t>
      </w:r>
      <w:r w:rsidR="00555FAC">
        <w:t>ure</w:t>
      </w:r>
      <w:r w:rsidR="00FD34D9" w:rsidRPr="007D0C6C">
        <w:t xml:space="preserve"> from the</w:t>
      </w:r>
      <w:r w:rsidR="00761EEB">
        <w:t xml:space="preserve"> disbarment recommendation provided by </w:t>
      </w:r>
      <w:r w:rsidR="00FD34D9" w:rsidRPr="007D0C6C">
        <w:t xml:space="preserve">standard 2.2(a).  </w:t>
      </w:r>
      <w:r w:rsidR="001A6324">
        <w:t>The</w:t>
      </w:r>
      <w:r w:rsidR="00761EEB">
        <w:t xml:space="preserve"> decisional law involving </w:t>
      </w:r>
      <w:r w:rsidR="00E236F2">
        <w:t>intentional misappropriations</w:t>
      </w:r>
      <w:r w:rsidR="001A6324">
        <w:t xml:space="preserve"> supports</w:t>
      </w:r>
      <w:r w:rsidR="00722585">
        <w:t xml:space="preserve"> our recommendation for </w:t>
      </w:r>
      <w:r w:rsidR="001A6324">
        <w:t>disbarment a</w:t>
      </w:r>
      <w:r w:rsidR="001912E9">
        <w:t>s</w:t>
      </w:r>
      <w:r w:rsidR="00722585">
        <w:t xml:space="preserve"> discipline which is </w:t>
      </w:r>
      <w:r w:rsidR="00FD34D9" w:rsidRPr="007D0C6C">
        <w:t xml:space="preserve">proportionate to </w:t>
      </w:r>
      <w:proofErr w:type="spellStart"/>
      <w:r w:rsidR="00722585">
        <w:t>Ronquillo’s</w:t>
      </w:r>
      <w:proofErr w:type="spellEnd"/>
      <w:r w:rsidR="00FD34D9" w:rsidRPr="007D0C6C">
        <w:t xml:space="preserve"> misconduct.  (</w:t>
      </w:r>
      <w:r w:rsidR="009B2CAB">
        <w:rPr>
          <w:i/>
        </w:rPr>
        <w:t>Kennedy v. State Bar</w:t>
      </w:r>
      <w:r w:rsidR="009B2CAB">
        <w:t xml:space="preserve"> (1989) 48 </w:t>
      </w:r>
      <w:proofErr w:type="spellStart"/>
      <w:r w:rsidR="009B2CAB">
        <w:t>Cal.3d</w:t>
      </w:r>
      <w:proofErr w:type="spellEnd"/>
      <w:r w:rsidR="009B2CAB">
        <w:t xml:space="preserve"> 610 [</w:t>
      </w:r>
      <w:r w:rsidR="00727C69">
        <w:t xml:space="preserve">disbarment for </w:t>
      </w:r>
      <w:r w:rsidR="009B2CAB">
        <w:t>misappropriation in excess of $10,000 from multiple clients and failure to return files</w:t>
      </w:r>
      <w:r w:rsidR="00E236F2">
        <w:t xml:space="preserve"> with no priors in </w:t>
      </w:r>
      <w:r w:rsidR="00B81016">
        <w:t>five</w:t>
      </w:r>
      <w:r w:rsidR="00E236F2">
        <w:t xml:space="preserve"> years]; </w:t>
      </w:r>
      <w:r w:rsidR="00E236F2">
        <w:rPr>
          <w:i/>
        </w:rPr>
        <w:t>In re Kelley</w:t>
      </w:r>
      <w:r w:rsidR="00E236F2">
        <w:t xml:space="preserve"> (1988) 45 </w:t>
      </w:r>
      <w:proofErr w:type="spellStart"/>
      <w:r w:rsidR="00E236F2">
        <w:t>Cal.3d</w:t>
      </w:r>
      <w:proofErr w:type="spellEnd"/>
      <w:r w:rsidR="00E236F2">
        <w:t xml:space="preserve"> 649 [</w:t>
      </w:r>
      <w:r w:rsidR="00727C69">
        <w:t xml:space="preserve">disbarment for </w:t>
      </w:r>
      <w:r w:rsidR="00E236F2">
        <w:t>misappropriation of $20,000 and failure to account with no priors in seven years</w:t>
      </w:r>
      <w:r w:rsidR="00FD34D9" w:rsidRPr="007D0C6C">
        <w:t>]</w:t>
      </w:r>
      <w:r w:rsidR="004660EC">
        <w:t>.)</w:t>
      </w:r>
      <w:r w:rsidR="00FD34D9" w:rsidRPr="007D0C6C">
        <w:t xml:space="preserve"> </w:t>
      </w:r>
    </w:p>
    <w:p w:rsidR="00FD34D9" w:rsidRPr="007D0C6C" w:rsidRDefault="00AB437D" w:rsidP="00FD34D9">
      <w:pPr>
        <w:jc w:val="center"/>
        <w:rPr>
          <w:b/>
        </w:rPr>
      </w:pPr>
      <w:r>
        <w:rPr>
          <w:b/>
        </w:rPr>
        <w:t>I</w:t>
      </w:r>
      <w:r w:rsidR="00FD34D9" w:rsidRPr="007D0C6C">
        <w:rPr>
          <w:b/>
        </w:rPr>
        <w:t>V.  RECOMMENDATION</w:t>
      </w:r>
    </w:p>
    <w:p w:rsidR="00FD34D9" w:rsidRPr="007D0C6C" w:rsidRDefault="00FD34D9" w:rsidP="00FD34D9">
      <w:r w:rsidRPr="007D0C6C">
        <w:tab/>
        <w:t xml:space="preserve">For the foregoing reasons, we recommend that David G. </w:t>
      </w:r>
      <w:proofErr w:type="spellStart"/>
      <w:r w:rsidRPr="007D0C6C">
        <w:t>Ronquillo</w:t>
      </w:r>
      <w:proofErr w:type="spellEnd"/>
      <w:r w:rsidRPr="007D0C6C">
        <w:t xml:space="preserve"> be disbarred and that his name be stricken from the roll of attorneys.</w:t>
      </w:r>
      <w:r w:rsidR="00372CD9">
        <w:t xml:space="preserve">  </w:t>
      </w:r>
      <w:r w:rsidR="00372CD9" w:rsidRPr="007D0C6C">
        <w:t>We further recommend that</w:t>
      </w:r>
      <w:r w:rsidR="00372CD9">
        <w:t>:</w:t>
      </w:r>
    </w:p>
    <w:p w:rsidR="00167CA7" w:rsidRDefault="000F6663" w:rsidP="00167CA7">
      <w:pPr>
        <w:ind w:firstLine="720"/>
      </w:pPr>
      <w:r>
        <w:lastRenderedPageBreak/>
        <w:t>He</w:t>
      </w:r>
      <w:r w:rsidR="00167CA7" w:rsidRPr="007D0C6C">
        <w:t xml:space="preserve"> </w:t>
      </w:r>
      <w:r>
        <w:t xml:space="preserve">must </w:t>
      </w:r>
      <w:r w:rsidR="00167CA7">
        <w:t>make restitution to Thomas Shepherd in the amount of $115, 065</w:t>
      </w:r>
      <w:r w:rsidR="006F6C97">
        <w:t xml:space="preserve"> </w:t>
      </w:r>
      <w:r w:rsidR="00167CA7">
        <w:t xml:space="preserve">plus interest thereon from the date of the withdrawal of the funds from </w:t>
      </w:r>
      <w:proofErr w:type="spellStart"/>
      <w:r w:rsidR="00167CA7">
        <w:t>Ronquillo’s</w:t>
      </w:r>
      <w:proofErr w:type="spellEnd"/>
      <w:r w:rsidR="00167CA7">
        <w:t xml:space="preserve"> CTA.  </w:t>
      </w:r>
      <w:r>
        <w:t>Further, he</w:t>
      </w:r>
      <w:r w:rsidR="00167CA7">
        <w:t xml:space="preserve"> must make restitution to Jeffrey and Holly Rhine in the amount of $9,000 plus interest thereon from the date of the withdrawal of the funds from </w:t>
      </w:r>
      <w:proofErr w:type="spellStart"/>
      <w:r w:rsidR="00167CA7">
        <w:t>Ronquillo’s</w:t>
      </w:r>
      <w:proofErr w:type="spellEnd"/>
      <w:r w:rsidR="00167CA7">
        <w:t xml:space="preserve"> CTA.  Any restitution owed to</w:t>
      </w:r>
      <w:r w:rsidR="00727C69">
        <w:t xml:space="preserve"> Shepherd, the </w:t>
      </w:r>
      <w:proofErr w:type="spellStart"/>
      <w:r w:rsidR="00727C69">
        <w:t>Rhines</w:t>
      </w:r>
      <w:proofErr w:type="spellEnd"/>
      <w:r w:rsidR="00727C69">
        <w:t xml:space="preserve"> and</w:t>
      </w:r>
      <w:r w:rsidR="00167CA7">
        <w:t xml:space="preserve"> the Client Security Fund is enforceable as provided in Business and Professions Code section 6140.5, subdivisions (c) and (d);</w:t>
      </w:r>
    </w:p>
    <w:p w:rsidR="00FD34D9" w:rsidRPr="007D0C6C" w:rsidRDefault="00FD34D9" w:rsidP="00FD34D9">
      <w:r w:rsidRPr="007D0C6C">
        <w:tab/>
      </w:r>
      <w:r w:rsidR="000C0BD6">
        <w:t xml:space="preserve">He must </w:t>
      </w:r>
      <w:r w:rsidRPr="007D0C6C">
        <w:t>comply with rule 9.20 of the California Rules of Court and to perform the acts specified in subdivisions (a) and (c) of that rule, within 30 and 40 calendar days, respectively, after the effective date of the Supreme Court order herein</w:t>
      </w:r>
      <w:r w:rsidR="00372CD9">
        <w:t>;</w:t>
      </w:r>
    </w:p>
    <w:p w:rsidR="004928D3" w:rsidRDefault="00FD34D9" w:rsidP="00167CA7">
      <w:r w:rsidRPr="007D0C6C">
        <w:tab/>
      </w:r>
      <w:r w:rsidR="00372CD9">
        <w:t>C</w:t>
      </w:r>
      <w:r w:rsidRPr="007D0C6C">
        <w:t>osts be awarded to the State Bar in accordance with Business and Professions Code section 6086.10, such costs being enforceable both as provided in Business and Professions Code section 6140.7 and as a money judgmen</w:t>
      </w:r>
      <w:r w:rsidR="007D0C6C">
        <w:t>t</w:t>
      </w:r>
      <w:r w:rsidR="00722585">
        <w:t>.</w:t>
      </w:r>
    </w:p>
    <w:p w:rsidR="009D722D" w:rsidRDefault="009D722D" w:rsidP="009D722D">
      <w:r>
        <w:tab/>
      </w:r>
      <w:r>
        <w:tab/>
      </w:r>
      <w:r>
        <w:tab/>
      </w:r>
      <w:r>
        <w:tab/>
      </w:r>
      <w:r>
        <w:tab/>
      </w:r>
      <w:r w:rsidRPr="00055473">
        <w:rPr>
          <w:b/>
        </w:rPr>
        <w:t>V</w:t>
      </w:r>
      <w:r w:rsidRPr="001023F3">
        <w:rPr>
          <w:b/>
        </w:rPr>
        <w:t>.</w:t>
      </w:r>
      <w:r>
        <w:t xml:space="preserve">  </w:t>
      </w:r>
      <w:r>
        <w:rPr>
          <w:b/>
        </w:rPr>
        <w:t>ORDER</w:t>
      </w:r>
    </w:p>
    <w:p w:rsidR="008D581A" w:rsidRPr="008D581A" w:rsidRDefault="00FD34D9" w:rsidP="00372CD9">
      <w:pPr>
        <w:rPr>
          <w:b/>
        </w:rPr>
      </w:pPr>
      <w:r w:rsidRPr="007D0C6C">
        <w:tab/>
      </w:r>
      <w:r w:rsidR="00372CD9">
        <w:t xml:space="preserve">The </w:t>
      </w:r>
      <w:r w:rsidRPr="007D0C6C">
        <w:t xml:space="preserve">order that David G. </w:t>
      </w:r>
      <w:proofErr w:type="spellStart"/>
      <w:r w:rsidRPr="007D0C6C">
        <w:t>Ronquillo</w:t>
      </w:r>
      <w:proofErr w:type="spellEnd"/>
      <w:r w:rsidRPr="007D0C6C">
        <w:t xml:space="preserve"> be enrolled as an inactive member of the State Bar pursuant to Business and Professions Code section 6007, subdivision (c)(4), will continue pending the consideration and decision of the Supreme Court on this recommendation.</w:t>
      </w:r>
    </w:p>
    <w:p w:rsidR="00855B57" w:rsidRDefault="00855B57" w:rsidP="00C11CC8"/>
    <w:sectPr w:rsidR="00855B57" w:rsidSect="00D87A66">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33B" w:rsidRDefault="0086433B" w:rsidP="00783AF1">
      <w:pPr>
        <w:spacing w:line="240" w:lineRule="auto"/>
      </w:pPr>
      <w:r>
        <w:separator/>
      </w:r>
    </w:p>
  </w:endnote>
  <w:endnote w:type="continuationSeparator" w:id="0">
    <w:p w:rsidR="0086433B" w:rsidRDefault="0086433B"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B" w:rsidRDefault="0086433B" w:rsidP="00783AF1">
    <w:pPr>
      <w:pStyle w:val="Footer"/>
      <w:spacing w:before="120" w:line="240" w:lineRule="auto"/>
      <w:jc w:val="center"/>
    </w:pPr>
    <w:r>
      <w:t>-</w:t>
    </w:r>
    <w:fldSimple w:instr=" PAGE   \* MERGEFORMAT ">
      <w:r w:rsidR="009E6A4A">
        <w:rPr>
          <w:noProof/>
        </w:rPr>
        <w:t>8</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33B" w:rsidRDefault="0086433B" w:rsidP="00783AF1">
      <w:pPr>
        <w:spacing w:line="240" w:lineRule="auto"/>
      </w:pPr>
      <w:r>
        <w:separator/>
      </w:r>
    </w:p>
  </w:footnote>
  <w:footnote w:type="continuationSeparator" w:id="0">
    <w:p w:rsidR="0086433B" w:rsidRDefault="0086433B" w:rsidP="00783AF1">
      <w:pPr>
        <w:spacing w:line="240" w:lineRule="auto"/>
      </w:pPr>
      <w:r>
        <w:continuationSeparator/>
      </w:r>
    </w:p>
  </w:footnote>
  <w:footnote w:type="continuationNotice" w:id="1">
    <w:p w:rsidR="0086433B" w:rsidRDefault="0086433B">
      <w:pPr>
        <w:spacing w:line="240" w:lineRule="auto"/>
      </w:pPr>
    </w:p>
  </w:footnote>
  <w:footnote w:id="2">
    <w:p w:rsidR="0086433B" w:rsidRDefault="0086433B" w:rsidP="0011170C">
      <w:pPr>
        <w:pStyle w:val="FootnoteText"/>
        <w:spacing w:after="120"/>
      </w:pPr>
      <w:r>
        <w:rPr>
          <w:rStyle w:val="FootnoteReference"/>
        </w:rPr>
        <w:footnoteRef/>
      </w:r>
      <w:r>
        <w:t xml:space="preserve">Before Remke, P. J., Epstein, J. and Purcell, J. </w:t>
      </w:r>
    </w:p>
  </w:footnote>
  <w:footnote w:id="3">
    <w:p w:rsidR="0086433B" w:rsidRDefault="0086433B" w:rsidP="0011170C">
      <w:pPr>
        <w:pStyle w:val="FootnoteText"/>
      </w:pPr>
      <w:r>
        <w:rPr>
          <w:rStyle w:val="FootnoteReference"/>
        </w:rPr>
        <w:footnoteRef/>
      </w:r>
      <w:r>
        <w:t>Standard 1.3 states in pertinent part: “The primary purposes of disciplinary proceedings</w:t>
      </w:r>
      <w:r w:rsidR="009344EA">
        <w:t xml:space="preserve"> </w:t>
      </w:r>
      <w:r>
        <w:t xml:space="preserve"> .</w:t>
      </w:r>
      <w:r w:rsidR="009344EA">
        <w:t xml:space="preserve"> </w:t>
      </w:r>
      <w:r>
        <w:t>.</w:t>
      </w:r>
      <w:r w:rsidR="009344EA">
        <w:t xml:space="preserve"> </w:t>
      </w:r>
      <w:r>
        <w:t>. are the protection of the public, the courts and the legal profession; the maintenance of high professional standards by attorneys and the preservation of public confidence in the legal profession.”  All further references to “standard(s)” are to this source unless otherwise indicated.</w:t>
      </w:r>
    </w:p>
  </w:footnote>
  <w:footnote w:id="4">
    <w:p w:rsidR="0086433B" w:rsidRDefault="0086433B" w:rsidP="0011170C">
      <w:pPr>
        <w:pStyle w:val="FootnoteText"/>
      </w:pPr>
      <w:r>
        <w:rPr>
          <w:rStyle w:val="FootnoteReference"/>
        </w:rPr>
        <w:footnoteRef/>
      </w:r>
      <w:r>
        <w:t>Pursuant to rule 306</w:t>
      </w:r>
      <w:r w:rsidRPr="001133F0">
        <w:t>(</w:t>
      </w:r>
      <w:r>
        <w:t>c</w:t>
      </w:r>
      <w:r w:rsidRPr="001133F0">
        <w:t>) of the Rules of Procedure of the State Bar</w:t>
      </w:r>
      <w:r>
        <w:t xml:space="preserve">, we take judicial notice of the State Bar’s membership records, which confirm </w:t>
      </w:r>
      <w:proofErr w:type="spellStart"/>
      <w:r>
        <w:t>Ronquillo’s</w:t>
      </w:r>
      <w:proofErr w:type="spellEnd"/>
      <w:r>
        <w:t xml:space="preserve"> official address.  We further take judicial notice of the hearing judge’s December 10, 2008, order in this matter, pursuant to rule 306</w:t>
      </w:r>
      <w:r w:rsidRPr="001133F0">
        <w:t>(</w:t>
      </w:r>
      <w:r>
        <w:t>b</w:t>
      </w:r>
      <w:r w:rsidRPr="001133F0">
        <w:t>)</w:t>
      </w:r>
      <w:r w:rsidR="009344EA">
        <w:t xml:space="preserve"> of the Rules of Procedure of the State Bar</w:t>
      </w:r>
      <w:r>
        <w:t xml:space="preserve">.   </w:t>
      </w:r>
    </w:p>
  </w:footnote>
  <w:footnote w:id="5">
    <w:p w:rsidR="0086433B" w:rsidRDefault="0086433B" w:rsidP="0011170C">
      <w:pPr>
        <w:pStyle w:val="FootnoteText"/>
        <w:spacing w:after="120"/>
      </w:pPr>
      <w:r>
        <w:rPr>
          <w:rStyle w:val="FootnoteReference"/>
        </w:rPr>
        <w:footnoteRef/>
      </w:r>
      <w:r>
        <w:t xml:space="preserve">We note that </w:t>
      </w:r>
      <w:proofErr w:type="spellStart"/>
      <w:r>
        <w:t>Ronquillo</w:t>
      </w:r>
      <w:proofErr w:type="spellEnd"/>
      <w:r>
        <w:t xml:space="preserve"> did not seek interlocutory review of the exclusionary order prior to trial.  At trial, he testified</w:t>
      </w:r>
      <w:r w:rsidRPr="00C120D0">
        <w:t xml:space="preserve"> </w:t>
      </w:r>
      <w:r>
        <w:t xml:space="preserve">at length about mitigating factors.  More importantly, after completion of his testimony, the hearing judge asked </w:t>
      </w:r>
      <w:proofErr w:type="spellStart"/>
      <w:r>
        <w:t>Ronquillo’s</w:t>
      </w:r>
      <w:proofErr w:type="spellEnd"/>
      <w:r>
        <w:t xml:space="preserve"> counsel if he had any evidence in mitigation.  </w:t>
      </w:r>
      <w:proofErr w:type="spellStart"/>
      <w:r>
        <w:t>Ronquillo’s</w:t>
      </w:r>
      <w:proofErr w:type="spellEnd"/>
      <w:r>
        <w:t xml:space="preserve"> attorney replied that he did not have any such evidence, and he neither requested a continuance to allow time for his character witnesses to appear and testify, nor made an offer of proof regarding any additional evidence on the issue of mitigation.  Any claim of error due to the exclusion of the character witnesses is therefore waived.   </w:t>
      </w:r>
    </w:p>
  </w:footnote>
  <w:footnote w:id="6">
    <w:p w:rsidR="0086433B" w:rsidRDefault="0086433B" w:rsidP="0011170C">
      <w:pPr>
        <w:pStyle w:val="FootnoteText"/>
        <w:spacing w:after="120"/>
      </w:pPr>
      <w:r>
        <w:rPr>
          <w:rStyle w:val="FootnoteReference"/>
        </w:rPr>
        <w:footnoteRef/>
      </w:r>
      <w:r>
        <w:t>All funds concerning the Shepherd matter are stated here in U.S. dollars.</w:t>
      </w:r>
    </w:p>
  </w:footnote>
  <w:footnote w:id="7">
    <w:p w:rsidR="0086433B" w:rsidRDefault="0086433B" w:rsidP="0011170C">
      <w:pPr>
        <w:pStyle w:val="FootnoteText"/>
      </w:pPr>
      <w:r>
        <w:rPr>
          <w:rStyle w:val="FootnoteReference"/>
        </w:rPr>
        <w:footnoteRef/>
      </w:r>
      <w:r>
        <w:t xml:space="preserve">All further references to “rule(s)” are to this source unless otherwise indicated.   </w:t>
      </w:r>
    </w:p>
  </w:footnote>
  <w:footnote w:id="8">
    <w:p w:rsidR="0086433B" w:rsidRDefault="0086433B" w:rsidP="0011170C">
      <w:pPr>
        <w:pStyle w:val="FootnoteText"/>
      </w:pPr>
      <w:r>
        <w:rPr>
          <w:rStyle w:val="FootnoteReference"/>
        </w:rPr>
        <w:footnoteRef/>
      </w:r>
      <w:r>
        <w:t>All further references to “section(s)” are to this source unless otherwise indicated.</w:t>
      </w:r>
    </w:p>
  </w:footnote>
  <w:footnote w:id="9">
    <w:p w:rsidR="0086433B" w:rsidRDefault="0086433B" w:rsidP="0011170C">
      <w:pPr>
        <w:pStyle w:val="FootnoteText"/>
      </w:pPr>
      <w:r>
        <w:rPr>
          <w:rStyle w:val="FootnoteReference"/>
        </w:rPr>
        <w:footnoteRef/>
      </w:r>
      <w:proofErr w:type="spellStart"/>
      <w:r w:rsidRPr="001E2AA5">
        <w:t>Ronquillo</w:t>
      </w:r>
      <w:proofErr w:type="spellEnd"/>
      <w:r w:rsidRPr="001E2AA5">
        <w:t xml:space="preserve"> appended as exhibits to his opening brief</w:t>
      </w:r>
      <w:r>
        <w:t xml:space="preserve"> the</w:t>
      </w:r>
      <w:r w:rsidRPr="001E2AA5">
        <w:t xml:space="preserve"> declarations </w:t>
      </w:r>
      <w:r>
        <w:t>of five</w:t>
      </w:r>
      <w:r w:rsidRPr="001E2AA5">
        <w:t xml:space="preserve"> </w:t>
      </w:r>
      <w:r>
        <w:t>attorneys, which</w:t>
      </w:r>
      <w:r w:rsidRPr="00581321">
        <w:t xml:space="preserve"> </w:t>
      </w:r>
      <w:r w:rsidRPr="001E2AA5">
        <w:t>are not part of the record on review</w:t>
      </w:r>
      <w:r>
        <w:t>.  W</w:t>
      </w:r>
      <w:r w:rsidRPr="001E2AA5">
        <w:t>e</w:t>
      </w:r>
      <w:r>
        <w:t xml:space="preserve"> therefore</w:t>
      </w:r>
      <w:r w:rsidRPr="001E2AA5">
        <w:t xml:space="preserve"> decline to consider them.</w:t>
      </w:r>
      <w:r>
        <w:t xml:space="preserve">  Even if, </w:t>
      </w:r>
      <w:proofErr w:type="spellStart"/>
      <w:r>
        <w:t>arguendo</w:t>
      </w:r>
      <w:proofErr w:type="spellEnd"/>
      <w:r>
        <w:t>, the declarations were part of the record, they would not change our discipline recommendation.  The five attorneys who at</w:t>
      </w:r>
      <w:r w:rsidRPr="001E2AA5">
        <w:t>test</w:t>
      </w:r>
      <w:r>
        <w:t>ed</w:t>
      </w:r>
      <w:r w:rsidRPr="001E2AA5">
        <w:t xml:space="preserve"> to </w:t>
      </w:r>
      <w:proofErr w:type="spellStart"/>
      <w:r>
        <w:t>Ronquillo’s</w:t>
      </w:r>
      <w:proofErr w:type="spellEnd"/>
      <w:r w:rsidRPr="001E2AA5">
        <w:t xml:space="preserve"> </w:t>
      </w:r>
      <w:r>
        <w:t>skill as an attorney, his devotion to his family and church, and his community activities had little or no knowledge of the circumstances surrounding his misconduct</w:t>
      </w:r>
      <w:r w:rsidRPr="001E2AA5">
        <w:t>.</w:t>
      </w:r>
      <w:r>
        <w:t xml:space="preserve">  The declarations would not constitute clear and convincing evidence of compelling mitigation.  (</w:t>
      </w:r>
      <w:r>
        <w:rPr>
          <w:i/>
        </w:rPr>
        <w:t>In re Aquino</w:t>
      </w:r>
      <w:r>
        <w:t xml:space="preserve"> (1989) 49 </w:t>
      </w:r>
      <w:proofErr w:type="spellStart"/>
      <w:r>
        <w:t>Cal.3d</w:t>
      </w:r>
      <w:proofErr w:type="spellEnd"/>
      <w:r>
        <w:t xml:space="preserve"> 1122, 1131 [seven witnesses and 20 letters of support not “significant” evidence of mitigation because witnesses unfamiliar with details of misconduct]; </w:t>
      </w:r>
      <w:r w:rsidR="00F8633A">
        <w:rPr>
          <w:i/>
        </w:rPr>
        <w:t xml:space="preserve">In the Matter of </w:t>
      </w:r>
      <w:proofErr w:type="spellStart"/>
      <w:r w:rsidR="00F8633A">
        <w:rPr>
          <w:i/>
        </w:rPr>
        <w:t>Myrdall</w:t>
      </w:r>
      <w:proofErr w:type="spellEnd"/>
      <w:r w:rsidR="00F8633A">
        <w:t xml:space="preserve"> (Review Dept. 1995) 3 Cal. State Bar Ct. </w:t>
      </w:r>
      <w:proofErr w:type="spellStart"/>
      <w:r w:rsidR="00F8633A">
        <w:t>Rptr</w:t>
      </w:r>
      <w:proofErr w:type="spellEnd"/>
      <w:r w:rsidR="00F8633A">
        <w:t>. 363</w:t>
      </w:r>
      <w:r w:rsidR="00B81016">
        <w:t>, 387</w:t>
      </w:r>
      <w:r w:rsidR="00F8633A">
        <w:t xml:space="preserve"> [</w:t>
      </w:r>
      <w:r w:rsidR="003877EF">
        <w:t xml:space="preserve">testimony of </w:t>
      </w:r>
      <w:r w:rsidR="00F8633A">
        <w:t xml:space="preserve">three clients and three attorneys </w:t>
      </w:r>
      <w:r w:rsidR="003877EF">
        <w:t xml:space="preserve">familiar with charges against attorney was </w:t>
      </w:r>
      <w:r w:rsidR="00F8633A">
        <w:t>entitled to limited mitigati</w:t>
      </w:r>
      <w:r w:rsidR="003877EF">
        <w:t xml:space="preserve">on because </w:t>
      </w:r>
      <w:r w:rsidR="00F8633A">
        <w:t>they did not constitute a broad range of references</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BA8"/>
    <w:multiLevelType w:val="hybridMultilevel"/>
    <w:tmpl w:val="94701BF8"/>
    <w:lvl w:ilvl="0" w:tplc="9A786DBE">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00A5710"/>
    <w:multiLevelType w:val="hybridMultilevel"/>
    <w:tmpl w:val="5ECA0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F50B6"/>
    <w:multiLevelType w:val="hybridMultilevel"/>
    <w:tmpl w:val="94701BF8"/>
    <w:lvl w:ilvl="0" w:tplc="9A786DBE">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BB20217"/>
    <w:multiLevelType w:val="hybridMultilevel"/>
    <w:tmpl w:val="31F0180C"/>
    <w:lvl w:ilvl="0" w:tplc="45704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 w:id="1"/>
  </w:footnotePr>
  <w:endnotePr>
    <w:endnote w:id="-1"/>
    <w:endnote w:id="0"/>
  </w:endnotePr>
  <w:compat/>
  <w:rsids>
    <w:rsidRoot w:val="00541EEC"/>
    <w:rsid w:val="00001B48"/>
    <w:rsid w:val="00014F05"/>
    <w:rsid w:val="00034072"/>
    <w:rsid w:val="000367FE"/>
    <w:rsid w:val="000439DB"/>
    <w:rsid w:val="00044C82"/>
    <w:rsid w:val="000528E0"/>
    <w:rsid w:val="0005580A"/>
    <w:rsid w:val="0005629A"/>
    <w:rsid w:val="000702AF"/>
    <w:rsid w:val="00071F8F"/>
    <w:rsid w:val="00082A77"/>
    <w:rsid w:val="00083424"/>
    <w:rsid w:val="000A21FD"/>
    <w:rsid w:val="000A3B5B"/>
    <w:rsid w:val="000B0BC2"/>
    <w:rsid w:val="000B79EB"/>
    <w:rsid w:val="000C0BD6"/>
    <w:rsid w:val="000D319A"/>
    <w:rsid w:val="000D3E65"/>
    <w:rsid w:val="000D612B"/>
    <w:rsid w:val="000E3494"/>
    <w:rsid w:val="000E469D"/>
    <w:rsid w:val="000F0F74"/>
    <w:rsid w:val="000F2869"/>
    <w:rsid w:val="000F5CCD"/>
    <w:rsid w:val="000F6663"/>
    <w:rsid w:val="001013D0"/>
    <w:rsid w:val="00111266"/>
    <w:rsid w:val="0011170C"/>
    <w:rsid w:val="001133F0"/>
    <w:rsid w:val="001176E1"/>
    <w:rsid w:val="00121D3C"/>
    <w:rsid w:val="00123760"/>
    <w:rsid w:val="0013020F"/>
    <w:rsid w:val="00132034"/>
    <w:rsid w:val="00151F60"/>
    <w:rsid w:val="00167CA7"/>
    <w:rsid w:val="00171604"/>
    <w:rsid w:val="00176B37"/>
    <w:rsid w:val="00187884"/>
    <w:rsid w:val="0018793E"/>
    <w:rsid w:val="001912E9"/>
    <w:rsid w:val="001925F2"/>
    <w:rsid w:val="001A25FD"/>
    <w:rsid w:val="001A3116"/>
    <w:rsid w:val="001A6324"/>
    <w:rsid w:val="001C3B5C"/>
    <w:rsid w:val="001C5319"/>
    <w:rsid w:val="001C72B4"/>
    <w:rsid w:val="001D28A7"/>
    <w:rsid w:val="001D42C1"/>
    <w:rsid w:val="001D4906"/>
    <w:rsid w:val="001E25D5"/>
    <w:rsid w:val="001E2AA5"/>
    <w:rsid w:val="001E534C"/>
    <w:rsid w:val="001E69D8"/>
    <w:rsid w:val="001F1BC3"/>
    <w:rsid w:val="001F4DEA"/>
    <w:rsid w:val="00207FCE"/>
    <w:rsid w:val="00212BAD"/>
    <w:rsid w:val="002202DE"/>
    <w:rsid w:val="0022199D"/>
    <w:rsid w:val="002375DA"/>
    <w:rsid w:val="00244C17"/>
    <w:rsid w:val="00245625"/>
    <w:rsid w:val="002515BF"/>
    <w:rsid w:val="00264A8F"/>
    <w:rsid w:val="002723D0"/>
    <w:rsid w:val="00286C24"/>
    <w:rsid w:val="002872EE"/>
    <w:rsid w:val="00287E6D"/>
    <w:rsid w:val="00291C73"/>
    <w:rsid w:val="00292368"/>
    <w:rsid w:val="002941F0"/>
    <w:rsid w:val="002A25D7"/>
    <w:rsid w:val="002B5095"/>
    <w:rsid w:val="002C3942"/>
    <w:rsid w:val="002D4D9F"/>
    <w:rsid w:val="002D52D7"/>
    <w:rsid w:val="002D65E4"/>
    <w:rsid w:val="002E3179"/>
    <w:rsid w:val="002E47FD"/>
    <w:rsid w:val="002E7623"/>
    <w:rsid w:val="002F24D7"/>
    <w:rsid w:val="00301111"/>
    <w:rsid w:val="00304AF5"/>
    <w:rsid w:val="00311011"/>
    <w:rsid w:val="003172F2"/>
    <w:rsid w:val="00331DEC"/>
    <w:rsid w:val="00334DA4"/>
    <w:rsid w:val="00337A88"/>
    <w:rsid w:val="003457FF"/>
    <w:rsid w:val="003515E5"/>
    <w:rsid w:val="003520D5"/>
    <w:rsid w:val="00361709"/>
    <w:rsid w:val="00364637"/>
    <w:rsid w:val="0036766C"/>
    <w:rsid w:val="0037173F"/>
    <w:rsid w:val="00372CD9"/>
    <w:rsid w:val="003863EA"/>
    <w:rsid w:val="003877EF"/>
    <w:rsid w:val="0039168B"/>
    <w:rsid w:val="00393577"/>
    <w:rsid w:val="00395985"/>
    <w:rsid w:val="003B46EE"/>
    <w:rsid w:val="003C12CB"/>
    <w:rsid w:val="003C15B1"/>
    <w:rsid w:val="003C18BF"/>
    <w:rsid w:val="003C6DAA"/>
    <w:rsid w:val="003D3354"/>
    <w:rsid w:val="003D4A60"/>
    <w:rsid w:val="003E1366"/>
    <w:rsid w:val="003E1B75"/>
    <w:rsid w:val="003E4315"/>
    <w:rsid w:val="003F17B7"/>
    <w:rsid w:val="004005B8"/>
    <w:rsid w:val="00401EC7"/>
    <w:rsid w:val="00407602"/>
    <w:rsid w:val="00421793"/>
    <w:rsid w:val="00424073"/>
    <w:rsid w:val="004310E7"/>
    <w:rsid w:val="00431558"/>
    <w:rsid w:val="00437BA3"/>
    <w:rsid w:val="004447F3"/>
    <w:rsid w:val="004543B0"/>
    <w:rsid w:val="004601A9"/>
    <w:rsid w:val="00462C08"/>
    <w:rsid w:val="004660EC"/>
    <w:rsid w:val="00484DCA"/>
    <w:rsid w:val="004927C6"/>
    <w:rsid w:val="004928D3"/>
    <w:rsid w:val="00494189"/>
    <w:rsid w:val="004951BD"/>
    <w:rsid w:val="00495595"/>
    <w:rsid w:val="00497A94"/>
    <w:rsid w:val="004B2AE9"/>
    <w:rsid w:val="004C2957"/>
    <w:rsid w:val="004C646F"/>
    <w:rsid w:val="004C6B06"/>
    <w:rsid w:val="004D3478"/>
    <w:rsid w:val="004D4245"/>
    <w:rsid w:val="004D7CE0"/>
    <w:rsid w:val="004E074E"/>
    <w:rsid w:val="004E4E5D"/>
    <w:rsid w:val="005038C3"/>
    <w:rsid w:val="00504736"/>
    <w:rsid w:val="00505128"/>
    <w:rsid w:val="00513391"/>
    <w:rsid w:val="00520FF3"/>
    <w:rsid w:val="005264F8"/>
    <w:rsid w:val="0054065A"/>
    <w:rsid w:val="00541EEC"/>
    <w:rsid w:val="005425DE"/>
    <w:rsid w:val="00542E15"/>
    <w:rsid w:val="00543734"/>
    <w:rsid w:val="00546C9C"/>
    <w:rsid w:val="00547AF7"/>
    <w:rsid w:val="0055522C"/>
    <w:rsid w:val="00555FAC"/>
    <w:rsid w:val="005610D4"/>
    <w:rsid w:val="00566ECB"/>
    <w:rsid w:val="005741C8"/>
    <w:rsid w:val="005764A6"/>
    <w:rsid w:val="00581321"/>
    <w:rsid w:val="00584C32"/>
    <w:rsid w:val="005A47A8"/>
    <w:rsid w:val="005B0606"/>
    <w:rsid w:val="005B0754"/>
    <w:rsid w:val="005B1A46"/>
    <w:rsid w:val="005B2CA7"/>
    <w:rsid w:val="005B344F"/>
    <w:rsid w:val="005B4655"/>
    <w:rsid w:val="005C01B1"/>
    <w:rsid w:val="005C0F74"/>
    <w:rsid w:val="005C35C8"/>
    <w:rsid w:val="005C51FE"/>
    <w:rsid w:val="005E1A15"/>
    <w:rsid w:val="005E30B2"/>
    <w:rsid w:val="005F1A58"/>
    <w:rsid w:val="00600A96"/>
    <w:rsid w:val="006209EC"/>
    <w:rsid w:val="00620C06"/>
    <w:rsid w:val="00623FCD"/>
    <w:rsid w:val="00626EB1"/>
    <w:rsid w:val="00627212"/>
    <w:rsid w:val="00651272"/>
    <w:rsid w:val="00663006"/>
    <w:rsid w:val="00663970"/>
    <w:rsid w:val="00671190"/>
    <w:rsid w:val="00671208"/>
    <w:rsid w:val="0067370B"/>
    <w:rsid w:val="0068475F"/>
    <w:rsid w:val="00691D9B"/>
    <w:rsid w:val="00692C50"/>
    <w:rsid w:val="00692FDB"/>
    <w:rsid w:val="00694781"/>
    <w:rsid w:val="006A5433"/>
    <w:rsid w:val="006C296F"/>
    <w:rsid w:val="006C4E75"/>
    <w:rsid w:val="006E0EB1"/>
    <w:rsid w:val="006E4E26"/>
    <w:rsid w:val="006F4135"/>
    <w:rsid w:val="006F4F84"/>
    <w:rsid w:val="006F5983"/>
    <w:rsid w:val="006F6C97"/>
    <w:rsid w:val="006F7452"/>
    <w:rsid w:val="00702196"/>
    <w:rsid w:val="00702AC9"/>
    <w:rsid w:val="00704A94"/>
    <w:rsid w:val="0071127C"/>
    <w:rsid w:val="0071373C"/>
    <w:rsid w:val="00715636"/>
    <w:rsid w:val="0071732C"/>
    <w:rsid w:val="00717660"/>
    <w:rsid w:val="00722585"/>
    <w:rsid w:val="00724F2E"/>
    <w:rsid w:val="00727374"/>
    <w:rsid w:val="00727C69"/>
    <w:rsid w:val="00736B38"/>
    <w:rsid w:val="00736D02"/>
    <w:rsid w:val="007423B9"/>
    <w:rsid w:val="00746DDA"/>
    <w:rsid w:val="00747B0C"/>
    <w:rsid w:val="00753956"/>
    <w:rsid w:val="0075432A"/>
    <w:rsid w:val="00755A53"/>
    <w:rsid w:val="00761EEB"/>
    <w:rsid w:val="007623D7"/>
    <w:rsid w:val="00762D35"/>
    <w:rsid w:val="00763D60"/>
    <w:rsid w:val="00767B71"/>
    <w:rsid w:val="00773FFE"/>
    <w:rsid w:val="00774F11"/>
    <w:rsid w:val="00775F83"/>
    <w:rsid w:val="007768C9"/>
    <w:rsid w:val="007830A7"/>
    <w:rsid w:val="00783AF1"/>
    <w:rsid w:val="0078646E"/>
    <w:rsid w:val="007A50A6"/>
    <w:rsid w:val="007C4E86"/>
    <w:rsid w:val="007C5042"/>
    <w:rsid w:val="007C76EF"/>
    <w:rsid w:val="007D0C6C"/>
    <w:rsid w:val="007D24E4"/>
    <w:rsid w:val="007D3C47"/>
    <w:rsid w:val="007D5348"/>
    <w:rsid w:val="007E7538"/>
    <w:rsid w:val="007F4391"/>
    <w:rsid w:val="007F537A"/>
    <w:rsid w:val="008041C2"/>
    <w:rsid w:val="008106E6"/>
    <w:rsid w:val="008135B4"/>
    <w:rsid w:val="008156A1"/>
    <w:rsid w:val="0082037E"/>
    <w:rsid w:val="00822413"/>
    <w:rsid w:val="0083499B"/>
    <w:rsid w:val="00835489"/>
    <w:rsid w:val="00835F54"/>
    <w:rsid w:val="00853562"/>
    <w:rsid w:val="00855B57"/>
    <w:rsid w:val="00860328"/>
    <w:rsid w:val="00860C31"/>
    <w:rsid w:val="0086433B"/>
    <w:rsid w:val="00866574"/>
    <w:rsid w:val="008A154E"/>
    <w:rsid w:val="008A2C5F"/>
    <w:rsid w:val="008B1231"/>
    <w:rsid w:val="008B142C"/>
    <w:rsid w:val="008B6B28"/>
    <w:rsid w:val="008B708F"/>
    <w:rsid w:val="008C10E6"/>
    <w:rsid w:val="008C51CE"/>
    <w:rsid w:val="008C620E"/>
    <w:rsid w:val="008D581A"/>
    <w:rsid w:val="008E25F9"/>
    <w:rsid w:val="008E3541"/>
    <w:rsid w:val="008E4725"/>
    <w:rsid w:val="00903C01"/>
    <w:rsid w:val="0092010F"/>
    <w:rsid w:val="009216E0"/>
    <w:rsid w:val="00924448"/>
    <w:rsid w:val="00930CF6"/>
    <w:rsid w:val="009337D8"/>
    <w:rsid w:val="009344EA"/>
    <w:rsid w:val="00943692"/>
    <w:rsid w:val="00952E46"/>
    <w:rsid w:val="00956920"/>
    <w:rsid w:val="009626F4"/>
    <w:rsid w:val="009816B6"/>
    <w:rsid w:val="00982448"/>
    <w:rsid w:val="0099260D"/>
    <w:rsid w:val="00993174"/>
    <w:rsid w:val="00993EB2"/>
    <w:rsid w:val="00995888"/>
    <w:rsid w:val="00996A13"/>
    <w:rsid w:val="0099759D"/>
    <w:rsid w:val="009A3C2A"/>
    <w:rsid w:val="009A6150"/>
    <w:rsid w:val="009B2CAB"/>
    <w:rsid w:val="009B5A1B"/>
    <w:rsid w:val="009D5359"/>
    <w:rsid w:val="009D722D"/>
    <w:rsid w:val="009E3081"/>
    <w:rsid w:val="009E4A16"/>
    <w:rsid w:val="009E6A4A"/>
    <w:rsid w:val="009E6A9D"/>
    <w:rsid w:val="009E771B"/>
    <w:rsid w:val="009F04FC"/>
    <w:rsid w:val="009F7AC3"/>
    <w:rsid w:val="00A00BEA"/>
    <w:rsid w:val="00A07497"/>
    <w:rsid w:val="00A25E3F"/>
    <w:rsid w:val="00A32789"/>
    <w:rsid w:val="00A41F4E"/>
    <w:rsid w:val="00A71D10"/>
    <w:rsid w:val="00A72097"/>
    <w:rsid w:val="00A7346C"/>
    <w:rsid w:val="00A875AD"/>
    <w:rsid w:val="00A877E7"/>
    <w:rsid w:val="00A97CBA"/>
    <w:rsid w:val="00AA523C"/>
    <w:rsid w:val="00AA5F39"/>
    <w:rsid w:val="00AB3672"/>
    <w:rsid w:val="00AB437D"/>
    <w:rsid w:val="00AC4C2D"/>
    <w:rsid w:val="00AD3D4A"/>
    <w:rsid w:val="00AE5001"/>
    <w:rsid w:val="00AE51B0"/>
    <w:rsid w:val="00B018A8"/>
    <w:rsid w:val="00B05F22"/>
    <w:rsid w:val="00B06B36"/>
    <w:rsid w:val="00B0794F"/>
    <w:rsid w:val="00B10D52"/>
    <w:rsid w:val="00B125D0"/>
    <w:rsid w:val="00B1288A"/>
    <w:rsid w:val="00B16AA3"/>
    <w:rsid w:val="00B20581"/>
    <w:rsid w:val="00B32B26"/>
    <w:rsid w:val="00B33485"/>
    <w:rsid w:val="00B421AC"/>
    <w:rsid w:val="00B6046B"/>
    <w:rsid w:val="00B61C8C"/>
    <w:rsid w:val="00B64DF3"/>
    <w:rsid w:val="00B66096"/>
    <w:rsid w:val="00B76186"/>
    <w:rsid w:val="00B774AD"/>
    <w:rsid w:val="00B81016"/>
    <w:rsid w:val="00B83C40"/>
    <w:rsid w:val="00B92689"/>
    <w:rsid w:val="00BA5828"/>
    <w:rsid w:val="00BA5913"/>
    <w:rsid w:val="00BA71E7"/>
    <w:rsid w:val="00BB3D14"/>
    <w:rsid w:val="00BB3EB5"/>
    <w:rsid w:val="00BB41CB"/>
    <w:rsid w:val="00BC51B3"/>
    <w:rsid w:val="00BD5281"/>
    <w:rsid w:val="00BF60AC"/>
    <w:rsid w:val="00BF7A4A"/>
    <w:rsid w:val="00C04E2A"/>
    <w:rsid w:val="00C11CC8"/>
    <w:rsid w:val="00C120D0"/>
    <w:rsid w:val="00C134E7"/>
    <w:rsid w:val="00C208B4"/>
    <w:rsid w:val="00C22CB3"/>
    <w:rsid w:val="00C234B3"/>
    <w:rsid w:val="00C2402F"/>
    <w:rsid w:val="00C24601"/>
    <w:rsid w:val="00C319B1"/>
    <w:rsid w:val="00C341DA"/>
    <w:rsid w:val="00C4380C"/>
    <w:rsid w:val="00C46332"/>
    <w:rsid w:val="00C46BFF"/>
    <w:rsid w:val="00C614A8"/>
    <w:rsid w:val="00C62004"/>
    <w:rsid w:val="00C63636"/>
    <w:rsid w:val="00C729FB"/>
    <w:rsid w:val="00C777E0"/>
    <w:rsid w:val="00C7798E"/>
    <w:rsid w:val="00C803EF"/>
    <w:rsid w:val="00C867BF"/>
    <w:rsid w:val="00C87253"/>
    <w:rsid w:val="00C94376"/>
    <w:rsid w:val="00CA40BF"/>
    <w:rsid w:val="00CA5349"/>
    <w:rsid w:val="00CC3CF8"/>
    <w:rsid w:val="00CD0FD0"/>
    <w:rsid w:val="00CD6F3C"/>
    <w:rsid w:val="00CE4C2D"/>
    <w:rsid w:val="00CE7EAE"/>
    <w:rsid w:val="00CF54B5"/>
    <w:rsid w:val="00CF63ED"/>
    <w:rsid w:val="00D259D0"/>
    <w:rsid w:val="00D36BDC"/>
    <w:rsid w:val="00D41309"/>
    <w:rsid w:val="00D453D5"/>
    <w:rsid w:val="00D5005C"/>
    <w:rsid w:val="00D50260"/>
    <w:rsid w:val="00D54544"/>
    <w:rsid w:val="00D57AD0"/>
    <w:rsid w:val="00D62469"/>
    <w:rsid w:val="00D75C2D"/>
    <w:rsid w:val="00D87A66"/>
    <w:rsid w:val="00D91225"/>
    <w:rsid w:val="00DA6EBE"/>
    <w:rsid w:val="00DA74D0"/>
    <w:rsid w:val="00DB03C5"/>
    <w:rsid w:val="00DB28CF"/>
    <w:rsid w:val="00DC0D07"/>
    <w:rsid w:val="00DD6CFD"/>
    <w:rsid w:val="00DD6D70"/>
    <w:rsid w:val="00DD7C40"/>
    <w:rsid w:val="00DF02A1"/>
    <w:rsid w:val="00DF0489"/>
    <w:rsid w:val="00DF499F"/>
    <w:rsid w:val="00E0030C"/>
    <w:rsid w:val="00E10F07"/>
    <w:rsid w:val="00E13DFC"/>
    <w:rsid w:val="00E20835"/>
    <w:rsid w:val="00E22C06"/>
    <w:rsid w:val="00E236F2"/>
    <w:rsid w:val="00E41E97"/>
    <w:rsid w:val="00E50692"/>
    <w:rsid w:val="00E56A03"/>
    <w:rsid w:val="00E70239"/>
    <w:rsid w:val="00E73096"/>
    <w:rsid w:val="00E73EDA"/>
    <w:rsid w:val="00E81D6C"/>
    <w:rsid w:val="00E87E57"/>
    <w:rsid w:val="00E96B92"/>
    <w:rsid w:val="00EA0FAF"/>
    <w:rsid w:val="00EA7544"/>
    <w:rsid w:val="00EA7AA7"/>
    <w:rsid w:val="00EA7DFA"/>
    <w:rsid w:val="00EC2D4F"/>
    <w:rsid w:val="00EC4A1B"/>
    <w:rsid w:val="00EE725B"/>
    <w:rsid w:val="00EF1A96"/>
    <w:rsid w:val="00F02C78"/>
    <w:rsid w:val="00F030D5"/>
    <w:rsid w:val="00F044D6"/>
    <w:rsid w:val="00F27CFF"/>
    <w:rsid w:val="00F31464"/>
    <w:rsid w:val="00F32BF6"/>
    <w:rsid w:val="00F46D99"/>
    <w:rsid w:val="00F56543"/>
    <w:rsid w:val="00F613FE"/>
    <w:rsid w:val="00F62CE1"/>
    <w:rsid w:val="00F651E2"/>
    <w:rsid w:val="00F71E2E"/>
    <w:rsid w:val="00F74E35"/>
    <w:rsid w:val="00F8274A"/>
    <w:rsid w:val="00F82EF1"/>
    <w:rsid w:val="00F8633A"/>
    <w:rsid w:val="00FA37FC"/>
    <w:rsid w:val="00FB169F"/>
    <w:rsid w:val="00FB30FA"/>
    <w:rsid w:val="00FB3FCB"/>
    <w:rsid w:val="00FC4444"/>
    <w:rsid w:val="00FD34D9"/>
    <w:rsid w:val="00FD6E95"/>
    <w:rsid w:val="00FD7BF8"/>
    <w:rsid w:val="00FE28B1"/>
    <w:rsid w:val="00FE7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11170C"/>
    <w:pPr>
      <w:keepLines/>
      <w:spacing w:line="240" w:lineRule="auto"/>
      <w:ind w:firstLine="720"/>
    </w:pPr>
  </w:style>
  <w:style w:type="character" w:customStyle="1" w:styleId="FootnoteTextChar">
    <w:name w:val="Footnote Text Char"/>
    <w:basedOn w:val="DefaultParagraphFont"/>
    <w:link w:val="FootnoteText"/>
    <w:rsid w:val="0011170C"/>
  </w:style>
  <w:style w:type="paragraph" w:customStyle="1" w:styleId="Footnote">
    <w:name w:val="Footnote"/>
    <w:basedOn w:val="Normal"/>
    <w:link w:val="FootnoteChar"/>
    <w:autoRedefine/>
    <w:qFormat/>
    <w:rsid w:val="00E41E97"/>
    <w:pPr>
      <w:spacing w:after="120" w:line="240" w:lineRule="auto"/>
      <w:jc w:val="right"/>
    </w:pPr>
    <w:rPr>
      <w:rFonts w:cstheme="minorBidi"/>
      <w:b/>
    </w:rPr>
  </w:style>
  <w:style w:type="character" w:customStyle="1" w:styleId="FootnoteChar">
    <w:name w:val="Footnote Char"/>
    <w:basedOn w:val="DefaultParagraphFont"/>
    <w:link w:val="Footnote"/>
    <w:rsid w:val="00E41E97"/>
    <w:rPr>
      <w:rFonts w:cstheme="minorBidi"/>
      <w:b/>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uiPriority w:val="99"/>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BodyTextIndent">
    <w:name w:val="Body Text Indent"/>
    <w:basedOn w:val="Normal"/>
    <w:link w:val="BodyTextIndentChar"/>
    <w:uiPriority w:val="99"/>
    <w:unhideWhenUsed/>
    <w:rsid w:val="00F27CFF"/>
    <w:pPr>
      <w:ind w:firstLine="720"/>
    </w:pPr>
    <w:rPr>
      <w:rFonts w:eastAsiaTheme="minorHAnsi"/>
    </w:rPr>
  </w:style>
  <w:style w:type="character" w:customStyle="1" w:styleId="BodyTextIndentChar">
    <w:name w:val="Body Text Indent Char"/>
    <w:basedOn w:val="DefaultParagraphFont"/>
    <w:link w:val="BodyTextIndent"/>
    <w:uiPriority w:val="99"/>
    <w:rsid w:val="00F27CFF"/>
    <w:rPr>
      <w:rFonts w:eastAsiaTheme="minorHAnsi"/>
    </w:rPr>
  </w:style>
  <w:style w:type="paragraph" w:styleId="ListParagraph">
    <w:name w:val="List Paragraph"/>
    <w:basedOn w:val="Normal"/>
    <w:uiPriority w:val="34"/>
    <w:qFormat/>
    <w:rsid w:val="00B10D52"/>
    <w:pPr>
      <w:ind w:left="720"/>
      <w:contextualSpacing/>
    </w:pPr>
  </w:style>
  <w:style w:type="paragraph" w:styleId="BalloonText">
    <w:name w:val="Balloon Text"/>
    <w:basedOn w:val="Normal"/>
    <w:link w:val="BalloonTextChar"/>
    <w:uiPriority w:val="99"/>
    <w:semiHidden/>
    <w:unhideWhenUsed/>
    <w:rsid w:val="001E53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243168">
      <w:bodyDiv w:val="1"/>
      <w:marLeft w:val="0"/>
      <w:marRight w:val="0"/>
      <w:marTop w:val="0"/>
      <w:marBottom w:val="0"/>
      <w:divBdr>
        <w:top w:val="none" w:sz="0" w:space="0" w:color="auto"/>
        <w:left w:val="none" w:sz="0" w:space="0" w:color="auto"/>
        <w:bottom w:val="none" w:sz="0" w:space="0" w:color="auto"/>
        <w:right w:val="none" w:sz="0" w:space="0" w:color="auto"/>
      </w:divBdr>
    </w:div>
    <w:div w:id="14415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B4E2-D33D-494D-9D3C-A46767AB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6</TotalTime>
  <Pages>8</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stovitzr</dc:creator>
  <cp:keywords/>
  <dc:description/>
  <cp:lastModifiedBy>Mina Ruiz</cp:lastModifiedBy>
  <cp:revision>2</cp:revision>
  <cp:lastPrinted>2010-06-07T22:25:00Z</cp:lastPrinted>
  <dcterms:created xsi:type="dcterms:W3CDTF">2010-06-07T22:25:00Z</dcterms:created>
  <dcterms:modified xsi:type="dcterms:W3CDTF">2010-06-07T22:25:00Z</dcterms:modified>
</cp:coreProperties>
</file>