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8" w:rsidRPr="00FA0C8D" w:rsidRDefault="002160DE" w:rsidP="00FA0C8D">
      <w:pPr>
        <w:pStyle w:val="Footnote"/>
      </w:pPr>
      <w:bookmarkStart w:id="0" w:name="designation"/>
      <w:bookmarkEnd w:id="0"/>
      <w:r w:rsidRPr="00FA0C8D">
        <w:t>PUBLIC MATTER - NOT DESIGNATED FOR PUBLICATION</w:t>
      </w:r>
    </w:p>
    <w:p w:rsidR="00835F54" w:rsidRPr="00C11CC8" w:rsidRDefault="00835F54" w:rsidP="00FA0C8D">
      <w:pPr>
        <w:pStyle w:val="Footnote"/>
      </w:pPr>
    </w:p>
    <w:p w:rsidR="00C11CC8" w:rsidRPr="00C11CC8" w:rsidRDefault="00177F50" w:rsidP="00177F50">
      <w:pPr>
        <w:jc w:val="right"/>
      </w:pPr>
      <w:r>
        <w:t>Filed May 26, 2011</w:t>
      </w:r>
    </w:p>
    <w:p w:rsidR="00C11CC8" w:rsidRPr="00C11CC8" w:rsidRDefault="00C11CC8"/>
    <w:p w:rsidR="00C11CC8" w:rsidRDefault="00C11CC8" w:rsidP="00C11CC8">
      <w:pPr>
        <w:spacing w:line="240" w:lineRule="auto"/>
        <w:jc w:val="center"/>
        <w:rPr>
          <w:b/>
        </w:rPr>
      </w:pPr>
      <w:r w:rsidRPr="00C11CC8">
        <w:rPr>
          <w:b/>
        </w:rPr>
        <w:t>STATE BAR COURT</w:t>
      </w:r>
      <w:r w:rsidR="00677009">
        <w:rPr>
          <w:b/>
        </w:rPr>
        <w:t xml:space="preserve"> OF CALIFORNIA</w:t>
      </w:r>
    </w:p>
    <w:p w:rsidR="00677009" w:rsidRDefault="00677009" w:rsidP="00C11CC8">
      <w:pPr>
        <w:spacing w:line="240" w:lineRule="auto"/>
        <w:jc w:val="center"/>
        <w:rPr>
          <w:b/>
        </w:rPr>
      </w:pPr>
    </w:p>
    <w:p w:rsidR="00677009" w:rsidRPr="00C11CC8" w:rsidRDefault="00677009" w:rsidP="00C11CC8">
      <w:pPr>
        <w:spacing w:line="240" w:lineRule="auto"/>
        <w:jc w:val="center"/>
        <w:rPr>
          <w:b/>
        </w:rPr>
      </w:pPr>
      <w:r>
        <w:rPr>
          <w:b/>
        </w:rPr>
        <w:t>REVIEW DEPARTMENT</w:t>
      </w:r>
    </w:p>
    <w:p w:rsidR="00C11CC8" w:rsidRPr="00C11CC8" w:rsidRDefault="00C11CC8" w:rsidP="00C11CC8">
      <w:pPr>
        <w:rPr>
          <w:b/>
        </w:rPr>
      </w:pPr>
    </w:p>
    <w:tbl>
      <w:tblPr>
        <w:tblStyle w:val="TableGrid"/>
        <w:tblW w:w="0" w:type="auto"/>
        <w:tblLook w:val="04A0"/>
      </w:tblPr>
      <w:tblGrid>
        <w:gridCol w:w="4680"/>
        <w:gridCol w:w="900"/>
        <w:gridCol w:w="3888"/>
      </w:tblGrid>
      <w:tr w:rsidR="00C11CC8" w:rsidRPr="00C11CC8" w:rsidTr="00FA0C8D">
        <w:tc>
          <w:tcPr>
            <w:tcW w:w="4680" w:type="dxa"/>
            <w:tcBorders>
              <w:top w:val="nil"/>
              <w:left w:val="nil"/>
              <w:right w:val="nil"/>
            </w:tcBorders>
            <w:tcMar>
              <w:left w:w="0" w:type="dxa"/>
              <w:right w:w="0" w:type="dxa"/>
            </w:tcMar>
          </w:tcPr>
          <w:p w:rsidR="00C11CC8" w:rsidRDefault="00C11CC8" w:rsidP="009216E0">
            <w:pPr>
              <w:spacing w:line="240" w:lineRule="auto"/>
            </w:pPr>
            <w:r>
              <w:t>In the Matter of</w:t>
            </w:r>
          </w:p>
          <w:p w:rsidR="009216E0" w:rsidRDefault="009216E0" w:rsidP="009216E0">
            <w:pPr>
              <w:spacing w:line="240" w:lineRule="auto"/>
            </w:pPr>
          </w:p>
          <w:p w:rsidR="00C11CC8" w:rsidRPr="00FA0C8D" w:rsidRDefault="007024B9" w:rsidP="009216E0">
            <w:pPr>
              <w:spacing w:line="240" w:lineRule="auto"/>
            </w:pPr>
            <w:bookmarkStart w:id="1" w:name="Respondent"/>
            <w:bookmarkEnd w:id="1"/>
            <w:r w:rsidRPr="00FA0C8D">
              <w:t>ROBERT EATON DOWD</w:t>
            </w:r>
            <w:r w:rsidR="004A1075">
              <w:t>,</w:t>
            </w:r>
          </w:p>
          <w:p w:rsidR="009216E0" w:rsidRDefault="009216E0" w:rsidP="009216E0">
            <w:pPr>
              <w:spacing w:line="240" w:lineRule="auto"/>
            </w:pPr>
          </w:p>
          <w:p w:rsidR="009216E0" w:rsidRPr="009216E0" w:rsidRDefault="00FA0C8D" w:rsidP="009216E0">
            <w:pPr>
              <w:spacing w:line="240" w:lineRule="auto"/>
            </w:pPr>
            <w:bookmarkStart w:id="2" w:name="type"/>
            <w:bookmarkEnd w:id="2"/>
            <w:r>
              <w:t>A Member of the State Bar, N</w:t>
            </w:r>
            <w:r w:rsidR="008C4EA0">
              <w:t>o. 93284</w:t>
            </w:r>
            <w:r w:rsidR="0006742B">
              <w:t>.</w:t>
            </w:r>
          </w:p>
          <w:p w:rsidR="009216E0" w:rsidRPr="00C11CC8" w:rsidRDefault="009216E0" w:rsidP="009216E0">
            <w:pPr>
              <w:spacing w:line="240" w:lineRule="auto"/>
            </w:pPr>
          </w:p>
        </w:tc>
        <w:tc>
          <w:tcPr>
            <w:tcW w:w="900" w:type="dxa"/>
            <w:tcBorders>
              <w:top w:val="nil"/>
              <w:left w:val="nil"/>
              <w:bottom w:val="nil"/>
              <w:right w:val="nil"/>
            </w:tcBorders>
            <w:tcMar>
              <w:left w:w="0" w:type="dxa"/>
              <w:right w:w="0" w:type="dxa"/>
            </w:tcMar>
          </w:tcPr>
          <w:p w:rsidR="00C11CC8" w:rsidRDefault="00C11CC8" w:rsidP="009216E0">
            <w:pPr>
              <w:spacing w:line="240" w:lineRule="auto"/>
              <w:rPr>
                <w:b/>
              </w:rPr>
            </w:pPr>
            <w:r>
              <w:rPr>
                <w:b/>
              </w:rPr>
              <w:t>)</w:t>
            </w:r>
          </w:p>
          <w:p w:rsidR="009216E0" w:rsidRPr="00C11CC8" w:rsidRDefault="009216E0" w:rsidP="009216E0">
            <w:pPr>
              <w:spacing w:line="240" w:lineRule="auto"/>
              <w:rPr>
                <w:b/>
              </w:rPr>
            </w:pPr>
            <w:r>
              <w:rPr>
                <w:b/>
              </w:rPr>
              <w:t>)</w:t>
            </w:r>
            <w:r>
              <w:rPr>
                <w:b/>
              </w:rPr>
              <w:br/>
              <w:t>)</w:t>
            </w:r>
            <w:r>
              <w:rPr>
                <w:b/>
              </w:rPr>
              <w:br/>
              <w:t>)</w:t>
            </w:r>
            <w:r>
              <w:rPr>
                <w:b/>
              </w:rPr>
              <w:br/>
              <w:t>)</w:t>
            </w:r>
            <w:r>
              <w:rPr>
                <w:b/>
              </w:rPr>
              <w:br/>
              <w:t>)</w:t>
            </w:r>
          </w:p>
        </w:tc>
        <w:tc>
          <w:tcPr>
            <w:tcW w:w="3888" w:type="dxa"/>
            <w:tcBorders>
              <w:top w:val="nil"/>
              <w:left w:val="nil"/>
              <w:bottom w:val="nil"/>
              <w:right w:val="nil"/>
            </w:tcBorders>
          </w:tcPr>
          <w:p w:rsidR="00C11CC8" w:rsidRPr="002A7829" w:rsidRDefault="00FA0C8D" w:rsidP="009216E0">
            <w:pPr>
              <w:spacing w:line="240" w:lineRule="auto"/>
            </w:pPr>
            <w:r>
              <w:t xml:space="preserve">Case </w:t>
            </w:r>
            <w:r w:rsidR="00C11CC8" w:rsidRPr="002A7829">
              <w:t>No.</w:t>
            </w:r>
            <w:r w:rsidR="009216E0" w:rsidRPr="002A7829">
              <w:t xml:space="preserve"> </w:t>
            </w:r>
            <w:bookmarkStart w:id="3" w:name="caseno"/>
            <w:bookmarkEnd w:id="3"/>
            <w:r w:rsidR="00790C7C" w:rsidRPr="002A7829">
              <w:t>0</w:t>
            </w:r>
            <w:r w:rsidR="007024B9" w:rsidRPr="002A7829">
              <w:t>7</w:t>
            </w:r>
            <w:r w:rsidR="002F3EC1" w:rsidRPr="002A7829">
              <w:t>-O</w:t>
            </w:r>
            <w:r w:rsidR="00790C7C" w:rsidRPr="002A7829">
              <w:t>-</w:t>
            </w:r>
            <w:r w:rsidR="007024B9" w:rsidRPr="002A7829">
              <w:t>11955</w:t>
            </w:r>
          </w:p>
          <w:p w:rsidR="009216E0" w:rsidRPr="002A7829" w:rsidRDefault="009216E0" w:rsidP="009216E0">
            <w:pPr>
              <w:spacing w:line="240" w:lineRule="auto"/>
            </w:pPr>
          </w:p>
          <w:p w:rsidR="007F537A" w:rsidRPr="009216E0" w:rsidRDefault="002160DE" w:rsidP="007024B9">
            <w:pPr>
              <w:spacing w:line="240" w:lineRule="auto"/>
              <w:rPr>
                <w:b/>
              </w:rPr>
            </w:pPr>
            <w:bookmarkStart w:id="4" w:name="title"/>
            <w:bookmarkEnd w:id="4"/>
            <w:r w:rsidRPr="002A7829">
              <w:t>OPINION</w:t>
            </w:r>
            <w:r>
              <w:rPr>
                <w:b/>
              </w:rPr>
              <w:t xml:space="preserve"> </w:t>
            </w:r>
          </w:p>
        </w:tc>
      </w:tr>
    </w:tbl>
    <w:p w:rsidR="00C11CC8" w:rsidRDefault="00C11CC8" w:rsidP="00C11CC8"/>
    <w:p w:rsidR="004317AD" w:rsidRDefault="00C770CE" w:rsidP="00C11CC8">
      <w:r>
        <w:tab/>
      </w:r>
      <w:r w:rsidR="007024B9">
        <w:t>Robert Eaton Dowd</w:t>
      </w:r>
      <w:r w:rsidR="00E0766C">
        <w:t xml:space="preserve"> </w:t>
      </w:r>
      <w:r>
        <w:t xml:space="preserve">requests </w:t>
      </w:r>
      <w:r w:rsidR="002160DE">
        <w:t xml:space="preserve">review </w:t>
      </w:r>
      <w:r>
        <w:t xml:space="preserve">of </w:t>
      </w:r>
      <w:r w:rsidR="002160DE">
        <w:t xml:space="preserve">a hearing judge’s recommendation that </w:t>
      </w:r>
      <w:r w:rsidR="00790C7C">
        <w:t>he</w:t>
      </w:r>
      <w:r w:rsidR="002160DE">
        <w:t xml:space="preserve"> be </w:t>
      </w:r>
      <w:r w:rsidR="007024B9">
        <w:t xml:space="preserve">suspended for 90 days </w:t>
      </w:r>
      <w:r w:rsidR="000D6050">
        <w:t>b</w:t>
      </w:r>
      <w:r w:rsidR="00E9299D">
        <w:t>ecause he</w:t>
      </w:r>
      <w:r w:rsidR="007024B9">
        <w:t xml:space="preserve"> </w:t>
      </w:r>
      <w:r w:rsidR="00AC6256">
        <w:t xml:space="preserve">sought to </w:t>
      </w:r>
      <w:r w:rsidR="007024B9">
        <w:t>misle</w:t>
      </w:r>
      <w:r w:rsidR="00AC6256">
        <w:t>a</w:t>
      </w:r>
      <w:r w:rsidR="007024B9">
        <w:t>d a judge</w:t>
      </w:r>
      <w:r w:rsidR="0076587F">
        <w:t xml:space="preserve"> by having his office assistant sign his name to pleadings</w:t>
      </w:r>
      <w:r w:rsidR="00C24AE1">
        <w:t xml:space="preserve">.  </w:t>
      </w:r>
      <w:r w:rsidR="007024B9">
        <w:t>Dowd</w:t>
      </w:r>
      <w:r w:rsidR="001A1B16">
        <w:t xml:space="preserve"> </w:t>
      </w:r>
      <w:r w:rsidR="0080231F">
        <w:t xml:space="preserve">asserts </w:t>
      </w:r>
      <w:r w:rsidR="007024B9">
        <w:t xml:space="preserve">he is not culpable of </w:t>
      </w:r>
      <w:r w:rsidR="00452FAC">
        <w:t>any</w:t>
      </w:r>
      <w:r w:rsidR="007024B9">
        <w:t xml:space="preserve"> misconduct and </w:t>
      </w:r>
      <w:r w:rsidR="00452FAC">
        <w:t>should not be disciplined</w:t>
      </w:r>
      <w:r w:rsidR="007024B9">
        <w:t xml:space="preserve">.  </w:t>
      </w:r>
      <w:r w:rsidR="007D7209">
        <w:t xml:space="preserve">The </w:t>
      </w:r>
      <w:r w:rsidR="00E3087A">
        <w:t xml:space="preserve">Office of the Chief Trial Counsel of the </w:t>
      </w:r>
      <w:r w:rsidR="007D7209">
        <w:t xml:space="preserve">State Bar </w:t>
      </w:r>
      <w:r w:rsidR="00E3087A">
        <w:t xml:space="preserve">(State Bar) </w:t>
      </w:r>
      <w:r w:rsidR="004A1075">
        <w:t>asks</w:t>
      </w:r>
      <w:r w:rsidR="00851C09">
        <w:t xml:space="preserve"> us to</w:t>
      </w:r>
      <w:r w:rsidR="007F2D18">
        <w:t xml:space="preserve"> a</w:t>
      </w:r>
      <w:r w:rsidR="00185E29">
        <w:t>ffirm</w:t>
      </w:r>
      <w:r w:rsidR="007D7209">
        <w:t xml:space="preserve"> the hearing judge’s recommendation.  </w:t>
      </w:r>
      <w:r w:rsidR="0080231F">
        <w:t xml:space="preserve">After our independent review of the record (Cal. Rules of Court, rule 9.12), we </w:t>
      </w:r>
      <w:r w:rsidR="002E3EE9">
        <w:t xml:space="preserve">adopt the hearing judge’s </w:t>
      </w:r>
      <w:r w:rsidR="00F6634A">
        <w:t xml:space="preserve">culpability </w:t>
      </w:r>
      <w:r w:rsidR="002D73DF">
        <w:t xml:space="preserve">finding and discipline </w:t>
      </w:r>
      <w:r w:rsidR="0027650C">
        <w:t>recommendation</w:t>
      </w:r>
      <w:r w:rsidR="007D7209">
        <w:t xml:space="preserve">.  </w:t>
      </w:r>
    </w:p>
    <w:p w:rsidR="004317AD" w:rsidRPr="008B00E8" w:rsidRDefault="00946B7E" w:rsidP="00946B7E">
      <w:pPr>
        <w:jc w:val="center"/>
        <w:rPr>
          <w:b/>
        </w:rPr>
      </w:pPr>
      <w:r w:rsidRPr="008B00E8">
        <w:rPr>
          <w:b/>
        </w:rPr>
        <w:t xml:space="preserve">I.  </w:t>
      </w:r>
      <w:r w:rsidR="00EA5627">
        <w:rPr>
          <w:b/>
        </w:rPr>
        <w:t>FINDINGS OF FACT AND CONCLUSIONS OF LAW</w:t>
      </w:r>
    </w:p>
    <w:p w:rsidR="00461F51" w:rsidRDefault="004317AD" w:rsidP="00AC0D77">
      <w:r>
        <w:tab/>
      </w:r>
      <w:r w:rsidR="00677009">
        <w:t>In January 2010, the State Bar filed a Notice of Disciplinary Charges (NDC) alleging that Dowd sought to mislead a judge or tribunal by making a false statement of fact</w:t>
      </w:r>
      <w:r w:rsidR="00A046AB">
        <w:t xml:space="preserve"> when he authorized </w:t>
      </w:r>
      <w:r w:rsidR="00677009">
        <w:t xml:space="preserve">his </w:t>
      </w:r>
      <w:r w:rsidR="000D6050">
        <w:t>office assistant</w:t>
      </w:r>
      <w:r w:rsidR="00677009">
        <w:t xml:space="preserve"> to simulate his signature on pleadings</w:t>
      </w:r>
      <w:r w:rsidR="00D24703">
        <w:t xml:space="preserve"> </w:t>
      </w:r>
      <w:r w:rsidR="00677009">
        <w:t xml:space="preserve">from </w:t>
      </w:r>
      <w:r w:rsidR="00A767FF">
        <w:t>July 2005</w:t>
      </w:r>
      <w:r w:rsidR="00677009">
        <w:t xml:space="preserve"> through February 2007.  Prior to trial, </w:t>
      </w:r>
      <w:r w:rsidR="0000428C">
        <w:t>Dowd stipulated</w:t>
      </w:r>
      <w:r w:rsidR="006D557C">
        <w:t xml:space="preserve"> to the State Bar’s exhibits a</w:t>
      </w:r>
      <w:r w:rsidR="00A046AB">
        <w:t>nd to</w:t>
      </w:r>
      <w:r w:rsidR="004A1075">
        <w:t xml:space="preserve"> </w:t>
      </w:r>
      <w:r w:rsidR="006D557C">
        <w:t>extensive facts.</w:t>
      </w:r>
      <w:r w:rsidR="00461F51">
        <w:t xml:space="preserve">  The stipulated fact</w:t>
      </w:r>
      <w:r w:rsidR="00DF094C">
        <w:t xml:space="preserve">s and Dowd’s </w:t>
      </w:r>
      <w:r w:rsidR="00461F51">
        <w:t>limited testimony</w:t>
      </w:r>
      <w:r w:rsidR="00091A65">
        <w:t xml:space="preserve"> provide clear and convincing evidence </w:t>
      </w:r>
      <w:r w:rsidR="0076587F">
        <w:t>to support the</w:t>
      </w:r>
      <w:r w:rsidR="00461F51">
        <w:t xml:space="preserve"> hearing judge’s </w:t>
      </w:r>
      <w:r w:rsidR="00DF094C">
        <w:t xml:space="preserve">factual </w:t>
      </w:r>
      <w:r w:rsidR="00461F51">
        <w:t>findings</w:t>
      </w:r>
      <w:r w:rsidR="004A1075">
        <w:t>,</w:t>
      </w:r>
      <w:r w:rsidR="00DF094C">
        <w:t xml:space="preserve"> which we</w:t>
      </w:r>
      <w:r w:rsidR="0076587F">
        <w:t xml:space="preserve"> adopt and</w:t>
      </w:r>
      <w:r w:rsidR="00DF094C">
        <w:t xml:space="preserve"> </w:t>
      </w:r>
      <w:r w:rsidR="00461F51">
        <w:t>summarize below.</w:t>
      </w:r>
    </w:p>
    <w:p w:rsidR="00A046AB" w:rsidRDefault="00A046AB" w:rsidP="00AC0D77"/>
    <w:p w:rsidR="00461F51" w:rsidRPr="00461F51" w:rsidRDefault="00461F51" w:rsidP="00AC0D77">
      <w:pPr>
        <w:rPr>
          <w:b/>
        </w:rPr>
      </w:pPr>
      <w:r w:rsidRPr="005C4871">
        <w:rPr>
          <w:b/>
        </w:rPr>
        <w:lastRenderedPageBreak/>
        <w:t>A.</w:t>
      </w:r>
      <w:r w:rsidRPr="005C4871">
        <w:rPr>
          <w:b/>
        </w:rPr>
        <w:tab/>
        <w:t>F</w:t>
      </w:r>
      <w:r w:rsidR="00EA5627" w:rsidRPr="005C4871">
        <w:rPr>
          <w:b/>
        </w:rPr>
        <w:t>ACTS</w:t>
      </w:r>
    </w:p>
    <w:p w:rsidR="00AC0D77" w:rsidRDefault="00461F51" w:rsidP="00AC0D77">
      <w:r>
        <w:tab/>
      </w:r>
      <w:r w:rsidR="0000428C">
        <w:t xml:space="preserve">Dowd is a solo practitioner who </w:t>
      </w:r>
      <w:r w:rsidR="00806B8C">
        <w:t>was admitted to practice law in 1980.</w:t>
      </w:r>
      <w:r w:rsidR="00A046AB">
        <w:t xml:space="preserve"> </w:t>
      </w:r>
      <w:r w:rsidR="00F82524">
        <w:t xml:space="preserve"> Ella McDaniel</w:t>
      </w:r>
      <w:r w:rsidR="00A046AB">
        <w:t xml:space="preserve"> is his office assistant and his only employee.  She</w:t>
      </w:r>
      <w:r w:rsidR="004438E8">
        <w:t xml:space="preserve"> started working for </w:t>
      </w:r>
      <w:r w:rsidR="000F4F20">
        <w:t xml:space="preserve">Dowd </w:t>
      </w:r>
      <w:r w:rsidR="004438E8">
        <w:t xml:space="preserve">in 1997.  </w:t>
      </w:r>
      <w:r w:rsidR="00C6518A">
        <w:t>By June 2000</w:t>
      </w:r>
      <w:r w:rsidR="005C4871">
        <w:t>,</w:t>
      </w:r>
      <w:r w:rsidR="00C6518A">
        <w:t xml:space="preserve"> Dowd felt he had worked</w:t>
      </w:r>
      <w:r w:rsidR="00796C3C">
        <w:t xml:space="preserve"> with McDaniel long enough </w:t>
      </w:r>
      <w:r w:rsidR="00C6518A">
        <w:t>to trust her</w:t>
      </w:r>
      <w:r w:rsidR="008E67B1">
        <w:t>,</w:t>
      </w:r>
      <w:r w:rsidR="00C6518A">
        <w:t xml:space="preserve"> and</w:t>
      </w:r>
      <w:r w:rsidR="008E67B1">
        <w:t xml:space="preserve"> he</w:t>
      </w:r>
      <w:r w:rsidR="00C6518A">
        <w:t xml:space="preserve"> </w:t>
      </w:r>
      <w:r w:rsidR="009C5C84">
        <w:t>permitted</w:t>
      </w:r>
      <w:r w:rsidR="004438E8">
        <w:t xml:space="preserve"> </w:t>
      </w:r>
      <w:r w:rsidR="009C5C84">
        <w:t xml:space="preserve">her </w:t>
      </w:r>
      <w:r w:rsidR="004438E8">
        <w:t xml:space="preserve">to sign his name as though it were his own signature to any document </w:t>
      </w:r>
      <w:r w:rsidR="004A1075">
        <w:t>generated by</w:t>
      </w:r>
      <w:r w:rsidR="004438E8">
        <w:t xml:space="preserve"> his office.  </w:t>
      </w:r>
      <w:r w:rsidR="00AC0D77">
        <w:t xml:space="preserve">After </w:t>
      </w:r>
      <w:r w:rsidR="009C5C84">
        <w:t>he</w:t>
      </w:r>
      <w:r w:rsidR="00AC0D77">
        <w:t xml:space="preserve"> finalized a document, he considered it more expedient to allow McDaniel to sign his name to it.</w:t>
      </w:r>
      <w:r w:rsidR="00297D3E">
        <w:t xml:space="preserve">  According to Dowd, “</w:t>
      </w:r>
      <w:r w:rsidR="000313ED">
        <w:t>[i]</w:t>
      </w:r>
      <w:r w:rsidR="00297D3E">
        <w:t>t’s just easier for me to do that.  I don’t like details.  I assign those details to her.”</w:t>
      </w:r>
    </w:p>
    <w:p w:rsidR="000313ED" w:rsidRDefault="00AC0D77" w:rsidP="00C11CC8">
      <w:r>
        <w:tab/>
      </w:r>
      <w:r w:rsidR="008E68EF">
        <w:t xml:space="preserve">In </w:t>
      </w:r>
      <w:r w:rsidR="0021221E">
        <w:t>May</w:t>
      </w:r>
      <w:r w:rsidR="008E68EF">
        <w:t xml:space="preserve"> 2005</w:t>
      </w:r>
      <w:r w:rsidR="005C4871">
        <w:t>,</w:t>
      </w:r>
      <w:r w:rsidR="008E68EF">
        <w:t xml:space="preserve"> McDaniel </w:t>
      </w:r>
      <w:r w:rsidR="000F4F20">
        <w:t>hired</w:t>
      </w:r>
      <w:r w:rsidR="001E0E05">
        <w:t xml:space="preserve"> Dowd on a pro bono basis to assist her as executrix of her son’s estate </w:t>
      </w:r>
      <w:r w:rsidR="000D6050">
        <w:t xml:space="preserve">and </w:t>
      </w:r>
      <w:r w:rsidR="001E0E05">
        <w:t>to enjoin the sale of two properties by her son’s former wife.</w:t>
      </w:r>
      <w:r w:rsidR="00C021FE">
        <w:rPr>
          <w:rStyle w:val="FootnoteReference"/>
        </w:rPr>
        <w:footnoteReference w:id="2"/>
      </w:r>
      <w:r w:rsidR="008E68EF">
        <w:t xml:space="preserve">  </w:t>
      </w:r>
      <w:r w:rsidR="00C735A4">
        <w:t xml:space="preserve">In July 2005, Dowd filed a complaint on </w:t>
      </w:r>
      <w:r w:rsidR="005C354D">
        <w:t xml:space="preserve">McDaniel’s </w:t>
      </w:r>
      <w:r w:rsidR="00C735A4">
        <w:t xml:space="preserve">behalf, seeking to set aside a joint tenancy deed on property held by McDaniel’s son and </w:t>
      </w:r>
      <w:r w:rsidR="005C354D">
        <w:t xml:space="preserve">his </w:t>
      </w:r>
      <w:r w:rsidR="00C735A4">
        <w:t xml:space="preserve">wife, seeking to quiet title in the property, and alleging fraud against the wife.  </w:t>
      </w:r>
      <w:r w:rsidR="000F4F20">
        <w:t>A</w:t>
      </w:r>
      <w:r w:rsidR="000313ED" w:rsidRPr="001E31DB">
        <w:t>ll</w:t>
      </w:r>
      <w:r w:rsidR="000313ED">
        <w:t xml:space="preserve"> pleadings, motions, declarations, and correspondence filed with the court and sent to opposing counsel</w:t>
      </w:r>
      <w:r w:rsidR="00806B8C">
        <w:t xml:space="preserve"> in the case</w:t>
      </w:r>
      <w:r w:rsidR="000313ED">
        <w:t xml:space="preserve"> </w:t>
      </w:r>
      <w:r w:rsidR="005C354D">
        <w:t>bore</w:t>
      </w:r>
      <w:r w:rsidR="00723BA9">
        <w:t xml:space="preserve"> Dowd’</w:t>
      </w:r>
      <w:r w:rsidR="006A6549">
        <w:t>s signature</w:t>
      </w:r>
      <w:r w:rsidR="000F4F20">
        <w:t>,</w:t>
      </w:r>
      <w:r w:rsidR="00723BA9">
        <w:t xml:space="preserve"> but w</w:t>
      </w:r>
      <w:r w:rsidR="000313ED">
        <w:t xml:space="preserve">ere </w:t>
      </w:r>
      <w:r w:rsidR="000D6050">
        <w:t xml:space="preserve">actually </w:t>
      </w:r>
      <w:r w:rsidR="000313ED">
        <w:t xml:space="preserve">signed by McDaniel.  </w:t>
      </w:r>
      <w:r w:rsidR="001863FF">
        <w:t xml:space="preserve">None of the documents indicated that </w:t>
      </w:r>
      <w:r w:rsidR="005C354D">
        <w:t>his</w:t>
      </w:r>
      <w:r w:rsidR="001863FF">
        <w:t xml:space="preserve"> signature was simulated by another person.  Dowd intended for the court to rely upon McDaniel</w:t>
      </w:r>
      <w:r w:rsidR="00BE610A">
        <w:t>’s</w:t>
      </w:r>
      <w:r w:rsidR="001863FF">
        <w:t xml:space="preserve"> </w:t>
      </w:r>
      <w:r w:rsidR="009C5C84">
        <w:t xml:space="preserve">signature </w:t>
      </w:r>
      <w:r w:rsidR="001863FF">
        <w:t xml:space="preserve">simulations on the documents as if </w:t>
      </w:r>
      <w:r w:rsidR="00342AF9">
        <w:t>they</w:t>
      </w:r>
      <w:r w:rsidR="001863FF">
        <w:t xml:space="preserve"> had been </w:t>
      </w:r>
      <w:r w:rsidR="005C354D">
        <w:t xml:space="preserve">done by </w:t>
      </w:r>
      <w:r w:rsidR="001863FF">
        <w:t xml:space="preserve">his own hand.  </w:t>
      </w:r>
      <w:r w:rsidR="005C354D">
        <w:t xml:space="preserve">McDaniel replicated Dowd’s signature on </w:t>
      </w:r>
      <w:r w:rsidR="000313ED">
        <w:t>at least 41 separate documents</w:t>
      </w:r>
      <w:r w:rsidR="005C354D">
        <w:t>,</w:t>
      </w:r>
      <w:r w:rsidR="000D2E66">
        <w:t xml:space="preserve"> </w:t>
      </w:r>
      <w:r w:rsidR="000313ED">
        <w:t>including:</w:t>
      </w:r>
    </w:p>
    <w:p w:rsidR="001E31DB" w:rsidRDefault="006A6549" w:rsidP="001E31DB">
      <w:pPr>
        <w:pStyle w:val="ListParagraph"/>
        <w:numPr>
          <w:ilvl w:val="0"/>
          <w:numId w:val="7"/>
        </w:numPr>
      </w:pPr>
      <w:r>
        <w:t>The complaint and two amended complaints;</w:t>
      </w:r>
    </w:p>
    <w:p w:rsidR="001E31DB" w:rsidRDefault="001E31DB" w:rsidP="001E31DB">
      <w:pPr>
        <w:pStyle w:val="ListParagraph"/>
        <w:ind w:left="765"/>
      </w:pPr>
    </w:p>
    <w:p w:rsidR="001E31DB" w:rsidRDefault="001E31DB" w:rsidP="001E31DB">
      <w:pPr>
        <w:pStyle w:val="ListParagraph"/>
        <w:numPr>
          <w:ilvl w:val="0"/>
          <w:numId w:val="7"/>
        </w:numPr>
      </w:pPr>
      <w:r>
        <w:t>Several recorded notices of pendency of action;</w:t>
      </w:r>
    </w:p>
    <w:p w:rsidR="00F34FAB" w:rsidRDefault="00F34FAB" w:rsidP="00F34FAB">
      <w:pPr>
        <w:pStyle w:val="ListParagraph"/>
        <w:ind w:left="765"/>
      </w:pPr>
    </w:p>
    <w:p w:rsidR="006A6549" w:rsidRDefault="006A6549" w:rsidP="000313ED">
      <w:pPr>
        <w:pStyle w:val="ListParagraph"/>
        <w:numPr>
          <w:ilvl w:val="0"/>
          <w:numId w:val="7"/>
        </w:numPr>
      </w:pPr>
      <w:r>
        <w:t>Multiple motions and their corresponding, signed memoranda;</w:t>
      </w:r>
    </w:p>
    <w:p w:rsidR="000F4F20" w:rsidRDefault="000F4F20" w:rsidP="00F34FAB">
      <w:pPr>
        <w:pStyle w:val="ListParagraph"/>
        <w:ind w:left="765"/>
      </w:pPr>
    </w:p>
    <w:p w:rsidR="00297D3E" w:rsidRDefault="00C879CA" w:rsidP="00C879CA">
      <w:pPr>
        <w:pStyle w:val="ListParagraph"/>
        <w:numPr>
          <w:ilvl w:val="0"/>
          <w:numId w:val="7"/>
        </w:numPr>
      </w:pPr>
      <w:r>
        <w:t xml:space="preserve">At least </w:t>
      </w:r>
      <w:r w:rsidR="0076587F">
        <w:t>nine</w:t>
      </w:r>
      <w:r>
        <w:t xml:space="preserve"> declarations in support of pleadings </w:t>
      </w:r>
      <w:r w:rsidR="008E0AC8">
        <w:t>signed under penalty of perjury</w:t>
      </w:r>
      <w:r w:rsidR="001E0E05">
        <w:t>;</w:t>
      </w:r>
      <w:r w:rsidR="000D6050">
        <w:t xml:space="preserve"> and</w:t>
      </w:r>
    </w:p>
    <w:p w:rsidR="000F4F20" w:rsidRDefault="000F4F20" w:rsidP="000F4F20">
      <w:pPr>
        <w:pStyle w:val="ListParagraph"/>
        <w:ind w:left="765"/>
      </w:pPr>
    </w:p>
    <w:p w:rsidR="00186284" w:rsidRDefault="0080588F" w:rsidP="00186284">
      <w:pPr>
        <w:pStyle w:val="ListParagraph"/>
        <w:numPr>
          <w:ilvl w:val="0"/>
          <w:numId w:val="7"/>
        </w:numPr>
      </w:pPr>
      <w:r>
        <w:t>At least 10 proofs of service signed under penalty</w:t>
      </w:r>
      <w:r w:rsidR="001E0E05">
        <w:t xml:space="preserve"> of perjury, declaring the signatory was “not a party to the </w:t>
      </w:r>
      <w:r w:rsidR="00186284">
        <w:t>within cause of action</w:t>
      </w:r>
      <w:r w:rsidR="000D6050">
        <w:t>.</w:t>
      </w:r>
      <w:r w:rsidR="001E0E05">
        <w:t>”</w:t>
      </w:r>
    </w:p>
    <w:p w:rsidR="00186284" w:rsidRDefault="00186284" w:rsidP="00186284">
      <w:pPr>
        <w:pStyle w:val="ListParagraph"/>
        <w:ind w:left="765"/>
      </w:pPr>
    </w:p>
    <w:p w:rsidR="008D1F60" w:rsidRDefault="00297D3E" w:rsidP="00C11CC8">
      <w:r>
        <w:tab/>
      </w:r>
      <w:r w:rsidR="008E67B1">
        <w:t>B</w:t>
      </w:r>
      <w:r w:rsidR="001863FF">
        <w:t xml:space="preserve">y December 2006, </w:t>
      </w:r>
      <w:r w:rsidR="00C07EA8">
        <w:t>opposing cou</w:t>
      </w:r>
      <w:r w:rsidR="00E231CF">
        <w:t xml:space="preserve">nsel </w:t>
      </w:r>
      <w:r>
        <w:t xml:space="preserve">in McDaniel’s case </w:t>
      </w:r>
      <w:r w:rsidR="00412CA6">
        <w:t>discovered</w:t>
      </w:r>
      <w:r w:rsidR="00342AF9">
        <w:t xml:space="preserve"> and objected to</w:t>
      </w:r>
      <w:r w:rsidR="00E231CF">
        <w:t xml:space="preserve"> Dowd’s practice</w:t>
      </w:r>
      <w:r w:rsidR="0080588F">
        <w:t xml:space="preserve">.  Despite being </w:t>
      </w:r>
      <w:r w:rsidR="009C5C84">
        <w:t>notified</w:t>
      </w:r>
      <w:r w:rsidR="0080588F">
        <w:t xml:space="preserve"> of </w:t>
      </w:r>
      <w:r w:rsidR="000F4F20">
        <w:t>a</w:t>
      </w:r>
      <w:r w:rsidR="0080588F">
        <w:t xml:space="preserve"> potential problem, Dowd </w:t>
      </w:r>
      <w:r w:rsidR="008D1F60">
        <w:t>allow</w:t>
      </w:r>
      <w:r w:rsidR="009C5C84">
        <w:t>ed</w:t>
      </w:r>
      <w:r w:rsidR="008D1F60">
        <w:t xml:space="preserve"> McDaniel to </w:t>
      </w:r>
      <w:r w:rsidR="009C5C84">
        <w:t>continue the practice</w:t>
      </w:r>
      <w:r w:rsidR="0080588F">
        <w:t xml:space="preserve">.  </w:t>
      </w:r>
      <w:r w:rsidR="00B05AFB">
        <w:t>Consequently, o</w:t>
      </w:r>
      <w:r w:rsidR="008D1F60">
        <w:t>n February 27</w:t>
      </w:r>
      <w:r w:rsidR="001863FF">
        <w:t xml:space="preserve">, 2007, opposing counsel </w:t>
      </w:r>
      <w:r w:rsidR="00493631">
        <w:t>argued</w:t>
      </w:r>
      <w:r w:rsidR="0099521D">
        <w:t xml:space="preserve"> that a</w:t>
      </w:r>
      <w:r w:rsidR="00C07EA8">
        <w:t xml:space="preserve"> </w:t>
      </w:r>
      <w:r w:rsidR="008D1F60">
        <w:t xml:space="preserve">February 23, 2007 </w:t>
      </w:r>
      <w:r w:rsidR="00E231CF">
        <w:t xml:space="preserve">declaration </w:t>
      </w:r>
      <w:r w:rsidR="001863FF">
        <w:t xml:space="preserve">purportedly signed </w:t>
      </w:r>
      <w:r w:rsidR="00493631">
        <w:t xml:space="preserve">by </w:t>
      </w:r>
      <w:r w:rsidR="0099521D">
        <w:t>Dowd</w:t>
      </w:r>
      <w:r w:rsidR="00E231CF">
        <w:t xml:space="preserve"> was incompetent because </w:t>
      </w:r>
      <w:r w:rsidR="00720B3F">
        <w:t>McDaniel</w:t>
      </w:r>
      <w:r w:rsidR="001863FF">
        <w:t xml:space="preserve"> signed </w:t>
      </w:r>
      <w:r w:rsidR="00720B3F">
        <w:t>it</w:t>
      </w:r>
      <w:r w:rsidR="009C5C84">
        <w:t xml:space="preserve">.  The </w:t>
      </w:r>
      <w:r w:rsidR="000128B0">
        <w:t>att</w:t>
      </w:r>
      <w:r w:rsidR="009C5C84">
        <w:t>orney</w:t>
      </w:r>
      <w:r w:rsidR="000D6050">
        <w:t xml:space="preserve"> </w:t>
      </w:r>
      <w:r w:rsidR="008D1F60">
        <w:t>asked the court to address the issue</w:t>
      </w:r>
      <w:r w:rsidR="00B05AFB">
        <w:t xml:space="preserve">. </w:t>
      </w:r>
    </w:p>
    <w:p w:rsidR="00491368" w:rsidRDefault="008D1F60" w:rsidP="00C11CC8">
      <w:r>
        <w:tab/>
        <w:t xml:space="preserve">At the next hearing, </w:t>
      </w:r>
      <w:r w:rsidR="00937D95">
        <w:t xml:space="preserve">Dowd </w:t>
      </w:r>
      <w:r w:rsidR="001863FF">
        <w:t>admitted McDaniel simulated his signature</w:t>
      </w:r>
      <w:r w:rsidR="00493631">
        <w:t xml:space="preserve"> on the documents</w:t>
      </w:r>
      <w:r w:rsidR="001863FF">
        <w:t xml:space="preserve">.  </w:t>
      </w:r>
      <w:r w:rsidR="006751A8">
        <w:t xml:space="preserve">The court admonished Dowd to discontinue the practice.  </w:t>
      </w:r>
      <w:r w:rsidR="00FC6C2A">
        <w:t xml:space="preserve">At a subsequent hearing, the court </w:t>
      </w:r>
      <w:r w:rsidR="000128B0">
        <w:t xml:space="preserve">reiterated </w:t>
      </w:r>
      <w:r w:rsidR="00FC6C2A">
        <w:t xml:space="preserve">that “if there is any pleading signed they better be signed by an attorney.”  </w:t>
      </w:r>
      <w:r w:rsidR="00720B3F">
        <w:t>Due to the improper signatures, t</w:t>
      </w:r>
      <w:r>
        <w:t xml:space="preserve">he court </w:t>
      </w:r>
      <w:r w:rsidR="001E31DB">
        <w:t xml:space="preserve">expunged all recorded notices of pendency of action as void and invalid, and </w:t>
      </w:r>
      <w:r>
        <w:t xml:space="preserve">struck the </w:t>
      </w:r>
      <w:r w:rsidR="004226DD">
        <w:t xml:space="preserve">challenged </w:t>
      </w:r>
      <w:r>
        <w:t xml:space="preserve">February 23, 2007 declaration.  </w:t>
      </w:r>
      <w:r w:rsidR="00DD3C4B">
        <w:t xml:space="preserve">Dowd ultimately settled McDaniel’s matter.  </w:t>
      </w:r>
    </w:p>
    <w:p w:rsidR="00213091" w:rsidRPr="005C4871" w:rsidRDefault="005C4871" w:rsidP="00C11CC8">
      <w:pPr>
        <w:rPr>
          <w:b/>
        </w:rPr>
      </w:pPr>
      <w:r>
        <w:rPr>
          <w:b/>
        </w:rPr>
        <w:t>B.</w:t>
      </w:r>
      <w:r>
        <w:rPr>
          <w:b/>
        </w:rPr>
        <w:tab/>
      </w:r>
      <w:r w:rsidR="00EA5627" w:rsidRPr="005C4871">
        <w:rPr>
          <w:b/>
        </w:rPr>
        <w:t>C</w:t>
      </w:r>
      <w:r w:rsidR="00EA5627">
        <w:rPr>
          <w:b/>
        </w:rPr>
        <w:t>ONCLUSIONS OF LAW</w:t>
      </w:r>
      <w:r w:rsidR="00213091" w:rsidRPr="005C4871">
        <w:rPr>
          <w:b/>
        </w:rPr>
        <w:tab/>
      </w:r>
    </w:p>
    <w:p w:rsidR="00E2004F" w:rsidRDefault="00213091" w:rsidP="00C11CC8">
      <w:r>
        <w:tab/>
      </w:r>
      <w:r w:rsidR="002A7829">
        <w:t xml:space="preserve">Dowd was charged with one count of violating </w:t>
      </w:r>
      <w:r w:rsidR="00720B3F">
        <w:t xml:space="preserve">Business and Professions Code </w:t>
      </w:r>
      <w:r w:rsidR="002A7829">
        <w:t>section 6068, subdivision (d),</w:t>
      </w:r>
      <w:r w:rsidR="00A046AB">
        <w:rPr>
          <w:rStyle w:val="FootnoteReference"/>
        </w:rPr>
        <w:footnoteReference w:id="3"/>
      </w:r>
      <w:r w:rsidR="002A7829">
        <w:t xml:space="preserve"> which </w:t>
      </w:r>
      <w:r w:rsidR="00A94C9F">
        <w:t xml:space="preserve">prohibits attorneys from seeking “to mislead the judge or any judicial officer by an artifice or false statement of fact or law.”  </w:t>
      </w:r>
      <w:r w:rsidR="00931DB5">
        <w:t xml:space="preserve">The State Bar charged that </w:t>
      </w:r>
      <w:r w:rsidR="009C5C84">
        <w:t xml:space="preserve">Dowd made false statements of fact and misled a judge </w:t>
      </w:r>
      <w:r w:rsidR="00931DB5">
        <w:t xml:space="preserve">by instructing McDaniel to simulate his signature </w:t>
      </w:r>
      <w:r w:rsidR="00666AF6">
        <w:t xml:space="preserve">on </w:t>
      </w:r>
      <w:r w:rsidR="000128B0">
        <w:t>documents</w:t>
      </w:r>
      <w:r w:rsidR="00666AF6">
        <w:t xml:space="preserve"> submitted</w:t>
      </w:r>
      <w:r w:rsidR="00931DB5">
        <w:t xml:space="preserve"> to the court </w:t>
      </w:r>
      <w:r w:rsidR="00666AF6">
        <w:t xml:space="preserve">as though </w:t>
      </w:r>
      <w:r w:rsidR="00720B3F">
        <w:t xml:space="preserve">he </w:t>
      </w:r>
      <w:r w:rsidR="00666AF6">
        <w:t xml:space="preserve">signed </w:t>
      </w:r>
      <w:r w:rsidR="00720B3F">
        <w:t>them</w:t>
      </w:r>
      <w:r w:rsidR="00666AF6">
        <w:t>.</w:t>
      </w:r>
      <w:r w:rsidR="00931DB5">
        <w:t xml:space="preserve">  </w:t>
      </w:r>
      <w:r w:rsidR="00F2517C">
        <w:t>We agree with the hearing judge</w:t>
      </w:r>
      <w:r w:rsidR="001E31DB">
        <w:t xml:space="preserve"> </w:t>
      </w:r>
      <w:r w:rsidR="00F2517C">
        <w:t xml:space="preserve">that Dowd violated this section with respect to the </w:t>
      </w:r>
      <w:r w:rsidR="001E31DB">
        <w:t xml:space="preserve">sworn </w:t>
      </w:r>
      <w:r w:rsidR="00F2517C">
        <w:t xml:space="preserve">declarations and proofs of service.  However, </w:t>
      </w:r>
      <w:r w:rsidR="00DE18A1">
        <w:t>unlike the hearing judge</w:t>
      </w:r>
      <w:r w:rsidR="00A31CC7">
        <w:t>,</w:t>
      </w:r>
      <w:r w:rsidR="00DE18A1">
        <w:t xml:space="preserve"> we also</w:t>
      </w:r>
      <w:r w:rsidR="00F2517C">
        <w:t xml:space="preserve"> consider pleadings not signed under oath as evidence that Dowd violated section 6068, subdivision (d).  </w:t>
      </w:r>
    </w:p>
    <w:p w:rsidR="00F2517C" w:rsidRDefault="00E2004F" w:rsidP="00C11CC8">
      <w:r>
        <w:tab/>
      </w:r>
      <w:r w:rsidR="00F2517C">
        <w:t xml:space="preserve">The hearing judge relied on the State Bar’s </w:t>
      </w:r>
      <w:r w:rsidR="00182511">
        <w:t>statement</w:t>
      </w:r>
      <w:r w:rsidR="00F2517C">
        <w:t xml:space="preserve"> at trial that no authority barred Dowd</w:t>
      </w:r>
      <w:r w:rsidR="000128B0">
        <w:t xml:space="preserve"> from</w:t>
      </w:r>
      <w:r w:rsidR="00F2517C">
        <w:t xml:space="preserve"> allowing his </w:t>
      </w:r>
      <w:r w:rsidR="00CC7091">
        <w:t>office assistant</w:t>
      </w:r>
      <w:r w:rsidR="00F2517C">
        <w:t xml:space="preserve"> to simulate his signature on pleadings not signed under oath.  The Code of Civil Procedure clearly states otherwise.  All pleadings must be signed by an attorney or by a party if unre</w:t>
      </w:r>
      <w:r>
        <w:t>presented.  (Code Civ. Proc., §</w:t>
      </w:r>
      <w:r w:rsidR="00F2517C">
        <w:t xml:space="preserve"> 128.7, subd. (a) [every pleading shall be signed by attorney in his na</w:t>
      </w:r>
      <w:r>
        <w:t>me or party</w:t>
      </w:r>
      <w:r w:rsidR="00B11B01">
        <w:t xml:space="preserve"> if unrepresented], and </w:t>
      </w:r>
      <w:r>
        <w:t>§</w:t>
      </w:r>
      <w:r w:rsidR="00F2517C">
        <w:t xml:space="preserve"> 446, subd. (a) [every p</w:t>
      </w:r>
      <w:r w:rsidR="00B11B01">
        <w:t xml:space="preserve">leading shall be subscribed by </w:t>
      </w:r>
      <w:r w:rsidR="00F2517C">
        <w:t>party or his attorney].)  The word “subscribe” is defined as signing with one’s own hand.  (</w:t>
      </w:r>
      <w:r w:rsidR="00F2517C" w:rsidRPr="003B03F8">
        <w:rPr>
          <w:i/>
        </w:rPr>
        <w:t>Board of Trustees v. Superior Court</w:t>
      </w:r>
      <w:r w:rsidR="00F2517C">
        <w:t xml:space="preserve"> (2007) 149 Cal.App.4</w:t>
      </w:r>
      <w:r w:rsidR="00F2517C" w:rsidRPr="003B03F8">
        <w:rPr>
          <w:vertAlign w:val="superscript"/>
        </w:rPr>
        <w:t>th</w:t>
      </w:r>
      <w:r w:rsidR="00F2517C">
        <w:t xml:space="preserve"> 1154, 1165.)  Thus, when a pleading </w:t>
      </w:r>
      <w:r w:rsidR="000128B0">
        <w:t>bears</w:t>
      </w:r>
      <w:r w:rsidR="00F2517C">
        <w:t xml:space="preserve"> </w:t>
      </w:r>
      <w:r w:rsidR="00BA4A18">
        <w:t xml:space="preserve">the signature of a </w:t>
      </w:r>
      <w:r w:rsidR="000128B0">
        <w:t>plaintiff’s attorney</w:t>
      </w:r>
      <w:r w:rsidR="00F2517C">
        <w:t xml:space="preserve">, “the plain language of section 446 requires [the pleading] </w:t>
      </w:r>
      <w:r w:rsidR="00720B3F">
        <w:t xml:space="preserve">to </w:t>
      </w:r>
      <w:r w:rsidR="00F2517C">
        <w:t>be signed . . . by the hand of the plaintiff’s attorney.[fn.]”  (</w:t>
      </w:r>
      <w:r w:rsidR="00F2517C" w:rsidRPr="00B43063">
        <w:rPr>
          <w:i/>
        </w:rPr>
        <w:t>Ibid</w:t>
      </w:r>
      <w:r w:rsidR="00F2517C">
        <w:t xml:space="preserve">.)  Pleadings that do not adhere to this requirement “shall be stricken . . . .”  (Code Civ. Proc., § 128.7, subd. (a); see </w:t>
      </w:r>
      <w:r w:rsidR="00F2517C" w:rsidRPr="003B03F8">
        <w:rPr>
          <w:i/>
        </w:rPr>
        <w:t>Boa</w:t>
      </w:r>
      <w:r w:rsidR="00F2517C">
        <w:rPr>
          <w:i/>
        </w:rPr>
        <w:t xml:space="preserve">rd of Trustees v. Superior Court, supra, </w:t>
      </w:r>
      <w:r w:rsidR="00F2517C">
        <w:t>149 Cal.App.4</w:t>
      </w:r>
      <w:r w:rsidR="00F2517C" w:rsidRPr="003B03F8">
        <w:rPr>
          <w:vertAlign w:val="superscript"/>
        </w:rPr>
        <w:t>th</w:t>
      </w:r>
      <w:r w:rsidR="00F2517C">
        <w:t xml:space="preserve"> 1154 [where plaintiff’s father subscribed plaintiff’s name to complaint at plaintiff’s direction, complaint was defective for failure to comply with subscription requirement of Code Civ. Proc., § 446</w:t>
      </w:r>
      <w:r w:rsidR="001C2199">
        <w:t xml:space="preserve"> and subject to being stricken if not promptly corrected</w:t>
      </w:r>
      <w:r w:rsidR="00F2517C">
        <w:t xml:space="preserve">].)  For this reason, in addition to his declarations and proofs of service, we also consider Dowd’s unsworn pleadings </w:t>
      </w:r>
      <w:r w:rsidR="00700F82">
        <w:t>as evidence that</w:t>
      </w:r>
      <w:r w:rsidR="00CC7091">
        <w:t xml:space="preserve"> he violated section 6068, </w:t>
      </w:r>
      <w:r w:rsidR="00F2517C">
        <w:t>subdivision (d).</w:t>
      </w:r>
    </w:p>
    <w:p w:rsidR="00806B8C" w:rsidRDefault="002A7829" w:rsidP="00C11CC8">
      <w:r>
        <w:tab/>
      </w:r>
      <w:r w:rsidR="0067364F">
        <w:t>Whether Dow</w:t>
      </w:r>
      <w:r w:rsidR="00AD43D2">
        <w:t>d violated section 6068, subdivision (d), “depends first upon whether h</w:t>
      </w:r>
      <w:r w:rsidR="00A24A2D">
        <w:t xml:space="preserve">is representation to the . . . </w:t>
      </w:r>
      <w:r w:rsidR="00AD43D2">
        <w:t>court was in fact untrue, and secondly, whether he knew that his statement was false and he intended thereby to deceive the court.”  (</w:t>
      </w:r>
      <w:r w:rsidR="00AD43D2" w:rsidRPr="003F7827">
        <w:rPr>
          <w:i/>
        </w:rPr>
        <w:t>Vickers v. State Bar</w:t>
      </w:r>
      <w:r w:rsidR="00AD43D2">
        <w:t xml:space="preserve"> (1948) 32 Cal.2d 247, 252-253.)  </w:t>
      </w:r>
      <w:r w:rsidR="00806B8C">
        <w:t>An attorney’s honest but unreasonable belief rebuts a specific finding that he intended to deceive the court.  (</w:t>
      </w:r>
      <w:r w:rsidR="00806B8C" w:rsidRPr="002C3EA3">
        <w:rPr>
          <w:i/>
        </w:rPr>
        <w:t>In the Matter of Chesnut</w:t>
      </w:r>
      <w:r w:rsidR="00806B8C">
        <w:t xml:space="preserve"> (Review Dept. 2000) 4 Cal. State Bar Ct. Rptr. 166, 173 [attorney’s good faith in making false statement</w:t>
      </w:r>
      <w:r w:rsidR="009A3AF7">
        <w:t xml:space="preserve"> is defense to § 6068, subd. (d), violation]</w:t>
      </w:r>
      <w:r w:rsidR="00806B8C">
        <w:t xml:space="preserve">.)  </w:t>
      </w:r>
    </w:p>
    <w:p w:rsidR="00646029" w:rsidRDefault="00806B8C" w:rsidP="00C11CC8">
      <w:r>
        <w:tab/>
      </w:r>
      <w:r w:rsidR="00720B3F">
        <w:t xml:space="preserve">The first element </w:t>
      </w:r>
      <w:r>
        <w:t xml:space="preserve">of the violation </w:t>
      </w:r>
      <w:r w:rsidR="00720B3F">
        <w:t xml:space="preserve">is met since </w:t>
      </w:r>
      <w:r w:rsidR="00C131A5">
        <w:t>Dowd filed pleadings</w:t>
      </w:r>
      <w:r w:rsidR="00E2004F">
        <w:t xml:space="preserve"> </w:t>
      </w:r>
      <w:r w:rsidR="00E97BF4">
        <w:t>that</w:t>
      </w:r>
      <w:r w:rsidR="00E2004F">
        <w:t xml:space="preserve"> </w:t>
      </w:r>
      <w:r w:rsidR="000A615D">
        <w:t>represented he had signed them</w:t>
      </w:r>
      <w:r w:rsidR="00720B3F">
        <w:t>, which “was in fact untrue</w:t>
      </w:r>
      <w:r w:rsidR="000A615D">
        <w:t>.</w:t>
      </w:r>
      <w:r w:rsidR="00720B3F">
        <w:t>”  (</w:t>
      </w:r>
      <w:r>
        <w:rPr>
          <w:i/>
        </w:rPr>
        <w:t>Vickers v. State Bar, supra,</w:t>
      </w:r>
      <w:r w:rsidR="00460345">
        <w:t xml:space="preserve"> 32 Cal.2d at p</w:t>
      </w:r>
      <w:r>
        <w:t xml:space="preserve">. </w:t>
      </w:r>
      <w:r w:rsidR="00460345">
        <w:t>25</w:t>
      </w:r>
      <w:r>
        <w:t>3.</w:t>
      </w:r>
      <w:r w:rsidR="00720B3F">
        <w:t>)</w:t>
      </w:r>
      <w:r w:rsidR="000A615D">
        <w:t xml:space="preserve">  </w:t>
      </w:r>
      <w:r w:rsidR="00720B3F">
        <w:t>As to the intent element, a</w:t>
      </w:r>
      <w:r w:rsidR="000A615D">
        <w:t xml:space="preserve">lthough Dowd </w:t>
      </w:r>
      <w:r w:rsidR="009A3AF7">
        <w:t>admitted</w:t>
      </w:r>
      <w:r w:rsidR="000A615D">
        <w:t xml:space="preserve"> </w:t>
      </w:r>
      <w:r w:rsidR="00E97BF4">
        <w:t>he had</w:t>
      </w:r>
      <w:r w:rsidR="001E31DB">
        <w:t xml:space="preserve"> </w:t>
      </w:r>
      <w:r w:rsidR="00E97BF4">
        <w:t>n</w:t>
      </w:r>
      <w:r w:rsidR="001E31DB">
        <w:t>o</w:t>
      </w:r>
      <w:r w:rsidR="00E97BF4">
        <w:t>t</w:t>
      </w:r>
      <w:r w:rsidR="001E31DB">
        <w:t xml:space="preserve"> signed the</w:t>
      </w:r>
      <w:r w:rsidR="00720B3F">
        <w:t xml:space="preserve"> pleadings</w:t>
      </w:r>
      <w:r w:rsidR="00E97BF4">
        <w:t xml:space="preserve">, </w:t>
      </w:r>
      <w:r w:rsidR="000A615D">
        <w:t xml:space="preserve">he </w:t>
      </w:r>
      <w:r w:rsidR="00810F6D">
        <w:t xml:space="preserve">testified </w:t>
      </w:r>
      <w:r w:rsidR="000A615D">
        <w:t xml:space="preserve">he </w:t>
      </w:r>
      <w:r w:rsidR="0067364F">
        <w:t>never intended</w:t>
      </w:r>
      <w:r w:rsidR="00CE353A">
        <w:t xml:space="preserve"> to mislead the court because he honestly believed he </w:t>
      </w:r>
      <w:r w:rsidR="000A615D">
        <w:t>was authorized to permit McDaniel to simulate his signature</w:t>
      </w:r>
      <w:r w:rsidR="00E97BF4">
        <w:t>.</w:t>
      </w:r>
      <w:r w:rsidR="008017C9">
        <w:rPr>
          <w:rStyle w:val="FootnoteReference"/>
        </w:rPr>
        <w:footnoteReference w:id="4"/>
      </w:r>
      <w:r w:rsidR="00720B3F">
        <w:t xml:space="preserve">  </w:t>
      </w:r>
      <w:r>
        <w:t>T</w:t>
      </w:r>
      <w:r w:rsidR="00CE353A">
        <w:t xml:space="preserve">he hearing judge rejected Dowd’s testimony </w:t>
      </w:r>
      <w:r w:rsidR="00596D24">
        <w:t xml:space="preserve">and </w:t>
      </w:r>
      <w:r w:rsidR="00F617F9">
        <w:t xml:space="preserve">instead </w:t>
      </w:r>
      <w:r w:rsidR="00596D24">
        <w:t>accepted</w:t>
      </w:r>
      <w:r w:rsidR="00F617F9">
        <w:t xml:space="preserve"> the</w:t>
      </w:r>
      <w:r w:rsidR="00596D24">
        <w:t xml:space="preserve"> </w:t>
      </w:r>
      <w:r w:rsidR="00043316">
        <w:t xml:space="preserve">stipulated fact </w:t>
      </w:r>
      <w:r w:rsidR="00F617F9">
        <w:t xml:space="preserve">that </w:t>
      </w:r>
      <w:r w:rsidR="007D624C">
        <w:t>he</w:t>
      </w:r>
      <w:r w:rsidR="00E1616D">
        <w:t xml:space="preserve"> “intended for the court to rely upon the McDaniel simulations on each of the documents to be viewed as his own personal signature as if</w:t>
      </w:r>
      <w:r w:rsidR="003547B7">
        <w:t xml:space="preserve"> it had been by his own hand.”</w:t>
      </w:r>
      <w:r w:rsidR="00931DE2">
        <w:t xml:space="preserve">  </w:t>
      </w:r>
      <w:r w:rsidR="004C2D7F">
        <w:t>Because Dowd intended the court</w:t>
      </w:r>
      <w:r w:rsidR="00412CA6">
        <w:t xml:space="preserve"> to</w:t>
      </w:r>
      <w:r w:rsidR="004C2D7F">
        <w:t xml:space="preserve"> </w:t>
      </w:r>
      <w:r w:rsidR="00646029">
        <w:t>rely on</w:t>
      </w:r>
      <w:r w:rsidR="00596D24">
        <w:t xml:space="preserve"> McDaniel</w:t>
      </w:r>
      <w:r w:rsidR="00646029">
        <w:t>’s</w:t>
      </w:r>
      <w:r w:rsidR="00596D24">
        <w:t xml:space="preserve"> simulations as his own, the hearing judge concluded</w:t>
      </w:r>
      <w:r w:rsidR="00CE353A">
        <w:t xml:space="preserve"> that Dowd’s “conduct was necessarily intended to mislead the court . . . .”</w:t>
      </w:r>
      <w:r w:rsidR="001E31DB">
        <w:t xml:space="preserve">  We agree.</w:t>
      </w:r>
    </w:p>
    <w:p w:rsidR="00BF11EF" w:rsidRDefault="00646029" w:rsidP="00C11CC8">
      <w:r>
        <w:tab/>
        <w:t>T</w:t>
      </w:r>
      <w:r w:rsidR="00E2004F">
        <w:t xml:space="preserve">he weight of the evidence supports </w:t>
      </w:r>
      <w:r w:rsidR="00DD4FE6">
        <w:t>the hearing judge’s d</w:t>
      </w:r>
      <w:r w:rsidR="007214B4">
        <w:t>etermination of Dowd’s intent</w:t>
      </w:r>
      <w:r w:rsidR="00E2004F">
        <w:t>.</w:t>
      </w:r>
      <w:r>
        <w:t xml:space="preserve">  </w:t>
      </w:r>
      <w:r w:rsidR="00E2004F">
        <w:t xml:space="preserve">For example, </w:t>
      </w:r>
      <w:r w:rsidR="007214B4">
        <w:t xml:space="preserve">Dowd’s </w:t>
      </w:r>
      <w:r w:rsidR="00E2004F">
        <w:t>conduct</w:t>
      </w:r>
      <w:r w:rsidR="00BF11EF">
        <w:t xml:space="preserve"> </w:t>
      </w:r>
      <w:r w:rsidR="007214B4">
        <w:t xml:space="preserve">with regard to the proofs of service was </w:t>
      </w:r>
      <w:r w:rsidR="00E2004F">
        <w:t>clearly</w:t>
      </w:r>
      <w:r w:rsidR="007214B4">
        <w:t xml:space="preserve"> intended to mislead the court.  Since McDaniel was an interested party in the proceeding, she was precluded from </w:t>
      </w:r>
      <w:r w:rsidR="001E31DB">
        <w:t>serving the documents</w:t>
      </w:r>
      <w:r w:rsidR="007214B4">
        <w:t>.  (Code Civ. Proc., § 1013a</w:t>
      </w:r>
      <w:r w:rsidR="00720B3F">
        <w:t>, subd. (1)</w:t>
      </w:r>
      <w:r w:rsidR="007214B4">
        <w:t>.)  The hearing judge rejected as not credible Dowd’s testimony that McDaniel sign</w:t>
      </w:r>
      <w:r w:rsidR="001E31DB">
        <w:t>ed</w:t>
      </w:r>
      <w:r w:rsidR="007214B4">
        <w:t xml:space="preserve"> the proofs of service, but then he performed the clerical task of serving the documents.  We give great weight to the </w:t>
      </w:r>
      <w:r w:rsidR="00691588">
        <w:t xml:space="preserve">hearing judge’s </w:t>
      </w:r>
      <w:r w:rsidR="007214B4">
        <w:t>credibility determinations</w:t>
      </w:r>
      <w:r w:rsidR="00BF11EF">
        <w:t xml:space="preserve">.  </w:t>
      </w:r>
      <w:r w:rsidR="007214B4">
        <w:t>(Rules P</w:t>
      </w:r>
      <w:r w:rsidR="00BF11EF">
        <w:t xml:space="preserve">roc. of State Bar, </w:t>
      </w:r>
      <w:r w:rsidR="00285EA6">
        <w:t xml:space="preserve">former </w:t>
      </w:r>
      <w:r w:rsidR="00BF11EF">
        <w:t>rule 305(a)</w:t>
      </w:r>
      <w:r w:rsidR="00285EA6">
        <w:rPr>
          <w:rStyle w:val="FootnoteReference"/>
        </w:rPr>
        <w:footnoteReference w:id="5"/>
      </w:r>
      <w:r w:rsidR="00BF11EF">
        <w:t xml:space="preserve">; </w:t>
      </w:r>
      <w:r w:rsidR="00BF11EF" w:rsidRPr="00DC37AD">
        <w:rPr>
          <w:i/>
        </w:rPr>
        <w:t>Chefsky v. State Bar</w:t>
      </w:r>
      <w:r w:rsidR="00BF11EF">
        <w:t xml:space="preserve"> (1984) 36 Cal.3d 116, 121 [findings </w:t>
      </w:r>
      <w:r w:rsidR="00285EA6">
        <w:t>based</w:t>
      </w:r>
      <w:r w:rsidR="00BF11EF">
        <w:t xml:space="preserve"> on testimony given great weight since trier of fact was in better position to evaluate conflicting statements after observing demeanor of witnesses and character of their testimony]</w:t>
      </w:r>
      <w:r w:rsidR="007214B4">
        <w:t>.</w:t>
      </w:r>
      <w:r w:rsidR="00BF11EF">
        <w:t>)</w:t>
      </w:r>
      <w:r w:rsidR="007214B4">
        <w:t xml:space="preserve">  By allowing McDaniel to sign his name to the proofs of service, </w:t>
      </w:r>
      <w:r w:rsidR="00285EA6">
        <w:t xml:space="preserve">Dowd </w:t>
      </w:r>
      <w:r w:rsidR="007214B4">
        <w:t>circumvent</w:t>
      </w:r>
      <w:r w:rsidR="00285EA6">
        <w:t>ed</w:t>
      </w:r>
      <w:r w:rsidR="007214B4">
        <w:t xml:space="preserve"> the</w:t>
      </w:r>
      <w:r w:rsidR="00806B8C">
        <w:t xml:space="preserve"> rule</w:t>
      </w:r>
      <w:r w:rsidR="007214B4">
        <w:t xml:space="preserve"> prohibiti</w:t>
      </w:r>
      <w:r w:rsidR="00806B8C">
        <w:t>ng service by a party</w:t>
      </w:r>
      <w:r w:rsidR="007214B4">
        <w:t>,</w:t>
      </w:r>
      <w:r w:rsidR="00285EA6">
        <w:t xml:space="preserve"> and</w:t>
      </w:r>
      <w:r w:rsidR="007214B4">
        <w:t xml:space="preserve"> </w:t>
      </w:r>
      <w:r w:rsidR="00806B8C">
        <w:t xml:space="preserve">he </w:t>
      </w:r>
      <w:r w:rsidR="007214B4">
        <w:t>misled the court</w:t>
      </w:r>
      <w:r w:rsidR="00B435C4">
        <w:t>.</w:t>
      </w:r>
      <w:r w:rsidR="00AB56D3">
        <w:rPr>
          <w:rStyle w:val="FootnoteReference"/>
        </w:rPr>
        <w:footnoteReference w:id="6"/>
      </w:r>
    </w:p>
    <w:p w:rsidR="00646029" w:rsidRDefault="00BF11EF" w:rsidP="00C11CC8">
      <w:r>
        <w:tab/>
      </w:r>
      <w:r w:rsidR="00142EB2">
        <w:t>“[W]e cannot approve or condone a law office practice or procedure according to which the signature of a person making a sworn affidavit, declaration or other statement or making an unsworn declaration or other statement under penalty of perjury is subscribed by a person other than the one making the sworn or unsworn statement, as the case may be.”  (</w:t>
      </w:r>
      <w:r w:rsidR="00142EB2" w:rsidRPr="00142EB2">
        <w:rPr>
          <w:i/>
        </w:rPr>
        <w:t>Vaughn v. State Bar</w:t>
      </w:r>
      <w:r w:rsidR="00142EB2">
        <w:t xml:space="preserve"> (1972) 6 Cal.3d 847, 858.)  </w:t>
      </w:r>
      <w:r w:rsidR="00CC7091">
        <w:t xml:space="preserve">Dowd’s conduct was intended to mislead the court and </w:t>
      </w:r>
      <w:r w:rsidR="007D624C">
        <w:t xml:space="preserve">we </w:t>
      </w:r>
      <w:r w:rsidR="00F1321F">
        <w:t xml:space="preserve">adopt the </w:t>
      </w:r>
      <w:r w:rsidR="008F19AA">
        <w:t xml:space="preserve">hearing judge’s </w:t>
      </w:r>
      <w:r w:rsidR="009E4B40">
        <w:t>culpability finding</w:t>
      </w:r>
      <w:r w:rsidR="00C449F2">
        <w:t xml:space="preserve">.  (See </w:t>
      </w:r>
      <w:r w:rsidR="00C449F2" w:rsidRPr="00471134">
        <w:rPr>
          <w:i/>
        </w:rPr>
        <w:t>Aronin v. State Bar</w:t>
      </w:r>
      <w:r w:rsidR="00C449F2">
        <w:t xml:space="preserve"> (1990) 52 Cal.3d 276, 286-287 [attorney culpable of misconduct where he simulated clients’ signatures on verification and intended trial court and opposing parties to believe his clients had verified their answer]</w:t>
      </w:r>
      <w:r w:rsidR="00900A62">
        <w:t xml:space="preserve">; </w:t>
      </w:r>
      <w:r w:rsidR="00900A62" w:rsidRPr="00681743">
        <w:rPr>
          <w:i/>
        </w:rPr>
        <w:t>Hallinan v. State Bar</w:t>
      </w:r>
      <w:r w:rsidR="00900A62">
        <w:t xml:space="preserve"> (1948) 33 Cal.2d 246, 248-249 [</w:t>
      </w:r>
      <w:r w:rsidR="002F739E">
        <w:t xml:space="preserve">attorney culpable of misconduct </w:t>
      </w:r>
      <w:r w:rsidR="00900A62">
        <w:t xml:space="preserve">where </w:t>
      </w:r>
      <w:r w:rsidR="002F739E">
        <w:t xml:space="preserve">he </w:t>
      </w:r>
      <w:r w:rsidR="004A28B7">
        <w:t>simulate</w:t>
      </w:r>
      <w:r w:rsidR="007D624C">
        <w:t>d</w:t>
      </w:r>
      <w:r w:rsidR="004A28B7">
        <w:t xml:space="preserve"> client’s signature on settlement papers</w:t>
      </w:r>
      <w:r w:rsidR="002F739E">
        <w:t xml:space="preserve"> and </w:t>
      </w:r>
      <w:r w:rsidR="004A28B7">
        <w:t>opposing party was misled to believe client had personally signed</w:t>
      </w:r>
      <w:r w:rsidR="002F739E">
        <w:t>, despite</w:t>
      </w:r>
      <w:r w:rsidR="002F739E" w:rsidRPr="002F739E">
        <w:t xml:space="preserve"> </w:t>
      </w:r>
      <w:r w:rsidR="002F739E">
        <w:t>attorney’s belief he had legal authority under power of attorney to sign client’s name</w:t>
      </w:r>
      <w:r w:rsidR="004A28B7">
        <w:t>]</w:t>
      </w:r>
      <w:r w:rsidR="00C449F2">
        <w:t>.</w:t>
      </w:r>
      <w:r w:rsidR="00014C16">
        <w:t>)</w:t>
      </w:r>
    </w:p>
    <w:p w:rsidR="005C4871" w:rsidRPr="008B00E8" w:rsidRDefault="005C4871" w:rsidP="007D624C">
      <w:pPr>
        <w:jc w:val="center"/>
        <w:rPr>
          <w:b/>
        </w:rPr>
      </w:pPr>
      <w:r>
        <w:rPr>
          <w:b/>
        </w:rPr>
        <w:t xml:space="preserve">II.  </w:t>
      </w:r>
      <w:r w:rsidR="00EA5627">
        <w:rPr>
          <w:b/>
        </w:rPr>
        <w:t>DISCUSSION</w:t>
      </w:r>
    </w:p>
    <w:p w:rsidR="00E9552D" w:rsidRPr="009B2691" w:rsidRDefault="009B2691" w:rsidP="00C11CC8">
      <w:r>
        <w:tab/>
        <w:t>We determine the appropriate discipline in light of all relevant circumstances, including any factors in aggravation or mitigation.  (</w:t>
      </w:r>
      <w:r w:rsidRPr="00646029">
        <w:rPr>
          <w:i/>
        </w:rPr>
        <w:t>Gary v. State Bar</w:t>
      </w:r>
      <w:r>
        <w:t xml:space="preserve"> (1988) 44 Cal.3d 820, 828.)  The State Bar must establish aggravation by clear and convincing evidence (Rules Proc. of State Bar, </w:t>
      </w:r>
      <w:r w:rsidR="00C735A7">
        <w:t>tit. IV, Stds.</w:t>
      </w:r>
      <w:r>
        <w:t xml:space="preserve"> for Atty. Sanctions for Prof. Misconduct, std. 1.2(</w:t>
      </w:r>
      <w:r w:rsidR="00C735A7">
        <w:t>b</w:t>
      </w:r>
      <w:r>
        <w:t>)</w:t>
      </w:r>
      <w:r>
        <w:rPr>
          <w:rStyle w:val="FootnoteReference"/>
        </w:rPr>
        <w:footnoteReference w:id="7"/>
      </w:r>
      <w:r>
        <w:t xml:space="preserve">), </w:t>
      </w:r>
      <w:r w:rsidR="00646029">
        <w:t>and</w:t>
      </w:r>
      <w:r>
        <w:t xml:space="preserve"> Dowd has the same burden to prove mitigation.</w:t>
      </w:r>
      <w:r w:rsidR="00C735A7">
        <w:t xml:space="preserve">  (Std. 1.2(e).)</w:t>
      </w:r>
      <w:r>
        <w:t xml:space="preserve"> </w:t>
      </w:r>
    </w:p>
    <w:p w:rsidR="00213091" w:rsidRPr="005C4871" w:rsidRDefault="005C4871" w:rsidP="00C11CC8">
      <w:pPr>
        <w:rPr>
          <w:b/>
        </w:rPr>
      </w:pPr>
      <w:r>
        <w:rPr>
          <w:b/>
        </w:rPr>
        <w:t>A</w:t>
      </w:r>
      <w:r w:rsidR="00CF0987">
        <w:rPr>
          <w:b/>
        </w:rPr>
        <w:t>.</w:t>
      </w:r>
      <w:r>
        <w:rPr>
          <w:b/>
        </w:rPr>
        <w:tab/>
      </w:r>
      <w:r w:rsidR="00213091" w:rsidRPr="005C4871">
        <w:rPr>
          <w:b/>
        </w:rPr>
        <w:t>A</w:t>
      </w:r>
      <w:r w:rsidR="00EA5627" w:rsidRPr="005C4871">
        <w:rPr>
          <w:b/>
        </w:rPr>
        <w:t>GGRAVATION</w:t>
      </w:r>
    </w:p>
    <w:p w:rsidR="00DF53E2" w:rsidRDefault="00C67EEF" w:rsidP="002D21BB">
      <w:pPr>
        <w:spacing w:line="240" w:lineRule="auto"/>
        <w:ind w:left="720" w:hanging="720"/>
      </w:pPr>
      <w:r>
        <w:tab/>
      </w:r>
      <w:r w:rsidR="00DF53E2">
        <w:t>1.</w:t>
      </w:r>
      <w:r w:rsidR="002D21BB">
        <w:tab/>
      </w:r>
      <w:r w:rsidR="00DF53E2">
        <w:t>Prior Record of Discipline</w:t>
      </w:r>
      <w:r w:rsidR="00136972">
        <w:t xml:space="preserve"> (</w:t>
      </w:r>
      <w:r w:rsidR="009B2691">
        <w:t>S</w:t>
      </w:r>
      <w:r w:rsidR="00136972">
        <w:t>td. 1.2(b)(i))</w:t>
      </w:r>
    </w:p>
    <w:p w:rsidR="002D21BB" w:rsidRDefault="002D21BB" w:rsidP="002D21BB">
      <w:pPr>
        <w:spacing w:line="240" w:lineRule="auto"/>
        <w:ind w:left="720" w:hanging="720"/>
      </w:pPr>
    </w:p>
    <w:p w:rsidR="001D3908" w:rsidRDefault="00DF53E2" w:rsidP="00952756">
      <w:r>
        <w:tab/>
      </w:r>
      <w:r w:rsidR="00850CF1">
        <w:t>In 199</w:t>
      </w:r>
      <w:r w:rsidR="009E4B40">
        <w:t>8</w:t>
      </w:r>
      <w:r w:rsidR="00864EB7">
        <w:t>,</w:t>
      </w:r>
      <w:r w:rsidR="009E4B40">
        <w:t xml:space="preserve"> </w:t>
      </w:r>
      <w:r w:rsidR="0005349C">
        <w:t xml:space="preserve">the Supreme Court ordered Dowd suspended for one year, execution stayed, and placed him on </w:t>
      </w:r>
      <w:r w:rsidR="009E4B40">
        <w:t>two-year</w:t>
      </w:r>
      <w:r w:rsidR="002D21BB">
        <w:t>s</w:t>
      </w:r>
      <w:r w:rsidR="009E4B40">
        <w:t xml:space="preserve">’ probation for failing to properly supervise an employee who misappropriated client funds.  </w:t>
      </w:r>
      <w:r w:rsidR="00E34F1D">
        <w:t>Dowd voluntarily provided restitution to injured clients and displayed good faith, candor, and cooperation.</w:t>
      </w:r>
    </w:p>
    <w:p w:rsidR="00136972" w:rsidRDefault="00136972" w:rsidP="00952756">
      <w:r>
        <w:tab/>
        <w:t>2.</w:t>
      </w:r>
      <w:r w:rsidR="009A66F3">
        <w:tab/>
      </w:r>
      <w:r w:rsidR="00350628">
        <w:t>Pattern</w:t>
      </w:r>
      <w:r>
        <w:t xml:space="preserve"> of Misconduct (Std. 1.2(b)(ii))</w:t>
      </w:r>
    </w:p>
    <w:p w:rsidR="009B2691" w:rsidRDefault="00065F38" w:rsidP="00CC4C57">
      <w:r>
        <w:tab/>
      </w:r>
      <w:r w:rsidR="00CC4C57">
        <w:t>We do not adopt the hearing judge’s finding that Dowd’s misconduct constit</w:t>
      </w:r>
      <w:r w:rsidR="00350628">
        <w:t>uted a long-standing pattern</w:t>
      </w:r>
      <w:r w:rsidR="000B7564">
        <w:t xml:space="preserve"> based solely on Dowd’s acknowledgement that he routinely allowed McDaniel to sign his name to documents </w:t>
      </w:r>
      <w:r w:rsidR="00BA4A18">
        <w:t>over the</w:t>
      </w:r>
      <w:r w:rsidR="000B7564">
        <w:t xml:space="preserve"> years.  Without greater specificity</w:t>
      </w:r>
      <w:r w:rsidR="00806B8C">
        <w:t xml:space="preserve"> about the nature and extent </w:t>
      </w:r>
      <w:r w:rsidR="000B7564">
        <w:t xml:space="preserve">of Dowd’s </w:t>
      </w:r>
      <w:r w:rsidR="00806B8C">
        <w:t>practice, including</w:t>
      </w:r>
      <w:r w:rsidR="000B7564">
        <w:t xml:space="preserve"> the number of documents or cases in which the practice occurred, we find insufficient evidence of this aggravating factor.  </w:t>
      </w:r>
      <w:r w:rsidR="00350628">
        <w:t>(</w:t>
      </w:r>
      <w:r w:rsidR="00350628">
        <w:rPr>
          <w:i/>
        </w:rPr>
        <w:t>Levin v. State Bar</w:t>
      </w:r>
      <w:r w:rsidR="00350628">
        <w:t xml:space="preserve"> </w:t>
      </w:r>
      <w:r w:rsidR="00BF414B">
        <w:t xml:space="preserve">(1989) </w:t>
      </w:r>
      <w:r w:rsidR="00350628">
        <w:t xml:space="preserve">47 Cal.3d 1140, 1149-1150, fn. 14 [pattern of misconduct involves the most serious instances of repeated misconduct over prolonged period of time]; </w:t>
      </w:r>
      <w:r w:rsidR="00350628" w:rsidRPr="00EE116E">
        <w:rPr>
          <w:i/>
        </w:rPr>
        <w:t>Cannon v. State Bar</w:t>
      </w:r>
      <w:r w:rsidR="00350628">
        <w:t xml:space="preserve"> (1990) 51 Cal.3d 1103,</w:t>
      </w:r>
      <w:r w:rsidR="00EE116E">
        <w:t xml:space="preserve"> 1115</w:t>
      </w:r>
      <w:r w:rsidR="00350628">
        <w:t xml:space="preserve"> [no patter</w:t>
      </w:r>
      <w:r w:rsidR="00EE116E">
        <w:t>n</w:t>
      </w:r>
      <w:r w:rsidR="00350628">
        <w:t xml:space="preserve"> of misconduct found where only two client matters</w:t>
      </w:r>
      <w:r w:rsidR="00086BAA">
        <w:t xml:space="preserve"> were</w:t>
      </w:r>
      <w:r w:rsidR="00350628">
        <w:t xml:space="preserve"> involved].)</w:t>
      </w:r>
    </w:p>
    <w:p w:rsidR="00BF349A" w:rsidRPr="005C4871" w:rsidRDefault="005C4871" w:rsidP="00C11CC8">
      <w:pPr>
        <w:rPr>
          <w:b/>
        </w:rPr>
      </w:pPr>
      <w:r>
        <w:rPr>
          <w:b/>
        </w:rPr>
        <w:t>B.</w:t>
      </w:r>
      <w:r>
        <w:rPr>
          <w:b/>
        </w:rPr>
        <w:tab/>
      </w:r>
      <w:r w:rsidR="00EA5627" w:rsidRPr="005C4871">
        <w:rPr>
          <w:b/>
        </w:rPr>
        <w:t>MITIGATION</w:t>
      </w:r>
    </w:p>
    <w:p w:rsidR="00772F42" w:rsidRDefault="00BF349A" w:rsidP="00772F42">
      <w:r>
        <w:tab/>
      </w:r>
      <w:r w:rsidR="00772F42">
        <w:t xml:space="preserve">We agree with the hearing judge that </w:t>
      </w:r>
      <w:r w:rsidR="00F85A87">
        <w:t>Dowd</w:t>
      </w:r>
      <w:r w:rsidR="003A52F4">
        <w:t xml:space="preserve"> </w:t>
      </w:r>
      <w:r w:rsidR="00806B8C">
        <w:t xml:space="preserve">is entitled to slight mitigation because he </w:t>
      </w:r>
      <w:r w:rsidR="00F85A87">
        <w:t>cooperated with the State Bar by entering into a comprehensive stipulation of undisputed facts</w:t>
      </w:r>
      <w:r w:rsidR="00806B8C">
        <w:t xml:space="preserve">.  </w:t>
      </w:r>
      <w:r w:rsidR="00827C0C">
        <w:t>(</w:t>
      </w:r>
      <w:r w:rsidR="003A52F4">
        <w:t>Std.</w:t>
      </w:r>
      <w:r w:rsidR="00827C0C">
        <w:t xml:space="preserve"> 1.2(e)(v).)</w:t>
      </w:r>
      <w:r w:rsidR="003A52F4">
        <w:t xml:space="preserve">  However, we reject the finding that there was no harm.  (Std. 1.2(e)(iii).)  Both opposing counsel and the court spen</w:t>
      </w:r>
      <w:r w:rsidR="004516F4">
        <w:t>t</w:t>
      </w:r>
      <w:r w:rsidR="003A52F4">
        <w:t xml:space="preserve"> time address</w:t>
      </w:r>
      <w:r w:rsidR="004516F4">
        <w:t>ing</w:t>
      </w:r>
      <w:r w:rsidR="003A52F4">
        <w:t xml:space="preserve"> the validity of pleadings as a result of Dowd’s misconduct.  While this inconvenience may not rise to the level of “harm to the administration of justice” for purposes of aggravation, it certainly precludes a finding of no harm.</w:t>
      </w:r>
    </w:p>
    <w:p w:rsidR="005C4871" w:rsidRPr="005C4871" w:rsidRDefault="005C4871" w:rsidP="00772F42">
      <w:pPr>
        <w:rPr>
          <w:b/>
        </w:rPr>
      </w:pPr>
      <w:r w:rsidRPr="005C4871">
        <w:rPr>
          <w:b/>
        </w:rPr>
        <w:t xml:space="preserve">C. </w:t>
      </w:r>
      <w:r w:rsidRPr="005C4871">
        <w:rPr>
          <w:b/>
        </w:rPr>
        <w:tab/>
      </w:r>
      <w:r w:rsidR="00EA5627" w:rsidRPr="005C4871">
        <w:rPr>
          <w:b/>
        </w:rPr>
        <w:t>DEGREE OF DISCIPLINE</w:t>
      </w:r>
    </w:p>
    <w:p w:rsidR="00EB4A53" w:rsidRDefault="00C924F2" w:rsidP="00112DA9">
      <w:pPr>
        <w:ind w:firstLine="720"/>
      </w:pPr>
      <w:r>
        <w:t>In</w:t>
      </w:r>
      <w:r w:rsidR="00112DA9">
        <w:t xml:space="preserve"> recommending the appropriate degree of discipline based on t</w:t>
      </w:r>
      <w:r>
        <w:t>he facts unique to this case, w</w:t>
      </w:r>
      <w:r w:rsidR="00112DA9">
        <w:t>e first review the applicable standards.   (</w:t>
      </w:r>
      <w:r w:rsidR="00112DA9" w:rsidRPr="00127AE1">
        <w:rPr>
          <w:i/>
        </w:rPr>
        <w:t>Drociak v. State Bar</w:t>
      </w:r>
      <w:r w:rsidR="00112DA9">
        <w:t xml:space="preserve"> (1991) 52 Cal.3d 1085, 1090.)  </w:t>
      </w:r>
      <w:r w:rsidR="003A52F4">
        <w:t xml:space="preserve">The hearing judge </w:t>
      </w:r>
      <w:r w:rsidR="008464EE">
        <w:t xml:space="preserve">considered </w:t>
      </w:r>
      <w:r w:rsidR="003A52F4">
        <w:t xml:space="preserve">only </w:t>
      </w:r>
      <w:r w:rsidR="008464EE">
        <w:t xml:space="preserve">standard </w:t>
      </w:r>
      <w:r w:rsidR="00614F34">
        <w:t xml:space="preserve">1.7, </w:t>
      </w:r>
      <w:r w:rsidR="001E7410">
        <w:t xml:space="preserve">which provides for progressively severe discipline when an attorney has a prior record.  </w:t>
      </w:r>
      <w:r w:rsidR="0068061C">
        <w:t xml:space="preserve">We find </w:t>
      </w:r>
      <w:r w:rsidR="001E7410">
        <w:t>standards 2.3 and 2.6 also apply</w:t>
      </w:r>
      <w:r w:rsidR="00974022">
        <w:t>.</w:t>
      </w:r>
      <w:r w:rsidR="001A3DC0">
        <w:rPr>
          <w:rStyle w:val="FootnoteReference"/>
        </w:rPr>
        <w:footnoteReference w:id="8"/>
      </w:r>
      <w:r w:rsidR="00974022">
        <w:t xml:space="preserve">  </w:t>
      </w:r>
    </w:p>
    <w:p w:rsidR="0049341C" w:rsidRDefault="0049341C" w:rsidP="0049341C">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t xml:space="preserve">Since </w:t>
      </w:r>
      <w:r w:rsidR="009C4AC1">
        <w:t>Dowd</w:t>
      </w:r>
      <w:r>
        <w:t xml:space="preserve">’s violation of section 6068, subdivision (d), involves dishonesty, </w:t>
      </w:r>
      <w:r w:rsidR="009A66F3">
        <w:t xml:space="preserve">      </w:t>
      </w:r>
      <w:r>
        <w:t>standard 2.3 is most pertinent to the disciplinary analysis.  If a member is culpable of an act of moral turpitude, fraud, or intentional dishonesty, standard 2.3 provides for actual suspension or disbarment depending upon the extent to which the victim of the misconduct is harmed or misled</w:t>
      </w:r>
      <w:r w:rsidR="009A66F3">
        <w:t xml:space="preserve">, </w:t>
      </w:r>
      <w:r>
        <w:t xml:space="preserve">the magnitude of </w:t>
      </w:r>
      <w:r w:rsidR="004516F4">
        <w:t xml:space="preserve">the </w:t>
      </w:r>
      <w:r>
        <w:t xml:space="preserve">misconduct and the degree to which it relates to the member’s practice of law. </w:t>
      </w:r>
    </w:p>
    <w:p w:rsidR="00955D8C" w:rsidRDefault="0049341C" w:rsidP="001106BB">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3B3E53">
        <w:t>In addition to the standards, case law guides our disciplinary analysis</w:t>
      </w:r>
      <w:r>
        <w:t xml:space="preserve">.  Our review of </w:t>
      </w:r>
      <w:r w:rsidR="00806B8C">
        <w:t>similar</w:t>
      </w:r>
      <w:r>
        <w:t xml:space="preserve"> cases involv</w:t>
      </w:r>
      <w:r w:rsidR="009A66F3">
        <w:t>ing</w:t>
      </w:r>
      <w:r>
        <w:t xml:space="preserve"> misrepresentation or false statement to a court discloses a range of discipline as lenient as a public reproval </w:t>
      </w:r>
      <w:r w:rsidR="00386EFF">
        <w:t>and</w:t>
      </w:r>
      <w:r>
        <w:t xml:space="preserve"> as severe as six months’ actual suspension.</w:t>
      </w:r>
      <w:r w:rsidR="003B3E53">
        <w:t xml:space="preserve">  (</w:t>
      </w:r>
      <w:r>
        <w:rPr>
          <w:i/>
        </w:rPr>
        <w:t>Grove v. State Bar</w:t>
      </w:r>
      <w:r>
        <w:t xml:space="preserve"> (1965) 63 Cal.2d 312 </w:t>
      </w:r>
      <w:r w:rsidR="003B3E53">
        <w:t xml:space="preserve">[public reproval where </w:t>
      </w:r>
      <w:r>
        <w:t>attorney</w:t>
      </w:r>
      <w:r w:rsidR="003B3E53">
        <w:t xml:space="preserve"> who had previously been privately reproved</w:t>
      </w:r>
      <w:r>
        <w:t xml:space="preserve"> intentionally misled judge into believing opposing party had defaulted</w:t>
      </w:r>
      <w:r w:rsidR="003A52F4">
        <w:t>]</w:t>
      </w:r>
      <w:r w:rsidR="007F1082">
        <w:t xml:space="preserve">; </w:t>
      </w:r>
      <w:r w:rsidR="00737870">
        <w:rPr>
          <w:i/>
        </w:rPr>
        <w:t>Ba</w:t>
      </w:r>
      <w:r>
        <w:rPr>
          <w:i/>
        </w:rPr>
        <w:t>ch v. State Bar</w:t>
      </w:r>
      <w:r>
        <w:t xml:space="preserve"> (1987) 43 Cal.3d 848 </w:t>
      </w:r>
      <w:r w:rsidR="00737870">
        <w:t xml:space="preserve">[60-day actual suspension </w:t>
      </w:r>
      <w:r>
        <w:t>whe</w:t>
      </w:r>
      <w:r w:rsidR="00806B8C">
        <w:t>re</w:t>
      </w:r>
      <w:r>
        <w:t xml:space="preserve"> attorney intentionally misled judge about whether he was ordered to produce his c</w:t>
      </w:r>
      <w:r w:rsidR="00737870">
        <w:t>lient in mediation hearing</w:t>
      </w:r>
      <w:r w:rsidR="00806B8C">
        <w:t>, and</w:t>
      </w:r>
      <w:r w:rsidR="002829C7">
        <w:t xml:space="preserve"> no mitigation</w:t>
      </w:r>
      <w:r w:rsidR="00737870">
        <w:t xml:space="preserve"> but aggravation for failure</w:t>
      </w:r>
      <w:r>
        <w:t xml:space="preserve"> </w:t>
      </w:r>
      <w:r w:rsidR="00737870">
        <w:t>to understand gravity of</w:t>
      </w:r>
      <w:r>
        <w:t xml:space="preserve"> misconduct</w:t>
      </w:r>
      <w:r w:rsidR="003A52F4">
        <w:t>]</w:t>
      </w:r>
      <w:r w:rsidR="00737870">
        <w:t xml:space="preserve">; </w:t>
      </w:r>
      <w:r>
        <w:rPr>
          <w:i/>
        </w:rPr>
        <w:t>In the Matter of Chesnu</w:t>
      </w:r>
      <w:r w:rsidR="00F43103">
        <w:rPr>
          <w:i/>
        </w:rPr>
        <w:t>t, supra,</w:t>
      </w:r>
      <w:r w:rsidR="00B96A56">
        <w:t xml:space="preserve"> </w:t>
      </w:r>
      <w:r>
        <w:t>4 Cal. State Bar Ct.</w:t>
      </w:r>
      <w:r w:rsidR="00E063CF">
        <w:t xml:space="preserve"> Rptr.</w:t>
      </w:r>
      <w:r w:rsidR="00F43103">
        <w:t xml:space="preserve"> </w:t>
      </w:r>
      <w:r w:rsidR="00B96A56">
        <w:t>166</w:t>
      </w:r>
      <w:r w:rsidR="00E063CF">
        <w:t xml:space="preserve">  [</w:t>
      </w:r>
      <w:r>
        <w:t xml:space="preserve">six months’ actual suspension </w:t>
      </w:r>
      <w:r w:rsidR="00E063CF">
        <w:t xml:space="preserve">for </w:t>
      </w:r>
      <w:r>
        <w:t>attorney who falsely represented to two judges in different states that he had personally served opposing party</w:t>
      </w:r>
      <w:r w:rsidR="00806B8C">
        <w:t>,</w:t>
      </w:r>
      <w:r w:rsidR="00E063CF">
        <w:t xml:space="preserve"> and</w:t>
      </w:r>
      <w:r w:rsidR="00806B8C">
        <w:t xml:space="preserve"> in aggravation</w:t>
      </w:r>
      <w:r w:rsidR="00E063CF">
        <w:t xml:space="preserve"> attorney </w:t>
      </w:r>
      <w:r>
        <w:t xml:space="preserve">displayed lack of candor and had prior </w:t>
      </w:r>
      <w:r w:rsidR="00386EFF">
        <w:t xml:space="preserve">discipline </w:t>
      </w:r>
      <w:r>
        <w:t xml:space="preserve">record </w:t>
      </w:r>
      <w:r w:rsidR="00386EFF">
        <w:t>for</w:t>
      </w:r>
      <w:r>
        <w:t xml:space="preserve"> similar misconduct</w:t>
      </w:r>
      <w:r w:rsidR="00E063CF">
        <w:t>].)</w:t>
      </w:r>
      <w:r>
        <w:t xml:space="preserve">  </w:t>
      </w:r>
    </w:p>
    <w:p w:rsidR="0049341C" w:rsidRDefault="00955D8C" w:rsidP="001106BB">
      <w:pPr>
        <w:pStyle w:val="WP9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ab/>
      </w:r>
      <w:r w:rsidR="0056392C">
        <w:t xml:space="preserve">Dowd’s misconduct </w:t>
      </w:r>
      <w:r w:rsidR="000D2E66">
        <w:t>involved procedures that are</w:t>
      </w:r>
      <w:r w:rsidR="0056392C">
        <w:t xml:space="preserve"> integral to the practice of law</w:t>
      </w:r>
      <w:r w:rsidR="00C735A7">
        <w:t>.</w:t>
      </w:r>
      <w:r w:rsidR="0056392C">
        <w:t xml:space="preserve">  Submitting declarations </w:t>
      </w:r>
      <w:r w:rsidR="003A52F4">
        <w:t xml:space="preserve">and proofs of service </w:t>
      </w:r>
      <w:r w:rsidR="0056392C">
        <w:t xml:space="preserve">with simulated signatures undermines the </w:t>
      </w:r>
      <w:r w:rsidR="00386EFF">
        <w:t xml:space="preserve">courts’ </w:t>
      </w:r>
      <w:r w:rsidR="00806B8C">
        <w:t xml:space="preserve">ability </w:t>
      </w:r>
      <w:r w:rsidR="0056392C">
        <w:t xml:space="preserve">to rely on the accuracy of sworn declarations and diminishes the public’s confidence in the integrity of the legal profession.  </w:t>
      </w:r>
      <w:r w:rsidR="00C735A7">
        <w:t>Here, Dowd</w:t>
      </w:r>
      <w:r w:rsidR="00806B8C">
        <w:t xml:space="preserve"> sought to</w:t>
      </w:r>
      <w:r w:rsidR="00C735A7">
        <w:t xml:space="preserve"> misle</w:t>
      </w:r>
      <w:r w:rsidR="00806B8C">
        <w:t>a</w:t>
      </w:r>
      <w:r w:rsidR="00C735A7">
        <w:t xml:space="preserve">d opposing counsel and the court.  </w:t>
      </w:r>
      <w:r w:rsidR="00CE38C1">
        <w:t>Based on</w:t>
      </w:r>
      <w:r w:rsidR="0049341C">
        <w:t xml:space="preserve"> our review of the record, applicable standards</w:t>
      </w:r>
      <w:r w:rsidR="00BD781F">
        <w:t xml:space="preserve"> and relevant case law, </w:t>
      </w:r>
      <w:r w:rsidR="00CE38C1">
        <w:t xml:space="preserve">we conclude </w:t>
      </w:r>
      <w:r>
        <w:t xml:space="preserve">that </w:t>
      </w:r>
      <w:r w:rsidR="0056392C">
        <w:t xml:space="preserve">progressive discipline is warranted and that </w:t>
      </w:r>
      <w:r w:rsidR="003B5654">
        <w:t xml:space="preserve">the hearing judge’s </w:t>
      </w:r>
      <w:r w:rsidR="007E32B5">
        <w:t>recommended</w:t>
      </w:r>
      <w:r w:rsidR="003B5654">
        <w:t xml:space="preserve"> 9</w:t>
      </w:r>
      <w:r w:rsidR="0049341C">
        <w:t>0-day actual suspension will adequately serve the discipline goals of protecting the public, the courts and the profession.</w:t>
      </w:r>
    </w:p>
    <w:p w:rsidR="00275523" w:rsidRPr="008B00E8" w:rsidRDefault="00275523" w:rsidP="00C47FE4">
      <w:pPr>
        <w:ind w:firstLine="720"/>
        <w:jc w:val="center"/>
        <w:rPr>
          <w:b/>
        </w:rPr>
      </w:pPr>
      <w:r w:rsidRPr="008B00E8">
        <w:rPr>
          <w:b/>
        </w:rPr>
        <w:t>I</w:t>
      </w:r>
      <w:r w:rsidR="005C4871">
        <w:rPr>
          <w:b/>
        </w:rPr>
        <w:t>II</w:t>
      </w:r>
      <w:r w:rsidRPr="008B00E8">
        <w:rPr>
          <w:b/>
        </w:rPr>
        <w:t>.  RECOMMENDATION</w:t>
      </w:r>
    </w:p>
    <w:p w:rsidR="008B00E8" w:rsidRDefault="008B00E8" w:rsidP="008B00E8">
      <w:pPr>
        <w:ind w:firstLine="720"/>
      </w:pPr>
      <w:r>
        <w:t>W</w:t>
      </w:r>
      <w:r w:rsidRPr="002F45AA">
        <w:t xml:space="preserve">e recommend that </w:t>
      </w:r>
      <w:r>
        <w:t>Robert Eaton Dowd</w:t>
      </w:r>
      <w:r w:rsidRPr="002F45AA">
        <w:t xml:space="preserve"> be suspended from the</w:t>
      </w:r>
      <w:r>
        <w:t xml:space="preserve"> practice of law for two year</w:t>
      </w:r>
      <w:r w:rsidRPr="002F45AA">
        <w:t xml:space="preserve">s, that execution of that suspension be stayed, and that </w:t>
      </w:r>
      <w:r>
        <w:t>Dowd</w:t>
      </w:r>
      <w:r w:rsidRPr="002F45AA">
        <w:t xml:space="preserve"> b</w:t>
      </w:r>
      <w:r>
        <w:t>e placed on probation for two years</w:t>
      </w:r>
      <w:r w:rsidRPr="002F45AA">
        <w:t xml:space="preserve"> on the following conditions:</w:t>
      </w:r>
    </w:p>
    <w:p w:rsidR="008B00E8" w:rsidRDefault="008B00E8" w:rsidP="008B00E8">
      <w:pPr>
        <w:pStyle w:val="ListParagraph"/>
        <w:numPr>
          <w:ilvl w:val="0"/>
          <w:numId w:val="2"/>
        </w:numPr>
        <w:ind w:left="360"/>
      </w:pPr>
      <w:r>
        <w:t>Dowd</w:t>
      </w:r>
      <w:r w:rsidRPr="002F45AA">
        <w:t xml:space="preserve"> must be suspended from the practice of law for the first </w:t>
      </w:r>
      <w:r w:rsidR="00816F42">
        <w:t>9</w:t>
      </w:r>
      <w:r>
        <w:t xml:space="preserve">0 days of the period of his </w:t>
      </w:r>
      <w:r w:rsidRPr="002F45AA">
        <w:t>probation.</w:t>
      </w:r>
    </w:p>
    <w:p w:rsidR="005C4871" w:rsidRDefault="005C4871" w:rsidP="005C4871">
      <w:pPr>
        <w:pStyle w:val="ListParagraph"/>
        <w:ind w:left="360"/>
      </w:pPr>
    </w:p>
    <w:p w:rsidR="005C4871" w:rsidRDefault="008B00E8" w:rsidP="005C4871">
      <w:pPr>
        <w:pStyle w:val="ListParagraph"/>
        <w:numPr>
          <w:ilvl w:val="0"/>
          <w:numId w:val="2"/>
        </w:numPr>
        <w:ind w:left="360"/>
      </w:pPr>
      <w:r>
        <w:t>Dowd</w:t>
      </w:r>
      <w:r w:rsidRPr="002F45AA">
        <w:t xml:space="preserve"> must comply with the provisions of the State Bar Act, the Rules of Professional Conduct, and all of the conditions of </w:t>
      </w:r>
      <w:r>
        <w:t>his</w:t>
      </w:r>
      <w:r w:rsidRPr="002F45AA">
        <w:t xml:space="preserve"> probation.</w:t>
      </w:r>
    </w:p>
    <w:p w:rsidR="005C4871" w:rsidRDefault="005C4871" w:rsidP="005C4871">
      <w:pPr>
        <w:pStyle w:val="ListParagraph"/>
        <w:ind w:left="360"/>
      </w:pPr>
    </w:p>
    <w:p w:rsidR="008B00E8" w:rsidRDefault="008B00E8" w:rsidP="008B00E8">
      <w:pPr>
        <w:pStyle w:val="ListParagraph"/>
        <w:numPr>
          <w:ilvl w:val="0"/>
          <w:numId w:val="2"/>
        </w:numPr>
        <w:ind w:left="360"/>
      </w:pPr>
      <w:r w:rsidRPr="002F45AA">
        <w:t xml:space="preserve">Within 10 days of any change in the information required to be maintained on the membership records of the State Bar pursuant to Business and Professions Code </w:t>
      </w:r>
      <w:r w:rsidR="000D2E66">
        <w:t xml:space="preserve">          </w:t>
      </w:r>
      <w:r w:rsidRPr="002F45AA">
        <w:t xml:space="preserve">section 6002.1, subdivision (a), including </w:t>
      </w:r>
      <w:r>
        <w:t xml:space="preserve">his </w:t>
      </w:r>
      <w:r w:rsidRPr="002F45AA">
        <w:t xml:space="preserve">current office address and telephone number, or if no office is maintained, the address to be used for State Bar purposes, </w:t>
      </w:r>
      <w:r>
        <w:t>Dowd</w:t>
      </w:r>
      <w:r w:rsidRPr="002F45AA">
        <w:t xml:space="preserve"> must report such change in writing to the Membership Records Office o</w:t>
      </w:r>
      <w:r w:rsidR="000D2E66">
        <w:t>r</w:t>
      </w:r>
      <w:r w:rsidRPr="002F45AA">
        <w:t xml:space="preserve"> th</w:t>
      </w:r>
      <w:r>
        <w:t>e State Bar Office of Probation.</w:t>
      </w:r>
    </w:p>
    <w:p w:rsidR="005C4871" w:rsidRDefault="005C4871" w:rsidP="005C4871">
      <w:pPr>
        <w:pStyle w:val="ListParagraph"/>
        <w:ind w:left="360"/>
      </w:pPr>
    </w:p>
    <w:p w:rsidR="008B00E8" w:rsidRDefault="008B00E8" w:rsidP="008B00E8">
      <w:pPr>
        <w:pStyle w:val="ListParagraph"/>
        <w:numPr>
          <w:ilvl w:val="0"/>
          <w:numId w:val="2"/>
        </w:numPr>
        <w:ind w:left="360"/>
      </w:pPr>
      <w:r>
        <w:t>Dowd</w:t>
      </w:r>
      <w:r w:rsidRPr="002F45AA">
        <w:t xml:space="preserve"> must submit written quarterly reports to the Office of Probation on each January 10, April 10, July 10, and October 10 of the period of probation.  Under penalty of perjury, </w:t>
      </w:r>
      <w:r>
        <w:t>he</w:t>
      </w:r>
      <w:r w:rsidRPr="002F45AA">
        <w:t xml:space="preserve"> must state whether </w:t>
      </w:r>
      <w:r>
        <w:t>he</w:t>
      </w:r>
      <w:r w:rsidRPr="002F45AA">
        <w:t xml:space="preserve"> has complied with the State Bar Act, the Rules of Professional Conduct, and all of the conditions of </w:t>
      </w:r>
      <w:r>
        <w:t>his</w:t>
      </w:r>
      <w:r w:rsidRPr="002F45AA">
        <w:t xml:space="preserve"> probation during the preceding calendar quarter.  In addition to all quarterly reports, a final report containing the same information is due no earlier than 20 days before the last day of the probation period and no later than the last day of the probation period. </w:t>
      </w:r>
    </w:p>
    <w:p w:rsidR="005C4871" w:rsidRDefault="005C4871" w:rsidP="005C4871">
      <w:pPr>
        <w:pStyle w:val="ListParagraph"/>
        <w:ind w:left="360"/>
      </w:pPr>
    </w:p>
    <w:p w:rsidR="008B00E8" w:rsidRDefault="008B00E8" w:rsidP="008B00E8">
      <w:pPr>
        <w:pStyle w:val="ListParagraph"/>
        <w:numPr>
          <w:ilvl w:val="0"/>
          <w:numId w:val="2"/>
        </w:numPr>
        <w:ind w:left="360"/>
      </w:pPr>
      <w:r w:rsidRPr="002F45AA">
        <w:t xml:space="preserve">Subject to the assertion of applicable privileges, </w:t>
      </w:r>
      <w:r>
        <w:t>Dowd</w:t>
      </w:r>
      <w:r w:rsidRPr="002F45AA">
        <w:t xml:space="preserve"> must answer fully, promptly, and truthfully, any inquiries of the Office of Probation that are directed to </w:t>
      </w:r>
      <w:r>
        <w:t>him</w:t>
      </w:r>
      <w:r w:rsidRPr="002F45AA">
        <w:t xml:space="preserve"> personally or in writing, relating to whether </w:t>
      </w:r>
      <w:r>
        <w:t>he</w:t>
      </w:r>
      <w:r w:rsidRPr="002F45AA">
        <w:t xml:space="preserve"> is complying or has complied with the conditions contained herein.</w:t>
      </w:r>
    </w:p>
    <w:p w:rsidR="005C4871" w:rsidRDefault="005C4871" w:rsidP="005C4871">
      <w:pPr>
        <w:pStyle w:val="ListParagraph"/>
        <w:ind w:left="360"/>
      </w:pPr>
    </w:p>
    <w:p w:rsidR="008B00E8" w:rsidRDefault="008B00E8" w:rsidP="008B00E8">
      <w:pPr>
        <w:pStyle w:val="ListParagraph"/>
        <w:numPr>
          <w:ilvl w:val="0"/>
          <w:numId w:val="2"/>
        </w:numPr>
        <w:ind w:left="360"/>
      </w:pPr>
      <w:r w:rsidRPr="002F45AA">
        <w:t xml:space="preserve">Within one year after the effective date of the discipline herein, </w:t>
      </w:r>
      <w:r>
        <w:t>Dowd</w:t>
      </w:r>
      <w:r w:rsidRPr="002F45AA">
        <w:t xml:space="preserve"> must submit to the Office of Probation satisfactory evidence of completion of the State Bar’s Ethics School and passage of the test given at the end of that session.  This requirement is separate from any Minimum Continuing Legal Education (MCLE) requirement, and </w:t>
      </w:r>
      <w:r>
        <w:t>he wi</w:t>
      </w:r>
      <w:r w:rsidRPr="002F45AA">
        <w:t xml:space="preserve">ll not receive MCLE credit for attending Ethics School. </w:t>
      </w:r>
    </w:p>
    <w:p w:rsidR="005C4871" w:rsidRDefault="005C4871" w:rsidP="005C4871">
      <w:pPr>
        <w:pStyle w:val="ListParagraph"/>
        <w:ind w:left="360"/>
      </w:pPr>
    </w:p>
    <w:p w:rsidR="008B00E8" w:rsidRDefault="008B00E8" w:rsidP="008B00E8">
      <w:pPr>
        <w:pStyle w:val="ListParagraph"/>
        <w:numPr>
          <w:ilvl w:val="0"/>
          <w:numId w:val="2"/>
        </w:numPr>
        <w:ind w:left="360"/>
      </w:pPr>
      <w:r w:rsidRPr="002F45AA">
        <w:t xml:space="preserve">The period of probation will commence on the effective date of the Supreme Court order imposing discipline in this matter.  At the expiration of the period of probation, if </w:t>
      </w:r>
      <w:r>
        <w:t>Dowd</w:t>
      </w:r>
      <w:r w:rsidRPr="002F45AA">
        <w:t xml:space="preserve"> has complied with all con</w:t>
      </w:r>
      <w:r>
        <w:t xml:space="preserve">ditions of probation, the </w:t>
      </w:r>
      <w:r w:rsidRPr="002F45AA">
        <w:t>period of stayed suspension will be satisfied and that suspension will be terminated.</w:t>
      </w:r>
    </w:p>
    <w:p w:rsidR="0091748E" w:rsidRDefault="0091748E" w:rsidP="0091748E">
      <w:pPr>
        <w:pStyle w:val="ListParagraph"/>
        <w:ind w:left="360"/>
      </w:pPr>
    </w:p>
    <w:p w:rsidR="008B00E8" w:rsidRPr="002F45AA" w:rsidRDefault="005C4871" w:rsidP="008B00E8">
      <w:pPr>
        <w:jc w:val="center"/>
        <w:rPr>
          <w:caps/>
        </w:rPr>
      </w:pPr>
      <w:r>
        <w:rPr>
          <w:b/>
          <w:caps/>
        </w:rPr>
        <w:t>i</w:t>
      </w:r>
      <w:r w:rsidR="007811C9">
        <w:rPr>
          <w:b/>
          <w:caps/>
        </w:rPr>
        <w:t xml:space="preserve">V.  </w:t>
      </w:r>
      <w:r w:rsidR="008B00E8" w:rsidRPr="002F45AA">
        <w:rPr>
          <w:b/>
          <w:caps/>
        </w:rPr>
        <w:t>PROFESSIONAL RESPONSIBILITY EXAMINATION</w:t>
      </w:r>
    </w:p>
    <w:p w:rsidR="008B00E8" w:rsidRDefault="008B00E8" w:rsidP="008B00E8">
      <w:pPr>
        <w:ind w:firstLine="720"/>
      </w:pPr>
      <w:r w:rsidRPr="002F45AA">
        <w:t xml:space="preserve">We further recommend that </w:t>
      </w:r>
      <w:r>
        <w:t>Robert Eaton Dowd</w:t>
      </w:r>
      <w:r w:rsidRPr="002F45AA">
        <w:t xml:space="preserve"> be ordered to take and pass the Multistate Professional Responsibility Examination administered by the National Conference of Bar Examiners within one year of the effective date of the Supreme Court order in this matter and to provide satisfactory proof of such passage to the Office of Probation within the same period.  Failure to do so may result in a suspension. (Cal. Rules of Court, rule 9.10(b).)</w:t>
      </w:r>
    </w:p>
    <w:p w:rsidR="00816F42" w:rsidRPr="002F45AA" w:rsidRDefault="005C4871" w:rsidP="00816F42">
      <w:pPr>
        <w:jc w:val="center"/>
        <w:rPr>
          <w:b/>
          <w:caps/>
        </w:rPr>
      </w:pPr>
      <w:r>
        <w:rPr>
          <w:b/>
          <w:caps/>
        </w:rPr>
        <w:t xml:space="preserve">V.  </w:t>
      </w:r>
      <w:r w:rsidR="00816F42" w:rsidRPr="002F45AA">
        <w:rPr>
          <w:b/>
          <w:caps/>
        </w:rPr>
        <w:t>rule 9.20</w:t>
      </w:r>
    </w:p>
    <w:p w:rsidR="00816F42" w:rsidRDefault="00816F42" w:rsidP="00816F42">
      <w:pPr>
        <w:ind w:firstLine="720"/>
      </w:pPr>
      <w:r w:rsidRPr="002F45AA">
        <w:t xml:space="preserve">We further recommend that </w:t>
      </w:r>
      <w:r>
        <w:t>Robert Eaton Dowd</w:t>
      </w:r>
      <w:r w:rsidRPr="002F45AA">
        <w:t xml:space="preserve">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rsidR="0091748E" w:rsidRDefault="0091748E" w:rsidP="00816F42">
      <w:pPr>
        <w:ind w:firstLine="720"/>
      </w:pPr>
    </w:p>
    <w:p w:rsidR="00806B8C" w:rsidRDefault="00806B8C" w:rsidP="00816F42">
      <w:pPr>
        <w:ind w:firstLine="720"/>
      </w:pPr>
    </w:p>
    <w:p w:rsidR="00C735A7" w:rsidRDefault="00C735A7" w:rsidP="00816F42">
      <w:pPr>
        <w:ind w:firstLine="720"/>
      </w:pPr>
    </w:p>
    <w:p w:rsidR="008B00E8" w:rsidRPr="002F45AA" w:rsidRDefault="007811C9" w:rsidP="008B00E8">
      <w:pPr>
        <w:jc w:val="center"/>
        <w:rPr>
          <w:b/>
          <w:caps/>
        </w:rPr>
      </w:pPr>
      <w:r>
        <w:rPr>
          <w:b/>
          <w:caps/>
        </w:rPr>
        <w:t xml:space="preserve">VI.  </w:t>
      </w:r>
      <w:r w:rsidR="008B00E8" w:rsidRPr="002F45AA">
        <w:rPr>
          <w:b/>
          <w:caps/>
        </w:rPr>
        <w:t>costs</w:t>
      </w:r>
    </w:p>
    <w:p w:rsidR="008B00E8" w:rsidRDefault="008B00E8" w:rsidP="008B00E8">
      <w:pPr>
        <w:ind w:firstLine="720"/>
      </w:pPr>
      <w:r w:rsidRPr="002F45AA">
        <w:t>We further recommend that costs be awarded to the State Bar in accordance with Business and Professions Code section 6086.10, such costs being enforceable both as provided in section 6140.7 and as a money judgment.</w:t>
      </w:r>
    </w:p>
    <w:p w:rsidR="00386EFF" w:rsidRDefault="00386EFF" w:rsidP="00C11CC8"/>
    <w:p w:rsidR="005C4871" w:rsidRDefault="003547B7" w:rsidP="00C11CC8">
      <w:r>
        <w:tab/>
      </w:r>
      <w:r w:rsidR="005C4871">
        <w:tab/>
      </w:r>
      <w:r w:rsidR="005C4871">
        <w:tab/>
      </w:r>
      <w:r w:rsidR="005C4871">
        <w:tab/>
      </w:r>
      <w:r w:rsidR="005C4871">
        <w:tab/>
      </w:r>
      <w:r w:rsidR="005C4871">
        <w:tab/>
      </w:r>
      <w:r w:rsidR="005C4871">
        <w:tab/>
        <w:t>REMKE</w:t>
      </w:r>
      <w:r w:rsidR="000D2E66">
        <w:t>, P. J.</w:t>
      </w:r>
    </w:p>
    <w:p w:rsidR="005C4871" w:rsidRDefault="005C4871" w:rsidP="00C11CC8">
      <w:r>
        <w:t>I CONCUR:</w:t>
      </w:r>
      <w:r w:rsidR="002971C1">
        <w:rPr>
          <w:rStyle w:val="FootnoteReference"/>
        </w:rPr>
        <w:footnoteReference w:id="9"/>
      </w:r>
    </w:p>
    <w:p w:rsidR="00FA0C8D" w:rsidRDefault="005C4871" w:rsidP="00C11CC8">
      <w:r>
        <w:t>EPSTEIN, J.</w:t>
      </w:r>
    </w:p>
    <w:p w:rsidR="00386EFF" w:rsidRPr="008A154E" w:rsidRDefault="00386EFF" w:rsidP="00C11CC8"/>
    <w:sectPr w:rsidR="00386EFF" w:rsidRPr="008A154E" w:rsidSect="00FA0C8D">
      <w:footerReference w:type="default" r:id="rId8"/>
      <w:pgSz w:w="12240" w:h="15840" w:code="1"/>
      <w:pgMar w:top="1440" w:right="1440" w:bottom="864"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B8C" w:rsidRDefault="00806B8C" w:rsidP="00783AF1">
      <w:pPr>
        <w:spacing w:line="240" w:lineRule="auto"/>
      </w:pPr>
      <w:r>
        <w:separator/>
      </w:r>
    </w:p>
  </w:endnote>
  <w:endnote w:type="continuationSeparator" w:id="0">
    <w:p w:rsidR="00806B8C" w:rsidRDefault="00806B8C" w:rsidP="00783A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8C" w:rsidRDefault="00806B8C" w:rsidP="00783AF1">
    <w:pPr>
      <w:pStyle w:val="Footer"/>
      <w:spacing w:before="120" w:line="240" w:lineRule="auto"/>
      <w:jc w:val="center"/>
    </w:pPr>
    <w:r>
      <w:t>-</w:t>
    </w:r>
    <w:fldSimple w:instr=" PAGE   \* MERGEFORMAT ">
      <w:r w:rsidR="00177F50">
        <w:rPr>
          <w:noProof/>
        </w:rPr>
        <w:t>11</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B8C" w:rsidRDefault="00806B8C" w:rsidP="00783AF1">
      <w:pPr>
        <w:spacing w:line="240" w:lineRule="auto"/>
      </w:pPr>
      <w:r>
        <w:separator/>
      </w:r>
    </w:p>
  </w:footnote>
  <w:footnote w:type="continuationSeparator" w:id="0">
    <w:p w:rsidR="00806B8C" w:rsidRDefault="00806B8C" w:rsidP="00783AF1">
      <w:pPr>
        <w:spacing w:line="240" w:lineRule="auto"/>
      </w:pPr>
      <w:r>
        <w:continuationSeparator/>
      </w:r>
    </w:p>
  </w:footnote>
  <w:footnote w:type="continuationNotice" w:id="1">
    <w:p w:rsidR="00806B8C" w:rsidRDefault="00806B8C">
      <w:pPr>
        <w:spacing w:line="240" w:lineRule="auto"/>
      </w:pPr>
    </w:p>
  </w:footnote>
  <w:footnote w:id="2">
    <w:p w:rsidR="00806B8C" w:rsidRDefault="00806B8C" w:rsidP="00FA0C8D">
      <w:pPr>
        <w:pStyle w:val="FootnoteText"/>
      </w:pPr>
      <w:r>
        <w:rPr>
          <w:rStyle w:val="FootnoteReference"/>
        </w:rPr>
        <w:footnoteRef/>
      </w:r>
      <w:r>
        <w:t>At the time of the son’s death, petitions for marital termination filed by both the son and his wife were pending in Merced County Superior Court.</w:t>
      </w:r>
    </w:p>
  </w:footnote>
  <w:footnote w:id="3">
    <w:p w:rsidR="00806B8C" w:rsidRDefault="00806B8C">
      <w:pPr>
        <w:pStyle w:val="FootnoteText"/>
      </w:pPr>
      <w:r>
        <w:rPr>
          <w:rStyle w:val="FootnoteReference"/>
        </w:rPr>
        <w:footnoteRef/>
      </w:r>
      <w:r>
        <w:t>Unless otherwise noted, all further references to “section(s)” are to the Business and Professions Code.</w:t>
      </w:r>
    </w:p>
  </w:footnote>
  <w:footnote w:id="4">
    <w:p w:rsidR="00806B8C" w:rsidRDefault="00806B8C" w:rsidP="00285EA6">
      <w:pPr>
        <w:pStyle w:val="FootnoteText"/>
        <w:spacing w:after="120"/>
      </w:pPr>
      <w:r>
        <w:rPr>
          <w:rStyle w:val="FootnoteReference"/>
        </w:rPr>
        <w:footnoteRef/>
      </w:r>
      <w:r>
        <w:t>Dowd testified that before beginning this practice, he consulted an administrative law judge who stated that it would be appropriate.  Dowd also claimed he reviewed the law of agency in the California Civil Code and concluded the practice was permitted since the rules indicated that “a principal can authorize his agent to do any act the principal can do.”</w:t>
      </w:r>
    </w:p>
  </w:footnote>
  <w:footnote w:id="5">
    <w:p w:rsidR="00806B8C" w:rsidRDefault="00806B8C">
      <w:pPr>
        <w:pStyle w:val="FootnoteText"/>
      </w:pPr>
      <w:r>
        <w:rPr>
          <w:rStyle w:val="FootnoteReference"/>
        </w:rPr>
        <w:footnoteRef/>
      </w:r>
      <w:r>
        <w:t>The Rules of Procedure of the State Bar were amended effective January 1, 2011.  However, the former rules apply to this proceeding as the request for review was filed prior to the effective date.  (Rules Proc. of State Bar (eff. Jan. 1, 2011), Preface, item 2.)</w:t>
      </w:r>
    </w:p>
  </w:footnote>
  <w:footnote w:id="6">
    <w:p w:rsidR="00806B8C" w:rsidRDefault="00806B8C" w:rsidP="00C735A7">
      <w:pPr>
        <w:spacing w:line="240" w:lineRule="auto"/>
      </w:pPr>
      <w:r>
        <w:tab/>
      </w:r>
      <w:r>
        <w:rPr>
          <w:rStyle w:val="FootnoteReference"/>
        </w:rPr>
        <w:footnoteRef/>
      </w:r>
      <w:r>
        <w:t>As a defense, Dowd also asserts that his reliance on the amanuensis rule precludes a culpability finding.  This rule “provides that where the signing of a grantor’s name is done with the grantor’s express authority, the person signing the grantor’s name is not deemed an agent but is instead regarded as a mere instrument or amanuensis of the grantor, and that signature is deemed to be that of the grantor.  [Citations.][fn.]”  (</w:t>
      </w:r>
      <w:r>
        <w:rPr>
          <w:i/>
          <w:iCs/>
        </w:rPr>
        <w:t>Estate of Stephens</w:t>
      </w:r>
      <w:r>
        <w:t xml:space="preserve"> (2002) 28 Cal.4</w:t>
      </w:r>
      <w:r>
        <w:rPr>
          <w:vertAlign w:val="superscript"/>
        </w:rPr>
        <w:t>th</w:t>
      </w:r>
      <w:r>
        <w:t xml:space="preserve"> 665, 670-671.)  Dowd presented no authority to show that the amanuensis rule is appropriate under the present circumstances where the law explicitly requires the attorney of record or the process server to sign his or her own name.  We reject his defense as unpersuasive in light of clear authority to the contrary.</w:t>
      </w:r>
    </w:p>
  </w:footnote>
  <w:footnote w:id="7">
    <w:p w:rsidR="00806B8C" w:rsidRDefault="00806B8C" w:rsidP="009B2691">
      <w:pPr>
        <w:pStyle w:val="FootnoteText"/>
      </w:pPr>
      <w:r>
        <w:rPr>
          <w:rStyle w:val="FootnoteReference"/>
        </w:rPr>
        <w:footnoteRef/>
      </w:r>
      <w:r>
        <w:t>All further references to “standard(s)” are to this source.</w:t>
      </w:r>
    </w:p>
  </w:footnote>
  <w:footnote w:id="8">
    <w:p w:rsidR="00806B8C" w:rsidRDefault="00806B8C" w:rsidP="00FA0C8D">
      <w:pPr>
        <w:pStyle w:val="FootnoteText"/>
      </w:pPr>
      <w:r>
        <w:rPr>
          <w:rStyle w:val="FootnoteReference"/>
        </w:rPr>
        <w:footnoteRef/>
      </w:r>
      <w:r>
        <w:t>Standard 2.6(a) calls for suspension or disbarment for a violation of section 6068; however, the more severe sanction is found in standard 2.3.</w:t>
      </w:r>
    </w:p>
  </w:footnote>
  <w:footnote w:id="9">
    <w:p w:rsidR="00806B8C" w:rsidRDefault="00806B8C">
      <w:pPr>
        <w:pStyle w:val="FootnoteText"/>
      </w:pPr>
      <w:r>
        <w:rPr>
          <w:rStyle w:val="FootnoteReference"/>
        </w:rPr>
        <w:footnoteRef/>
      </w:r>
      <w:r>
        <w:t>Judge Purcell did not participate in this opinion.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904"/>
    <w:multiLevelType w:val="hybridMultilevel"/>
    <w:tmpl w:val="80BE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3A48"/>
    <w:multiLevelType w:val="hybridMultilevel"/>
    <w:tmpl w:val="76C83F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A527B"/>
    <w:multiLevelType w:val="hybridMultilevel"/>
    <w:tmpl w:val="3AD0B6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 w:id="1"/>
  </w:footnotePr>
  <w:endnotePr>
    <w:endnote w:id="-1"/>
    <w:endnote w:id="0"/>
  </w:endnotePr>
  <w:compat/>
  <w:rsids>
    <w:rsidRoot w:val="004317AD"/>
    <w:rsid w:val="00001B48"/>
    <w:rsid w:val="0000428C"/>
    <w:rsid w:val="00012239"/>
    <w:rsid w:val="000128B0"/>
    <w:rsid w:val="00012CAF"/>
    <w:rsid w:val="0001308E"/>
    <w:rsid w:val="0001357B"/>
    <w:rsid w:val="00014C16"/>
    <w:rsid w:val="00014FA8"/>
    <w:rsid w:val="00016973"/>
    <w:rsid w:val="0001721D"/>
    <w:rsid w:val="000313ED"/>
    <w:rsid w:val="00032CF3"/>
    <w:rsid w:val="00032ECC"/>
    <w:rsid w:val="000367FE"/>
    <w:rsid w:val="00042BB8"/>
    <w:rsid w:val="00043316"/>
    <w:rsid w:val="000452C9"/>
    <w:rsid w:val="000475C5"/>
    <w:rsid w:val="00050983"/>
    <w:rsid w:val="0005349C"/>
    <w:rsid w:val="00055173"/>
    <w:rsid w:val="000603F6"/>
    <w:rsid w:val="00062E56"/>
    <w:rsid w:val="0006323A"/>
    <w:rsid w:val="00065F38"/>
    <w:rsid w:val="0006742B"/>
    <w:rsid w:val="000714FD"/>
    <w:rsid w:val="00073EE7"/>
    <w:rsid w:val="00086BAA"/>
    <w:rsid w:val="000918A8"/>
    <w:rsid w:val="00091A65"/>
    <w:rsid w:val="00093162"/>
    <w:rsid w:val="0009578C"/>
    <w:rsid w:val="000A21FD"/>
    <w:rsid w:val="000A3B5B"/>
    <w:rsid w:val="000A3CB5"/>
    <w:rsid w:val="000A615D"/>
    <w:rsid w:val="000B00D3"/>
    <w:rsid w:val="000B0904"/>
    <w:rsid w:val="000B7564"/>
    <w:rsid w:val="000B79EB"/>
    <w:rsid w:val="000D2E66"/>
    <w:rsid w:val="000D6050"/>
    <w:rsid w:val="000E0C99"/>
    <w:rsid w:val="000E0F37"/>
    <w:rsid w:val="000E173C"/>
    <w:rsid w:val="000E1FD4"/>
    <w:rsid w:val="000E3AE3"/>
    <w:rsid w:val="000E5582"/>
    <w:rsid w:val="000F0F74"/>
    <w:rsid w:val="000F134E"/>
    <w:rsid w:val="000F4F20"/>
    <w:rsid w:val="001013D0"/>
    <w:rsid w:val="00102653"/>
    <w:rsid w:val="0010370A"/>
    <w:rsid w:val="00103FA6"/>
    <w:rsid w:val="001106BB"/>
    <w:rsid w:val="00112DA9"/>
    <w:rsid w:val="00127BC0"/>
    <w:rsid w:val="00131FC3"/>
    <w:rsid w:val="00136972"/>
    <w:rsid w:val="00141A42"/>
    <w:rsid w:val="00142EB2"/>
    <w:rsid w:val="001435B6"/>
    <w:rsid w:val="001436F7"/>
    <w:rsid w:val="00146A81"/>
    <w:rsid w:val="00146B89"/>
    <w:rsid w:val="00146E25"/>
    <w:rsid w:val="001505C0"/>
    <w:rsid w:val="0015209B"/>
    <w:rsid w:val="0015472E"/>
    <w:rsid w:val="00156427"/>
    <w:rsid w:val="00162E5F"/>
    <w:rsid w:val="00163288"/>
    <w:rsid w:val="00163C2D"/>
    <w:rsid w:val="00173155"/>
    <w:rsid w:val="001739A6"/>
    <w:rsid w:val="00173EB3"/>
    <w:rsid w:val="00177F50"/>
    <w:rsid w:val="001811D2"/>
    <w:rsid w:val="00182511"/>
    <w:rsid w:val="00185E29"/>
    <w:rsid w:val="00186284"/>
    <w:rsid w:val="001863FF"/>
    <w:rsid w:val="00186D4B"/>
    <w:rsid w:val="0018793E"/>
    <w:rsid w:val="00187F46"/>
    <w:rsid w:val="001978C4"/>
    <w:rsid w:val="001A1B16"/>
    <w:rsid w:val="001A3133"/>
    <w:rsid w:val="001A3DC0"/>
    <w:rsid w:val="001A49B2"/>
    <w:rsid w:val="001B1EBB"/>
    <w:rsid w:val="001B6CD2"/>
    <w:rsid w:val="001C2199"/>
    <w:rsid w:val="001C5319"/>
    <w:rsid w:val="001C6D2F"/>
    <w:rsid w:val="001D1025"/>
    <w:rsid w:val="001D2B70"/>
    <w:rsid w:val="001D3908"/>
    <w:rsid w:val="001E0131"/>
    <w:rsid w:val="001E0E05"/>
    <w:rsid w:val="001E31DB"/>
    <w:rsid w:val="001E5D32"/>
    <w:rsid w:val="001E6B12"/>
    <w:rsid w:val="001E7410"/>
    <w:rsid w:val="001F4F3C"/>
    <w:rsid w:val="001F68F3"/>
    <w:rsid w:val="002021B7"/>
    <w:rsid w:val="0020733A"/>
    <w:rsid w:val="00207FCE"/>
    <w:rsid w:val="0021221E"/>
    <w:rsid w:val="00212F75"/>
    <w:rsid w:val="00213091"/>
    <w:rsid w:val="00215BC3"/>
    <w:rsid w:val="00215E39"/>
    <w:rsid w:val="002160DE"/>
    <w:rsid w:val="00216CB8"/>
    <w:rsid w:val="0021716A"/>
    <w:rsid w:val="0022058C"/>
    <w:rsid w:val="00220F3C"/>
    <w:rsid w:val="00225450"/>
    <w:rsid w:val="00225B8C"/>
    <w:rsid w:val="00231FAE"/>
    <w:rsid w:val="0023250D"/>
    <w:rsid w:val="00237A6E"/>
    <w:rsid w:val="00247A44"/>
    <w:rsid w:val="002560B4"/>
    <w:rsid w:val="00275157"/>
    <w:rsid w:val="00275523"/>
    <w:rsid w:val="0027604A"/>
    <w:rsid w:val="0027650C"/>
    <w:rsid w:val="002829C7"/>
    <w:rsid w:val="00285EA6"/>
    <w:rsid w:val="00285EC2"/>
    <w:rsid w:val="00286541"/>
    <w:rsid w:val="0029470F"/>
    <w:rsid w:val="002971C1"/>
    <w:rsid w:val="00297698"/>
    <w:rsid w:val="00297D3E"/>
    <w:rsid w:val="002A25D7"/>
    <w:rsid w:val="002A65B1"/>
    <w:rsid w:val="002A7829"/>
    <w:rsid w:val="002B409E"/>
    <w:rsid w:val="002B7C65"/>
    <w:rsid w:val="002C01D5"/>
    <w:rsid w:val="002C158B"/>
    <w:rsid w:val="002C3942"/>
    <w:rsid w:val="002C5F20"/>
    <w:rsid w:val="002C7760"/>
    <w:rsid w:val="002C7B3B"/>
    <w:rsid w:val="002D10EB"/>
    <w:rsid w:val="002D21BB"/>
    <w:rsid w:val="002D26E6"/>
    <w:rsid w:val="002D73DF"/>
    <w:rsid w:val="002E3EE9"/>
    <w:rsid w:val="002E7623"/>
    <w:rsid w:val="002F24E2"/>
    <w:rsid w:val="002F3358"/>
    <w:rsid w:val="002F3EC1"/>
    <w:rsid w:val="002F44DA"/>
    <w:rsid w:val="002F5905"/>
    <w:rsid w:val="002F67E0"/>
    <w:rsid w:val="002F739E"/>
    <w:rsid w:val="00302E55"/>
    <w:rsid w:val="003042D8"/>
    <w:rsid w:val="00304A9F"/>
    <w:rsid w:val="0030509B"/>
    <w:rsid w:val="0031083C"/>
    <w:rsid w:val="00331609"/>
    <w:rsid w:val="00334DA4"/>
    <w:rsid w:val="00336837"/>
    <w:rsid w:val="0034156C"/>
    <w:rsid w:val="003417D8"/>
    <w:rsid w:val="00342AF9"/>
    <w:rsid w:val="003437C3"/>
    <w:rsid w:val="00345B07"/>
    <w:rsid w:val="00346F8D"/>
    <w:rsid w:val="00350628"/>
    <w:rsid w:val="00350BD6"/>
    <w:rsid w:val="00354449"/>
    <w:rsid w:val="003547B7"/>
    <w:rsid w:val="003573B1"/>
    <w:rsid w:val="003762C8"/>
    <w:rsid w:val="00386EFF"/>
    <w:rsid w:val="0039044E"/>
    <w:rsid w:val="00393577"/>
    <w:rsid w:val="00397DFC"/>
    <w:rsid w:val="003A0C06"/>
    <w:rsid w:val="003A52F4"/>
    <w:rsid w:val="003B06C2"/>
    <w:rsid w:val="003B3E53"/>
    <w:rsid w:val="003B44B9"/>
    <w:rsid w:val="003B46EE"/>
    <w:rsid w:val="003B51E5"/>
    <w:rsid w:val="003B5654"/>
    <w:rsid w:val="003B6ADD"/>
    <w:rsid w:val="003B76B6"/>
    <w:rsid w:val="003C0D6D"/>
    <w:rsid w:val="003C246D"/>
    <w:rsid w:val="003C6C1C"/>
    <w:rsid w:val="003D6708"/>
    <w:rsid w:val="003E4315"/>
    <w:rsid w:val="003E45A7"/>
    <w:rsid w:val="003F0B6E"/>
    <w:rsid w:val="003F10FD"/>
    <w:rsid w:val="003F5F17"/>
    <w:rsid w:val="00406CB4"/>
    <w:rsid w:val="0041144E"/>
    <w:rsid w:val="00412CA6"/>
    <w:rsid w:val="004226DD"/>
    <w:rsid w:val="0042288B"/>
    <w:rsid w:val="00425083"/>
    <w:rsid w:val="004310E7"/>
    <w:rsid w:val="004317AD"/>
    <w:rsid w:val="00436113"/>
    <w:rsid w:val="004438E8"/>
    <w:rsid w:val="004441D8"/>
    <w:rsid w:val="0044485B"/>
    <w:rsid w:val="004516F4"/>
    <w:rsid w:val="00452FAC"/>
    <w:rsid w:val="00453520"/>
    <w:rsid w:val="00460345"/>
    <w:rsid w:val="00461F51"/>
    <w:rsid w:val="00462C08"/>
    <w:rsid w:val="00465239"/>
    <w:rsid w:val="0046789A"/>
    <w:rsid w:val="00471134"/>
    <w:rsid w:val="00480145"/>
    <w:rsid w:val="00482E34"/>
    <w:rsid w:val="0048741E"/>
    <w:rsid w:val="00491368"/>
    <w:rsid w:val="004927C6"/>
    <w:rsid w:val="0049341C"/>
    <w:rsid w:val="00493631"/>
    <w:rsid w:val="00495595"/>
    <w:rsid w:val="0049772D"/>
    <w:rsid w:val="00497A94"/>
    <w:rsid w:val="004A1075"/>
    <w:rsid w:val="004A2155"/>
    <w:rsid w:val="004A28B7"/>
    <w:rsid w:val="004B235E"/>
    <w:rsid w:val="004B5E31"/>
    <w:rsid w:val="004B7416"/>
    <w:rsid w:val="004C2D7F"/>
    <w:rsid w:val="004D4245"/>
    <w:rsid w:val="004E1C76"/>
    <w:rsid w:val="004F7C3F"/>
    <w:rsid w:val="004F7E4F"/>
    <w:rsid w:val="005038C3"/>
    <w:rsid w:val="00505128"/>
    <w:rsid w:val="00511422"/>
    <w:rsid w:val="00513391"/>
    <w:rsid w:val="00514CC3"/>
    <w:rsid w:val="005264F8"/>
    <w:rsid w:val="00526897"/>
    <w:rsid w:val="00534C01"/>
    <w:rsid w:val="00537583"/>
    <w:rsid w:val="00544EB7"/>
    <w:rsid w:val="0055502F"/>
    <w:rsid w:val="00557A25"/>
    <w:rsid w:val="00561AA7"/>
    <w:rsid w:val="00561BC1"/>
    <w:rsid w:val="0056392C"/>
    <w:rsid w:val="0056543C"/>
    <w:rsid w:val="00566261"/>
    <w:rsid w:val="00567AF6"/>
    <w:rsid w:val="00577E7A"/>
    <w:rsid w:val="00592991"/>
    <w:rsid w:val="0059315A"/>
    <w:rsid w:val="00596D24"/>
    <w:rsid w:val="005A1424"/>
    <w:rsid w:val="005A3037"/>
    <w:rsid w:val="005A7F3E"/>
    <w:rsid w:val="005B2098"/>
    <w:rsid w:val="005B2BCF"/>
    <w:rsid w:val="005B74D7"/>
    <w:rsid w:val="005C354D"/>
    <w:rsid w:val="005C4871"/>
    <w:rsid w:val="005C49A5"/>
    <w:rsid w:val="005C5661"/>
    <w:rsid w:val="005D0A28"/>
    <w:rsid w:val="005D22F5"/>
    <w:rsid w:val="005D5F79"/>
    <w:rsid w:val="005E2B53"/>
    <w:rsid w:val="005E4356"/>
    <w:rsid w:val="005F1A58"/>
    <w:rsid w:val="005F3084"/>
    <w:rsid w:val="005F47D0"/>
    <w:rsid w:val="005F5F86"/>
    <w:rsid w:val="0060536F"/>
    <w:rsid w:val="00614F34"/>
    <w:rsid w:val="00624A70"/>
    <w:rsid w:val="00646029"/>
    <w:rsid w:val="0064691A"/>
    <w:rsid w:val="00656FE0"/>
    <w:rsid w:val="0066240A"/>
    <w:rsid w:val="00663970"/>
    <w:rsid w:val="00666AF6"/>
    <w:rsid w:val="00667979"/>
    <w:rsid w:val="00672D7D"/>
    <w:rsid w:val="0067364F"/>
    <w:rsid w:val="00674506"/>
    <w:rsid w:val="00675087"/>
    <w:rsid w:val="006751A8"/>
    <w:rsid w:val="00677009"/>
    <w:rsid w:val="0068061C"/>
    <w:rsid w:val="006806F7"/>
    <w:rsid w:val="006812B3"/>
    <w:rsid w:val="00681743"/>
    <w:rsid w:val="006877D1"/>
    <w:rsid w:val="00687C14"/>
    <w:rsid w:val="00687EA1"/>
    <w:rsid w:val="00691588"/>
    <w:rsid w:val="00691D9B"/>
    <w:rsid w:val="00692D3B"/>
    <w:rsid w:val="00697675"/>
    <w:rsid w:val="006A4C99"/>
    <w:rsid w:val="006A5435"/>
    <w:rsid w:val="006A6549"/>
    <w:rsid w:val="006B3955"/>
    <w:rsid w:val="006B6B7C"/>
    <w:rsid w:val="006C296F"/>
    <w:rsid w:val="006C538E"/>
    <w:rsid w:val="006D557C"/>
    <w:rsid w:val="006D5CAF"/>
    <w:rsid w:val="006E109D"/>
    <w:rsid w:val="006E5D98"/>
    <w:rsid w:val="006F0BB4"/>
    <w:rsid w:val="006F7FF8"/>
    <w:rsid w:val="00700F82"/>
    <w:rsid w:val="00701B16"/>
    <w:rsid w:val="007024B9"/>
    <w:rsid w:val="007035E1"/>
    <w:rsid w:val="00707CB6"/>
    <w:rsid w:val="007151EB"/>
    <w:rsid w:val="00720B3F"/>
    <w:rsid w:val="007212E5"/>
    <w:rsid w:val="007214B4"/>
    <w:rsid w:val="00723BA9"/>
    <w:rsid w:val="00726C63"/>
    <w:rsid w:val="00730CBC"/>
    <w:rsid w:val="00733248"/>
    <w:rsid w:val="00737870"/>
    <w:rsid w:val="007416F2"/>
    <w:rsid w:val="00745E0A"/>
    <w:rsid w:val="00751D87"/>
    <w:rsid w:val="00753956"/>
    <w:rsid w:val="0075432A"/>
    <w:rsid w:val="007543D6"/>
    <w:rsid w:val="00754737"/>
    <w:rsid w:val="00760502"/>
    <w:rsid w:val="00761136"/>
    <w:rsid w:val="007623D7"/>
    <w:rsid w:val="00762D35"/>
    <w:rsid w:val="0076587F"/>
    <w:rsid w:val="007660B6"/>
    <w:rsid w:val="007663F0"/>
    <w:rsid w:val="007667CB"/>
    <w:rsid w:val="00772F42"/>
    <w:rsid w:val="007768C9"/>
    <w:rsid w:val="007811C9"/>
    <w:rsid w:val="00783AF1"/>
    <w:rsid w:val="00786396"/>
    <w:rsid w:val="00787061"/>
    <w:rsid w:val="00790C7C"/>
    <w:rsid w:val="00792D4B"/>
    <w:rsid w:val="0079368A"/>
    <w:rsid w:val="00796C3C"/>
    <w:rsid w:val="00796D9E"/>
    <w:rsid w:val="007A46F3"/>
    <w:rsid w:val="007B05EB"/>
    <w:rsid w:val="007B765F"/>
    <w:rsid w:val="007C6301"/>
    <w:rsid w:val="007D0123"/>
    <w:rsid w:val="007D28D0"/>
    <w:rsid w:val="007D297D"/>
    <w:rsid w:val="007D3807"/>
    <w:rsid w:val="007D57AC"/>
    <w:rsid w:val="007D624C"/>
    <w:rsid w:val="007D6AAB"/>
    <w:rsid w:val="007D7209"/>
    <w:rsid w:val="007D787C"/>
    <w:rsid w:val="007E32B5"/>
    <w:rsid w:val="007E6013"/>
    <w:rsid w:val="007F1082"/>
    <w:rsid w:val="007F2B79"/>
    <w:rsid w:val="007F2D18"/>
    <w:rsid w:val="007F537A"/>
    <w:rsid w:val="008017C9"/>
    <w:rsid w:val="0080228A"/>
    <w:rsid w:val="0080231F"/>
    <w:rsid w:val="008053F4"/>
    <w:rsid w:val="0080588F"/>
    <w:rsid w:val="008061F8"/>
    <w:rsid w:val="00806B8C"/>
    <w:rsid w:val="008070A7"/>
    <w:rsid w:val="00807DE5"/>
    <w:rsid w:val="00810F6D"/>
    <w:rsid w:val="00811894"/>
    <w:rsid w:val="008156A1"/>
    <w:rsid w:val="00815948"/>
    <w:rsid w:val="00816F42"/>
    <w:rsid w:val="008220EB"/>
    <w:rsid w:val="00827C0C"/>
    <w:rsid w:val="00831DAF"/>
    <w:rsid w:val="00833995"/>
    <w:rsid w:val="00835F54"/>
    <w:rsid w:val="00840F2A"/>
    <w:rsid w:val="0084159D"/>
    <w:rsid w:val="0084476A"/>
    <w:rsid w:val="00845B1A"/>
    <w:rsid w:val="00846464"/>
    <w:rsid w:val="008464EE"/>
    <w:rsid w:val="00850CF1"/>
    <w:rsid w:val="00851C09"/>
    <w:rsid w:val="00857412"/>
    <w:rsid w:val="00864030"/>
    <w:rsid w:val="00864EB7"/>
    <w:rsid w:val="0087665F"/>
    <w:rsid w:val="008808E5"/>
    <w:rsid w:val="008869AF"/>
    <w:rsid w:val="0089101F"/>
    <w:rsid w:val="00892A95"/>
    <w:rsid w:val="00893BE8"/>
    <w:rsid w:val="00895330"/>
    <w:rsid w:val="00897FEE"/>
    <w:rsid w:val="008A154E"/>
    <w:rsid w:val="008B00E8"/>
    <w:rsid w:val="008B1231"/>
    <w:rsid w:val="008B1D68"/>
    <w:rsid w:val="008B50E0"/>
    <w:rsid w:val="008B708F"/>
    <w:rsid w:val="008C067B"/>
    <w:rsid w:val="008C2C56"/>
    <w:rsid w:val="008C44A0"/>
    <w:rsid w:val="008C4C98"/>
    <w:rsid w:val="008C4EA0"/>
    <w:rsid w:val="008C51CE"/>
    <w:rsid w:val="008D1F60"/>
    <w:rsid w:val="008D2B1F"/>
    <w:rsid w:val="008D51C6"/>
    <w:rsid w:val="008E0AC8"/>
    <w:rsid w:val="008E0BDC"/>
    <w:rsid w:val="008E1CAD"/>
    <w:rsid w:val="008E3541"/>
    <w:rsid w:val="008E4725"/>
    <w:rsid w:val="008E48C0"/>
    <w:rsid w:val="008E67B1"/>
    <w:rsid w:val="008E68EF"/>
    <w:rsid w:val="008F0508"/>
    <w:rsid w:val="008F19AA"/>
    <w:rsid w:val="008F5445"/>
    <w:rsid w:val="00900A62"/>
    <w:rsid w:val="009015E5"/>
    <w:rsid w:val="009063FB"/>
    <w:rsid w:val="00906A96"/>
    <w:rsid w:val="0091093A"/>
    <w:rsid w:val="00911E33"/>
    <w:rsid w:val="009172E2"/>
    <w:rsid w:val="0091748E"/>
    <w:rsid w:val="0092010F"/>
    <w:rsid w:val="00920957"/>
    <w:rsid w:val="009216E0"/>
    <w:rsid w:val="00922041"/>
    <w:rsid w:val="00923CC7"/>
    <w:rsid w:val="00927BBE"/>
    <w:rsid w:val="00927E7F"/>
    <w:rsid w:val="00931DB5"/>
    <w:rsid w:val="00931DE2"/>
    <w:rsid w:val="00932076"/>
    <w:rsid w:val="00932209"/>
    <w:rsid w:val="009324F7"/>
    <w:rsid w:val="00936024"/>
    <w:rsid w:val="00937455"/>
    <w:rsid w:val="0093792B"/>
    <w:rsid w:val="00937D95"/>
    <w:rsid w:val="009404EE"/>
    <w:rsid w:val="009409C2"/>
    <w:rsid w:val="00943692"/>
    <w:rsid w:val="00944A2C"/>
    <w:rsid w:val="009459DD"/>
    <w:rsid w:val="00946B7E"/>
    <w:rsid w:val="00952756"/>
    <w:rsid w:val="00952A9C"/>
    <w:rsid w:val="00955D8C"/>
    <w:rsid w:val="00955E25"/>
    <w:rsid w:val="00961276"/>
    <w:rsid w:val="0096624A"/>
    <w:rsid w:val="00967562"/>
    <w:rsid w:val="00970B90"/>
    <w:rsid w:val="00974022"/>
    <w:rsid w:val="00974515"/>
    <w:rsid w:val="00981920"/>
    <w:rsid w:val="00982619"/>
    <w:rsid w:val="009850F6"/>
    <w:rsid w:val="00987F23"/>
    <w:rsid w:val="00990947"/>
    <w:rsid w:val="0099521D"/>
    <w:rsid w:val="009954D2"/>
    <w:rsid w:val="009A1AB4"/>
    <w:rsid w:val="009A3AF7"/>
    <w:rsid w:val="009A66F3"/>
    <w:rsid w:val="009B2691"/>
    <w:rsid w:val="009B4552"/>
    <w:rsid w:val="009C1E8B"/>
    <w:rsid w:val="009C2811"/>
    <w:rsid w:val="009C2CBE"/>
    <w:rsid w:val="009C4AC1"/>
    <w:rsid w:val="009C5C84"/>
    <w:rsid w:val="009D1208"/>
    <w:rsid w:val="009D1C15"/>
    <w:rsid w:val="009D5D5A"/>
    <w:rsid w:val="009E3081"/>
    <w:rsid w:val="009E359D"/>
    <w:rsid w:val="009E3E72"/>
    <w:rsid w:val="009E4B40"/>
    <w:rsid w:val="009E6FDB"/>
    <w:rsid w:val="009F0451"/>
    <w:rsid w:val="009F1DA5"/>
    <w:rsid w:val="009F618C"/>
    <w:rsid w:val="009F6C6B"/>
    <w:rsid w:val="009F6E73"/>
    <w:rsid w:val="009F7A42"/>
    <w:rsid w:val="00A00D38"/>
    <w:rsid w:val="00A046AB"/>
    <w:rsid w:val="00A07497"/>
    <w:rsid w:val="00A130F4"/>
    <w:rsid w:val="00A17516"/>
    <w:rsid w:val="00A20247"/>
    <w:rsid w:val="00A24A2D"/>
    <w:rsid w:val="00A2563A"/>
    <w:rsid w:val="00A260C0"/>
    <w:rsid w:val="00A31CC7"/>
    <w:rsid w:val="00A32B8D"/>
    <w:rsid w:val="00A34529"/>
    <w:rsid w:val="00A41F4E"/>
    <w:rsid w:val="00A4252E"/>
    <w:rsid w:val="00A44BD4"/>
    <w:rsid w:val="00A459E3"/>
    <w:rsid w:val="00A529D5"/>
    <w:rsid w:val="00A57D8D"/>
    <w:rsid w:val="00A606CB"/>
    <w:rsid w:val="00A63983"/>
    <w:rsid w:val="00A6686E"/>
    <w:rsid w:val="00A7590E"/>
    <w:rsid w:val="00A767FF"/>
    <w:rsid w:val="00A934E1"/>
    <w:rsid w:val="00A94C9F"/>
    <w:rsid w:val="00A9553E"/>
    <w:rsid w:val="00A97CBA"/>
    <w:rsid w:val="00AA29DE"/>
    <w:rsid w:val="00AA3E4A"/>
    <w:rsid w:val="00AA598E"/>
    <w:rsid w:val="00AB0186"/>
    <w:rsid w:val="00AB0DE4"/>
    <w:rsid w:val="00AB1CB9"/>
    <w:rsid w:val="00AB56D3"/>
    <w:rsid w:val="00AC0D77"/>
    <w:rsid w:val="00AC104B"/>
    <w:rsid w:val="00AC6256"/>
    <w:rsid w:val="00AD3D4A"/>
    <w:rsid w:val="00AD43D2"/>
    <w:rsid w:val="00AD46CA"/>
    <w:rsid w:val="00AE21AA"/>
    <w:rsid w:val="00AE24CB"/>
    <w:rsid w:val="00AE262D"/>
    <w:rsid w:val="00AF6623"/>
    <w:rsid w:val="00AF71C0"/>
    <w:rsid w:val="00B00A81"/>
    <w:rsid w:val="00B05AFB"/>
    <w:rsid w:val="00B06B36"/>
    <w:rsid w:val="00B101E5"/>
    <w:rsid w:val="00B11B01"/>
    <w:rsid w:val="00B1288A"/>
    <w:rsid w:val="00B14B00"/>
    <w:rsid w:val="00B20581"/>
    <w:rsid w:val="00B22E48"/>
    <w:rsid w:val="00B2647A"/>
    <w:rsid w:val="00B32B26"/>
    <w:rsid w:val="00B33C39"/>
    <w:rsid w:val="00B34AEA"/>
    <w:rsid w:val="00B34DB2"/>
    <w:rsid w:val="00B421AC"/>
    <w:rsid w:val="00B435C4"/>
    <w:rsid w:val="00B45F35"/>
    <w:rsid w:val="00B50D8D"/>
    <w:rsid w:val="00B5134D"/>
    <w:rsid w:val="00B5356E"/>
    <w:rsid w:val="00B56CEC"/>
    <w:rsid w:val="00B60D28"/>
    <w:rsid w:val="00B627A6"/>
    <w:rsid w:val="00B83579"/>
    <w:rsid w:val="00B84A53"/>
    <w:rsid w:val="00B87603"/>
    <w:rsid w:val="00B91C3A"/>
    <w:rsid w:val="00B92689"/>
    <w:rsid w:val="00B942E7"/>
    <w:rsid w:val="00B96A56"/>
    <w:rsid w:val="00BA47F7"/>
    <w:rsid w:val="00BA4A18"/>
    <w:rsid w:val="00BA5B59"/>
    <w:rsid w:val="00BB5CEA"/>
    <w:rsid w:val="00BC2DB0"/>
    <w:rsid w:val="00BD151D"/>
    <w:rsid w:val="00BD1883"/>
    <w:rsid w:val="00BD3A80"/>
    <w:rsid w:val="00BD781F"/>
    <w:rsid w:val="00BE092B"/>
    <w:rsid w:val="00BE12BB"/>
    <w:rsid w:val="00BE1999"/>
    <w:rsid w:val="00BE610A"/>
    <w:rsid w:val="00BF11EF"/>
    <w:rsid w:val="00BF349A"/>
    <w:rsid w:val="00BF414B"/>
    <w:rsid w:val="00C001FD"/>
    <w:rsid w:val="00C021FE"/>
    <w:rsid w:val="00C07EA8"/>
    <w:rsid w:val="00C107CD"/>
    <w:rsid w:val="00C1132F"/>
    <w:rsid w:val="00C11CC8"/>
    <w:rsid w:val="00C121A8"/>
    <w:rsid w:val="00C1258E"/>
    <w:rsid w:val="00C131A5"/>
    <w:rsid w:val="00C234B3"/>
    <w:rsid w:val="00C2402F"/>
    <w:rsid w:val="00C24AE1"/>
    <w:rsid w:val="00C30239"/>
    <w:rsid w:val="00C34056"/>
    <w:rsid w:val="00C42BCE"/>
    <w:rsid w:val="00C4380C"/>
    <w:rsid w:val="00C449F2"/>
    <w:rsid w:val="00C47847"/>
    <w:rsid w:val="00C47FE4"/>
    <w:rsid w:val="00C528D9"/>
    <w:rsid w:val="00C56EF1"/>
    <w:rsid w:val="00C614A8"/>
    <w:rsid w:val="00C6518A"/>
    <w:rsid w:val="00C67EEF"/>
    <w:rsid w:val="00C70A10"/>
    <w:rsid w:val="00C735A4"/>
    <w:rsid w:val="00C735A7"/>
    <w:rsid w:val="00C74B7A"/>
    <w:rsid w:val="00C76717"/>
    <w:rsid w:val="00C770CE"/>
    <w:rsid w:val="00C80F16"/>
    <w:rsid w:val="00C87253"/>
    <w:rsid w:val="00C879CA"/>
    <w:rsid w:val="00C924F2"/>
    <w:rsid w:val="00CA2991"/>
    <w:rsid w:val="00CB128A"/>
    <w:rsid w:val="00CB2505"/>
    <w:rsid w:val="00CB4384"/>
    <w:rsid w:val="00CB4594"/>
    <w:rsid w:val="00CC4C57"/>
    <w:rsid w:val="00CC7091"/>
    <w:rsid w:val="00CD058A"/>
    <w:rsid w:val="00CD6F82"/>
    <w:rsid w:val="00CE157F"/>
    <w:rsid w:val="00CE353A"/>
    <w:rsid w:val="00CE38C1"/>
    <w:rsid w:val="00CE7EAE"/>
    <w:rsid w:val="00CF0987"/>
    <w:rsid w:val="00CF63ED"/>
    <w:rsid w:val="00D04149"/>
    <w:rsid w:val="00D07603"/>
    <w:rsid w:val="00D12D68"/>
    <w:rsid w:val="00D24703"/>
    <w:rsid w:val="00D337CF"/>
    <w:rsid w:val="00D36BDC"/>
    <w:rsid w:val="00D41654"/>
    <w:rsid w:val="00D42CD5"/>
    <w:rsid w:val="00D44854"/>
    <w:rsid w:val="00D52412"/>
    <w:rsid w:val="00D53954"/>
    <w:rsid w:val="00D545AB"/>
    <w:rsid w:val="00D57AD0"/>
    <w:rsid w:val="00D60BCF"/>
    <w:rsid w:val="00D614E6"/>
    <w:rsid w:val="00D71BC2"/>
    <w:rsid w:val="00D72527"/>
    <w:rsid w:val="00D761BE"/>
    <w:rsid w:val="00D766BA"/>
    <w:rsid w:val="00D77C0A"/>
    <w:rsid w:val="00D8728D"/>
    <w:rsid w:val="00D90154"/>
    <w:rsid w:val="00D91225"/>
    <w:rsid w:val="00D93328"/>
    <w:rsid w:val="00D94B90"/>
    <w:rsid w:val="00D96CE8"/>
    <w:rsid w:val="00D97A39"/>
    <w:rsid w:val="00DA347E"/>
    <w:rsid w:val="00DA4C1A"/>
    <w:rsid w:val="00DC0D07"/>
    <w:rsid w:val="00DD3C4B"/>
    <w:rsid w:val="00DD4FE6"/>
    <w:rsid w:val="00DD5292"/>
    <w:rsid w:val="00DD6CE5"/>
    <w:rsid w:val="00DE18A1"/>
    <w:rsid w:val="00DE36B2"/>
    <w:rsid w:val="00DF0386"/>
    <w:rsid w:val="00DF094C"/>
    <w:rsid w:val="00DF1213"/>
    <w:rsid w:val="00DF400D"/>
    <w:rsid w:val="00DF53E2"/>
    <w:rsid w:val="00DF78AD"/>
    <w:rsid w:val="00E02285"/>
    <w:rsid w:val="00E03150"/>
    <w:rsid w:val="00E0360E"/>
    <w:rsid w:val="00E063CF"/>
    <w:rsid w:val="00E073E4"/>
    <w:rsid w:val="00E0766C"/>
    <w:rsid w:val="00E13DFC"/>
    <w:rsid w:val="00E1616D"/>
    <w:rsid w:val="00E20026"/>
    <w:rsid w:val="00E2004F"/>
    <w:rsid w:val="00E20835"/>
    <w:rsid w:val="00E20A61"/>
    <w:rsid w:val="00E231CF"/>
    <w:rsid w:val="00E24505"/>
    <w:rsid w:val="00E26550"/>
    <w:rsid w:val="00E30233"/>
    <w:rsid w:val="00E3087A"/>
    <w:rsid w:val="00E31F00"/>
    <w:rsid w:val="00E34B15"/>
    <w:rsid w:val="00E34F1D"/>
    <w:rsid w:val="00E411E6"/>
    <w:rsid w:val="00E41EA7"/>
    <w:rsid w:val="00E42391"/>
    <w:rsid w:val="00E507ED"/>
    <w:rsid w:val="00E50AEE"/>
    <w:rsid w:val="00E51B03"/>
    <w:rsid w:val="00E52138"/>
    <w:rsid w:val="00E542B7"/>
    <w:rsid w:val="00E750CE"/>
    <w:rsid w:val="00E77A5F"/>
    <w:rsid w:val="00E81D6C"/>
    <w:rsid w:val="00E83CB7"/>
    <w:rsid w:val="00E9299D"/>
    <w:rsid w:val="00E936DD"/>
    <w:rsid w:val="00E9552D"/>
    <w:rsid w:val="00E95CCA"/>
    <w:rsid w:val="00E97BF4"/>
    <w:rsid w:val="00EA0C8C"/>
    <w:rsid w:val="00EA109C"/>
    <w:rsid w:val="00EA2E21"/>
    <w:rsid w:val="00EA5627"/>
    <w:rsid w:val="00EB27E6"/>
    <w:rsid w:val="00EB4A53"/>
    <w:rsid w:val="00EB58C0"/>
    <w:rsid w:val="00EC11BC"/>
    <w:rsid w:val="00EC4294"/>
    <w:rsid w:val="00EC4A1B"/>
    <w:rsid w:val="00EC632B"/>
    <w:rsid w:val="00EC6D3C"/>
    <w:rsid w:val="00ED1E81"/>
    <w:rsid w:val="00ED3145"/>
    <w:rsid w:val="00ED3D37"/>
    <w:rsid w:val="00EE0BAA"/>
    <w:rsid w:val="00EE116E"/>
    <w:rsid w:val="00EE1B48"/>
    <w:rsid w:val="00EE5CF5"/>
    <w:rsid w:val="00EE725B"/>
    <w:rsid w:val="00EE7D7A"/>
    <w:rsid w:val="00EF1FB0"/>
    <w:rsid w:val="00EF2418"/>
    <w:rsid w:val="00EF74EE"/>
    <w:rsid w:val="00F05E22"/>
    <w:rsid w:val="00F0610B"/>
    <w:rsid w:val="00F118A9"/>
    <w:rsid w:val="00F1321F"/>
    <w:rsid w:val="00F16A73"/>
    <w:rsid w:val="00F20F8B"/>
    <w:rsid w:val="00F22B40"/>
    <w:rsid w:val="00F2517C"/>
    <w:rsid w:val="00F3370C"/>
    <w:rsid w:val="00F34FAB"/>
    <w:rsid w:val="00F35EBC"/>
    <w:rsid w:val="00F40541"/>
    <w:rsid w:val="00F43103"/>
    <w:rsid w:val="00F46D99"/>
    <w:rsid w:val="00F505A0"/>
    <w:rsid w:val="00F53F81"/>
    <w:rsid w:val="00F57972"/>
    <w:rsid w:val="00F60E43"/>
    <w:rsid w:val="00F613FE"/>
    <w:rsid w:val="00F617F9"/>
    <w:rsid w:val="00F61FCC"/>
    <w:rsid w:val="00F6634A"/>
    <w:rsid w:val="00F7093E"/>
    <w:rsid w:val="00F72D5D"/>
    <w:rsid w:val="00F80A2B"/>
    <w:rsid w:val="00F81B4A"/>
    <w:rsid w:val="00F82524"/>
    <w:rsid w:val="00F82570"/>
    <w:rsid w:val="00F83769"/>
    <w:rsid w:val="00F83BB6"/>
    <w:rsid w:val="00F83CB6"/>
    <w:rsid w:val="00F842E4"/>
    <w:rsid w:val="00F844A2"/>
    <w:rsid w:val="00F85A87"/>
    <w:rsid w:val="00F90330"/>
    <w:rsid w:val="00F946BD"/>
    <w:rsid w:val="00F9511B"/>
    <w:rsid w:val="00F96602"/>
    <w:rsid w:val="00F972FD"/>
    <w:rsid w:val="00FA0C8D"/>
    <w:rsid w:val="00FB05A9"/>
    <w:rsid w:val="00FB0710"/>
    <w:rsid w:val="00FB0962"/>
    <w:rsid w:val="00FB20C8"/>
    <w:rsid w:val="00FB38AE"/>
    <w:rsid w:val="00FB7F7B"/>
    <w:rsid w:val="00FC080C"/>
    <w:rsid w:val="00FC4086"/>
    <w:rsid w:val="00FC5CB0"/>
    <w:rsid w:val="00FC69AB"/>
    <w:rsid w:val="00FC6C2A"/>
    <w:rsid w:val="00FC7BC7"/>
    <w:rsid w:val="00FC7E24"/>
    <w:rsid w:val="00FD0D5D"/>
    <w:rsid w:val="00FD4BBA"/>
    <w:rsid w:val="00FE0290"/>
    <w:rsid w:val="00FE2B2F"/>
    <w:rsid w:val="00FE539A"/>
    <w:rsid w:val="00FE6D08"/>
    <w:rsid w:val="00FF1C4D"/>
    <w:rsid w:val="00FF5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25"/>
    <w:pPr>
      <w:spacing w:after="0" w:line="480" w:lineRule="auto"/>
    </w:pPr>
  </w:style>
  <w:style w:type="paragraph" w:styleId="Heading1">
    <w:name w:val="heading 1"/>
    <w:basedOn w:val="Normal"/>
    <w:next w:val="Normal"/>
    <w:link w:val="Heading1Char"/>
    <w:qFormat/>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headings">
    <w:name w:val="Multiple headings"/>
    <w:basedOn w:val="Normal"/>
    <w:link w:val="MultipleheadingsChar"/>
    <w:qFormat/>
    <w:rsid w:val="008156A1"/>
    <w:pPr>
      <w:keepNext/>
      <w:jc w:val="center"/>
    </w:pPr>
    <w:rPr>
      <w:b/>
      <w:bCs/>
    </w:rPr>
  </w:style>
  <w:style w:type="character" w:customStyle="1" w:styleId="MultipleheadingsChar">
    <w:name w:val="Multiple headings Char"/>
    <w:basedOn w:val="DefaultParagraphFont"/>
    <w:link w:val="Multipleheadings"/>
    <w:rsid w:val="008156A1"/>
    <w:rPr>
      <w:rFonts w:ascii="Times New Roman" w:eastAsia="Times New Roman" w:hAnsi="Times New Roman" w:cs="Times New Roman"/>
      <w:b/>
      <w:bCs/>
      <w:sz w:val="24"/>
      <w:szCs w:val="24"/>
    </w:rPr>
  </w:style>
  <w:style w:type="paragraph" w:customStyle="1" w:styleId="Mainheading">
    <w:name w:val="Main heading"/>
    <w:basedOn w:val="Normal"/>
    <w:link w:val="MainheadingChar"/>
    <w:qFormat/>
    <w:rsid w:val="008156A1"/>
    <w:pPr>
      <w:keepNext/>
      <w:jc w:val="center"/>
    </w:pPr>
    <w:rPr>
      <w:b/>
      <w:bCs/>
    </w:rPr>
  </w:style>
  <w:style w:type="character" w:customStyle="1" w:styleId="MainheadingChar">
    <w:name w:val="Main heading Char"/>
    <w:basedOn w:val="DefaultParagraphFont"/>
    <w:link w:val="Mainheading"/>
    <w:rsid w:val="008156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rsid w:val="00FA0C8D"/>
    <w:pPr>
      <w:keepLines/>
      <w:spacing w:line="240" w:lineRule="auto"/>
      <w:ind w:firstLine="720"/>
    </w:pPr>
  </w:style>
  <w:style w:type="character" w:customStyle="1" w:styleId="FootnoteTextChar">
    <w:name w:val="Footnote Text Char"/>
    <w:basedOn w:val="DefaultParagraphFont"/>
    <w:link w:val="FootnoteText"/>
    <w:rsid w:val="00FA0C8D"/>
  </w:style>
  <w:style w:type="paragraph" w:customStyle="1" w:styleId="Footnote">
    <w:name w:val="Footnote"/>
    <w:basedOn w:val="Normal"/>
    <w:link w:val="FootnoteChar"/>
    <w:autoRedefine/>
    <w:qFormat/>
    <w:rsid w:val="00FA0C8D"/>
    <w:pPr>
      <w:spacing w:after="120" w:line="240" w:lineRule="auto"/>
    </w:pPr>
    <w:rPr>
      <w:rFonts w:cstheme="minorBidi"/>
    </w:rPr>
  </w:style>
  <w:style w:type="character" w:customStyle="1" w:styleId="FootnoteChar">
    <w:name w:val="Footnote Char"/>
    <w:basedOn w:val="DefaultParagraphFont"/>
    <w:link w:val="Footnote"/>
    <w:rsid w:val="00FA0C8D"/>
    <w:rPr>
      <w:rFonts w:cstheme="minorBidi"/>
    </w:rPr>
  </w:style>
  <w:style w:type="table" w:styleId="TableGrid">
    <w:name w:val="Table Grid"/>
    <w:basedOn w:val="TableNormal"/>
    <w:uiPriority w:val="59"/>
    <w:rsid w:val="00C11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83AF1"/>
    <w:rPr>
      <w:vertAlign w:val="superscript"/>
    </w:rPr>
  </w:style>
  <w:style w:type="paragraph" w:styleId="Header">
    <w:name w:val="header"/>
    <w:basedOn w:val="Normal"/>
    <w:link w:val="HeaderChar"/>
    <w:semiHidden/>
    <w:unhideWhenUsed/>
    <w:rsid w:val="00783AF1"/>
    <w:pPr>
      <w:tabs>
        <w:tab w:val="center" w:pos="4680"/>
        <w:tab w:val="right" w:pos="9360"/>
      </w:tabs>
    </w:pPr>
  </w:style>
  <w:style w:type="character" w:customStyle="1" w:styleId="HeaderChar">
    <w:name w:val="Header Char"/>
    <w:basedOn w:val="DefaultParagraphFont"/>
    <w:link w:val="Header"/>
    <w:semiHidden/>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ListParagraph">
    <w:name w:val="List Paragraph"/>
    <w:basedOn w:val="Normal"/>
    <w:uiPriority w:val="34"/>
    <w:qFormat/>
    <w:rsid w:val="001F68F3"/>
    <w:pPr>
      <w:spacing w:line="240" w:lineRule="auto"/>
      <w:ind w:left="720"/>
      <w:contextualSpacing/>
    </w:pPr>
  </w:style>
  <w:style w:type="paragraph" w:customStyle="1" w:styleId="Level1">
    <w:name w:val="Level 1"/>
    <w:uiPriority w:val="99"/>
    <w:rsid w:val="001F68F3"/>
    <w:pPr>
      <w:autoSpaceDE w:val="0"/>
      <w:autoSpaceDN w:val="0"/>
      <w:adjustRightInd w:val="0"/>
      <w:spacing w:after="0" w:line="240" w:lineRule="auto"/>
      <w:ind w:left="720"/>
    </w:pPr>
  </w:style>
  <w:style w:type="paragraph" w:customStyle="1" w:styleId="WP9Header">
    <w:name w:val="WP9_Header"/>
    <w:basedOn w:val="Normal"/>
    <w:rsid w:val="0049341C"/>
    <w:pPr>
      <w:widowControl w:val="0"/>
      <w:tabs>
        <w:tab w:val="left" w:pos="0"/>
        <w:tab w:val="center" w:pos="4320"/>
        <w:tab w:val="right" w:pos="8640"/>
        <w:tab w:val="right" w:pos="9360"/>
      </w:tabs>
      <w:spacing w:line="240" w:lineRule="auto"/>
    </w:pPr>
    <w:rPr>
      <w:szCs w:val="20"/>
    </w:rPr>
  </w:style>
  <w:style w:type="character" w:styleId="PlaceholderText">
    <w:name w:val="Placeholder Text"/>
    <w:basedOn w:val="DefaultParagraphFont"/>
    <w:uiPriority w:val="99"/>
    <w:semiHidden/>
    <w:rsid w:val="00E507ED"/>
    <w:rPr>
      <w:color w:val="808080"/>
    </w:rPr>
  </w:style>
  <w:style w:type="paragraph" w:styleId="BalloonText">
    <w:name w:val="Balloon Text"/>
    <w:basedOn w:val="Normal"/>
    <w:link w:val="BalloonTextChar"/>
    <w:uiPriority w:val="99"/>
    <w:semiHidden/>
    <w:unhideWhenUsed/>
    <w:rsid w:val="00E50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7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Opin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A026-8CA6-4EDA-BB6B-E72701BA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Opinion_Form.dotm</Template>
  <TotalTime>11</TotalTime>
  <Pages>11</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Kelley</dc:creator>
  <cp:keywords/>
  <dc:description/>
  <cp:lastModifiedBy>Milagro del R. Salmeron</cp:lastModifiedBy>
  <cp:revision>2</cp:revision>
  <cp:lastPrinted>2011-05-25T21:21:00Z</cp:lastPrinted>
  <dcterms:created xsi:type="dcterms:W3CDTF">2011-05-27T23:24:00Z</dcterms:created>
  <dcterms:modified xsi:type="dcterms:W3CDTF">2011-05-27T23:24:00Z</dcterms:modified>
</cp:coreProperties>
</file>