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3A" w:rsidRPr="005E34BE" w:rsidRDefault="005E34BE" w:rsidP="005E34BE">
      <w:pPr>
        <w:jc w:val="right"/>
        <w:rPr>
          <w:b/>
          <w:sz w:val="36"/>
        </w:rPr>
      </w:pPr>
      <w:r w:rsidRPr="005E34BE">
        <w:rPr>
          <w:b/>
        </w:rPr>
        <w:t>FILED OCTOBER 14, 2010</w:t>
      </w:r>
    </w:p>
    <w:p w:rsidR="00AC4900" w:rsidRDefault="00AC4900"/>
    <w:p w:rsidR="00AC4900" w:rsidRDefault="00AC4900"/>
    <w:p w:rsidR="00AC4900" w:rsidRDefault="00AC4900"/>
    <w:p w:rsidR="00E03C3A" w:rsidRDefault="00E03C3A"/>
    <w:p w:rsidR="00E03C3A" w:rsidRDefault="00E03C3A"/>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A0F0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A0F00">
            <w:pPr>
              <w:rPr>
                <w:b/>
                <w:bCs/>
              </w:rPr>
            </w:pPr>
            <w:bookmarkStart w:id="1" w:name="resp"/>
            <w:bookmarkEnd w:id="1"/>
            <w:r>
              <w:rPr>
                <w:b/>
                <w:bCs/>
              </w:rPr>
              <w:t>EDMUND TODD CROWLEY</w:t>
            </w:r>
          </w:p>
          <w:p w:rsidR="003D3B12" w:rsidRDefault="003D3B12">
            <w:pPr>
              <w:rPr>
                <w:b/>
                <w:bCs/>
              </w:rPr>
            </w:pPr>
          </w:p>
          <w:p w:rsidR="003D3B12" w:rsidRDefault="003D3B12">
            <w:pPr>
              <w:rPr>
                <w:b/>
                <w:bCs/>
              </w:rPr>
            </w:pPr>
            <w:r>
              <w:rPr>
                <w:b/>
                <w:bCs/>
              </w:rPr>
              <w:t xml:space="preserve">Member No.  </w:t>
            </w:r>
            <w:bookmarkStart w:id="2" w:name="member"/>
            <w:bookmarkEnd w:id="2"/>
            <w:r w:rsidR="005A0F00">
              <w:rPr>
                <w:b/>
                <w:bCs/>
              </w:rPr>
              <w:t>154948</w:t>
            </w:r>
          </w:p>
          <w:p w:rsidR="003D3B12" w:rsidRDefault="003D3B12">
            <w:pPr>
              <w:rPr>
                <w:b/>
                <w:bCs/>
              </w:rPr>
            </w:pPr>
          </w:p>
          <w:p w:rsidR="003D3B12" w:rsidRDefault="00B31A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A0F00">
            <w:pPr>
              <w:rPr>
                <w:b/>
                <w:bCs/>
              </w:rPr>
            </w:pPr>
            <w:bookmarkStart w:id="4" w:name="caseno"/>
            <w:bookmarkEnd w:id="4"/>
            <w:r>
              <w:rPr>
                <w:b/>
                <w:bCs/>
              </w:rPr>
              <w:t>07-O-13835</w:t>
            </w:r>
            <w:r w:rsidR="0035315C">
              <w:rPr>
                <w:b/>
                <w:bCs/>
              </w:rPr>
              <w:t>-</w:t>
            </w:r>
            <w:r>
              <w:rPr>
                <w:b/>
                <w:bCs/>
              </w:rPr>
              <w:t>RAH</w:t>
            </w:r>
          </w:p>
          <w:p w:rsidR="0035315C" w:rsidRDefault="0035315C">
            <w:pPr>
              <w:rPr>
                <w:bCs/>
              </w:rPr>
            </w:pPr>
          </w:p>
          <w:p w:rsidR="0035315C" w:rsidRPr="0035315C" w:rsidRDefault="0035315C">
            <w:pPr>
              <w:rPr>
                <w:bCs/>
              </w:rPr>
            </w:pPr>
          </w:p>
        </w:tc>
      </w:tr>
      <w:tr w:rsidR="003D3B12" w:rsidTr="001A10CF">
        <w:trPr>
          <w:cantSplit/>
          <w:trHeight w:val="87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31AB1">
            <w:pPr>
              <w:rPr>
                <w:b/>
                <w:bCs/>
              </w:rPr>
            </w:pPr>
            <w:bookmarkStart w:id="5" w:name="title"/>
            <w:bookmarkEnd w:id="5"/>
            <w:r>
              <w:rPr>
                <w:b/>
                <w:bCs/>
              </w:rPr>
              <w:t>DECISION AND ORDER OF INVOLUNTARY INACTIVE ENROLLMENT</w:t>
            </w:r>
          </w:p>
        </w:tc>
      </w:tr>
    </w:tbl>
    <w:p w:rsidR="003D3B12" w:rsidRDefault="003D3B12">
      <w:pPr>
        <w:spacing w:line="480" w:lineRule="auto"/>
      </w:pPr>
    </w:p>
    <w:p w:rsidR="00B31AB1" w:rsidRPr="00097646" w:rsidRDefault="00097646" w:rsidP="00C21EBC">
      <w:pPr>
        <w:tabs>
          <w:tab w:val="center" w:pos="4680"/>
        </w:tabs>
        <w:spacing w:line="480" w:lineRule="auto"/>
        <w:jc w:val="center"/>
      </w:pPr>
      <w:r w:rsidRPr="00097646">
        <w:rPr>
          <w:b/>
        </w:rPr>
        <w:t xml:space="preserve">I.  </w:t>
      </w:r>
      <w:r w:rsidR="00B31AB1" w:rsidRPr="00097646">
        <w:rPr>
          <w:b/>
          <w:bCs/>
        </w:rPr>
        <w:t>I</w:t>
      </w:r>
      <w:r w:rsidRPr="00097646">
        <w:rPr>
          <w:b/>
          <w:bCs/>
        </w:rPr>
        <w:t xml:space="preserve">ntroduction and </w:t>
      </w:r>
      <w:r w:rsidR="00B31AB1" w:rsidRPr="00097646">
        <w:rPr>
          <w:b/>
          <w:bCs/>
        </w:rPr>
        <w:t>P</w:t>
      </w:r>
      <w:r w:rsidRPr="00097646">
        <w:rPr>
          <w:b/>
          <w:bCs/>
        </w:rPr>
        <w:t>ertinent</w:t>
      </w:r>
      <w:r w:rsidR="00B31AB1" w:rsidRPr="00097646">
        <w:rPr>
          <w:b/>
          <w:bCs/>
        </w:rPr>
        <w:t xml:space="preserve"> P</w:t>
      </w:r>
      <w:r w:rsidRPr="00097646">
        <w:rPr>
          <w:b/>
          <w:bCs/>
        </w:rPr>
        <w:t>rocedural</w:t>
      </w:r>
      <w:r w:rsidR="00B31AB1" w:rsidRPr="00097646">
        <w:rPr>
          <w:b/>
          <w:bCs/>
        </w:rPr>
        <w:t xml:space="preserve"> H</w:t>
      </w:r>
      <w:r w:rsidRPr="00097646">
        <w:rPr>
          <w:b/>
          <w:bCs/>
        </w:rPr>
        <w:t>istory</w:t>
      </w:r>
    </w:p>
    <w:p w:rsidR="00B31AB1" w:rsidRDefault="00B31AB1" w:rsidP="005E28F8">
      <w:pPr>
        <w:spacing w:line="480" w:lineRule="auto"/>
        <w:ind w:firstLine="720"/>
      </w:pPr>
      <w:r>
        <w:t xml:space="preserve">This default matter was submitted for decision on </w:t>
      </w:r>
      <w:r w:rsidR="005A0F00">
        <w:t>August 9</w:t>
      </w:r>
      <w:r w:rsidR="00BD7258">
        <w:t>, 2010</w:t>
      </w:r>
      <w:r>
        <w:t xml:space="preserve">.  </w:t>
      </w:r>
      <w:r w:rsidR="002D0D3A">
        <w:t xml:space="preserve">Respondent </w:t>
      </w:r>
      <w:r w:rsidR="00121BC8">
        <w:rPr>
          <w:b/>
        </w:rPr>
        <w:t xml:space="preserve">Edmund Todd Crowley </w:t>
      </w:r>
      <w:r w:rsidR="002D0D3A">
        <w:t xml:space="preserve">is charged with </w:t>
      </w:r>
      <w:r w:rsidR="00121BC8">
        <w:t>four</w:t>
      </w:r>
      <w:r w:rsidR="00AF288A">
        <w:t xml:space="preserve"> counts </w:t>
      </w:r>
      <w:r w:rsidR="00B43E36">
        <w:t>of misconduct including allegation</w:t>
      </w:r>
      <w:r w:rsidR="0035315C">
        <w:t>s</w:t>
      </w:r>
      <w:r w:rsidR="00B43E36">
        <w:t xml:space="preserve"> that he misappropriated</w:t>
      </w:r>
      <w:r w:rsidR="00AF288A">
        <w:t xml:space="preserve"> </w:t>
      </w:r>
      <w:r w:rsidR="00BD7258">
        <w:t xml:space="preserve">client </w:t>
      </w:r>
      <w:r w:rsidR="00AF288A">
        <w:t>funds</w:t>
      </w:r>
      <w:r w:rsidR="002D0D3A">
        <w:t xml:space="preserve">.  </w:t>
      </w:r>
      <w:r>
        <w:t xml:space="preserve">At the time of submission, the </w:t>
      </w:r>
      <w:r w:rsidR="00121BC8">
        <w:t xml:space="preserve">Office of the Chief Trial Counsel of the </w:t>
      </w:r>
      <w:r>
        <w:t>State Bar of California (</w:t>
      </w:r>
      <w:r w:rsidR="007060B3">
        <w:t>“</w:t>
      </w:r>
      <w:r w:rsidR="00121BC8">
        <w:t>Office of the Chief Trial Counsel</w:t>
      </w:r>
      <w:r w:rsidR="007060B3">
        <w:t>”</w:t>
      </w:r>
      <w:r>
        <w:t xml:space="preserve">) was represented in this matter by Deputy Trial Counsel </w:t>
      </w:r>
      <w:r w:rsidR="00121BC8">
        <w:t>Elina Kreditor</w:t>
      </w:r>
      <w:r w:rsidR="00486FA4">
        <w:t xml:space="preserve"> (“</w:t>
      </w:r>
      <w:proofErr w:type="spellStart"/>
      <w:r w:rsidR="00486FA4">
        <w:t>DTC</w:t>
      </w:r>
      <w:proofErr w:type="spellEnd"/>
      <w:r w:rsidR="00486FA4">
        <w:t xml:space="preserve"> Kreditor”)</w:t>
      </w:r>
      <w:r>
        <w:t xml:space="preserve">.  Respondent </w:t>
      </w:r>
      <w:r w:rsidR="00BD7258">
        <w:t>did not participate in these proceedings</w:t>
      </w:r>
      <w:r w:rsidR="0035315C">
        <w:t>.</w:t>
      </w:r>
      <w:r w:rsidR="009D583E">
        <w:t xml:space="preserve">  </w:t>
      </w:r>
    </w:p>
    <w:p w:rsidR="00B31AB1" w:rsidRDefault="00B31AB1" w:rsidP="005E28F8">
      <w:pPr>
        <w:spacing w:line="480" w:lineRule="auto"/>
        <w:ind w:firstLine="720"/>
      </w:pPr>
      <w:r>
        <w:t xml:space="preserve">The </w:t>
      </w:r>
      <w:r w:rsidR="0096235A">
        <w:t>Office of the Chief Trial Counsel</w:t>
      </w:r>
      <w:r>
        <w:t xml:space="preserve"> filed a Notice of Disciplinary Charges (</w:t>
      </w:r>
      <w:r w:rsidR="007060B3">
        <w:t>“</w:t>
      </w:r>
      <w:proofErr w:type="spellStart"/>
      <w:r>
        <w:t>NDC</w:t>
      </w:r>
      <w:proofErr w:type="spellEnd"/>
      <w:r w:rsidR="007060B3">
        <w:t>”</w:t>
      </w:r>
      <w:r>
        <w:t xml:space="preserve">) against respondent on </w:t>
      </w:r>
      <w:r w:rsidR="0096235A">
        <w:t>May 28</w:t>
      </w:r>
      <w:r w:rsidR="00BD7258">
        <w:t>, 2010</w:t>
      </w:r>
      <w:r>
        <w:t>.</w:t>
      </w:r>
      <w:r w:rsidR="00D412C6">
        <w:rPr>
          <w:rStyle w:val="FootnoteReference"/>
        </w:rPr>
        <w:footnoteReference w:id="1"/>
      </w:r>
      <w:r>
        <w:t xml:space="preserve">  </w:t>
      </w:r>
      <w:r w:rsidR="00DD2BB5">
        <w:t>On that same day, a</w:t>
      </w:r>
      <w:r>
        <w:t xml:space="preserve"> copy of the </w:t>
      </w:r>
      <w:proofErr w:type="spellStart"/>
      <w:r>
        <w:t>NDC</w:t>
      </w:r>
      <w:proofErr w:type="spellEnd"/>
      <w:r>
        <w:t xml:space="preserve"> was properly served </w:t>
      </w:r>
      <w:r w:rsidR="00DD2BB5">
        <w:lastRenderedPageBreak/>
        <w:t>on respondent</w:t>
      </w:r>
      <w:r>
        <w:t xml:space="preserve"> in the manner set forth in rule 60 of the Rules of Procedure of the State Bar of California (</w:t>
      </w:r>
      <w:r w:rsidR="007060B3">
        <w:t>“</w:t>
      </w:r>
      <w:r>
        <w:t>Rules of Procedure</w:t>
      </w:r>
      <w:r w:rsidR="007060B3">
        <w:t>”</w:t>
      </w:r>
      <w:r>
        <w:t>).</w:t>
      </w:r>
      <w:r>
        <w:rPr>
          <w:rStyle w:val="FootnoteReference"/>
        </w:rPr>
        <w:footnoteReference w:id="2"/>
      </w:r>
      <w:r>
        <w:t xml:space="preserve">  </w:t>
      </w:r>
    </w:p>
    <w:p w:rsidR="007F4C17" w:rsidRDefault="00D43E9C" w:rsidP="007F4C17">
      <w:pPr>
        <w:spacing w:line="480" w:lineRule="auto"/>
        <w:ind w:firstLine="720"/>
      </w:pPr>
      <w:r>
        <w:t>As r</w:t>
      </w:r>
      <w:r w:rsidR="007F4C17">
        <w:t xml:space="preserve">espondent </w:t>
      </w:r>
      <w:r>
        <w:t>did</w:t>
      </w:r>
      <w:r w:rsidR="00D20383">
        <w:t xml:space="preserve"> </w:t>
      </w:r>
      <w:r w:rsidR="003D2675">
        <w:t xml:space="preserve">not </w:t>
      </w:r>
      <w:r w:rsidR="00D20383">
        <w:t xml:space="preserve">file a response to the </w:t>
      </w:r>
      <w:proofErr w:type="spellStart"/>
      <w:r w:rsidR="00D20383">
        <w:t>NDC</w:t>
      </w:r>
      <w:proofErr w:type="spellEnd"/>
      <w:r w:rsidR="007F4C17">
        <w:t>, the State Bar filed and properly served a motion for entry of default.</w:t>
      </w:r>
      <w:r w:rsidR="007F4C17">
        <w:rPr>
          <w:rStyle w:val="FootnoteReference"/>
        </w:rPr>
        <w:footnoteReference w:id="3"/>
      </w:r>
      <w:r w:rsidR="007F4C17">
        <w:t xml:space="preserve">  </w:t>
      </w:r>
      <w:r>
        <w:t>R</w:t>
      </w:r>
      <w:r w:rsidR="007F4C17">
        <w:t xml:space="preserve">espondent </w:t>
      </w:r>
      <w:r>
        <w:t xml:space="preserve">subsequently </w:t>
      </w:r>
      <w:r w:rsidR="007F4C17">
        <w:t>failed to file a written response</w:t>
      </w:r>
      <w:r>
        <w:t xml:space="preserve"> to the motion for entry of default, and, on August 6, 2010, th</w:t>
      </w:r>
      <w:r w:rsidR="007F4C17">
        <w:t xml:space="preserve">e court </w:t>
      </w:r>
      <w:r w:rsidR="006650E2">
        <w:t>issued</w:t>
      </w:r>
      <w:r w:rsidR="007F4C17">
        <w:t xml:space="preserve"> an order of entry of default and involuntary inactive enrollment.</w:t>
      </w:r>
      <w:r w:rsidR="007F4C17">
        <w:rPr>
          <w:rStyle w:val="FootnoteReference"/>
        </w:rPr>
        <w:footnoteReference w:id="4"/>
      </w:r>
      <w:r w:rsidR="007F4C17">
        <w:t xml:space="preserve">  A copy of said order was properly served on respondent at his membership records address</w:t>
      </w:r>
      <w:r w:rsidR="00050670">
        <w:t xml:space="preserve">.  </w:t>
      </w:r>
      <w:r w:rsidR="00296F92" w:rsidRPr="00F05020">
        <w:t>This</w:t>
      </w:r>
      <w:r w:rsidR="00050670" w:rsidRPr="00F05020">
        <w:t xml:space="preserve"> copy was not</w:t>
      </w:r>
      <w:r w:rsidR="007F4C17" w:rsidRPr="00F05020">
        <w:t xml:space="preserve"> subsequently returned to the court by the U.S. Postal Service as undeliverable</w:t>
      </w:r>
      <w:r w:rsidR="00050670" w:rsidRPr="00F05020">
        <w:t xml:space="preserve"> or for any other reason</w:t>
      </w:r>
      <w:r w:rsidR="007F4C17" w:rsidRPr="00F05020">
        <w:t>.</w:t>
      </w:r>
    </w:p>
    <w:p w:rsidR="00DB041B" w:rsidRDefault="00DF5352" w:rsidP="007F4C17">
      <w:pPr>
        <w:spacing w:line="480" w:lineRule="auto"/>
        <w:ind w:firstLine="720"/>
      </w:pPr>
      <w:r>
        <w:t xml:space="preserve">The Office of the Chief Trial Counsel waived its right to a </w:t>
      </w:r>
      <w:r w:rsidR="007F4C17">
        <w:t>hearing, and this matter was submitted for decision.</w:t>
      </w:r>
      <w:r w:rsidR="007F4C17">
        <w:rPr>
          <w:rStyle w:val="FootnoteReference"/>
        </w:rPr>
        <w:footnoteReference w:id="5"/>
      </w:r>
      <w:r w:rsidR="007F4C17">
        <w:t xml:space="preserve">  </w:t>
      </w:r>
      <w:r w:rsidR="00DB041B" w:rsidRPr="00921C9F">
        <w:t xml:space="preserve">The </w:t>
      </w:r>
      <w:r w:rsidR="00C92451">
        <w:t>Office of the Chief Trial Counsel</w:t>
      </w:r>
      <w:r w:rsidR="00DB041B" w:rsidRPr="00921C9F">
        <w:t xml:space="preserve">’s and the court’s efforts to contact respondent were fruitless.  The court concludes that respondent was given sufficient notice of the pendency of this proceeding to satisfy the requirements of due process.  </w:t>
      </w:r>
      <w:proofErr w:type="gramStart"/>
      <w:r w:rsidR="00DB041B" w:rsidRPr="00921C9F">
        <w:t>(</w:t>
      </w:r>
      <w:r w:rsidR="00DB041B" w:rsidRPr="00921C9F">
        <w:rPr>
          <w:i/>
        </w:rPr>
        <w:t>Jones v. Flowers, et al.</w:t>
      </w:r>
      <w:r w:rsidR="00DB041B" w:rsidRPr="00921C9F">
        <w:t xml:space="preserve"> (2006) 547 U.S. 220 [126 </w:t>
      </w:r>
      <w:proofErr w:type="spellStart"/>
      <w:r w:rsidR="00DB041B" w:rsidRPr="00921C9F">
        <w:t>S.Ct</w:t>
      </w:r>
      <w:proofErr w:type="spellEnd"/>
      <w:r w:rsidR="00DB041B" w:rsidRPr="00921C9F">
        <w:t xml:space="preserve">. 1708, 164 </w:t>
      </w:r>
      <w:proofErr w:type="spellStart"/>
      <w:r w:rsidR="00DB041B" w:rsidRPr="00921C9F">
        <w:t>L.Ed.2d</w:t>
      </w:r>
      <w:proofErr w:type="spellEnd"/>
      <w:r w:rsidR="00DB041B" w:rsidRPr="00921C9F">
        <w:t xml:space="preserve"> 415].)</w:t>
      </w:r>
      <w:proofErr w:type="gramEnd"/>
    </w:p>
    <w:p w:rsidR="00B31AB1" w:rsidRPr="00097646" w:rsidRDefault="00097646" w:rsidP="005E28F8">
      <w:pPr>
        <w:tabs>
          <w:tab w:val="center" w:pos="4680"/>
        </w:tabs>
        <w:spacing w:line="480" w:lineRule="auto"/>
        <w:ind w:firstLine="720"/>
        <w:jc w:val="center"/>
        <w:rPr>
          <w:b/>
          <w:bCs/>
        </w:rPr>
      </w:pPr>
      <w:r w:rsidRPr="00097646">
        <w:rPr>
          <w:b/>
          <w:bCs/>
        </w:rPr>
        <w:t>II</w:t>
      </w:r>
      <w:proofErr w:type="gramStart"/>
      <w:r w:rsidRPr="00097646">
        <w:rPr>
          <w:b/>
          <w:bCs/>
        </w:rPr>
        <w:t>.  Findings</w:t>
      </w:r>
      <w:proofErr w:type="gramEnd"/>
      <w:r w:rsidRPr="00097646">
        <w:rPr>
          <w:b/>
          <w:bCs/>
        </w:rPr>
        <w:t xml:space="preserve"> of Fact</w:t>
      </w:r>
      <w:r w:rsidR="006F1DE1">
        <w:rPr>
          <w:b/>
          <w:bCs/>
        </w:rPr>
        <w:t xml:space="preserve"> and Conclusions of Law</w:t>
      </w:r>
    </w:p>
    <w:p w:rsidR="00C30D45" w:rsidRDefault="00C30D45" w:rsidP="005E28F8">
      <w:pPr>
        <w:spacing w:line="480" w:lineRule="auto"/>
        <w:ind w:firstLine="720"/>
        <w:rPr>
          <w:highlight w:val="yellow"/>
        </w:rPr>
      </w:pPr>
      <w:r>
        <w:t xml:space="preserve">All factual allegations of the </w:t>
      </w:r>
      <w:proofErr w:type="spellStart"/>
      <w:r>
        <w:t>NDC</w:t>
      </w:r>
      <w:proofErr w:type="spellEnd"/>
      <w:r>
        <w:t xml:space="preserve"> are deemed admitted upon entry of respondent’s default unless otherwise ordered by the court based on contrary evidence.  (Rules Proc. of State Bar, rule 200(d</w:t>
      </w:r>
      <w:proofErr w:type="gramStart"/>
      <w:r>
        <w:t>)(</w:t>
      </w:r>
      <w:proofErr w:type="gramEnd"/>
      <w:r>
        <w:t xml:space="preserve">1)(A).)  </w:t>
      </w:r>
    </w:p>
    <w:p w:rsidR="00DB041B" w:rsidRDefault="00DB041B" w:rsidP="00DB041B">
      <w:pPr>
        <w:spacing w:line="480" w:lineRule="auto"/>
      </w:pPr>
      <w:r>
        <w:rPr>
          <w:b/>
          <w:bCs/>
        </w:rPr>
        <w:lastRenderedPageBreak/>
        <w:t>A.  Jurisdiction</w:t>
      </w:r>
    </w:p>
    <w:p w:rsidR="00C30D45" w:rsidRDefault="00C30D45" w:rsidP="005E28F8">
      <w:pPr>
        <w:spacing w:line="480" w:lineRule="auto"/>
        <w:ind w:firstLine="720"/>
      </w:pPr>
      <w:r>
        <w:t xml:space="preserve">Respondent was admitted to the practice of law in California on </w:t>
      </w:r>
      <w:r w:rsidR="00DB041B">
        <w:t>December 16, 1991</w:t>
      </w:r>
      <w:r>
        <w:t>, and has been a member of the State Bar of California at all times since that date.</w:t>
      </w:r>
    </w:p>
    <w:p w:rsidR="00AA369A" w:rsidRPr="00251192" w:rsidRDefault="00AA369A" w:rsidP="00F512A8">
      <w:pPr>
        <w:spacing w:line="480" w:lineRule="auto"/>
        <w:rPr>
          <w:b/>
          <w:color w:val="000000"/>
        </w:rPr>
      </w:pPr>
      <w:r w:rsidRPr="00251192">
        <w:rPr>
          <w:b/>
          <w:color w:val="000000"/>
        </w:rPr>
        <w:t>B.  Findings of Fact</w:t>
      </w:r>
    </w:p>
    <w:p w:rsidR="00F512A8" w:rsidRDefault="00F512A8" w:rsidP="00F512A8">
      <w:pPr>
        <w:spacing w:line="480" w:lineRule="auto"/>
        <w:ind w:firstLine="720"/>
      </w:pPr>
      <w:r w:rsidRPr="00F26094">
        <w:rPr>
          <w:color w:val="000000"/>
        </w:rPr>
        <w:t>In 1999, respondent was employed as an attorney by Schiff Nutrition International, Inc. (“Schiff”).</w:t>
      </w:r>
      <w:r w:rsidRPr="00F26094">
        <w:t xml:space="preserve">  </w:t>
      </w:r>
    </w:p>
    <w:p w:rsidR="00F512A8" w:rsidRPr="00F26094" w:rsidRDefault="00F512A8" w:rsidP="00F512A8">
      <w:pPr>
        <w:spacing w:line="480" w:lineRule="auto"/>
        <w:ind w:firstLine="720"/>
      </w:pPr>
      <w:r w:rsidRPr="00F26094">
        <w:rPr>
          <w:color w:val="000000"/>
        </w:rPr>
        <w:t>In October 2004, stock of a certain public company was issued to Schiff in connection with the bankruptcy of a Schiff customer.  Respondent utilized a transfer agent to sell portions of the stock and issued several checks to Schiff.  Respondent then deposited said checks, totaling $37,583.00</w:t>
      </w:r>
      <w:r w:rsidR="00081D1C">
        <w:rPr>
          <w:color w:val="000000"/>
        </w:rPr>
        <w:t>,</w:t>
      </w:r>
      <w:r w:rsidRPr="00F26094">
        <w:rPr>
          <w:color w:val="000000"/>
        </w:rPr>
        <w:t xml:space="preserve"> in a bank account controlled solely by respondent.  Respondent did not notify Schiff of the receipt of these funds.</w:t>
      </w:r>
    </w:p>
    <w:p w:rsidR="00F512A8" w:rsidRDefault="00F512A8" w:rsidP="00F512A8">
      <w:pPr>
        <w:spacing w:line="480" w:lineRule="auto"/>
        <w:ind w:firstLine="720"/>
        <w:rPr>
          <w:color w:val="000000"/>
        </w:rPr>
      </w:pPr>
      <w:r w:rsidRPr="00F26094">
        <w:rPr>
          <w:color w:val="000000"/>
        </w:rPr>
        <w:t>In July 2006, respondent received a check on behalf of Schiff in the amount of $71,244.58 from Schiff’s insurance broker.  Respondent deposited the check into a Wyoming bank account respondent set up in Schiff’s name.  Respondent then transferred the funds to a Utah bank account controlled solely by respondent.  Respondent did not notify Schiff of the receipt of these funds.  Respondent did not remit the proceeds of the settlement check to Schiff.  Instead, respondent used the funds for his own purposes.</w:t>
      </w:r>
      <w:r>
        <w:rPr>
          <w:color w:val="000000"/>
        </w:rPr>
        <w:t xml:space="preserve">  </w:t>
      </w:r>
    </w:p>
    <w:p w:rsidR="00F512A8" w:rsidRPr="00A37A4D" w:rsidRDefault="00F512A8" w:rsidP="00F512A8">
      <w:pPr>
        <w:spacing w:line="480" w:lineRule="auto"/>
        <w:ind w:firstLine="720"/>
        <w:rPr>
          <w:color w:val="000000"/>
        </w:rPr>
      </w:pPr>
      <w:r w:rsidRPr="00F26094">
        <w:rPr>
          <w:color w:val="000000"/>
        </w:rPr>
        <w:t>On December 20, 2006, Schiff asked respondent about the $71,244.58 settlement check.  Respondent admitted to Schiff that he misappropriated funds from Schiff.</w:t>
      </w:r>
    </w:p>
    <w:p w:rsidR="00F512A8" w:rsidRDefault="00F512A8" w:rsidP="00F512A8">
      <w:pPr>
        <w:spacing w:line="480" w:lineRule="auto"/>
        <w:ind w:firstLine="720"/>
        <w:rPr>
          <w:color w:val="000000"/>
        </w:rPr>
      </w:pPr>
      <w:r w:rsidRPr="00F26094">
        <w:rPr>
          <w:color w:val="000000"/>
        </w:rPr>
        <w:t>During his employment at Schiff, respondent misappropriated $108,827.58 in funds belonging to Schiff.</w:t>
      </w:r>
      <w:r>
        <w:t xml:space="preserve">  </w:t>
      </w:r>
      <w:r w:rsidRPr="00F26094">
        <w:rPr>
          <w:color w:val="000000"/>
        </w:rPr>
        <w:t>It was only in February 2007, following Schiff’s investigation into respondent’s misappropriation of funds belonging to Schiff, that respondent admitted to the misappropriation and repaid Schiff the misappropriated amount.</w:t>
      </w:r>
    </w:p>
    <w:p w:rsidR="00303C27" w:rsidRPr="00F26094" w:rsidRDefault="00303C27" w:rsidP="00F512A8">
      <w:pPr>
        <w:spacing w:line="480" w:lineRule="auto"/>
        <w:ind w:firstLine="720"/>
      </w:pPr>
    </w:p>
    <w:p w:rsidR="00AA369A" w:rsidRDefault="00F512A8" w:rsidP="00F512A8">
      <w:pPr>
        <w:spacing w:line="480" w:lineRule="auto"/>
        <w:rPr>
          <w:b/>
          <w:color w:val="000000"/>
        </w:rPr>
      </w:pPr>
      <w:r>
        <w:rPr>
          <w:b/>
          <w:color w:val="000000"/>
        </w:rPr>
        <w:lastRenderedPageBreak/>
        <w:t>C</w:t>
      </w:r>
      <w:r w:rsidR="00AA369A">
        <w:rPr>
          <w:b/>
          <w:color w:val="000000"/>
        </w:rPr>
        <w:t xml:space="preserve">.  </w:t>
      </w:r>
      <w:r w:rsidR="00AA369A" w:rsidRPr="007A5F88">
        <w:rPr>
          <w:b/>
          <w:color w:val="000000"/>
        </w:rPr>
        <w:t>Conclusion</w:t>
      </w:r>
      <w:r w:rsidR="00AA369A">
        <w:rPr>
          <w:b/>
          <w:color w:val="000000"/>
        </w:rPr>
        <w:t>s</w:t>
      </w:r>
      <w:r w:rsidR="00AA369A" w:rsidRPr="007A5F88">
        <w:rPr>
          <w:b/>
          <w:color w:val="000000"/>
        </w:rPr>
        <w:t xml:space="preserve"> of Law</w:t>
      </w:r>
    </w:p>
    <w:p w:rsidR="00F512A8" w:rsidRDefault="00F512A8" w:rsidP="00F512A8">
      <w:pPr>
        <w:ind w:left="1080" w:hanging="360"/>
        <w:rPr>
          <w:b/>
          <w:color w:val="000000"/>
        </w:rPr>
      </w:pPr>
      <w:r>
        <w:rPr>
          <w:b/>
          <w:color w:val="000000"/>
        </w:rPr>
        <w:t>1</w:t>
      </w:r>
      <w:r w:rsidRPr="00CF1617">
        <w:rPr>
          <w:b/>
          <w:color w:val="000000"/>
        </w:rPr>
        <w:t xml:space="preserve">.   Count </w:t>
      </w:r>
      <w:r w:rsidR="00AB5B14">
        <w:rPr>
          <w:b/>
          <w:color w:val="000000"/>
        </w:rPr>
        <w:t>One</w:t>
      </w:r>
      <w:r w:rsidRPr="00CF1617">
        <w:rPr>
          <w:b/>
          <w:color w:val="000000"/>
        </w:rPr>
        <w:t xml:space="preserve"> - Rules of Professional Conduct, Rule 4-100(A)</w:t>
      </w:r>
      <w:r w:rsidRPr="00CF1617">
        <w:rPr>
          <w:rStyle w:val="FootnoteReference"/>
          <w:b/>
          <w:color w:val="000000"/>
        </w:rPr>
        <w:footnoteReference w:id="6"/>
      </w:r>
      <w:r w:rsidRPr="00CF1617">
        <w:rPr>
          <w:b/>
          <w:color w:val="000000"/>
        </w:rPr>
        <w:t xml:space="preserve"> - [Failure to Maintain Client Funds in Trust]</w:t>
      </w:r>
    </w:p>
    <w:p w:rsidR="00F512A8" w:rsidRPr="00F512A8" w:rsidRDefault="00F512A8" w:rsidP="00F512A8">
      <w:pPr>
        <w:ind w:left="1080" w:hanging="360"/>
        <w:rPr>
          <w:color w:val="000000"/>
        </w:rPr>
      </w:pPr>
    </w:p>
    <w:p w:rsidR="00F512A8" w:rsidRPr="00F512A8" w:rsidRDefault="00AB5B14" w:rsidP="00F512A8">
      <w:pPr>
        <w:spacing w:line="480" w:lineRule="auto"/>
        <w:ind w:firstLine="720"/>
        <w:rPr>
          <w:color w:val="000000"/>
        </w:rPr>
      </w:pPr>
      <w:r w:rsidRPr="00CF1617">
        <w:t xml:space="preserve">Rule 4-100(A) provides, in part, that all funds received or held for the benefit of clients must be deposited in an identifiable bank account which is properly labeled as a client trust account.  </w:t>
      </w:r>
      <w:r w:rsidR="00076041">
        <w:t>The Office of the Chief Trial Counsel alleges that r</w:t>
      </w:r>
      <w:r w:rsidRPr="00CF1617">
        <w:t>espondent willfully violated rule 4-100(A) b</w:t>
      </w:r>
      <w:r w:rsidRPr="00CF1617">
        <w:rPr>
          <w:color w:val="000000"/>
        </w:rPr>
        <w:t xml:space="preserve">y </w:t>
      </w:r>
      <w:r w:rsidR="00076041" w:rsidRPr="00076041">
        <w:rPr>
          <w:color w:val="000000"/>
        </w:rPr>
        <w:t>transferring client funds from an account in Schiff’s name to an account controlled solely by respondent</w:t>
      </w:r>
      <w:r w:rsidRPr="00CF1617">
        <w:t>.</w:t>
      </w:r>
      <w:r w:rsidR="00076041">
        <w:t xml:space="preserve">  The court disagrees.  </w:t>
      </w:r>
      <w:r w:rsidR="00C10DC6">
        <w:t>The e</w:t>
      </w:r>
      <w:r w:rsidR="00076041">
        <w:t xml:space="preserve">vidence in the record </w:t>
      </w:r>
      <w:r w:rsidR="00C10DC6">
        <w:t>fails to establish</w:t>
      </w:r>
      <w:r w:rsidR="00036AEB">
        <w:t>—</w:t>
      </w:r>
      <w:r w:rsidR="00076041">
        <w:t>by</w:t>
      </w:r>
      <w:r w:rsidR="00036AEB">
        <w:t xml:space="preserve"> clear and convincing evidence—</w:t>
      </w:r>
      <w:r w:rsidR="00076041">
        <w:t>that the</w:t>
      </w:r>
      <w:r w:rsidR="00036AEB">
        <w:t xml:space="preserve"> bank</w:t>
      </w:r>
      <w:r w:rsidR="00076041">
        <w:t xml:space="preserve"> account respondent transferred Schiff’s money into was not a client trust account.  </w:t>
      </w:r>
      <w:r w:rsidR="00C10DC6">
        <w:t>Accordingly, Count One is dismissed with prejudice.</w:t>
      </w:r>
    </w:p>
    <w:p w:rsidR="00F512A8" w:rsidRDefault="00AB5B14" w:rsidP="00341FF6">
      <w:pPr>
        <w:ind w:left="1080" w:hanging="360"/>
        <w:rPr>
          <w:b/>
          <w:color w:val="000000"/>
        </w:rPr>
      </w:pPr>
      <w:r>
        <w:rPr>
          <w:b/>
          <w:color w:val="000000"/>
        </w:rPr>
        <w:t>2</w:t>
      </w:r>
      <w:r w:rsidRPr="00CF1617">
        <w:rPr>
          <w:b/>
          <w:color w:val="000000"/>
        </w:rPr>
        <w:t xml:space="preserve">.   Count </w:t>
      </w:r>
      <w:r>
        <w:rPr>
          <w:b/>
          <w:color w:val="000000"/>
        </w:rPr>
        <w:t>Two</w:t>
      </w:r>
      <w:r w:rsidRPr="00CF1617">
        <w:rPr>
          <w:b/>
          <w:color w:val="000000"/>
        </w:rPr>
        <w:t xml:space="preserve"> - Rule 4-100(A) - [Failure to Maintain Client Funds in Trust]</w:t>
      </w:r>
    </w:p>
    <w:p w:rsidR="00341FF6" w:rsidRPr="00341FF6" w:rsidRDefault="00341FF6" w:rsidP="00341FF6">
      <w:pPr>
        <w:ind w:left="1080" w:hanging="360"/>
        <w:rPr>
          <w:color w:val="000000"/>
        </w:rPr>
      </w:pPr>
    </w:p>
    <w:p w:rsidR="00341FF6" w:rsidRDefault="00036AEB" w:rsidP="00F512A8">
      <w:pPr>
        <w:spacing w:line="480" w:lineRule="auto"/>
        <w:ind w:firstLine="720"/>
        <w:rPr>
          <w:color w:val="000000"/>
        </w:rPr>
      </w:pPr>
      <w:r>
        <w:t>The Office of the Chief Trial Counsel alleges that r</w:t>
      </w:r>
      <w:r w:rsidRPr="00CF1617">
        <w:t>espondent willfully violated rule 4-100(A) b</w:t>
      </w:r>
      <w:r w:rsidRPr="00CF1617">
        <w:rPr>
          <w:color w:val="000000"/>
        </w:rPr>
        <w:t>y</w:t>
      </w:r>
      <w:r>
        <w:rPr>
          <w:color w:val="000000"/>
        </w:rPr>
        <w:t xml:space="preserve"> </w:t>
      </w:r>
      <w:r w:rsidRPr="00036AEB">
        <w:rPr>
          <w:color w:val="000000"/>
        </w:rPr>
        <w:t xml:space="preserve">depositing checks issued </w:t>
      </w:r>
      <w:r w:rsidR="008450AC">
        <w:rPr>
          <w:color w:val="000000"/>
        </w:rPr>
        <w:t>to Schiff in the amount of $37,</w:t>
      </w:r>
      <w:r w:rsidRPr="00036AEB">
        <w:rPr>
          <w:color w:val="000000"/>
        </w:rPr>
        <w:t>583.00 into a bank account controlled solely by respondent</w:t>
      </w:r>
      <w:r>
        <w:rPr>
          <w:color w:val="000000"/>
        </w:rPr>
        <w:t xml:space="preserve">.  Once again, the court disagrees.  </w:t>
      </w:r>
      <w:r>
        <w:t>The evidence in the record fails to establish—by clear and convincing evidence—that the bank account respondent transferred Schiff’s money into was not a client trust account.  Accordingly, Count Two is dismissed with prejudice.</w:t>
      </w:r>
    </w:p>
    <w:p w:rsidR="00341FF6" w:rsidRDefault="00341FF6" w:rsidP="00341FF6">
      <w:pPr>
        <w:ind w:left="1080" w:hanging="360"/>
        <w:rPr>
          <w:b/>
          <w:color w:val="000000"/>
        </w:rPr>
      </w:pPr>
      <w:r>
        <w:rPr>
          <w:b/>
          <w:color w:val="000000"/>
        </w:rPr>
        <w:t>3</w:t>
      </w:r>
      <w:r w:rsidRPr="00CF1617">
        <w:rPr>
          <w:b/>
          <w:color w:val="000000"/>
        </w:rPr>
        <w:t xml:space="preserve">.   Count </w:t>
      </w:r>
      <w:r>
        <w:rPr>
          <w:b/>
          <w:color w:val="000000"/>
        </w:rPr>
        <w:t>Three</w:t>
      </w:r>
      <w:r w:rsidRPr="00CF1617">
        <w:rPr>
          <w:b/>
          <w:color w:val="000000"/>
        </w:rPr>
        <w:t xml:space="preserve"> - Rule 4-100(</w:t>
      </w:r>
      <w:r>
        <w:rPr>
          <w:b/>
          <w:color w:val="000000"/>
        </w:rPr>
        <w:t>B</w:t>
      </w:r>
      <w:proofErr w:type="gramStart"/>
      <w:r w:rsidRPr="00CF1617">
        <w:rPr>
          <w:b/>
          <w:color w:val="000000"/>
        </w:rPr>
        <w:t>)</w:t>
      </w:r>
      <w:r>
        <w:rPr>
          <w:b/>
          <w:color w:val="000000"/>
        </w:rPr>
        <w:t>(</w:t>
      </w:r>
      <w:proofErr w:type="gramEnd"/>
      <w:r>
        <w:rPr>
          <w:b/>
          <w:color w:val="000000"/>
        </w:rPr>
        <w:t>1)</w:t>
      </w:r>
      <w:r w:rsidRPr="00CF1617">
        <w:rPr>
          <w:b/>
          <w:color w:val="000000"/>
        </w:rPr>
        <w:t xml:space="preserve"> - [Failure to </w:t>
      </w:r>
      <w:r>
        <w:rPr>
          <w:b/>
          <w:color w:val="000000"/>
        </w:rPr>
        <w:t>Notify</w:t>
      </w:r>
      <w:r w:rsidR="000D612D">
        <w:rPr>
          <w:b/>
          <w:color w:val="000000"/>
        </w:rPr>
        <w:t xml:space="preserve"> </w:t>
      </w:r>
      <w:r w:rsidR="000D612D" w:rsidRPr="000D612D">
        <w:rPr>
          <w:b/>
          <w:bCs/>
        </w:rPr>
        <w:t>of Receipt of Client Funds</w:t>
      </w:r>
      <w:r w:rsidRPr="00CF1617">
        <w:rPr>
          <w:b/>
          <w:color w:val="000000"/>
        </w:rPr>
        <w:t>]</w:t>
      </w:r>
    </w:p>
    <w:p w:rsidR="00341FF6" w:rsidRPr="00341FF6" w:rsidRDefault="00341FF6" w:rsidP="00341FF6">
      <w:pPr>
        <w:ind w:left="1080" w:hanging="360"/>
        <w:rPr>
          <w:color w:val="000000"/>
        </w:rPr>
      </w:pPr>
    </w:p>
    <w:p w:rsidR="00341FF6" w:rsidRDefault="00FF151B" w:rsidP="00F512A8">
      <w:pPr>
        <w:spacing w:line="480" w:lineRule="auto"/>
        <w:ind w:firstLine="720"/>
        <w:rPr>
          <w:color w:val="000000"/>
        </w:rPr>
      </w:pPr>
      <w:r>
        <w:t>Rule 4-100(B</w:t>
      </w:r>
      <w:proofErr w:type="gramStart"/>
      <w:r>
        <w:t>)(</w:t>
      </w:r>
      <w:proofErr w:type="gramEnd"/>
      <w:r>
        <w:t xml:space="preserve">1) requires that an attorney promptly notify a client of the receipt of the client’s funds, securities, or other properties.  </w:t>
      </w:r>
      <w:r w:rsidR="00305152" w:rsidRPr="00305152">
        <w:rPr>
          <w:color w:val="000000"/>
        </w:rPr>
        <w:t>By not informing Schiff of respondent’s receipt of the $71,244.58 settlement check and the</w:t>
      </w:r>
      <w:r w:rsidR="00634DD5">
        <w:rPr>
          <w:color w:val="000000"/>
        </w:rPr>
        <w:t xml:space="preserve"> additional</w:t>
      </w:r>
      <w:r w:rsidR="00305152" w:rsidRPr="00305152">
        <w:rPr>
          <w:color w:val="000000"/>
        </w:rPr>
        <w:t xml:space="preserve"> checks issued to Schiff totaling $37,583.00, </w:t>
      </w:r>
      <w:r w:rsidRPr="00F204C8">
        <w:t xml:space="preserve">respondent failed to </w:t>
      </w:r>
      <w:r w:rsidR="00305152" w:rsidRPr="00F204C8">
        <w:t xml:space="preserve">promptly </w:t>
      </w:r>
      <w:r w:rsidRPr="00F204C8">
        <w:t xml:space="preserve">notify a client of the receipt of the client's funds, </w:t>
      </w:r>
      <w:r>
        <w:t>securities, or other properties, in willful violation of rule 4-100(B)(1).</w:t>
      </w:r>
    </w:p>
    <w:p w:rsidR="00AA369A" w:rsidRDefault="00341FF6" w:rsidP="00F512A8">
      <w:pPr>
        <w:ind w:left="1080" w:hanging="360"/>
        <w:rPr>
          <w:b/>
          <w:color w:val="000000"/>
        </w:rPr>
      </w:pPr>
      <w:r>
        <w:rPr>
          <w:b/>
          <w:color w:val="000000"/>
        </w:rPr>
        <w:lastRenderedPageBreak/>
        <w:t>4</w:t>
      </w:r>
      <w:r w:rsidR="00AA369A" w:rsidRPr="00A22BB6">
        <w:rPr>
          <w:b/>
          <w:color w:val="000000"/>
        </w:rPr>
        <w:t xml:space="preserve">.  </w:t>
      </w:r>
      <w:r w:rsidR="00AA369A">
        <w:rPr>
          <w:b/>
          <w:color w:val="000000"/>
        </w:rPr>
        <w:t xml:space="preserve"> </w:t>
      </w:r>
      <w:r w:rsidR="00AA369A" w:rsidRPr="00A22BB6">
        <w:rPr>
          <w:b/>
          <w:color w:val="000000"/>
        </w:rPr>
        <w:t xml:space="preserve">Count </w:t>
      </w:r>
      <w:r>
        <w:rPr>
          <w:b/>
          <w:color w:val="000000"/>
        </w:rPr>
        <w:t>Four</w:t>
      </w:r>
      <w:r w:rsidR="00AA369A" w:rsidRPr="00A22BB6">
        <w:rPr>
          <w:b/>
          <w:color w:val="000000"/>
        </w:rPr>
        <w:t xml:space="preserve"> </w:t>
      </w:r>
      <w:r w:rsidR="00AA369A" w:rsidRPr="00A22BB6">
        <w:rPr>
          <w:b/>
        </w:rPr>
        <w:t xml:space="preserve">- </w:t>
      </w:r>
      <w:r w:rsidR="00AA369A" w:rsidRPr="00A22BB6">
        <w:rPr>
          <w:b/>
          <w:color w:val="000000"/>
        </w:rPr>
        <w:t>Business and Professions Code, Section 6106 [Moral Turpitude - Misappropriation]</w:t>
      </w:r>
      <w:r w:rsidR="00AA369A">
        <w:rPr>
          <w:rStyle w:val="FootnoteReference"/>
          <w:b/>
          <w:color w:val="000000"/>
        </w:rPr>
        <w:footnoteReference w:id="7"/>
      </w:r>
    </w:p>
    <w:p w:rsidR="00AA369A" w:rsidRDefault="00AA369A" w:rsidP="00AA369A">
      <w:pPr>
        <w:ind w:left="1710" w:hanging="270"/>
        <w:rPr>
          <w:b/>
          <w:color w:val="000000"/>
        </w:rPr>
      </w:pPr>
    </w:p>
    <w:p w:rsidR="00AA369A" w:rsidRPr="00B971EC" w:rsidRDefault="00AA369A" w:rsidP="00AA369A">
      <w:pPr>
        <w:spacing w:line="480" w:lineRule="auto"/>
        <w:ind w:firstLine="720"/>
        <w:rPr>
          <w:color w:val="000000"/>
        </w:rPr>
      </w:pPr>
      <w:r w:rsidRPr="00B971EC">
        <w:t xml:space="preserve">Section 6106 provides that the commission of any act involving moral turpitude, dishonesty or corruption constitutes a cause for suspension or disbarment.  “‘There is no doubt that the </w:t>
      </w:r>
      <w:proofErr w:type="spellStart"/>
      <w:r w:rsidRPr="00B971EC">
        <w:t>wilful</w:t>
      </w:r>
      <w:proofErr w:type="spellEnd"/>
      <w:r w:rsidRPr="00B971EC">
        <w:t xml:space="preserve"> misappropriation of a client’s funds involves moral turpitude.  </w:t>
      </w:r>
      <w:proofErr w:type="gramStart"/>
      <w:r w:rsidRPr="00B971EC">
        <w:t>[Citations.]’</w:t>
      </w:r>
      <w:proofErr w:type="gramEnd"/>
      <w:r w:rsidRPr="00B971EC">
        <w:t xml:space="preserve">  [Citations omitted.]”  </w:t>
      </w:r>
      <w:proofErr w:type="gramStart"/>
      <w:r w:rsidRPr="00B971EC">
        <w:t>(</w:t>
      </w:r>
      <w:r w:rsidRPr="00B971EC">
        <w:rPr>
          <w:i/>
        </w:rPr>
        <w:t>McKnight v. State Bar</w:t>
      </w:r>
      <w:r w:rsidRPr="00B971EC">
        <w:t xml:space="preserve"> (1991) 53 </w:t>
      </w:r>
      <w:proofErr w:type="spellStart"/>
      <w:r w:rsidRPr="00B971EC">
        <w:t>Cal.3d</w:t>
      </w:r>
      <w:proofErr w:type="spellEnd"/>
      <w:r w:rsidRPr="00B971EC">
        <w:t xml:space="preserve"> 1025, 1033-1034.)</w:t>
      </w:r>
      <w:proofErr w:type="gramEnd"/>
      <w:r w:rsidRPr="00B971EC">
        <w:t xml:space="preserve">  </w:t>
      </w:r>
      <w:r w:rsidRPr="00B971EC">
        <w:rPr>
          <w:color w:val="000000"/>
        </w:rPr>
        <w:t xml:space="preserve">By misappropriating </w:t>
      </w:r>
      <w:r w:rsidR="00642520">
        <w:rPr>
          <w:color w:val="000000"/>
        </w:rPr>
        <w:t>$</w:t>
      </w:r>
      <w:r w:rsidR="00954177">
        <w:rPr>
          <w:color w:val="000000"/>
        </w:rPr>
        <w:t>108,827.58</w:t>
      </w:r>
      <w:r w:rsidR="00642520">
        <w:rPr>
          <w:color w:val="000000"/>
        </w:rPr>
        <w:t xml:space="preserve"> in </w:t>
      </w:r>
      <w:r w:rsidRPr="00B971EC">
        <w:rPr>
          <w:color w:val="000000"/>
        </w:rPr>
        <w:t xml:space="preserve">funds </w:t>
      </w:r>
      <w:r w:rsidR="00954177">
        <w:rPr>
          <w:color w:val="000000"/>
        </w:rPr>
        <w:t>belonging to Schiff</w:t>
      </w:r>
      <w:r w:rsidRPr="00B971EC">
        <w:rPr>
          <w:color w:val="000000"/>
        </w:rPr>
        <w:t>, r</w:t>
      </w:r>
      <w:r w:rsidR="00D47ABE">
        <w:rPr>
          <w:color w:val="000000"/>
        </w:rPr>
        <w:t>espondent willfully committed</w:t>
      </w:r>
      <w:r w:rsidRPr="00B971EC">
        <w:rPr>
          <w:color w:val="000000"/>
        </w:rPr>
        <w:t xml:space="preserve"> act</w:t>
      </w:r>
      <w:r w:rsidR="00D47ABE">
        <w:rPr>
          <w:color w:val="000000"/>
        </w:rPr>
        <w:t>s</w:t>
      </w:r>
      <w:r w:rsidRPr="00B971EC">
        <w:rPr>
          <w:color w:val="000000"/>
        </w:rPr>
        <w:t xml:space="preserve"> involving moral turpitude, dishonesty or corruption in violation of section 6106.</w:t>
      </w:r>
    </w:p>
    <w:p w:rsidR="00B31AB1" w:rsidRPr="00097646" w:rsidRDefault="00097646" w:rsidP="003F03C7">
      <w:pPr>
        <w:tabs>
          <w:tab w:val="center" w:pos="4680"/>
        </w:tabs>
        <w:spacing w:line="480" w:lineRule="auto"/>
        <w:jc w:val="center"/>
        <w:rPr>
          <w:b/>
          <w:bCs/>
        </w:rPr>
      </w:pPr>
      <w:r w:rsidRPr="00097646">
        <w:rPr>
          <w:b/>
          <w:bCs/>
        </w:rPr>
        <w:t>I</w:t>
      </w:r>
      <w:r w:rsidR="004D0552">
        <w:rPr>
          <w:b/>
          <w:bCs/>
        </w:rPr>
        <w:t>II</w:t>
      </w:r>
      <w:proofErr w:type="gramStart"/>
      <w:r w:rsidRPr="00097646">
        <w:rPr>
          <w:b/>
          <w:bCs/>
        </w:rPr>
        <w:t>.  Mitigating</w:t>
      </w:r>
      <w:proofErr w:type="gramEnd"/>
      <w:r w:rsidRPr="00097646">
        <w:rPr>
          <w:b/>
          <w:bCs/>
        </w:rPr>
        <w:t xml:space="preserve"> and Aggravating Circumstances</w:t>
      </w:r>
    </w:p>
    <w:p w:rsidR="00D06BDD" w:rsidRPr="00D06BDD" w:rsidRDefault="0069105D" w:rsidP="003F03C7">
      <w:pPr>
        <w:spacing w:line="480" w:lineRule="auto"/>
        <w:rPr>
          <w:b/>
        </w:rPr>
      </w:pPr>
      <w:r>
        <w:rPr>
          <w:b/>
        </w:rPr>
        <w:t xml:space="preserve">A.  </w:t>
      </w:r>
      <w:r w:rsidR="00D06BDD" w:rsidRPr="00D06BDD">
        <w:rPr>
          <w:b/>
        </w:rPr>
        <w:t>Mitigation</w:t>
      </w:r>
    </w:p>
    <w:p w:rsidR="00622F9C" w:rsidRDefault="00622F9C" w:rsidP="00394768">
      <w:pPr>
        <w:spacing w:line="480" w:lineRule="auto"/>
        <w:ind w:firstLine="720"/>
      </w:pPr>
      <w:r>
        <w:t xml:space="preserve">Respondent bears the burden of establishing mitigation by clear and convincing evidence.  (Rules Proc. of State Bar, tit. IV, </w:t>
      </w:r>
      <w:proofErr w:type="spellStart"/>
      <w:r>
        <w:t>Stds</w:t>
      </w:r>
      <w:proofErr w:type="spellEnd"/>
      <w:r>
        <w:t>. for Atty. Sanctions for Prof. Misconduct, std. 1.2(e).)</w:t>
      </w:r>
      <w:r>
        <w:rPr>
          <w:rStyle w:val="FootnoteReference"/>
        </w:rPr>
        <w:footnoteReference w:id="8"/>
      </w:r>
      <w:r>
        <w:t xml:space="preserve">  </w:t>
      </w:r>
      <w:r w:rsidR="00812B15">
        <w:t>Respondent, however, has no prior record of discipline in approximately 13 years of practice prior to engaging in his first act of misconduct in the current proceeding.</w:t>
      </w:r>
      <w:r w:rsidR="00812B15">
        <w:rPr>
          <w:rStyle w:val="FootnoteReference"/>
        </w:rPr>
        <w:footnoteReference w:id="9"/>
      </w:r>
      <w:r w:rsidR="00812B15">
        <w:t xml:space="preserve">  Practicing law for 13 years before committing misconduct is a mitigating factor.</w:t>
      </w:r>
      <w:r w:rsidR="00812B15">
        <w:rPr>
          <w:rStyle w:val="FootnoteReference"/>
        </w:rPr>
        <w:footnoteReference w:id="10"/>
      </w:r>
    </w:p>
    <w:p w:rsidR="00D06BDD" w:rsidRDefault="0069105D" w:rsidP="003F03C7">
      <w:pPr>
        <w:spacing w:line="480" w:lineRule="auto"/>
        <w:rPr>
          <w:b/>
        </w:rPr>
      </w:pPr>
      <w:r w:rsidRPr="0069105D">
        <w:rPr>
          <w:b/>
        </w:rPr>
        <w:t>B.  Aggravation</w:t>
      </w:r>
    </w:p>
    <w:p w:rsidR="00622F9C" w:rsidRDefault="00622F9C" w:rsidP="00622F9C">
      <w:pPr>
        <w:widowControl w:val="0"/>
        <w:numPr>
          <w:ilvl w:val="12"/>
          <w:numId w:val="0"/>
        </w:numPr>
        <w:spacing w:line="480" w:lineRule="auto"/>
        <w:ind w:firstLine="720"/>
      </w:pPr>
      <w:r>
        <w:t xml:space="preserve">The court finds </w:t>
      </w:r>
      <w:r w:rsidR="00EB7171">
        <w:t>t</w:t>
      </w:r>
      <w:r w:rsidR="002F4029">
        <w:t>wo</w:t>
      </w:r>
      <w:r>
        <w:t xml:space="preserve"> factors in aggravation.  </w:t>
      </w:r>
      <w:proofErr w:type="gramStart"/>
      <w:r>
        <w:t>(Std. 1.2(b).)</w:t>
      </w:r>
      <w:proofErr w:type="gramEnd"/>
    </w:p>
    <w:p w:rsidR="00622F9C" w:rsidRPr="00997713" w:rsidRDefault="00F74245" w:rsidP="00622F9C">
      <w:pPr>
        <w:widowControl w:val="0"/>
        <w:numPr>
          <w:ilvl w:val="12"/>
          <w:numId w:val="0"/>
        </w:numPr>
        <w:spacing w:line="480" w:lineRule="auto"/>
        <w:ind w:firstLine="720"/>
        <w:rPr>
          <w:b/>
        </w:rPr>
      </w:pPr>
      <w:r>
        <w:rPr>
          <w:b/>
        </w:rPr>
        <w:t>1</w:t>
      </w:r>
      <w:r w:rsidR="00622F9C" w:rsidRPr="00997713">
        <w:rPr>
          <w:b/>
        </w:rPr>
        <w:t>.  Significant Harm</w:t>
      </w:r>
    </w:p>
    <w:p w:rsidR="00622F9C" w:rsidRDefault="00622F9C" w:rsidP="00622F9C">
      <w:pPr>
        <w:pStyle w:val="BodyTextIndent2"/>
        <w:widowControl/>
        <w:tabs>
          <w:tab w:val="num" w:pos="0"/>
        </w:tabs>
        <w:spacing w:line="480" w:lineRule="auto"/>
        <w:ind w:left="0" w:firstLine="720"/>
        <w:rPr>
          <w:bCs/>
        </w:rPr>
      </w:pPr>
      <w:r>
        <w:rPr>
          <w:bCs/>
        </w:rPr>
        <w:t xml:space="preserve">Respondent’s misconduct resulted </w:t>
      </w:r>
      <w:r w:rsidR="00845BFC">
        <w:rPr>
          <w:bCs/>
        </w:rPr>
        <w:t xml:space="preserve">in financial harm to </w:t>
      </w:r>
      <w:r w:rsidR="00752595">
        <w:rPr>
          <w:bCs/>
        </w:rPr>
        <w:t>h</w:t>
      </w:r>
      <w:r w:rsidR="00637A3B">
        <w:rPr>
          <w:bCs/>
        </w:rPr>
        <w:t>is</w:t>
      </w:r>
      <w:r w:rsidR="00752595">
        <w:rPr>
          <w:bCs/>
        </w:rPr>
        <w:t xml:space="preserve"> client</w:t>
      </w:r>
      <w:r>
        <w:rPr>
          <w:bCs/>
        </w:rPr>
        <w:t>.  (Std. 1.2(b</w:t>
      </w:r>
      <w:proofErr w:type="gramStart"/>
      <w:r>
        <w:rPr>
          <w:bCs/>
        </w:rPr>
        <w:t>)(</w:t>
      </w:r>
      <w:proofErr w:type="gramEnd"/>
      <w:r>
        <w:rPr>
          <w:bCs/>
        </w:rPr>
        <w:t xml:space="preserve">iv).)  </w:t>
      </w:r>
      <w:r w:rsidR="00EC40AA">
        <w:rPr>
          <w:bCs/>
        </w:rPr>
        <w:t xml:space="preserve">Said harm involved the misappropriation of </w:t>
      </w:r>
      <w:r w:rsidR="00EC40AA" w:rsidRPr="004179DC">
        <w:t>$</w:t>
      </w:r>
      <w:r w:rsidR="008D5C10">
        <w:rPr>
          <w:color w:val="000000"/>
        </w:rPr>
        <w:t>108,827.58</w:t>
      </w:r>
      <w:r w:rsidR="00F10348">
        <w:rPr>
          <w:color w:val="000000"/>
        </w:rPr>
        <w:t xml:space="preserve"> in funds</w:t>
      </w:r>
      <w:r w:rsidR="00EC40AA" w:rsidRPr="004179DC">
        <w:t xml:space="preserve"> </w:t>
      </w:r>
      <w:r w:rsidR="00EC40AA">
        <w:t xml:space="preserve">belonging to </w:t>
      </w:r>
      <w:r w:rsidR="008D5C10">
        <w:rPr>
          <w:bCs/>
        </w:rPr>
        <w:t>Schiff</w:t>
      </w:r>
      <w:r w:rsidR="00637A3B">
        <w:rPr>
          <w:bCs/>
        </w:rPr>
        <w:t xml:space="preserve">. </w:t>
      </w:r>
      <w:r w:rsidR="00F74245">
        <w:rPr>
          <w:bCs/>
        </w:rPr>
        <w:t xml:space="preserve"> </w:t>
      </w:r>
    </w:p>
    <w:p w:rsidR="00F74245" w:rsidRPr="002D6148" w:rsidRDefault="002D6148" w:rsidP="00622F9C">
      <w:pPr>
        <w:pStyle w:val="BodyTextIndent2"/>
        <w:widowControl/>
        <w:tabs>
          <w:tab w:val="num" w:pos="0"/>
        </w:tabs>
        <w:spacing w:line="480" w:lineRule="auto"/>
        <w:ind w:left="0" w:firstLine="720"/>
        <w:rPr>
          <w:b/>
          <w:bCs/>
        </w:rPr>
      </w:pPr>
      <w:r w:rsidRPr="002D6148">
        <w:rPr>
          <w:b/>
          <w:bCs/>
        </w:rPr>
        <w:lastRenderedPageBreak/>
        <w:t xml:space="preserve">2.  Failure to </w:t>
      </w:r>
      <w:r w:rsidR="003C517D">
        <w:rPr>
          <w:b/>
          <w:bCs/>
        </w:rPr>
        <w:t>Cooperate</w:t>
      </w:r>
    </w:p>
    <w:p w:rsidR="002D6148" w:rsidRPr="00C12530" w:rsidRDefault="00191DC7" w:rsidP="00622F9C">
      <w:pPr>
        <w:pStyle w:val="BodyTextIndent2"/>
        <w:widowControl/>
        <w:tabs>
          <w:tab w:val="num" w:pos="0"/>
        </w:tabs>
        <w:spacing w:line="480" w:lineRule="auto"/>
        <w:ind w:left="0" w:firstLine="720"/>
        <w:rPr>
          <w:bCs/>
        </w:rPr>
      </w:pPr>
      <w:r>
        <w:t>Respondent's lack of cooperation during the disciplinary investigation and proceedings is also an aggravating factor.  (Std. 1.2(b</w:t>
      </w:r>
      <w:proofErr w:type="gramStart"/>
      <w:r>
        <w:t>)(</w:t>
      </w:r>
      <w:proofErr w:type="gramEnd"/>
      <w:r>
        <w:t xml:space="preserve">vi).)  </w:t>
      </w:r>
    </w:p>
    <w:p w:rsidR="00B31AB1" w:rsidRPr="00097646" w:rsidRDefault="004D0552" w:rsidP="003F03C7">
      <w:pPr>
        <w:tabs>
          <w:tab w:val="center" w:pos="4680"/>
        </w:tabs>
        <w:spacing w:line="480" w:lineRule="auto"/>
        <w:jc w:val="center"/>
        <w:rPr>
          <w:b/>
          <w:bCs/>
        </w:rPr>
      </w:pPr>
      <w:r>
        <w:rPr>
          <w:b/>
          <w:bCs/>
        </w:rPr>
        <w:t>I</w:t>
      </w:r>
      <w:r w:rsidR="00097646" w:rsidRPr="00097646">
        <w:rPr>
          <w:b/>
          <w:bCs/>
        </w:rPr>
        <w:t>V</w:t>
      </w:r>
      <w:proofErr w:type="gramStart"/>
      <w:r w:rsidR="00097646" w:rsidRPr="00097646">
        <w:rPr>
          <w:b/>
          <w:bCs/>
        </w:rPr>
        <w:t>.  Discussion</w:t>
      </w:r>
      <w:proofErr w:type="gramEnd"/>
    </w:p>
    <w:p w:rsidR="00006CA0" w:rsidRDefault="00006CA0" w:rsidP="00006CA0">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sidRPr="0003569F">
        <w:rPr>
          <w:i/>
        </w:rPr>
        <w:t>Chadwick v. State Bar</w:t>
      </w:r>
      <w:r>
        <w:t xml:space="preserve"> (1989) 49 </w:t>
      </w:r>
      <w:proofErr w:type="spellStart"/>
      <w:r>
        <w:t>Cal.3d</w:t>
      </w:r>
      <w:proofErr w:type="spellEnd"/>
      <w:r>
        <w:t xml:space="preserve"> 103, 111; </w:t>
      </w:r>
      <w:r w:rsidRPr="0003569F">
        <w:rPr>
          <w:i/>
        </w:rPr>
        <w:t>Cooper v. State Bar</w:t>
      </w:r>
      <w:r>
        <w:t xml:space="preserve"> (1987) 43 </w:t>
      </w:r>
      <w:proofErr w:type="spellStart"/>
      <w:r>
        <w:t>Cal.3d</w:t>
      </w:r>
      <w:proofErr w:type="spellEnd"/>
      <w:r>
        <w:t xml:space="preserve"> 1016, 1025; std. 1.3.)</w:t>
      </w:r>
      <w:proofErr w:type="gramEnd"/>
      <w:r>
        <w:t xml:space="preserve"> </w:t>
      </w:r>
    </w:p>
    <w:p w:rsidR="00006CA0" w:rsidRDefault="00006CA0" w:rsidP="00006CA0">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w:t>
      </w:r>
      <w:proofErr w:type="gramStart"/>
      <w:r>
        <w:t>(Std. 1.6(a).)</w:t>
      </w:r>
      <w:proofErr w:type="gramEnd"/>
      <w:r>
        <w:t xml:space="preserve"> </w:t>
      </w:r>
    </w:p>
    <w:p w:rsidR="00006CA0" w:rsidRDefault="00006CA0" w:rsidP="00006CA0">
      <w:pPr>
        <w:spacing w:line="480" w:lineRule="auto"/>
        <w:ind w:firstLine="720"/>
      </w:pPr>
      <w:r>
        <w:t>Standards 2.2</w:t>
      </w:r>
      <w:r w:rsidR="00AB7BA4">
        <w:t xml:space="preserve"> </w:t>
      </w:r>
      <w:r>
        <w:t>and 2.3</w:t>
      </w:r>
      <w:r w:rsidR="00363491">
        <w:t xml:space="preserve"> </w:t>
      </w:r>
      <w:r>
        <w:t>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 year actual suspension.</w:t>
      </w:r>
    </w:p>
    <w:p w:rsidR="00006CA0" w:rsidRDefault="00006CA0" w:rsidP="00006CA0">
      <w:pPr>
        <w:spacing w:line="480" w:lineRule="auto"/>
        <w:ind w:firstLine="720"/>
      </w:pPr>
      <w:r>
        <w:t xml:space="preserve">The Supreme Court gives the standards “great weight” and will reject a recommendation consistent with the standards only where the court entertains “grave doubts” as to its propriety.  </w:t>
      </w:r>
      <w:proofErr w:type="gramStart"/>
      <w:r>
        <w:t>(</w:t>
      </w:r>
      <w:r w:rsidRPr="0003569F">
        <w:rPr>
          <w:i/>
        </w:rPr>
        <w:t>In re Silverton</w:t>
      </w:r>
      <w:r>
        <w:t xml:space="preserve"> (2005) 36 </w:t>
      </w:r>
      <w:proofErr w:type="spellStart"/>
      <w:r>
        <w:t>Cal.4th</w:t>
      </w:r>
      <w:proofErr w:type="spellEnd"/>
      <w:r>
        <w:t xml:space="preserve"> 81, </w:t>
      </w:r>
      <w:r w:rsidRPr="00EB6947">
        <w:t>91-92</w:t>
      </w:r>
      <w:r>
        <w:t xml:space="preserve">; </w:t>
      </w:r>
      <w:r w:rsidRPr="0003569F">
        <w:rPr>
          <w:i/>
        </w:rPr>
        <w:t xml:space="preserve">In re </w:t>
      </w:r>
      <w:proofErr w:type="spellStart"/>
      <w:r w:rsidRPr="0003569F">
        <w:rPr>
          <w:i/>
        </w:rPr>
        <w:t>Naney</w:t>
      </w:r>
      <w:proofErr w:type="spellEnd"/>
      <w:r>
        <w:t xml:space="preserve"> (1990) 51 </w:t>
      </w:r>
      <w:proofErr w:type="spellStart"/>
      <w:r>
        <w:t>Cal.3d</w:t>
      </w:r>
      <w:proofErr w:type="spellEnd"/>
      <w:r>
        <w:t xml:space="preserve"> 186, 190.)</w:t>
      </w:r>
      <w:proofErr w:type="gramEnd"/>
      <w:r>
        <w:t xml:space="preserve">  The standards are not mandatory; they may be deviated from when there is a compelling, well-defined reason to do so.  </w:t>
      </w:r>
      <w:proofErr w:type="gramStart"/>
      <w:r>
        <w:t>(</w:t>
      </w:r>
      <w:r w:rsidRPr="0003569F">
        <w:rPr>
          <w:i/>
        </w:rPr>
        <w:t>Bates v. State Bar</w:t>
      </w:r>
      <w:r>
        <w:t xml:space="preserve"> (1990) 51 </w:t>
      </w:r>
      <w:proofErr w:type="spellStart"/>
      <w:r>
        <w:t>Cal.3d</w:t>
      </w:r>
      <w:proofErr w:type="spellEnd"/>
      <w:r>
        <w:t xml:space="preserve"> 1056, 1061, fn. 2; </w:t>
      </w:r>
      <w:proofErr w:type="spellStart"/>
      <w:r w:rsidRPr="0003569F">
        <w:rPr>
          <w:i/>
        </w:rPr>
        <w:t>Aronin</w:t>
      </w:r>
      <w:proofErr w:type="spellEnd"/>
      <w:r w:rsidRPr="0003569F">
        <w:rPr>
          <w:i/>
        </w:rPr>
        <w:t xml:space="preserve"> v. State Bar</w:t>
      </w:r>
      <w:r>
        <w:t xml:space="preserve"> (1990) 52 </w:t>
      </w:r>
      <w:proofErr w:type="spellStart"/>
      <w:r>
        <w:t>Cal.3d</w:t>
      </w:r>
      <w:proofErr w:type="spellEnd"/>
      <w:r>
        <w:t xml:space="preserve"> 276, 291.)</w:t>
      </w:r>
      <w:proofErr w:type="gramEnd"/>
    </w:p>
    <w:p w:rsidR="00006CA0" w:rsidRDefault="00006CA0" w:rsidP="00006CA0">
      <w:pPr>
        <w:spacing w:line="480" w:lineRule="auto"/>
        <w:ind w:firstLine="720"/>
      </w:pPr>
      <w:r>
        <w:lastRenderedPageBreak/>
        <w:t xml:space="preserve">The </w:t>
      </w:r>
      <w:r w:rsidR="005944F7">
        <w:t>Office of the Chief Trial Counsel</w:t>
      </w:r>
      <w:r>
        <w:t xml:space="preserve"> urges that respondent be disbarred.  The court agrees.  The Supreme Court has repeatedly held that disbarment is the usual discipline for the willful misappropriation of client funds.  </w:t>
      </w:r>
      <w:proofErr w:type="gramStart"/>
      <w:r>
        <w:t xml:space="preserve">(See </w:t>
      </w:r>
      <w:r w:rsidRPr="0003569F">
        <w:rPr>
          <w:i/>
        </w:rPr>
        <w:t>Edwards v. State Bar</w:t>
      </w:r>
      <w:r>
        <w:t xml:space="preserve"> (1990) 52 </w:t>
      </w:r>
      <w:proofErr w:type="spellStart"/>
      <w:r>
        <w:t>Cal.3d</w:t>
      </w:r>
      <w:proofErr w:type="spellEnd"/>
      <w:r>
        <w:t xml:space="preserve"> 28, 37; and </w:t>
      </w:r>
      <w:r w:rsidRPr="0003569F">
        <w:rPr>
          <w:i/>
        </w:rPr>
        <w:t xml:space="preserve">Howard v. State Bar </w:t>
      </w:r>
      <w:r>
        <w:t xml:space="preserve">(1990) 51 </w:t>
      </w:r>
      <w:proofErr w:type="spellStart"/>
      <w:r>
        <w:t>Cal.3d</w:t>
      </w:r>
      <w:proofErr w:type="spellEnd"/>
      <w:r>
        <w:t xml:space="preserve"> 215, 221.)</w:t>
      </w:r>
      <w:proofErr w:type="gramEnd"/>
      <w:r>
        <w:t xml:space="preserve">  </w:t>
      </w:r>
    </w:p>
    <w:p w:rsidR="00006CA0" w:rsidRDefault="00006CA0" w:rsidP="00006CA0">
      <w:pPr>
        <w:spacing w:line="480" w:lineRule="auto"/>
        <w:ind w:firstLine="720"/>
      </w:pPr>
      <w:r>
        <w:t xml:space="preserve">“In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w:t>
      </w:r>
      <w:proofErr w:type="gramStart"/>
      <w:r>
        <w:t>[Citation.]</w:t>
      </w:r>
      <w:proofErr w:type="gramEnd"/>
      <w:r>
        <w:t xml:space="preserve">  Thus, taking a client’s money is not only a violation of the moral and legal standards applicable to all individuals in society, it is one of the most serious breaches of professional trust that a lawyer can commit.”  </w:t>
      </w:r>
      <w:proofErr w:type="gramStart"/>
      <w:r>
        <w:t>(</w:t>
      </w:r>
      <w:r w:rsidRPr="00464E0A">
        <w:rPr>
          <w:i/>
        </w:rPr>
        <w:t>Howard v. State Bar</w:t>
      </w:r>
      <w:r>
        <w:t xml:space="preserve">, </w:t>
      </w:r>
      <w:r>
        <w:rPr>
          <w:i/>
        </w:rPr>
        <w:t>supra</w:t>
      </w:r>
      <w:r>
        <w:t xml:space="preserve">, 51 </w:t>
      </w:r>
      <w:proofErr w:type="spellStart"/>
      <w:r>
        <w:t>Cal.3d</w:t>
      </w:r>
      <w:proofErr w:type="spellEnd"/>
      <w:r>
        <w:t xml:space="preserve"> 215, 221.)</w:t>
      </w:r>
      <w:proofErr w:type="gramEnd"/>
      <w:r>
        <w:t xml:space="preserve">  </w:t>
      </w:r>
    </w:p>
    <w:p w:rsidR="00006CA0" w:rsidRDefault="00363491" w:rsidP="00006CA0">
      <w:pPr>
        <w:spacing w:line="480" w:lineRule="auto"/>
        <w:ind w:firstLine="720"/>
      </w:pPr>
      <w:r>
        <w:t>Here</w:t>
      </w:r>
      <w:r w:rsidR="00006CA0">
        <w:t xml:space="preserve">, respondent </w:t>
      </w:r>
      <w:r w:rsidR="005944F7">
        <w:t>misappropriated</w:t>
      </w:r>
      <w:r w:rsidR="00727D18">
        <w:t xml:space="preserve"> over </w:t>
      </w:r>
      <w:r w:rsidR="006300EA">
        <w:t>one hundred thousand dollars</w:t>
      </w:r>
      <w:r w:rsidR="00556622">
        <w:t xml:space="preserve">.  </w:t>
      </w:r>
      <w:r w:rsidR="00727D18">
        <w:t xml:space="preserve">Based on </w:t>
      </w:r>
      <w:r w:rsidR="00944773">
        <w:t>respondent’s egregious</w:t>
      </w:r>
      <w:r w:rsidR="00727D18">
        <w:t xml:space="preserve"> misconduct</w:t>
      </w:r>
      <w:r w:rsidR="00944773">
        <w:t>, his failure to timely participate</w:t>
      </w:r>
      <w:r w:rsidR="00C3022C">
        <w:t xml:space="preserve"> in the present proceedings</w:t>
      </w:r>
      <w:r w:rsidR="007E6FC8">
        <w:t>,</w:t>
      </w:r>
      <w:r w:rsidR="00C3022C">
        <w:t xml:space="preserve"> and</w:t>
      </w:r>
      <w:r w:rsidR="00727D18">
        <w:t xml:space="preserve"> </w:t>
      </w:r>
      <w:r w:rsidR="00944773">
        <w:t>the factors in aggravation</w:t>
      </w:r>
      <w:r w:rsidR="00727D18">
        <w:t xml:space="preserve">, the court finds </w:t>
      </w:r>
      <w:r w:rsidR="00F22A16">
        <w:t xml:space="preserve">no </w:t>
      </w:r>
      <w:r w:rsidR="00F93DBC">
        <w:t xml:space="preserve">compelling </w:t>
      </w:r>
      <w:r w:rsidR="00F22A16">
        <w:t>reason</w:t>
      </w:r>
      <w:r w:rsidR="00A948CE">
        <w:t xml:space="preserve"> to deviate from the standards</w:t>
      </w:r>
      <w:r w:rsidR="00727D18">
        <w:t>.  T</w:t>
      </w:r>
      <w:r w:rsidR="002956D6">
        <w:t>herefore</w:t>
      </w:r>
      <w:r w:rsidR="00727D18">
        <w:t xml:space="preserve">, </w:t>
      </w:r>
      <w:r w:rsidR="00944773">
        <w:t>it is recommended</w:t>
      </w:r>
      <w:r w:rsidR="00F22A16">
        <w:t xml:space="preserve"> that respondent be disbarred.</w:t>
      </w:r>
    </w:p>
    <w:p w:rsidR="00B31AB1" w:rsidRPr="00B9402F" w:rsidRDefault="00B9402F" w:rsidP="003F03C7">
      <w:pPr>
        <w:tabs>
          <w:tab w:val="center" w:pos="4680"/>
        </w:tabs>
        <w:spacing w:line="480" w:lineRule="auto"/>
        <w:jc w:val="center"/>
        <w:rPr>
          <w:b/>
          <w:bCs/>
        </w:rPr>
      </w:pPr>
      <w:r w:rsidRPr="00B9402F">
        <w:rPr>
          <w:b/>
          <w:bCs/>
        </w:rPr>
        <w:t>V.  Recommended Discipline</w:t>
      </w:r>
    </w:p>
    <w:p w:rsidR="00554349" w:rsidRDefault="00554349" w:rsidP="00554349">
      <w:pPr>
        <w:spacing w:line="480" w:lineRule="auto"/>
        <w:ind w:firstLine="720"/>
      </w:pPr>
      <w:r>
        <w:t xml:space="preserve">The court recommends that respondent </w:t>
      </w:r>
      <w:r w:rsidR="005944F7">
        <w:rPr>
          <w:b/>
        </w:rPr>
        <w:t>Edmund Todd Crowley</w:t>
      </w:r>
      <w:r>
        <w:t xml:space="preserve"> be disbarred from the practice of law in the State of California and that h</w:t>
      </w:r>
      <w:r w:rsidR="00727D18">
        <w:t>is</w:t>
      </w:r>
      <w:r>
        <w:t xml:space="preserve"> name be stricken from the roll of attorneys in this state.</w:t>
      </w:r>
    </w:p>
    <w:p w:rsidR="00554349" w:rsidRDefault="00554349" w:rsidP="00554349">
      <w:pPr>
        <w:spacing w:line="480" w:lineRule="auto"/>
        <w:ind w:firstLine="720"/>
      </w:pPr>
      <w:r>
        <w:t xml:space="preserve">The court further recommends that respondent be ordered to comply with California Rules of Court, rule 9.20, and to perform the acts specified in subdivisions (a) and (c) of that rule </w:t>
      </w:r>
      <w:r>
        <w:lastRenderedPageBreak/>
        <w:t>within 30 and 40 calendar days, respectively, after the effective date of the Supreme Court order in this matter.</w:t>
      </w:r>
      <w:r>
        <w:rPr>
          <w:rStyle w:val="FootnoteReference"/>
        </w:rPr>
        <w:footnoteReference w:id="11"/>
      </w:r>
    </w:p>
    <w:p w:rsidR="003C3FF1" w:rsidRPr="00120C59" w:rsidRDefault="003C3FF1" w:rsidP="003F03C7">
      <w:pPr>
        <w:spacing w:line="480" w:lineRule="auto"/>
        <w:jc w:val="center"/>
        <w:rPr>
          <w:b/>
        </w:rPr>
      </w:pPr>
      <w:r w:rsidRPr="00120C59">
        <w:rPr>
          <w:b/>
        </w:rPr>
        <w:t>VI</w:t>
      </w:r>
      <w:proofErr w:type="gramStart"/>
      <w:r w:rsidRPr="00120C59">
        <w:rPr>
          <w:b/>
        </w:rPr>
        <w:t>.  Order</w:t>
      </w:r>
      <w:proofErr w:type="gramEnd"/>
      <w:r w:rsidRPr="00120C59">
        <w:rPr>
          <w:b/>
        </w:rPr>
        <w:t xml:space="preserve"> of Inactive Enrollment</w:t>
      </w:r>
    </w:p>
    <w:p w:rsidR="00197123" w:rsidRDefault="003C3FF1" w:rsidP="003F03C7">
      <w:pPr>
        <w:spacing w:line="480" w:lineRule="auto"/>
        <w:ind w:firstLine="720"/>
      </w:pPr>
      <w:r>
        <w:t>In accordance with Business and Professions Code section 6007, subdivision (c</w:t>
      </w:r>
      <w:proofErr w:type="gramStart"/>
      <w:r>
        <w:t>)(</w:t>
      </w:r>
      <w:proofErr w:type="gramEnd"/>
      <w:r>
        <w:t>4), it is ordered that respondent be involuntarily enrolled as an inactive member of the State Bar of California effective three days after service of this decision and order by mail</w:t>
      </w:r>
      <w:r w:rsidR="003D164E">
        <w:t xml:space="preserve">. </w:t>
      </w:r>
      <w:r>
        <w:t xml:space="preserve"> </w:t>
      </w:r>
      <w:proofErr w:type="gramStart"/>
      <w:r>
        <w:t>(Rules Proc. of State Bar, rule 220(c)</w:t>
      </w:r>
      <w:r w:rsidR="003D164E">
        <w:t>.</w:t>
      </w:r>
      <w:r>
        <w:t>)</w:t>
      </w:r>
      <w:proofErr w:type="gramEnd"/>
    </w:p>
    <w:p w:rsidR="003C3FF1" w:rsidRPr="00120C59" w:rsidRDefault="004D0552" w:rsidP="003F03C7">
      <w:pPr>
        <w:spacing w:line="480" w:lineRule="auto"/>
        <w:jc w:val="center"/>
        <w:rPr>
          <w:b/>
        </w:rPr>
      </w:pPr>
      <w:r>
        <w:rPr>
          <w:b/>
        </w:rPr>
        <w:t>VI</w:t>
      </w:r>
      <w:r w:rsidR="003C3FF1" w:rsidRPr="00120C59">
        <w:rPr>
          <w:b/>
        </w:rPr>
        <w:t>I</w:t>
      </w:r>
      <w:proofErr w:type="gramStart"/>
      <w:r w:rsidR="003C3FF1" w:rsidRPr="00120C59">
        <w:rPr>
          <w:b/>
        </w:rPr>
        <w:t>.  Costs</w:t>
      </w:r>
      <w:proofErr w:type="gramEnd"/>
    </w:p>
    <w:p w:rsidR="003C3FF1" w:rsidRDefault="003C3FF1" w:rsidP="003F03C7">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C3FF1" w:rsidRDefault="003C3FF1" w:rsidP="003C3FF1">
      <w:pPr>
        <w:spacing w:line="480" w:lineRule="auto"/>
      </w:pPr>
    </w:p>
    <w:p w:rsidR="00B31AB1" w:rsidRDefault="00B31AB1">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E34BE">
                <w:rPr>
                  <w:noProof/>
                </w:rPr>
                <w:t>October _____, 2010</w:t>
              </w:r>
            </w:fldSimple>
          </w:p>
        </w:tc>
        <w:tc>
          <w:tcPr>
            <w:tcW w:w="4565" w:type="dxa"/>
            <w:tcBorders>
              <w:top w:val="single" w:sz="4" w:space="0" w:color="auto"/>
              <w:bottom w:val="nil"/>
              <w:right w:val="nil"/>
            </w:tcBorders>
          </w:tcPr>
          <w:p w:rsidR="003D3B12" w:rsidRDefault="00E90C2E">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426584">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FE" w:rsidRDefault="00A50CFE">
      <w:r>
        <w:separator/>
      </w:r>
    </w:p>
  </w:endnote>
  <w:endnote w:type="continuationSeparator" w:id="0">
    <w:p w:rsidR="00A50CFE" w:rsidRDefault="00A5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F7" w:rsidRDefault="001434A6" w:rsidP="003B44D5">
    <w:pPr>
      <w:pStyle w:val="Footer"/>
      <w:framePr w:wrap="around" w:vAnchor="text" w:hAnchor="margin" w:xAlign="center" w:y="1"/>
      <w:rPr>
        <w:rStyle w:val="PageNumber"/>
      </w:rPr>
    </w:pPr>
    <w:r>
      <w:rPr>
        <w:rStyle w:val="PageNumber"/>
      </w:rPr>
      <w:fldChar w:fldCharType="begin"/>
    </w:r>
    <w:r w:rsidR="005944F7">
      <w:rPr>
        <w:rStyle w:val="PageNumber"/>
      </w:rPr>
      <w:instrText xml:space="preserve">PAGE  </w:instrText>
    </w:r>
    <w:r>
      <w:rPr>
        <w:rStyle w:val="PageNumber"/>
      </w:rPr>
      <w:fldChar w:fldCharType="end"/>
    </w:r>
  </w:p>
  <w:p w:rsidR="005944F7" w:rsidRDefault="00594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F7" w:rsidRDefault="001434A6" w:rsidP="00200B09">
    <w:pPr>
      <w:pStyle w:val="Footer"/>
      <w:framePr w:wrap="around" w:vAnchor="text" w:hAnchor="margin" w:xAlign="center" w:y="1"/>
      <w:rPr>
        <w:rStyle w:val="PageNumber"/>
      </w:rPr>
    </w:pPr>
    <w:r>
      <w:rPr>
        <w:rStyle w:val="PageNumber"/>
      </w:rPr>
      <w:fldChar w:fldCharType="begin"/>
    </w:r>
    <w:r w:rsidR="005944F7">
      <w:rPr>
        <w:rStyle w:val="PageNumber"/>
      </w:rPr>
      <w:instrText xml:space="preserve">PAGE  </w:instrText>
    </w:r>
    <w:r>
      <w:rPr>
        <w:rStyle w:val="PageNumber"/>
      </w:rPr>
      <w:fldChar w:fldCharType="separate"/>
    </w:r>
    <w:r w:rsidR="00535F39">
      <w:rPr>
        <w:rStyle w:val="PageNumber"/>
        <w:noProof/>
      </w:rPr>
      <w:t>- 8 -</w:t>
    </w:r>
    <w:r>
      <w:rPr>
        <w:rStyle w:val="PageNumber"/>
      </w:rPr>
      <w:fldChar w:fldCharType="end"/>
    </w:r>
  </w:p>
  <w:p w:rsidR="005944F7" w:rsidRDefault="005944F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F7" w:rsidRDefault="005944F7">
    <w:pPr>
      <w:pStyle w:val="Footer"/>
      <w:framePr w:wrap="around" w:vAnchor="text" w:hAnchor="margin" w:xAlign="center" w:y="1"/>
      <w:rPr>
        <w:rStyle w:val="PageNumber"/>
      </w:rPr>
    </w:pPr>
  </w:p>
  <w:p w:rsidR="005944F7" w:rsidRDefault="00594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FE" w:rsidRDefault="00A50CFE">
      <w:r>
        <w:separator/>
      </w:r>
    </w:p>
  </w:footnote>
  <w:footnote w:type="continuationSeparator" w:id="0">
    <w:p w:rsidR="00A50CFE" w:rsidRDefault="00A50CFE">
      <w:r>
        <w:continuationSeparator/>
      </w:r>
    </w:p>
  </w:footnote>
  <w:footnote w:id="1">
    <w:p w:rsidR="005944F7" w:rsidRDefault="005944F7">
      <w:pPr>
        <w:pStyle w:val="FootnoteText"/>
      </w:pPr>
      <w:r>
        <w:rPr>
          <w:rStyle w:val="FootnoteReference"/>
        </w:rPr>
        <w:footnoteRef/>
      </w:r>
      <w:r>
        <w:t xml:space="preserve"> Prior to filing the </w:t>
      </w:r>
      <w:proofErr w:type="spellStart"/>
      <w:r>
        <w:t>NDC</w:t>
      </w:r>
      <w:proofErr w:type="spellEnd"/>
      <w:r>
        <w:t xml:space="preserve">, </w:t>
      </w:r>
      <w:proofErr w:type="spellStart"/>
      <w:r>
        <w:t>DTC</w:t>
      </w:r>
      <w:proofErr w:type="spellEnd"/>
      <w:r>
        <w:t xml:space="preserve"> Kreditor communicated with respondent by telephone.  Respondent </w:t>
      </w:r>
      <w:r w:rsidR="001C7786">
        <w:t>expressed his desire not</w:t>
      </w:r>
      <w:r>
        <w:t xml:space="preserve"> to proceed to trial.  </w:t>
      </w:r>
      <w:proofErr w:type="spellStart"/>
      <w:r>
        <w:t>DTC</w:t>
      </w:r>
      <w:proofErr w:type="spellEnd"/>
      <w:r>
        <w:t xml:space="preserve"> Kreditor sent respondent a disbarment stipulation, but </w:t>
      </w:r>
      <w:r w:rsidR="008A5D30">
        <w:t>respondent did not return it</w:t>
      </w:r>
      <w:r>
        <w:t xml:space="preserve">.  </w:t>
      </w:r>
      <w:proofErr w:type="spellStart"/>
      <w:r w:rsidR="001C7786">
        <w:t>DTC</w:t>
      </w:r>
      <w:proofErr w:type="spellEnd"/>
      <w:r w:rsidR="001C7786">
        <w:t xml:space="preserve"> Kreditor made several subsequent attempts to communicate with respondent.  </w:t>
      </w:r>
      <w:r>
        <w:t xml:space="preserve">As of July 16, 2010 (the filing date of the motion for default), </w:t>
      </w:r>
      <w:proofErr w:type="spellStart"/>
      <w:r>
        <w:t>DTC</w:t>
      </w:r>
      <w:proofErr w:type="spellEnd"/>
      <w:r>
        <w:t xml:space="preserve"> Kreditor had not had any contact with respondent since April 2010.</w:t>
      </w:r>
    </w:p>
  </w:footnote>
  <w:footnote w:id="2">
    <w:p w:rsidR="005944F7" w:rsidRDefault="005944F7" w:rsidP="00D309D1">
      <w:pPr>
        <w:spacing w:after="240"/>
        <w:ind w:firstLine="720"/>
      </w:pPr>
      <w:r>
        <w:rPr>
          <w:rStyle w:val="FootnoteReference"/>
        </w:rPr>
        <w:footnoteRef/>
      </w:r>
      <w:r>
        <w:t xml:space="preserve"> Unless otherwise indicated, all documents were properly served pursu</w:t>
      </w:r>
      <w:r w:rsidR="00E95243">
        <w:t xml:space="preserve">ant to the Rules of Procedure. </w:t>
      </w:r>
      <w:r>
        <w:t xml:space="preserve"> </w:t>
      </w:r>
    </w:p>
  </w:footnote>
  <w:footnote w:id="3">
    <w:p w:rsidR="005944F7" w:rsidRDefault="005944F7" w:rsidP="007F4C17">
      <w:pPr>
        <w:spacing w:after="240"/>
        <w:ind w:firstLine="720"/>
      </w:pPr>
      <w:r>
        <w:rPr>
          <w:rStyle w:val="FootnoteReference"/>
        </w:rPr>
        <w:footnoteRef/>
      </w:r>
      <w:r>
        <w:t>The motion also contained a request that the court take judicial notice of all of respondent’s official membership addresses.  The court grants this request.</w:t>
      </w:r>
    </w:p>
  </w:footnote>
  <w:footnote w:id="4">
    <w:p w:rsidR="005944F7" w:rsidRDefault="005944F7" w:rsidP="007F4C17">
      <w:pPr>
        <w:spacing w:after="240"/>
        <w:ind w:firstLine="720"/>
      </w:pPr>
      <w:r>
        <w:rPr>
          <w:rStyle w:val="FootnoteReference"/>
        </w:rPr>
        <w:footnoteRef/>
      </w:r>
      <w:r>
        <w:t>Respondent’s involuntary inactive enrollment pursuant to Business and Professions Code section 6007, subdivision (e)</w:t>
      </w:r>
      <w:r w:rsidR="00D91EB3">
        <w:t>,</w:t>
      </w:r>
      <w:r>
        <w:t xml:space="preserve"> was effective three days after the service of this order by mail. </w:t>
      </w:r>
    </w:p>
  </w:footnote>
  <w:footnote w:id="5">
    <w:p w:rsidR="005944F7" w:rsidRDefault="005944F7" w:rsidP="007F4C17">
      <w:pPr>
        <w:spacing w:after="240"/>
        <w:ind w:firstLine="720"/>
      </w:pPr>
      <w:r>
        <w:rPr>
          <w:rStyle w:val="FootnoteReference"/>
        </w:rPr>
        <w:footnoteRef/>
      </w:r>
      <w:r>
        <w:t>Exhibit 1 attached to the State Bar’s July 16, 2010 motion for the entry of respondent’s default and Exhibits 1-2 attached to the State Bar’s August 9, 2010 brief regarding culpability and discipline are admitted into evidence.</w:t>
      </w:r>
    </w:p>
  </w:footnote>
  <w:footnote w:id="6">
    <w:p w:rsidR="005944F7" w:rsidRPr="00CF1617" w:rsidRDefault="005944F7" w:rsidP="00F512A8">
      <w:pPr>
        <w:pStyle w:val="FootnoteText"/>
        <w:rPr>
          <w:szCs w:val="24"/>
        </w:rPr>
      </w:pPr>
      <w:r w:rsidRPr="00CF1617">
        <w:rPr>
          <w:rStyle w:val="FootnoteReference"/>
          <w:szCs w:val="24"/>
        </w:rPr>
        <w:footnoteRef/>
      </w:r>
      <w:r w:rsidRPr="00CF1617">
        <w:rPr>
          <w:szCs w:val="24"/>
        </w:rPr>
        <w:t xml:space="preserve"> All further references </w:t>
      </w:r>
      <w:r w:rsidRPr="00CF1617">
        <w:rPr>
          <w:szCs w:val="24"/>
          <w:lang w:val="en-CA"/>
        </w:rPr>
        <w:t>to rule(s) are to the current Rules of Professional Conduct of the State Bar of California, unless otherwise stated.</w:t>
      </w:r>
    </w:p>
  </w:footnote>
  <w:footnote w:id="7">
    <w:p w:rsidR="005944F7" w:rsidRPr="00A22BB6" w:rsidRDefault="005944F7" w:rsidP="00AA369A">
      <w:pPr>
        <w:pStyle w:val="FootnoteText"/>
        <w:rPr>
          <w:szCs w:val="24"/>
        </w:rPr>
      </w:pPr>
      <w:r w:rsidRPr="00A22BB6">
        <w:rPr>
          <w:rStyle w:val="FootnoteReference"/>
          <w:szCs w:val="24"/>
        </w:rPr>
        <w:footnoteRef/>
      </w:r>
      <w:r w:rsidRPr="00A22BB6">
        <w:rPr>
          <w:szCs w:val="24"/>
        </w:rPr>
        <w:t xml:space="preserve"> All further references to section(s) are to the Business and Professions Code, unless otherwise stated.</w:t>
      </w:r>
    </w:p>
  </w:footnote>
  <w:footnote w:id="8">
    <w:p w:rsidR="005944F7" w:rsidRDefault="005944F7" w:rsidP="00622F9C">
      <w:pPr>
        <w:pStyle w:val="FootnoteText"/>
      </w:pPr>
      <w:r>
        <w:rPr>
          <w:rStyle w:val="FootnoteReference"/>
        </w:rPr>
        <w:footnoteRef/>
      </w:r>
      <w:r>
        <w:t xml:space="preserve"> All further references to standard(s) are to this source.</w:t>
      </w:r>
    </w:p>
  </w:footnote>
  <w:footnote w:id="9">
    <w:p w:rsidR="005944F7" w:rsidRDefault="005944F7" w:rsidP="00812B15">
      <w:pPr>
        <w:pStyle w:val="FootnoteText"/>
      </w:pPr>
      <w:r>
        <w:rPr>
          <w:rStyle w:val="FootnoteReference"/>
        </w:rPr>
        <w:footnoteRef/>
      </w:r>
      <w:r>
        <w:t xml:space="preserve"> Pursuant to Evidence Code section 452, subdivision (h), the court takes judicial notice of respondent’s membership records.</w:t>
      </w:r>
    </w:p>
  </w:footnote>
  <w:footnote w:id="10">
    <w:p w:rsidR="005944F7" w:rsidRPr="00563E1E" w:rsidRDefault="005944F7" w:rsidP="00812B15">
      <w:pPr>
        <w:pStyle w:val="FootnoteText"/>
      </w:pPr>
      <w:r>
        <w:rPr>
          <w:rStyle w:val="FootnoteReference"/>
        </w:rPr>
        <w:footnoteRef/>
      </w:r>
      <w:r>
        <w:t xml:space="preserve"> The Supreme Court and Review Department have routinely considered the absence of prior discipline in mitigation even when the current misconduct was serious.  (</w:t>
      </w:r>
      <w:r>
        <w:rPr>
          <w:i/>
        </w:rPr>
        <w:t xml:space="preserve">In the Matter of Conner </w:t>
      </w:r>
      <w:r>
        <w:t xml:space="preserve">(Review Dept. 2008) 5 Cal. </w:t>
      </w:r>
      <w:proofErr w:type="gramStart"/>
      <w:r>
        <w:t>State</w:t>
      </w:r>
      <w:proofErr w:type="gramEnd"/>
      <w:r>
        <w:t xml:space="preserve"> Bar Ct. </w:t>
      </w:r>
      <w:proofErr w:type="spellStart"/>
      <w:r>
        <w:t>Rptr</w:t>
      </w:r>
      <w:proofErr w:type="spellEnd"/>
      <w:r>
        <w:t>. 93, 106-107.)</w:t>
      </w:r>
    </w:p>
  </w:footnote>
  <w:footnote w:id="11">
    <w:p w:rsidR="005944F7" w:rsidRDefault="005944F7" w:rsidP="00554349">
      <w:pPr>
        <w:pStyle w:val="FootnoteText"/>
      </w:pPr>
      <w:r>
        <w:rPr>
          <w:rStyle w:val="FootnoteReference"/>
        </w:rPr>
        <w:footnoteRef/>
      </w:r>
      <w:r>
        <w:t xml:space="preserve"> Respondent is required to file a rule 9.20(c) affidavit even if he has no clients to notify on the date the Supreme Court files its order in this proceeding.  </w:t>
      </w:r>
      <w:proofErr w:type="gramStart"/>
      <w:r>
        <w:t>(</w:t>
      </w:r>
      <w:r>
        <w:rPr>
          <w:i/>
          <w:iCs/>
        </w:rPr>
        <w:t>Powers v. State Bar</w:t>
      </w:r>
      <w:r>
        <w:t xml:space="preserve"> (1988) 44 </w:t>
      </w:r>
      <w:proofErr w:type="spellStart"/>
      <w:r>
        <w:t>Cal.3d</w:t>
      </w:r>
      <w:proofErr w:type="spellEnd"/>
      <w:r>
        <w:t xml:space="preserve"> 337, 341.)</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514867"/>
    <w:multiLevelType w:val="multilevel"/>
    <w:tmpl w:val="94B0A83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F7D73"/>
    <w:multiLevelType w:val="multilevel"/>
    <w:tmpl w:val="D3482DF0"/>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07677"/>
    <w:multiLevelType w:val="multilevel"/>
    <w:tmpl w:val="1912233A"/>
    <w:lvl w:ilvl="0">
      <w:start w:val="1"/>
      <w:numFmt w:val="lowerRoman"/>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45314"/>
    <w:multiLevelType w:val="multilevel"/>
    <w:tmpl w:val="DEE6C3C4"/>
    <w:lvl w:ilvl="0">
      <w:start w:val="4"/>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D6D87"/>
    <w:multiLevelType w:val="multilevel"/>
    <w:tmpl w:val="35B272CA"/>
    <w:lvl w:ilvl="0">
      <w:start w:val="1"/>
      <w:numFmt w:val="lowerRoman"/>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C23C5"/>
    <w:multiLevelType w:val="multilevel"/>
    <w:tmpl w:val="0E321574"/>
    <w:lvl w:ilvl="0">
      <w:start w:val="1"/>
      <w:numFmt w:val="lowerRoman"/>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A5FEA"/>
    <w:multiLevelType w:val="multilevel"/>
    <w:tmpl w:val="DCE8686A"/>
    <w:lvl w:ilvl="0">
      <w:start w:val="1"/>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4"/>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3D5F75"/>
    <w:rsid w:val="00000CE2"/>
    <w:rsid w:val="00002D7A"/>
    <w:rsid w:val="00003877"/>
    <w:rsid w:val="00003AF4"/>
    <w:rsid w:val="00006CA0"/>
    <w:rsid w:val="00006EA1"/>
    <w:rsid w:val="00010ADF"/>
    <w:rsid w:val="00016C8E"/>
    <w:rsid w:val="000232BF"/>
    <w:rsid w:val="000234B7"/>
    <w:rsid w:val="00026822"/>
    <w:rsid w:val="00026E0B"/>
    <w:rsid w:val="000308F9"/>
    <w:rsid w:val="00031393"/>
    <w:rsid w:val="0003230A"/>
    <w:rsid w:val="00036AEB"/>
    <w:rsid w:val="0004580E"/>
    <w:rsid w:val="00050670"/>
    <w:rsid w:val="000545E6"/>
    <w:rsid w:val="00054C8E"/>
    <w:rsid w:val="00062B7F"/>
    <w:rsid w:val="00063B9A"/>
    <w:rsid w:val="00063EF0"/>
    <w:rsid w:val="000667F0"/>
    <w:rsid w:val="000704ED"/>
    <w:rsid w:val="00072164"/>
    <w:rsid w:val="00075AC6"/>
    <w:rsid w:val="00076041"/>
    <w:rsid w:val="00076CA9"/>
    <w:rsid w:val="00081D1C"/>
    <w:rsid w:val="00082A1E"/>
    <w:rsid w:val="00090C78"/>
    <w:rsid w:val="00091CF6"/>
    <w:rsid w:val="0009386C"/>
    <w:rsid w:val="00094281"/>
    <w:rsid w:val="00096658"/>
    <w:rsid w:val="00097646"/>
    <w:rsid w:val="000A16C8"/>
    <w:rsid w:val="000A1BE3"/>
    <w:rsid w:val="000A5752"/>
    <w:rsid w:val="000A73D1"/>
    <w:rsid w:val="000A784D"/>
    <w:rsid w:val="000B28FD"/>
    <w:rsid w:val="000B6DC3"/>
    <w:rsid w:val="000C12FA"/>
    <w:rsid w:val="000C1CFB"/>
    <w:rsid w:val="000D612D"/>
    <w:rsid w:val="000D74F1"/>
    <w:rsid w:val="000E2324"/>
    <w:rsid w:val="000E3B24"/>
    <w:rsid w:val="000F10B1"/>
    <w:rsid w:val="000F260E"/>
    <w:rsid w:val="000F3E8F"/>
    <w:rsid w:val="000F5154"/>
    <w:rsid w:val="00107318"/>
    <w:rsid w:val="00112D21"/>
    <w:rsid w:val="0011460F"/>
    <w:rsid w:val="0011747A"/>
    <w:rsid w:val="00120C59"/>
    <w:rsid w:val="00121BC8"/>
    <w:rsid w:val="001257EA"/>
    <w:rsid w:val="00127616"/>
    <w:rsid w:val="001347D5"/>
    <w:rsid w:val="001422CB"/>
    <w:rsid w:val="001434A6"/>
    <w:rsid w:val="001451F7"/>
    <w:rsid w:val="0014591E"/>
    <w:rsid w:val="00153063"/>
    <w:rsid w:val="00153C8E"/>
    <w:rsid w:val="001546A3"/>
    <w:rsid w:val="00154FD4"/>
    <w:rsid w:val="00155FC8"/>
    <w:rsid w:val="0016291F"/>
    <w:rsid w:val="001652D0"/>
    <w:rsid w:val="00167405"/>
    <w:rsid w:val="001721B5"/>
    <w:rsid w:val="00175A91"/>
    <w:rsid w:val="00177798"/>
    <w:rsid w:val="001815EE"/>
    <w:rsid w:val="00191AE6"/>
    <w:rsid w:val="00191DC7"/>
    <w:rsid w:val="00196868"/>
    <w:rsid w:val="0019703F"/>
    <w:rsid w:val="00197123"/>
    <w:rsid w:val="001A10CF"/>
    <w:rsid w:val="001A4DE5"/>
    <w:rsid w:val="001A7E09"/>
    <w:rsid w:val="001B2EC2"/>
    <w:rsid w:val="001B5C31"/>
    <w:rsid w:val="001B7E0C"/>
    <w:rsid w:val="001C22B3"/>
    <w:rsid w:val="001C2349"/>
    <w:rsid w:val="001C2F6F"/>
    <w:rsid w:val="001C3B22"/>
    <w:rsid w:val="001C4B0C"/>
    <w:rsid w:val="001C7786"/>
    <w:rsid w:val="001D1E92"/>
    <w:rsid w:val="001D442F"/>
    <w:rsid w:val="001E03E4"/>
    <w:rsid w:val="001E3F86"/>
    <w:rsid w:val="001E6910"/>
    <w:rsid w:val="001F4834"/>
    <w:rsid w:val="001F4FAE"/>
    <w:rsid w:val="00200B09"/>
    <w:rsid w:val="00200CA9"/>
    <w:rsid w:val="00201C74"/>
    <w:rsid w:val="002038D5"/>
    <w:rsid w:val="00220FF2"/>
    <w:rsid w:val="00227E4C"/>
    <w:rsid w:val="00231BED"/>
    <w:rsid w:val="00233E79"/>
    <w:rsid w:val="00234E34"/>
    <w:rsid w:val="00235A11"/>
    <w:rsid w:val="00236277"/>
    <w:rsid w:val="00236291"/>
    <w:rsid w:val="00237464"/>
    <w:rsid w:val="00246226"/>
    <w:rsid w:val="002466DB"/>
    <w:rsid w:val="00252747"/>
    <w:rsid w:val="00252EF5"/>
    <w:rsid w:val="00253F78"/>
    <w:rsid w:val="00256B3F"/>
    <w:rsid w:val="002659EA"/>
    <w:rsid w:val="00266364"/>
    <w:rsid w:val="002666A4"/>
    <w:rsid w:val="002728B9"/>
    <w:rsid w:val="00274CD0"/>
    <w:rsid w:val="00280FA0"/>
    <w:rsid w:val="00283F28"/>
    <w:rsid w:val="0029334B"/>
    <w:rsid w:val="00294AA2"/>
    <w:rsid w:val="002956D6"/>
    <w:rsid w:val="00296F92"/>
    <w:rsid w:val="002972F9"/>
    <w:rsid w:val="002A2720"/>
    <w:rsid w:val="002A2D41"/>
    <w:rsid w:val="002B06CF"/>
    <w:rsid w:val="002B076F"/>
    <w:rsid w:val="002B571A"/>
    <w:rsid w:val="002B66B1"/>
    <w:rsid w:val="002B6E73"/>
    <w:rsid w:val="002C29E6"/>
    <w:rsid w:val="002C2DC8"/>
    <w:rsid w:val="002C440E"/>
    <w:rsid w:val="002C59D1"/>
    <w:rsid w:val="002D0D3A"/>
    <w:rsid w:val="002D12A2"/>
    <w:rsid w:val="002D5DEB"/>
    <w:rsid w:val="002D6148"/>
    <w:rsid w:val="002E0DB4"/>
    <w:rsid w:val="002E2F86"/>
    <w:rsid w:val="002E55C4"/>
    <w:rsid w:val="002E64F4"/>
    <w:rsid w:val="002E7EA4"/>
    <w:rsid w:val="002F4029"/>
    <w:rsid w:val="002F602D"/>
    <w:rsid w:val="0030268A"/>
    <w:rsid w:val="00303C27"/>
    <w:rsid w:val="00305152"/>
    <w:rsid w:val="00330456"/>
    <w:rsid w:val="00330EF3"/>
    <w:rsid w:val="003313E2"/>
    <w:rsid w:val="00333C0F"/>
    <w:rsid w:val="003350D5"/>
    <w:rsid w:val="0034014E"/>
    <w:rsid w:val="00340ADD"/>
    <w:rsid w:val="00341FF6"/>
    <w:rsid w:val="003458AF"/>
    <w:rsid w:val="00345CCE"/>
    <w:rsid w:val="0034773B"/>
    <w:rsid w:val="0035245A"/>
    <w:rsid w:val="0035315C"/>
    <w:rsid w:val="003579D9"/>
    <w:rsid w:val="00357EB8"/>
    <w:rsid w:val="00363491"/>
    <w:rsid w:val="00373031"/>
    <w:rsid w:val="00380FDA"/>
    <w:rsid w:val="00383FEB"/>
    <w:rsid w:val="00393FB1"/>
    <w:rsid w:val="00394768"/>
    <w:rsid w:val="003957A6"/>
    <w:rsid w:val="00397D3E"/>
    <w:rsid w:val="003A3537"/>
    <w:rsid w:val="003B188A"/>
    <w:rsid w:val="003B2AAE"/>
    <w:rsid w:val="003B44D5"/>
    <w:rsid w:val="003B53BE"/>
    <w:rsid w:val="003B79AF"/>
    <w:rsid w:val="003C07C8"/>
    <w:rsid w:val="003C3FF1"/>
    <w:rsid w:val="003C435B"/>
    <w:rsid w:val="003C517D"/>
    <w:rsid w:val="003D01E8"/>
    <w:rsid w:val="003D164E"/>
    <w:rsid w:val="003D2675"/>
    <w:rsid w:val="003D3B12"/>
    <w:rsid w:val="003D5F75"/>
    <w:rsid w:val="003D69A0"/>
    <w:rsid w:val="003E44C1"/>
    <w:rsid w:val="003E4FEB"/>
    <w:rsid w:val="003F03C7"/>
    <w:rsid w:val="003F05B2"/>
    <w:rsid w:val="003F1CF1"/>
    <w:rsid w:val="00401DAD"/>
    <w:rsid w:val="00404075"/>
    <w:rsid w:val="00404C0E"/>
    <w:rsid w:val="00406DEC"/>
    <w:rsid w:val="0041584A"/>
    <w:rsid w:val="00421C47"/>
    <w:rsid w:val="00421E97"/>
    <w:rsid w:val="0042272F"/>
    <w:rsid w:val="00424185"/>
    <w:rsid w:val="00426584"/>
    <w:rsid w:val="004328B5"/>
    <w:rsid w:val="00433BC7"/>
    <w:rsid w:val="00436895"/>
    <w:rsid w:val="00437B8C"/>
    <w:rsid w:val="004409D2"/>
    <w:rsid w:val="00441D9A"/>
    <w:rsid w:val="0044441A"/>
    <w:rsid w:val="00444B12"/>
    <w:rsid w:val="00450E30"/>
    <w:rsid w:val="004516FF"/>
    <w:rsid w:val="00453D1C"/>
    <w:rsid w:val="00455919"/>
    <w:rsid w:val="00460228"/>
    <w:rsid w:val="004611F9"/>
    <w:rsid w:val="004615CC"/>
    <w:rsid w:val="00464351"/>
    <w:rsid w:val="00464BAE"/>
    <w:rsid w:val="00467432"/>
    <w:rsid w:val="004679D0"/>
    <w:rsid w:val="00471A73"/>
    <w:rsid w:val="00480C54"/>
    <w:rsid w:val="00483B83"/>
    <w:rsid w:val="004867D4"/>
    <w:rsid w:val="00486FA4"/>
    <w:rsid w:val="00493482"/>
    <w:rsid w:val="00497B95"/>
    <w:rsid w:val="004A0820"/>
    <w:rsid w:val="004A1185"/>
    <w:rsid w:val="004A6526"/>
    <w:rsid w:val="004A7095"/>
    <w:rsid w:val="004B2032"/>
    <w:rsid w:val="004B2858"/>
    <w:rsid w:val="004B4F55"/>
    <w:rsid w:val="004C1974"/>
    <w:rsid w:val="004D0552"/>
    <w:rsid w:val="004D0CEA"/>
    <w:rsid w:val="004D2C2B"/>
    <w:rsid w:val="004D3359"/>
    <w:rsid w:val="004D44D8"/>
    <w:rsid w:val="004D713A"/>
    <w:rsid w:val="004E17EB"/>
    <w:rsid w:val="004E3A62"/>
    <w:rsid w:val="004E5998"/>
    <w:rsid w:val="004E6C0F"/>
    <w:rsid w:val="004F29D0"/>
    <w:rsid w:val="004F2CD4"/>
    <w:rsid w:val="00500994"/>
    <w:rsid w:val="00503C5A"/>
    <w:rsid w:val="00506888"/>
    <w:rsid w:val="00513641"/>
    <w:rsid w:val="00520A77"/>
    <w:rsid w:val="00524AFC"/>
    <w:rsid w:val="00531808"/>
    <w:rsid w:val="005319AA"/>
    <w:rsid w:val="00531EAB"/>
    <w:rsid w:val="0053358B"/>
    <w:rsid w:val="00535F39"/>
    <w:rsid w:val="00536C90"/>
    <w:rsid w:val="00541038"/>
    <w:rsid w:val="00543061"/>
    <w:rsid w:val="0055037E"/>
    <w:rsid w:val="00551EAF"/>
    <w:rsid w:val="005523F1"/>
    <w:rsid w:val="00554349"/>
    <w:rsid w:val="00554798"/>
    <w:rsid w:val="00554D04"/>
    <w:rsid w:val="00556622"/>
    <w:rsid w:val="00560328"/>
    <w:rsid w:val="00562427"/>
    <w:rsid w:val="00571FCB"/>
    <w:rsid w:val="00573865"/>
    <w:rsid w:val="00574005"/>
    <w:rsid w:val="005830D6"/>
    <w:rsid w:val="005831EC"/>
    <w:rsid w:val="0058681D"/>
    <w:rsid w:val="005944F7"/>
    <w:rsid w:val="005A0D51"/>
    <w:rsid w:val="005A0F00"/>
    <w:rsid w:val="005A678F"/>
    <w:rsid w:val="005B0F1F"/>
    <w:rsid w:val="005B30EF"/>
    <w:rsid w:val="005B5002"/>
    <w:rsid w:val="005C4AEE"/>
    <w:rsid w:val="005E28F8"/>
    <w:rsid w:val="005E34BE"/>
    <w:rsid w:val="005E412F"/>
    <w:rsid w:val="005F1BAB"/>
    <w:rsid w:val="005F2F7C"/>
    <w:rsid w:val="005F5871"/>
    <w:rsid w:val="005F61E5"/>
    <w:rsid w:val="005F73DE"/>
    <w:rsid w:val="005F7E97"/>
    <w:rsid w:val="006057A1"/>
    <w:rsid w:val="00606493"/>
    <w:rsid w:val="0061171E"/>
    <w:rsid w:val="00617A35"/>
    <w:rsid w:val="00622F9C"/>
    <w:rsid w:val="006238A8"/>
    <w:rsid w:val="00627E13"/>
    <w:rsid w:val="006300EA"/>
    <w:rsid w:val="00632618"/>
    <w:rsid w:val="00634DD5"/>
    <w:rsid w:val="00637A3B"/>
    <w:rsid w:val="00642399"/>
    <w:rsid w:val="00642520"/>
    <w:rsid w:val="00643824"/>
    <w:rsid w:val="00652FFE"/>
    <w:rsid w:val="00655FF4"/>
    <w:rsid w:val="00656DBF"/>
    <w:rsid w:val="0066025B"/>
    <w:rsid w:val="00663603"/>
    <w:rsid w:val="006637B3"/>
    <w:rsid w:val="00663850"/>
    <w:rsid w:val="00663EC4"/>
    <w:rsid w:val="00664832"/>
    <w:rsid w:val="006650E2"/>
    <w:rsid w:val="00666841"/>
    <w:rsid w:val="0068222E"/>
    <w:rsid w:val="00683B81"/>
    <w:rsid w:val="0069105D"/>
    <w:rsid w:val="006913E2"/>
    <w:rsid w:val="0069499B"/>
    <w:rsid w:val="006977E8"/>
    <w:rsid w:val="006A05EF"/>
    <w:rsid w:val="006A135D"/>
    <w:rsid w:val="006A1F92"/>
    <w:rsid w:val="006A3910"/>
    <w:rsid w:val="006A3AC1"/>
    <w:rsid w:val="006A4774"/>
    <w:rsid w:val="006B7374"/>
    <w:rsid w:val="006C4579"/>
    <w:rsid w:val="006D1592"/>
    <w:rsid w:val="006D1B40"/>
    <w:rsid w:val="006D219B"/>
    <w:rsid w:val="006D23A8"/>
    <w:rsid w:val="006D296E"/>
    <w:rsid w:val="006D4971"/>
    <w:rsid w:val="006D678A"/>
    <w:rsid w:val="006D767C"/>
    <w:rsid w:val="006E3808"/>
    <w:rsid w:val="006E3842"/>
    <w:rsid w:val="006E6C8C"/>
    <w:rsid w:val="006F0F3E"/>
    <w:rsid w:val="006F1DE1"/>
    <w:rsid w:val="006F585A"/>
    <w:rsid w:val="006F5C52"/>
    <w:rsid w:val="00703612"/>
    <w:rsid w:val="007060B3"/>
    <w:rsid w:val="0071113F"/>
    <w:rsid w:val="00714EEE"/>
    <w:rsid w:val="00722362"/>
    <w:rsid w:val="00725809"/>
    <w:rsid w:val="007260DB"/>
    <w:rsid w:val="0072693E"/>
    <w:rsid w:val="00727D18"/>
    <w:rsid w:val="007342BD"/>
    <w:rsid w:val="00750719"/>
    <w:rsid w:val="00752595"/>
    <w:rsid w:val="00752C97"/>
    <w:rsid w:val="00753B64"/>
    <w:rsid w:val="00760007"/>
    <w:rsid w:val="0077527F"/>
    <w:rsid w:val="00781D2F"/>
    <w:rsid w:val="00783998"/>
    <w:rsid w:val="007933D8"/>
    <w:rsid w:val="0079692D"/>
    <w:rsid w:val="00796F21"/>
    <w:rsid w:val="007A0512"/>
    <w:rsid w:val="007A1545"/>
    <w:rsid w:val="007A2621"/>
    <w:rsid w:val="007A3D53"/>
    <w:rsid w:val="007A6D08"/>
    <w:rsid w:val="007B3AFA"/>
    <w:rsid w:val="007B6201"/>
    <w:rsid w:val="007C3488"/>
    <w:rsid w:val="007C484B"/>
    <w:rsid w:val="007D2D86"/>
    <w:rsid w:val="007D48EF"/>
    <w:rsid w:val="007D7212"/>
    <w:rsid w:val="007E1E22"/>
    <w:rsid w:val="007E6FC8"/>
    <w:rsid w:val="007E74F3"/>
    <w:rsid w:val="007F28E6"/>
    <w:rsid w:val="007F31BF"/>
    <w:rsid w:val="007F4C17"/>
    <w:rsid w:val="00812B15"/>
    <w:rsid w:val="0081385F"/>
    <w:rsid w:val="00814E94"/>
    <w:rsid w:val="00815AB9"/>
    <w:rsid w:val="00832EEA"/>
    <w:rsid w:val="00836EC4"/>
    <w:rsid w:val="00844329"/>
    <w:rsid w:val="008450AC"/>
    <w:rsid w:val="00845BFC"/>
    <w:rsid w:val="008469C9"/>
    <w:rsid w:val="00853ED4"/>
    <w:rsid w:val="00857AC2"/>
    <w:rsid w:val="00866005"/>
    <w:rsid w:val="00866F36"/>
    <w:rsid w:val="008712DA"/>
    <w:rsid w:val="008754C3"/>
    <w:rsid w:val="008765B2"/>
    <w:rsid w:val="00880069"/>
    <w:rsid w:val="00884269"/>
    <w:rsid w:val="0089154F"/>
    <w:rsid w:val="00894344"/>
    <w:rsid w:val="008A3150"/>
    <w:rsid w:val="008A3408"/>
    <w:rsid w:val="008A3558"/>
    <w:rsid w:val="008A560A"/>
    <w:rsid w:val="008A5D30"/>
    <w:rsid w:val="008A6DF4"/>
    <w:rsid w:val="008A7679"/>
    <w:rsid w:val="008B1850"/>
    <w:rsid w:val="008B2CB0"/>
    <w:rsid w:val="008B34E0"/>
    <w:rsid w:val="008B5D54"/>
    <w:rsid w:val="008C0E86"/>
    <w:rsid w:val="008C4DB4"/>
    <w:rsid w:val="008C5536"/>
    <w:rsid w:val="008C6911"/>
    <w:rsid w:val="008C7698"/>
    <w:rsid w:val="008D5C10"/>
    <w:rsid w:val="008D5EEE"/>
    <w:rsid w:val="008D6D3C"/>
    <w:rsid w:val="008E240C"/>
    <w:rsid w:val="008E457B"/>
    <w:rsid w:val="008E7891"/>
    <w:rsid w:val="008F0DD3"/>
    <w:rsid w:val="008F283D"/>
    <w:rsid w:val="008F6205"/>
    <w:rsid w:val="00902B89"/>
    <w:rsid w:val="00904747"/>
    <w:rsid w:val="0090699B"/>
    <w:rsid w:val="00906E89"/>
    <w:rsid w:val="00910558"/>
    <w:rsid w:val="00911518"/>
    <w:rsid w:val="00915110"/>
    <w:rsid w:val="00916D72"/>
    <w:rsid w:val="00922BAF"/>
    <w:rsid w:val="00923561"/>
    <w:rsid w:val="0092469C"/>
    <w:rsid w:val="00924A17"/>
    <w:rsid w:val="0092527A"/>
    <w:rsid w:val="009328B7"/>
    <w:rsid w:val="00934DF4"/>
    <w:rsid w:val="00943CE3"/>
    <w:rsid w:val="00944773"/>
    <w:rsid w:val="00944B55"/>
    <w:rsid w:val="00951764"/>
    <w:rsid w:val="00951ABE"/>
    <w:rsid w:val="00954177"/>
    <w:rsid w:val="00954A41"/>
    <w:rsid w:val="0096235A"/>
    <w:rsid w:val="00966AA6"/>
    <w:rsid w:val="009676B1"/>
    <w:rsid w:val="00976467"/>
    <w:rsid w:val="0097715D"/>
    <w:rsid w:val="00982836"/>
    <w:rsid w:val="00984198"/>
    <w:rsid w:val="00985B8C"/>
    <w:rsid w:val="00987559"/>
    <w:rsid w:val="00987975"/>
    <w:rsid w:val="00991613"/>
    <w:rsid w:val="00993644"/>
    <w:rsid w:val="009944C5"/>
    <w:rsid w:val="009A15A2"/>
    <w:rsid w:val="009A25C3"/>
    <w:rsid w:val="009A4ED2"/>
    <w:rsid w:val="009B6CE3"/>
    <w:rsid w:val="009C2E9D"/>
    <w:rsid w:val="009C3B7F"/>
    <w:rsid w:val="009C6B09"/>
    <w:rsid w:val="009D05F1"/>
    <w:rsid w:val="009D123B"/>
    <w:rsid w:val="009D583E"/>
    <w:rsid w:val="009D7FF4"/>
    <w:rsid w:val="009E12EF"/>
    <w:rsid w:val="009E1D8E"/>
    <w:rsid w:val="009E20C4"/>
    <w:rsid w:val="009E2C2B"/>
    <w:rsid w:val="009F1F3D"/>
    <w:rsid w:val="009F3331"/>
    <w:rsid w:val="009F3839"/>
    <w:rsid w:val="009F5122"/>
    <w:rsid w:val="009F5B16"/>
    <w:rsid w:val="009F5DEF"/>
    <w:rsid w:val="009F69EC"/>
    <w:rsid w:val="009F7B8C"/>
    <w:rsid w:val="00A01EDE"/>
    <w:rsid w:val="00A0542F"/>
    <w:rsid w:val="00A07611"/>
    <w:rsid w:val="00A11D62"/>
    <w:rsid w:val="00A1306F"/>
    <w:rsid w:val="00A169D2"/>
    <w:rsid w:val="00A22092"/>
    <w:rsid w:val="00A2253D"/>
    <w:rsid w:val="00A23B87"/>
    <w:rsid w:val="00A26315"/>
    <w:rsid w:val="00A35BF2"/>
    <w:rsid w:val="00A365D1"/>
    <w:rsid w:val="00A50CFE"/>
    <w:rsid w:val="00A52632"/>
    <w:rsid w:val="00A543A5"/>
    <w:rsid w:val="00A55E3C"/>
    <w:rsid w:val="00A55FA6"/>
    <w:rsid w:val="00A6497C"/>
    <w:rsid w:val="00A74894"/>
    <w:rsid w:val="00A75287"/>
    <w:rsid w:val="00A75808"/>
    <w:rsid w:val="00A7648A"/>
    <w:rsid w:val="00A821E5"/>
    <w:rsid w:val="00A84988"/>
    <w:rsid w:val="00A947D4"/>
    <w:rsid w:val="00A948CE"/>
    <w:rsid w:val="00A95500"/>
    <w:rsid w:val="00A960B8"/>
    <w:rsid w:val="00A97E97"/>
    <w:rsid w:val="00AA0066"/>
    <w:rsid w:val="00AA369A"/>
    <w:rsid w:val="00AA4B62"/>
    <w:rsid w:val="00AB0142"/>
    <w:rsid w:val="00AB5B14"/>
    <w:rsid w:val="00AB7BA4"/>
    <w:rsid w:val="00AC39B7"/>
    <w:rsid w:val="00AC4900"/>
    <w:rsid w:val="00AD3B6C"/>
    <w:rsid w:val="00AD4E37"/>
    <w:rsid w:val="00AD4F3F"/>
    <w:rsid w:val="00AD6AA0"/>
    <w:rsid w:val="00AE3132"/>
    <w:rsid w:val="00AF288A"/>
    <w:rsid w:val="00AF2B72"/>
    <w:rsid w:val="00AF4382"/>
    <w:rsid w:val="00AF5325"/>
    <w:rsid w:val="00AF78BC"/>
    <w:rsid w:val="00B02CE4"/>
    <w:rsid w:val="00B06559"/>
    <w:rsid w:val="00B117EC"/>
    <w:rsid w:val="00B11B9D"/>
    <w:rsid w:val="00B30A63"/>
    <w:rsid w:val="00B31383"/>
    <w:rsid w:val="00B31AB1"/>
    <w:rsid w:val="00B32F09"/>
    <w:rsid w:val="00B37B5E"/>
    <w:rsid w:val="00B43E36"/>
    <w:rsid w:val="00B54C5F"/>
    <w:rsid w:val="00B55B72"/>
    <w:rsid w:val="00B57267"/>
    <w:rsid w:val="00B60714"/>
    <w:rsid w:val="00B62513"/>
    <w:rsid w:val="00B62CB6"/>
    <w:rsid w:val="00B666EF"/>
    <w:rsid w:val="00B73957"/>
    <w:rsid w:val="00B75A43"/>
    <w:rsid w:val="00B84244"/>
    <w:rsid w:val="00B8742E"/>
    <w:rsid w:val="00B90E61"/>
    <w:rsid w:val="00B92F16"/>
    <w:rsid w:val="00B9402F"/>
    <w:rsid w:val="00BA0987"/>
    <w:rsid w:val="00BA561D"/>
    <w:rsid w:val="00BB196F"/>
    <w:rsid w:val="00BB36E7"/>
    <w:rsid w:val="00BB4E35"/>
    <w:rsid w:val="00BC002E"/>
    <w:rsid w:val="00BC1A88"/>
    <w:rsid w:val="00BD0B2C"/>
    <w:rsid w:val="00BD2981"/>
    <w:rsid w:val="00BD7258"/>
    <w:rsid w:val="00BE5080"/>
    <w:rsid w:val="00BE63C5"/>
    <w:rsid w:val="00BF13E9"/>
    <w:rsid w:val="00BF5EA2"/>
    <w:rsid w:val="00BF6D94"/>
    <w:rsid w:val="00C0531C"/>
    <w:rsid w:val="00C10D2C"/>
    <w:rsid w:val="00C10DC6"/>
    <w:rsid w:val="00C111F2"/>
    <w:rsid w:val="00C14055"/>
    <w:rsid w:val="00C142A8"/>
    <w:rsid w:val="00C14487"/>
    <w:rsid w:val="00C1488D"/>
    <w:rsid w:val="00C14FFA"/>
    <w:rsid w:val="00C21EBC"/>
    <w:rsid w:val="00C232B8"/>
    <w:rsid w:val="00C24F53"/>
    <w:rsid w:val="00C27006"/>
    <w:rsid w:val="00C3022C"/>
    <w:rsid w:val="00C30D45"/>
    <w:rsid w:val="00C3182B"/>
    <w:rsid w:val="00C32221"/>
    <w:rsid w:val="00C32E7A"/>
    <w:rsid w:val="00C350B4"/>
    <w:rsid w:val="00C414AD"/>
    <w:rsid w:val="00C42C57"/>
    <w:rsid w:val="00C434BC"/>
    <w:rsid w:val="00C46519"/>
    <w:rsid w:val="00C53BD2"/>
    <w:rsid w:val="00C5636E"/>
    <w:rsid w:val="00C5710C"/>
    <w:rsid w:val="00C6141E"/>
    <w:rsid w:val="00C6639E"/>
    <w:rsid w:val="00C67D92"/>
    <w:rsid w:val="00C825DB"/>
    <w:rsid w:val="00C8573F"/>
    <w:rsid w:val="00C92451"/>
    <w:rsid w:val="00C94339"/>
    <w:rsid w:val="00C94EA0"/>
    <w:rsid w:val="00C97FF1"/>
    <w:rsid w:val="00CA5FA8"/>
    <w:rsid w:val="00CA70D6"/>
    <w:rsid w:val="00CB0C02"/>
    <w:rsid w:val="00CB0C31"/>
    <w:rsid w:val="00CB6EE6"/>
    <w:rsid w:val="00CB7071"/>
    <w:rsid w:val="00CC023A"/>
    <w:rsid w:val="00CC0E00"/>
    <w:rsid w:val="00CD1050"/>
    <w:rsid w:val="00CD52B7"/>
    <w:rsid w:val="00CE1DE9"/>
    <w:rsid w:val="00CE41D9"/>
    <w:rsid w:val="00CF03E9"/>
    <w:rsid w:val="00CF5D1B"/>
    <w:rsid w:val="00CF79C2"/>
    <w:rsid w:val="00D06BDD"/>
    <w:rsid w:val="00D10F1D"/>
    <w:rsid w:val="00D13E29"/>
    <w:rsid w:val="00D1540D"/>
    <w:rsid w:val="00D20383"/>
    <w:rsid w:val="00D2338C"/>
    <w:rsid w:val="00D23C38"/>
    <w:rsid w:val="00D26E2B"/>
    <w:rsid w:val="00D309D1"/>
    <w:rsid w:val="00D323D4"/>
    <w:rsid w:val="00D3460A"/>
    <w:rsid w:val="00D412C6"/>
    <w:rsid w:val="00D43E9C"/>
    <w:rsid w:val="00D4426E"/>
    <w:rsid w:val="00D47ABE"/>
    <w:rsid w:val="00D53DD1"/>
    <w:rsid w:val="00D5576C"/>
    <w:rsid w:val="00D55F92"/>
    <w:rsid w:val="00D60F05"/>
    <w:rsid w:val="00D65849"/>
    <w:rsid w:val="00D67C1A"/>
    <w:rsid w:val="00D81091"/>
    <w:rsid w:val="00D903B9"/>
    <w:rsid w:val="00D91EB3"/>
    <w:rsid w:val="00D938E0"/>
    <w:rsid w:val="00D9612F"/>
    <w:rsid w:val="00DA2460"/>
    <w:rsid w:val="00DA3E95"/>
    <w:rsid w:val="00DA5351"/>
    <w:rsid w:val="00DA663A"/>
    <w:rsid w:val="00DA7ED3"/>
    <w:rsid w:val="00DB041B"/>
    <w:rsid w:val="00DB3778"/>
    <w:rsid w:val="00DB4149"/>
    <w:rsid w:val="00DB7D2B"/>
    <w:rsid w:val="00DC2297"/>
    <w:rsid w:val="00DC25D8"/>
    <w:rsid w:val="00DD2BB5"/>
    <w:rsid w:val="00DD3E5A"/>
    <w:rsid w:val="00DE08D0"/>
    <w:rsid w:val="00DE7077"/>
    <w:rsid w:val="00DF15F8"/>
    <w:rsid w:val="00DF521B"/>
    <w:rsid w:val="00DF5352"/>
    <w:rsid w:val="00E007D7"/>
    <w:rsid w:val="00E03C3A"/>
    <w:rsid w:val="00E1102B"/>
    <w:rsid w:val="00E13643"/>
    <w:rsid w:val="00E141C5"/>
    <w:rsid w:val="00E14356"/>
    <w:rsid w:val="00E1663C"/>
    <w:rsid w:val="00E16E1E"/>
    <w:rsid w:val="00E23C23"/>
    <w:rsid w:val="00E25838"/>
    <w:rsid w:val="00E30375"/>
    <w:rsid w:val="00E32AEB"/>
    <w:rsid w:val="00E33D64"/>
    <w:rsid w:val="00E4089F"/>
    <w:rsid w:val="00E46741"/>
    <w:rsid w:val="00E55D54"/>
    <w:rsid w:val="00E66065"/>
    <w:rsid w:val="00E667F4"/>
    <w:rsid w:val="00E67831"/>
    <w:rsid w:val="00E74A9B"/>
    <w:rsid w:val="00E754EE"/>
    <w:rsid w:val="00E7695A"/>
    <w:rsid w:val="00E80494"/>
    <w:rsid w:val="00E90C2E"/>
    <w:rsid w:val="00E93982"/>
    <w:rsid w:val="00E95243"/>
    <w:rsid w:val="00EA32B1"/>
    <w:rsid w:val="00EA4B63"/>
    <w:rsid w:val="00EA52D6"/>
    <w:rsid w:val="00EA5F0A"/>
    <w:rsid w:val="00EB7171"/>
    <w:rsid w:val="00EC1653"/>
    <w:rsid w:val="00EC40AA"/>
    <w:rsid w:val="00EC6C36"/>
    <w:rsid w:val="00ED35E7"/>
    <w:rsid w:val="00ED6DFD"/>
    <w:rsid w:val="00EE1E5C"/>
    <w:rsid w:val="00EE3AFC"/>
    <w:rsid w:val="00EF2078"/>
    <w:rsid w:val="00EF5EF6"/>
    <w:rsid w:val="00EF625C"/>
    <w:rsid w:val="00EF651F"/>
    <w:rsid w:val="00F05020"/>
    <w:rsid w:val="00F05E60"/>
    <w:rsid w:val="00F10348"/>
    <w:rsid w:val="00F1439B"/>
    <w:rsid w:val="00F163F6"/>
    <w:rsid w:val="00F16474"/>
    <w:rsid w:val="00F17323"/>
    <w:rsid w:val="00F17778"/>
    <w:rsid w:val="00F1799A"/>
    <w:rsid w:val="00F203AB"/>
    <w:rsid w:val="00F20641"/>
    <w:rsid w:val="00F22A16"/>
    <w:rsid w:val="00F23701"/>
    <w:rsid w:val="00F265DB"/>
    <w:rsid w:val="00F50E58"/>
    <w:rsid w:val="00F512A8"/>
    <w:rsid w:val="00F524C5"/>
    <w:rsid w:val="00F54553"/>
    <w:rsid w:val="00F5455B"/>
    <w:rsid w:val="00F56DBE"/>
    <w:rsid w:val="00F60E17"/>
    <w:rsid w:val="00F627E6"/>
    <w:rsid w:val="00F67D1D"/>
    <w:rsid w:val="00F74245"/>
    <w:rsid w:val="00F754DA"/>
    <w:rsid w:val="00F76CED"/>
    <w:rsid w:val="00F803F9"/>
    <w:rsid w:val="00F81C44"/>
    <w:rsid w:val="00F908C2"/>
    <w:rsid w:val="00F93DBC"/>
    <w:rsid w:val="00F9655E"/>
    <w:rsid w:val="00F972B3"/>
    <w:rsid w:val="00FA2A28"/>
    <w:rsid w:val="00FC0474"/>
    <w:rsid w:val="00FC2E76"/>
    <w:rsid w:val="00FC3743"/>
    <w:rsid w:val="00FC6D15"/>
    <w:rsid w:val="00FD702F"/>
    <w:rsid w:val="00FE1AAF"/>
    <w:rsid w:val="00FE4BD0"/>
    <w:rsid w:val="00FE6A14"/>
    <w:rsid w:val="00FF0DE3"/>
    <w:rsid w:val="00FF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FA"/>
    <w:rPr>
      <w:sz w:val="24"/>
      <w:szCs w:val="24"/>
    </w:rPr>
  </w:style>
  <w:style w:type="paragraph" w:styleId="Heading1">
    <w:name w:val="heading 1"/>
    <w:basedOn w:val="Normal"/>
    <w:next w:val="Normal"/>
    <w:qFormat/>
    <w:rsid w:val="00C14FF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4FFA"/>
    <w:pPr>
      <w:spacing w:before="28"/>
      <w:ind w:right="90"/>
    </w:pPr>
    <w:rPr>
      <w:sz w:val="19"/>
      <w:szCs w:val="19"/>
    </w:rPr>
  </w:style>
  <w:style w:type="paragraph" w:styleId="Header">
    <w:name w:val="header"/>
    <w:basedOn w:val="Normal"/>
    <w:link w:val="HeaderChar"/>
    <w:semiHidden/>
    <w:rsid w:val="00C14FFA"/>
    <w:pPr>
      <w:tabs>
        <w:tab w:val="center" w:pos="4320"/>
        <w:tab w:val="right" w:pos="8640"/>
      </w:tabs>
    </w:pPr>
  </w:style>
  <w:style w:type="paragraph" w:styleId="Footer">
    <w:name w:val="footer"/>
    <w:basedOn w:val="Normal"/>
    <w:semiHidden/>
    <w:rsid w:val="00C14FFA"/>
    <w:pPr>
      <w:tabs>
        <w:tab w:val="center" w:pos="4320"/>
        <w:tab w:val="right" w:pos="8640"/>
      </w:tabs>
    </w:pPr>
  </w:style>
  <w:style w:type="character" w:styleId="PageNumber">
    <w:name w:val="page number"/>
    <w:basedOn w:val="DefaultParagraphFont"/>
    <w:semiHidden/>
    <w:rsid w:val="00C14FFA"/>
  </w:style>
  <w:style w:type="paragraph" w:styleId="FootnoteText">
    <w:name w:val="footnote text"/>
    <w:basedOn w:val="Normal"/>
    <w:link w:val="FootnoteTextChar"/>
    <w:uiPriority w:val="99"/>
    <w:semiHidden/>
    <w:rsid w:val="00C14FFA"/>
    <w:pPr>
      <w:ind w:firstLine="720"/>
    </w:pPr>
    <w:rPr>
      <w:szCs w:val="20"/>
    </w:rPr>
  </w:style>
  <w:style w:type="character" w:styleId="FootnoteReference">
    <w:name w:val="footnote reference"/>
    <w:basedOn w:val="DefaultParagraphFont"/>
    <w:uiPriority w:val="99"/>
    <w:rsid w:val="00C14FF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table" w:styleId="TableGrid">
    <w:name w:val="Table Grid"/>
    <w:basedOn w:val="TableNormal"/>
    <w:uiPriority w:val="59"/>
    <w:rsid w:val="004D2C2B"/>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4D2C2B"/>
    <w:rPr>
      <w:sz w:val="24"/>
    </w:rPr>
  </w:style>
  <w:style w:type="paragraph" w:styleId="BodyTextIndent2">
    <w:name w:val="Body Text Indent 2"/>
    <w:basedOn w:val="Normal"/>
    <w:link w:val="BodyTextIndent2Char"/>
    <w:semiHidden/>
    <w:rsid w:val="00622F9C"/>
    <w:pPr>
      <w:widowControl w:val="0"/>
      <w:autoSpaceDE w:val="0"/>
      <w:autoSpaceDN w:val="0"/>
      <w:adjustRightInd w:val="0"/>
      <w:ind w:left="720"/>
    </w:pPr>
  </w:style>
  <w:style w:type="character" w:customStyle="1" w:styleId="BodyTextIndent2Char">
    <w:name w:val="Body Text Indent 2 Char"/>
    <w:basedOn w:val="DefaultParagraphFont"/>
    <w:link w:val="BodyTextIndent2"/>
    <w:semiHidden/>
    <w:rsid w:val="00622F9C"/>
    <w:rPr>
      <w:sz w:val="24"/>
      <w:szCs w:val="24"/>
    </w:rPr>
  </w:style>
  <w:style w:type="paragraph" w:customStyle="1" w:styleId="Level1">
    <w:name w:val="Level 1"/>
    <w:basedOn w:val="Normal"/>
    <w:uiPriority w:val="99"/>
    <w:rsid w:val="00246226"/>
    <w:pPr>
      <w:widowControl w:val="0"/>
      <w:tabs>
        <w:tab w:val="num" w:pos="1289"/>
      </w:tabs>
      <w:autoSpaceDE w:val="0"/>
      <w:autoSpaceDN w:val="0"/>
      <w:adjustRightInd w:val="0"/>
      <w:ind w:left="1440" w:hanging="720"/>
      <w:outlineLvl w:val="0"/>
    </w:pPr>
    <w:rPr>
      <w:rFonts w:eastAsiaTheme="minorEastAsia"/>
    </w:rPr>
  </w:style>
  <w:style w:type="character" w:customStyle="1" w:styleId="HeaderChar">
    <w:name w:val="Header Char"/>
    <w:basedOn w:val="DefaultParagraphFont"/>
    <w:link w:val="Header"/>
    <w:semiHidden/>
    <w:rsid w:val="00E141C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73DD-E46F-4B34-AC23-B48FC33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8</Pages>
  <Words>1811</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2010-10-07T21:53:00Z</cp:lastPrinted>
  <dcterms:created xsi:type="dcterms:W3CDTF">2010-10-14T22:05:00Z</dcterms:created>
  <dcterms:modified xsi:type="dcterms:W3CDTF">2010-10-14T22:05:00Z</dcterms:modified>
</cp:coreProperties>
</file>