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2F4BC5" w:rsidRDefault="002F4BC5" w:rsidP="002F4BC5">
      <w:pPr>
        <w:jc w:val="right"/>
        <w:rPr>
          <w:b/>
          <w:sz w:val="36"/>
        </w:rPr>
      </w:pPr>
      <w:r w:rsidRPr="002F4BC5">
        <w:rPr>
          <w:b/>
        </w:rPr>
        <w:t>FILED FEBRUARY 9, 2010</w:t>
      </w:r>
    </w:p>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7516D7">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7516D7">
            <w:pPr>
              <w:rPr>
                <w:b/>
                <w:bCs/>
              </w:rPr>
            </w:pPr>
            <w:bookmarkStart w:id="1" w:name="resp"/>
            <w:bookmarkEnd w:id="1"/>
            <w:r>
              <w:rPr>
                <w:b/>
                <w:bCs/>
              </w:rPr>
              <w:t xml:space="preserve">CHRISTOPHER </w:t>
            </w:r>
            <w:r w:rsidR="009948EC">
              <w:rPr>
                <w:b/>
                <w:bCs/>
              </w:rPr>
              <w:t xml:space="preserve">LAVAR </w:t>
            </w:r>
            <w:r>
              <w:rPr>
                <w:b/>
                <w:bCs/>
              </w:rPr>
              <w:t>TURPIN</w:t>
            </w:r>
          </w:p>
          <w:p w:rsidR="003D3B12" w:rsidRDefault="003D3B12">
            <w:pPr>
              <w:rPr>
                <w:b/>
                <w:bCs/>
              </w:rPr>
            </w:pPr>
          </w:p>
          <w:p w:rsidR="003D3B12" w:rsidRDefault="003D3B12">
            <w:pPr>
              <w:rPr>
                <w:b/>
                <w:bCs/>
              </w:rPr>
            </w:pPr>
            <w:r>
              <w:rPr>
                <w:b/>
                <w:bCs/>
              </w:rPr>
              <w:t xml:space="preserve">Member No.  </w:t>
            </w:r>
            <w:bookmarkStart w:id="2" w:name="member"/>
            <w:bookmarkEnd w:id="2"/>
            <w:r w:rsidR="007516D7">
              <w:rPr>
                <w:b/>
                <w:bCs/>
              </w:rPr>
              <w:t>210177</w:t>
            </w:r>
          </w:p>
          <w:p w:rsidR="003D3B12" w:rsidRDefault="003D3B12">
            <w:pPr>
              <w:rPr>
                <w:b/>
                <w:bCs/>
              </w:rPr>
            </w:pPr>
          </w:p>
          <w:p w:rsidR="003D3B12" w:rsidRDefault="007516D7">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7516D7">
            <w:pPr>
              <w:rPr>
                <w:b/>
                <w:bCs/>
              </w:rPr>
            </w:pPr>
            <w:bookmarkStart w:id="4" w:name="caseno"/>
            <w:bookmarkEnd w:id="4"/>
            <w:r>
              <w:rPr>
                <w:b/>
                <w:bCs/>
              </w:rPr>
              <w:t>07-O-14363</w:t>
            </w:r>
            <w:r w:rsidR="009948EC">
              <w:rPr>
                <w:b/>
                <w:bCs/>
              </w:rPr>
              <w:t>-PEM</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9948EC" w:rsidRDefault="009948EC">
            <w:pPr>
              <w:rPr>
                <w:b/>
                <w:bCs/>
              </w:rPr>
            </w:pPr>
            <w:bookmarkStart w:id="5" w:name="title"/>
            <w:bookmarkEnd w:id="5"/>
          </w:p>
          <w:p w:rsidR="003D3B12" w:rsidRDefault="007516D7">
            <w:pPr>
              <w:rPr>
                <w:b/>
                <w:bCs/>
              </w:rPr>
            </w:pPr>
            <w:r>
              <w:rPr>
                <w:b/>
                <w:bCs/>
              </w:rPr>
              <w:t>DECISION</w:t>
            </w:r>
          </w:p>
        </w:tc>
      </w:tr>
    </w:tbl>
    <w:p w:rsidR="003D3B12" w:rsidRDefault="003D3B12">
      <w:pPr>
        <w:spacing w:line="480" w:lineRule="auto"/>
      </w:pPr>
    </w:p>
    <w:p w:rsidR="00574319" w:rsidRPr="002270F9" w:rsidRDefault="00574319" w:rsidP="00574319">
      <w:pPr>
        <w:spacing w:line="480" w:lineRule="auto"/>
        <w:jc w:val="center"/>
        <w:rPr>
          <w:b/>
          <w:lang w:val="en-CA"/>
        </w:rPr>
      </w:pPr>
      <w:r w:rsidRPr="002270F9">
        <w:rPr>
          <w:b/>
          <w:lang w:val="en-CA"/>
        </w:rPr>
        <w:t>I.</w:t>
      </w:r>
      <w:r>
        <w:rPr>
          <w:b/>
          <w:lang w:val="en-CA"/>
        </w:rPr>
        <w:t xml:space="preserve">  </w:t>
      </w:r>
      <w:r w:rsidRPr="002270F9">
        <w:rPr>
          <w:b/>
          <w:lang w:val="en-CA"/>
        </w:rPr>
        <w:t>Introduction</w:t>
      </w:r>
    </w:p>
    <w:p w:rsidR="00574319" w:rsidRDefault="00574319" w:rsidP="009948EC">
      <w:pPr>
        <w:spacing w:line="480" w:lineRule="auto"/>
        <w:ind w:firstLine="720"/>
      </w:pPr>
      <w:r>
        <w:t>In</w:t>
      </w:r>
      <w:r w:rsidR="009948EC">
        <w:t xml:space="preserve"> this disciplinary proceeding, respondent </w:t>
      </w:r>
      <w:r>
        <w:rPr>
          <w:b/>
        </w:rPr>
        <w:t xml:space="preserve">Christopher </w:t>
      </w:r>
      <w:r w:rsidR="009948EC">
        <w:rPr>
          <w:b/>
        </w:rPr>
        <w:t xml:space="preserve">LaVar </w:t>
      </w:r>
      <w:r>
        <w:rPr>
          <w:b/>
        </w:rPr>
        <w:t xml:space="preserve">Turpin </w:t>
      </w:r>
      <w:r>
        <w:t>is charged with multiple acts of misconduct in one matter.  The cha</w:t>
      </w:r>
      <w:r w:rsidR="009948EC">
        <w:t>rged acts of misconduct include</w:t>
      </w:r>
      <w:r>
        <w:t xml:space="preserve"> two acts of moral turpitude and </w:t>
      </w:r>
      <w:r w:rsidR="009948EC">
        <w:t>a</w:t>
      </w:r>
      <w:r>
        <w:t xml:space="preserve"> failure to cooperate in </w:t>
      </w:r>
      <w:r w:rsidR="009948EC">
        <w:t>a S</w:t>
      </w:r>
      <w:r>
        <w:t xml:space="preserve">tate </w:t>
      </w:r>
      <w:r w:rsidR="009948EC">
        <w:t>Bar investigation</w:t>
      </w:r>
      <w:r>
        <w:t>.</w:t>
      </w:r>
      <w:r w:rsidR="009948EC">
        <w:t xml:space="preserve">  This c</w:t>
      </w:r>
      <w:r>
        <w:t>ourt finds, by clear and convincin</w:t>
      </w:r>
      <w:r w:rsidR="009948EC">
        <w:t xml:space="preserve">g evidence, that respondent is </w:t>
      </w:r>
      <w:r>
        <w:t>culpable of the acts of moral turpitude.</w:t>
      </w:r>
      <w:r w:rsidR="00BD2195">
        <w:t xml:space="preserve">  </w:t>
      </w:r>
      <w:r w:rsidR="009948EC">
        <w:t xml:space="preserve">Based </w:t>
      </w:r>
      <w:r>
        <w:t xml:space="preserve">on the </w:t>
      </w:r>
      <w:r w:rsidR="009948EC">
        <w:t xml:space="preserve">extent and </w:t>
      </w:r>
      <w:r>
        <w:t xml:space="preserve">serious nature </w:t>
      </w:r>
      <w:r w:rsidR="009948EC">
        <w:t>of the present misconduct,</w:t>
      </w:r>
      <w:r>
        <w:t xml:space="preserve"> the </w:t>
      </w:r>
      <w:r w:rsidR="009948EC">
        <w:t>c</w:t>
      </w:r>
      <w:r>
        <w:t>ourt recommends</w:t>
      </w:r>
      <w:r w:rsidR="009948EC">
        <w:t>, among other things,</w:t>
      </w:r>
      <w:r>
        <w:t xml:space="preserve"> that respondent be actu</w:t>
      </w:r>
      <w:r w:rsidR="009948EC">
        <w:t>ally suspended for two years</w:t>
      </w:r>
      <w:r w:rsidR="009941F3">
        <w:t xml:space="preserve"> and until he provides proof to the State Bar Court of his rehabilitation, present fitness to practice, and learning and ability in the general law</w:t>
      </w:r>
      <w:r w:rsidR="009948EC">
        <w:t xml:space="preserve">.  </w:t>
      </w:r>
    </w:p>
    <w:p w:rsidR="00574319" w:rsidRPr="004A7CC5" w:rsidRDefault="00574319" w:rsidP="00574319">
      <w:pPr>
        <w:spacing w:line="480" w:lineRule="auto"/>
        <w:jc w:val="center"/>
        <w:rPr>
          <w:b/>
        </w:rPr>
      </w:pPr>
      <w:r w:rsidRPr="004A7CC5">
        <w:rPr>
          <w:b/>
        </w:rPr>
        <w:t>II</w:t>
      </w:r>
      <w:r>
        <w:rPr>
          <w:b/>
        </w:rPr>
        <w:t>.  P</w:t>
      </w:r>
      <w:r w:rsidRPr="004A7CC5">
        <w:rPr>
          <w:b/>
        </w:rPr>
        <w:t>ertinent Procedural History</w:t>
      </w:r>
    </w:p>
    <w:p w:rsidR="00574319" w:rsidRDefault="00574319" w:rsidP="009948EC">
      <w:pPr>
        <w:spacing w:line="480" w:lineRule="auto"/>
        <w:ind w:firstLine="720"/>
      </w:pPr>
      <w:r>
        <w:t>The Office of the Chief Trial Counsel of the State Bar of California (</w:t>
      </w:r>
      <w:r w:rsidR="009F10A4">
        <w:t>“</w:t>
      </w:r>
      <w:r>
        <w:t>State Bar</w:t>
      </w:r>
      <w:r w:rsidR="009F10A4">
        <w:t>”</w:t>
      </w:r>
      <w:r>
        <w:t>) initiated this proceeding by filing a Notice of Disciplinary Charges (</w:t>
      </w:r>
      <w:r w:rsidR="009F10A4">
        <w:t>“</w:t>
      </w:r>
      <w:r>
        <w:t>NDC</w:t>
      </w:r>
      <w:r w:rsidR="009F10A4">
        <w:t>”</w:t>
      </w:r>
      <w:r>
        <w:t>) on</w:t>
      </w:r>
      <w:r w:rsidR="007E0C27">
        <w:t xml:space="preserve"> December 30, 2</w:t>
      </w:r>
      <w:r>
        <w:t>008.  On</w:t>
      </w:r>
      <w:r w:rsidR="007E0C27">
        <w:t xml:space="preserve"> March 3, 2009,</w:t>
      </w:r>
      <w:r>
        <w:t xml:space="preserve"> respondent filed a response to the NDC</w:t>
      </w:r>
      <w:r w:rsidR="007E0C27">
        <w:t>.</w:t>
      </w:r>
      <w:r w:rsidR="009948EC">
        <w:t xml:space="preserve">  </w:t>
      </w:r>
    </w:p>
    <w:p w:rsidR="00574319" w:rsidRDefault="00BD2195" w:rsidP="009948EC">
      <w:pPr>
        <w:spacing w:line="480" w:lineRule="auto"/>
        <w:ind w:firstLine="720"/>
      </w:pPr>
      <w:r>
        <w:t xml:space="preserve">On </w:t>
      </w:r>
      <w:r w:rsidR="007E0C27">
        <w:t xml:space="preserve">December </w:t>
      </w:r>
      <w:r>
        <w:t xml:space="preserve">8, </w:t>
      </w:r>
      <w:r w:rsidR="007E0C27">
        <w:t xml:space="preserve">2009, </w:t>
      </w:r>
      <w:r w:rsidR="00894CFF">
        <w:t xml:space="preserve">the parties filed </w:t>
      </w:r>
      <w:r w:rsidR="007E0C27">
        <w:t>a partial stipulation as to facts</w:t>
      </w:r>
      <w:r w:rsidR="00894CFF">
        <w:t>,</w:t>
      </w:r>
      <w:r w:rsidR="007E0C27">
        <w:t xml:space="preserve"> conclusions of law</w:t>
      </w:r>
      <w:r w:rsidR="00792DB6">
        <w:t>,</w:t>
      </w:r>
      <w:r w:rsidR="007E0C27">
        <w:t xml:space="preserve"> and </w:t>
      </w:r>
      <w:r w:rsidR="00792DB6">
        <w:t xml:space="preserve">the </w:t>
      </w:r>
      <w:r w:rsidR="007E0C27">
        <w:t>admis</w:t>
      </w:r>
      <w:r w:rsidR="00792DB6">
        <w:t>sion</w:t>
      </w:r>
      <w:r w:rsidR="009948EC">
        <w:t xml:space="preserve"> </w:t>
      </w:r>
      <w:r w:rsidR="00792DB6">
        <w:t>of documents</w:t>
      </w:r>
      <w:r w:rsidR="009948EC">
        <w:t xml:space="preserve">.  </w:t>
      </w:r>
      <w:r w:rsidR="007E0C27">
        <w:t xml:space="preserve">A two day </w:t>
      </w:r>
      <w:r w:rsidR="00574319">
        <w:t xml:space="preserve">trial was held on </w:t>
      </w:r>
      <w:r w:rsidR="007E0C27">
        <w:t>December 8 and 9</w:t>
      </w:r>
      <w:r>
        <w:t>, 2009</w:t>
      </w:r>
      <w:r w:rsidR="007E0C27">
        <w:t>.</w:t>
      </w:r>
      <w:r w:rsidR="00574319">
        <w:t xml:space="preserve"> </w:t>
      </w:r>
      <w:r w:rsidR="009948EC">
        <w:t xml:space="preserve"> </w:t>
      </w:r>
      <w:r w:rsidR="00574319">
        <w:t xml:space="preserve">The </w:t>
      </w:r>
      <w:r w:rsidR="00574319">
        <w:lastRenderedPageBreak/>
        <w:t xml:space="preserve">State Bar was represented by Deputy Trial Counsel </w:t>
      </w:r>
      <w:r w:rsidR="007E0C27">
        <w:t xml:space="preserve">Brandon K. Tady </w:t>
      </w:r>
      <w:r w:rsidR="00574319">
        <w:t xml:space="preserve">and respondent </w:t>
      </w:r>
      <w:r w:rsidR="007E0C27">
        <w:t xml:space="preserve">represented himself. </w:t>
      </w:r>
      <w:r w:rsidR="00574319">
        <w:t xml:space="preserve"> </w:t>
      </w:r>
      <w:r w:rsidR="00792DB6">
        <w:t>T</w:t>
      </w:r>
      <w:r w:rsidR="00574319">
        <w:t>he court took this matter under submission</w:t>
      </w:r>
      <w:r w:rsidR="00792DB6">
        <w:t xml:space="preserve"> on December 9, 2009</w:t>
      </w:r>
      <w:r w:rsidR="00574319">
        <w:t>.</w:t>
      </w:r>
      <w:r w:rsidR="00792DB6">
        <w:t xml:space="preserve">  </w:t>
      </w:r>
    </w:p>
    <w:p w:rsidR="00574319" w:rsidRPr="004253D0" w:rsidRDefault="00574319" w:rsidP="00574319">
      <w:pPr>
        <w:spacing w:line="480" w:lineRule="auto"/>
        <w:jc w:val="center"/>
        <w:rPr>
          <w:b/>
        </w:rPr>
      </w:pPr>
      <w:r w:rsidRPr="004253D0">
        <w:rPr>
          <w:b/>
        </w:rPr>
        <w:t xml:space="preserve">III. </w:t>
      </w:r>
      <w:r>
        <w:rPr>
          <w:b/>
        </w:rPr>
        <w:t xml:space="preserve"> </w:t>
      </w:r>
      <w:r w:rsidRPr="004253D0">
        <w:rPr>
          <w:b/>
        </w:rPr>
        <w:t>Findings of Fact and Conclusions of Law</w:t>
      </w:r>
    </w:p>
    <w:p w:rsidR="00574319" w:rsidRDefault="00574319" w:rsidP="009948EC">
      <w:pPr>
        <w:spacing w:line="480" w:lineRule="auto"/>
        <w:ind w:firstLine="720"/>
      </w:pPr>
      <w:r>
        <w:t>The following findings of fact are bas</w:t>
      </w:r>
      <w:r w:rsidR="007E0C27">
        <w:t xml:space="preserve">ed </w:t>
      </w:r>
      <w:r w:rsidR="00150948">
        <w:t>on the parties’ stipulation,</w:t>
      </w:r>
      <w:r w:rsidR="00150948">
        <w:rPr>
          <w:rStyle w:val="FootnoteReference"/>
        </w:rPr>
        <w:footnoteReference w:id="1"/>
      </w:r>
      <w:r w:rsidR="00150948">
        <w:t xml:space="preserve"> and the </w:t>
      </w:r>
      <w:r w:rsidR="007E0C27">
        <w:t>evidence</w:t>
      </w:r>
      <w:r w:rsidR="00150948">
        <w:t xml:space="preserve"> </w:t>
      </w:r>
      <w:r>
        <w:t xml:space="preserve">and testimony introduced at this proceeding. </w:t>
      </w:r>
      <w:r w:rsidR="009948EC">
        <w:t xml:space="preserve"> </w:t>
      </w:r>
    </w:p>
    <w:p w:rsidR="00574319" w:rsidRPr="004A7CC5" w:rsidRDefault="00E92B0E" w:rsidP="00E92B0E">
      <w:pPr>
        <w:spacing w:line="480" w:lineRule="auto"/>
        <w:rPr>
          <w:b/>
        </w:rPr>
      </w:pPr>
      <w:r>
        <w:rPr>
          <w:b/>
        </w:rPr>
        <w:t xml:space="preserve">A.  </w:t>
      </w:r>
      <w:r w:rsidR="00574319" w:rsidRPr="004A7CC5">
        <w:rPr>
          <w:b/>
        </w:rPr>
        <w:t>Jurisdiction</w:t>
      </w:r>
    </w:p>
    <w:p w:rsidR="00574319" w:rsidRDefault="00574319" w:rsidP="00E92B0E">
      <w:pPr>
        <w:spacing w:line="480" w:lineRule="auto"/>
        <w:ind w:firstLine="720"/>
        <w:jc w:val="both"/>
      </w:pPr>
      <w:r>
        <w:t xml:space="preserve">Respondent was admitted to the practice of </w:t>
      </w:r>
      <w:r w:rsidR="007E0C27">
        <w:t>law in California on December 1</w:t>
      </w:r>
      <w:r>
        <w:t xml:space="preserve">, </w:t>
      </w:r>
      <w:r w:rsidR="007E0C27">
        <w:t>2000</w:t>
      </w:r>
      <w:r>
        <w:t>, and has been a member of the State Bar of California since that time.</w:t>
      </w:r>
    </w:p>
    <w:p w:rsidR="00574319" w:rsidRDefault="00E92B0E" w:rsidP="00574319">
      <w:pPr>
        <w:spacing w:line="480" w:lineRule="auto"/>
        <w:rPr>
          <w:b/>
        </w:rPr>
      </w:pPr>
      <w:r>
        <w:rPr>
          <w:b/>
        </w:rPr>
        <w:t xml:space="preserve">B.  </w:t>
      </w:r>
      <w:r w:rsidR="007E0C27">
        <w:rPr>
          <w:b/>
        </w:rPr>
        <w:t>Credibility Determinations</w:t>
      </w:r>
    </w:p>
    <w:p w:rsidR="005264A3" w:rsidRDefault="008B094C" w:rsidP="0052039F">
      <w:pPr>
        <w:spacing w:line="480" w:lineRule="auto"/>
        <w:ind w:firstLine="720"/>
      </w:pPr>
      <w:r>
        <w:t>Dr. Jayendra A</w:t>
      </w:r>
      <w:r w:rsidR="00D01C96">
        <w:t>min</w:t>
      </w:r>
      <w:r>
        <w:t>, Stephen Mashney</w:t>
      </w:r>
      <w:r w:rsidR="0052039F">
        <w:t>,</w:t>
      </w:r>
      <w:r>
        <w:t xml:space="preserve"> and respondent</w:t>
      </w:r>
      <w:r w:rsidR="005264A3">
        <w:t xml:space="preserve"> each testified at trial</w:t>
      </w:r>
      <w:r>
        <w:t xml:space="preserve">. </w:t>
      </w:r>
      <w:r w:rsidR="005264A3">
        <w:t xml:space="preserve"> </w:t>
      </w:r>
      <w:r w:rsidR="008227B5">
        <w:t>With respect to the credibility of the</w:t>
      </w:r>
      <w:r w:rsidR="005264A3">
        <w:t>se</w:t>
      </w:r>
      <w:r w:rsidR="008227B5">
        <w:t xml:space="preserve"> witnesses, the court carefully weighed and considered each witness</w:t>
      </w:r>
      <w:r w:rsidR="009F10A4">
        <w:t>’</w:t>
      </w:r>
      <w:r w:rsidR="008227B5">
        <w:t>s demeanor while testifying; the manner in which each witness testified; each witness</w:t>
      </w:r>
      <w:r w:rsidR="009F10A4">
        <w:t>’</w:t>
      </w:r>
      <w:r w:rsidR="008227B5">
        <w:t>s interest or lack thereof in the outcome of this proceeding; and each witness</w:t>
      </w:r>
      <w:r w:rsidR="009F10A4">
        <w:t>’</w:t>
      </w:r>
      <w:r w:rsidR="008227B5">
        <w:t>s capacity to accurately perceive, recollect, and comm</w:t>
      </w:r>
      <w:r w:rsidR="001D48FC">
        <w:t xml:space="preserve">unicate the matters on which he or </w:t>
      </w:r>
      <w:r w:rsidR="008227B5">
        <w:t xml:space="preserve">she testified.  (See, e.g., Evid. Code, § 780 [lists of factors to consider in determining credibility].)  </w:t>
      </w:r>
    </w:p>
    <w:p w:rsidR="0034063D" w:rsidRDefault="008227B5" w:rsidP="0052039F">
      <w:pPr>
        <w:spacing w:line="480" w:lineRule="auto"/>
        <w:ind w:firstLine="720"/>
      </w:pPr>
      <w:r>
        <w:t>Th</w:t>
      </w:r>
      <w:r w:rsidR="008B094C">
        <w:t>e court f</w:t>
      </w:r>
      <w:r w:rsidR="008305B0">
        <w:t>ound</w:t>
      </w:r>
      <w:r w:rsidR="008B094C">
        <w:t xml:space="preserve"> the testimony of </w:t>
      </w:r>
      <w:r w:rsidR="00D01C96">
        <w:t xml:space="preserve">Dr. Jayendra Amin </w:t>
      </w:r>
      <w:r w:rsidR="008B094C">
        <w:t xml:space="preserve">and </w:t>
      </w:r>
      <w:r w:rsidR="00D01C96">
        <w:t xml:space="preserve">Stephen Mashney </w:t>
      </w:r>
      <w:r w:rsidR="008305B0">
        <w:t xml:space="preserve">to be </w:t>
      </w:r>
      <w:r w:rsidR="008B094C">
        <w:t>credible.  On the other hand, the court f</w:t>
      </w:r>
      <w:r w:rsidR="008305B0">
        <w:t>ound respondent</w:t>
      </w:r>
      <w:r w:rsidR="009F10A4">
        <w:t>’</w:t>
      </w:r>
      <w:r w:rsidR="008305B0">
        <w:t>s testimony</w:t>
      </w:r>
      <w:r w:rsidR="0060345F">
        <w:t xml:space="preserve"> </w:t>
      </w:r>
      <w:r w:rsidR="00F52B2A">
        <w:t xml:space="preserve">generally </w:t>
      </w:r>
      <w:r w:rsidR="008305B0">
        <w:t>lacked</w:t>
      </w:r>
      <w:r w:rsidR="008B094C">
        <w:t xml:space="preserve"> credibility</w:t>
      </w:r>
      <w:r w:rsidR="0060345F">
        <w:t>—as discussed below</w:t>
      </w:r>
      <w:r w:rsidR="008B094C">
        <w:t xml:space="preserve">. </w:t>
      </w:r>
      <w:r w:rsidR="00F52B2A">
        <w:t xml:space="preserve"> </w:t>
      </w:r>
    </w:p>
    <w:p w:rsidR="00D7112D" w:rsidRDefault="00D7112D" w:rsidP="00D7112D">
      <w:pPr>
        <w:spacing w:line="480" w:lineRule="auto"/>
      </w:pPr>
      <w:r>
        <w:t xml:space="preserve">C.  </w:t>
      </w:r>
      <w:r>
        <w:rPr>
          <w:b/>
        </w:rPr>
        <w:t>Background Facts</w:t>
      </w:r>
    </w:p>
    <w:p w:rsidR="00D7112D" w:rsidRDefault="00D4758D" w:rsidP="00D7112D">
      <w:pPr>
        <w:spacing w:line="480" w:lineRule="auto"/>
        <w:ind w:firstLine="720"/>
      </w:pPr>
      <w:r>
        <w:t>From February</w:t>
      </w:r>
      <w:r w:rsidR="00D7112D">
        <w:t xml:space="preserve"> 2004 to March 2006, respondent was employed as an associate attorney by the Mashney Law Offices (</w:t>
      </w:r>
      <w:r w:rsidR="009F10A4">
        <w:t>“</w:t>
      </w:r>
      <w:r w:rsidR="00D7112D">
        <w:t>the firm</w:t>
      </w:r>
      <w:r w:rsidR="009F10A4">
        <w:t>”</w:t>
      </w:r>
      <w:r w:rsidR="00D7112D">
        <w:t xml:space="preserve">).  On February 3, 2004, respondent signed an </w:t>
      </w:r>
      <w:r w:rsidR="009F10A4">
        <w:t>“</w:t>
      </w:r>
      <w:r w:rsidR="00D7112D">
        <w:t>Associate Attorney Employment Agreement</w:t>
      </w:r>
      <w:r w:rsidR="009F10A4">
        <w:t>”</w:t>
      </w:r>
      <w:r w:rsidR="00D7112D">
        <w:t xml:space="preserve"> (</w:t>
      </w:r>
      <w:r w:rsidR="009F10A4">
        <w:t>“</w:t>
      </w:r>
      <w:r w:rsidR="00D7112D">
        <w:t>employment agreement</w:t>
      </w:r>
      <w:r w:rsidR="009F10A4">
        <w:t>”</w:t>
      </w:r>
      <w:r w:rsidR="00D7112D">
        <w:t xml:space="preserve">) with the firm.  </w:t>
      </w:r>
    </w:p>
    <w:p w:rsidR="00751C25" w:rsidRDefault="00751C25" w:rsidP="00D7112D">
      <w:pPr>
        <w:spacing w:line="480" w:lineRule="auto"/>
        <w:ind w:firstLine="720"/>
      </w:pPr>
      <w:r>
        <w:lastRenderedPageBreak/>
        <w:t>The employment agreement provided</w:t>
      </w:r>
      <w:r w:rsidR="00D7112D">
        <w:t xml:space="preserve"> that respondent </w:t>
      </w:r>
      <w:r>
        <w:t>would</w:t>
      </w:r>
      <w:r w:rsidR="00D7112D">
        <w:t xml:space="preserve"> work full-time for the firm and that respondent </w:t>
      </w:r>
      <w:r w:rsidR="009F10A4">
        <w:t>“</w:t>
      </w:r>
      <w:r w:rsidR="00D7112D">
        <w:t>shall not, without the written consent of the firm, directly or indirectly render services of a professional nature to or for any person except as an employee of the firm.</w:t>
      </w:r>
      <w:r w:rsidR="009F10A4">
        <w:t>”</w:t>
      </w:r>
      <w:r w:rsidR="00D7112D">
        <w:t xml:space="preserve">  </w:t>
      </w:r>
    </w:p>
    <w:p w:rsidR="00D7112D" w:rsidRDefault="00751C25" w:rsidP="00D7112D">
      <w:pPr>
        <w:spacing w:line="480" w:lineRule="auto"/>
        <w:ind w:firstLine="720"/>
      </w:pPr>
      <w:r>
        <w:t>T</w:t>
      </w:r>
      <w:r w:rsidR="00D7112D">
        <w:t xml:space="preserve">he employment agreement </w:t>
      </w:r>
      <w:r>
        <w:t xml:space="preserve">also </w:t>
      </w:r>
      <w:r w:rsidR="00D7112D">
        <w:t>provide</w:t>
      </w:r>
      <w:r>
        <w:t>d</w:t>
      </w:r>
      <w:r w:rsidR="00D7112D">
        <w:t xml:space="preserve"> that respondent</w:t>
      </w:r>
      <w:r w:rsidR="009F10A4">
        <w:t>’</w:t>
      </w:r>
      <w:r w:rsidR="00D7112D">
        <w:t xml:space="preserve">s compensation </w:t>
      </w:r>
      <w:r>
        <w:t>wa</w:t>
      </w:r>
      <w:r w:rsidR="00D7112D">
        <w:t xml:space="preserve">s an annual salary of $50,000 plus 15% of the </w:t>
      </w:r>
      <w:r w:rsidRPr="00751C25">
        <w:t>net attorney</w:t>
      </w:r>
      <w:r>
        <w:t>’s</w:t>
      </w:r>
      <w:r w:rsidRPr="00751C25">
        <w:t xml:space="preserve"> fee</w:t>
      </w:r>
      <w:r w:rsidR="00D7112D" w:rsidRPr="00751C25">
        <w:t xml:space="preserve"> proceeds</w:t>
      </w:r>
      <w:r w:rsidR="00D7112D">
        <w:t xml:space="preserve"> </w:t>
      </w:r>
      <w:r>
        <w:t xml:space="preserve">that </w:t>
      </w:r>
      <w:r w:rsidR="00D7112D">
        <w:t>the firm obtain</w:t>
      </w:r>
      <w:r>
        <w:t>ed</w:t>
      </w:r>
      <w:r w:rsidR="00D7112D">
        <w:t xml:space="preserve"> from the cases assigned to respondent.  The employment agreement remained in full force and effect until February 6, 2006. </w:t>
      </w:r>
    </w:p>
    <w:p w:rsidR="008015C4" w:rsidRDefault="00F52B2A" w:rsidP="008B094C">
      <w:pPr>
        <w:spacing w:line="480" w:lineRule="auto"/>
        <w:rPr>
          <w:b/>
        </w:rPr>
      </w:pPr>
      <w:r>
        <w:t>D</w:t>
      </w:r>
      <w:r w:rsidR="008B094C">
        <w:t xml:space="preserve">.  </w:t>
      </w:r>
      <w:r w:rsidR="008B094C" w:rsidRPr="008B094C">
        <w:rPr>
          <w:b/>
        </w:rPr>
        <w:t xml:space="preserve">The Alvarez </w:t>
      </w:r>
      <w:r w:rsidR="00BA1121">
        <w:rPr>
          <w:b/>
        </w:rPr>
        <w:t>Matter</w:t>
      </w:r>
    </w:p>
    <w:p w:rsidR="00D7112D" w:rsidRDefault="00D7112D" w:rsidP="001D48FC">
      <w:pPr>
        <w:spacing w:line="480" w:lineRule="auto"/>
        <w:ind w:firstLine="720"/>
      </w:pPr>
      <w:r>
        <w:t>Raul Alvarez (</w:t>
      </w:r>
      <w:r w:rsidR="009F10A4">
        <w:t>“</w:t>
      </w:r>
      <w:r>
        <w:t>Alvarez</w:t>
      </w:r>
      <w:r w:rsidR="009F10A4">
        <w:t>”</w:t>
      </w:r>
      <w:r>
        <w:t>) went to Dr. Jayendra Amin (</w:t>
      </w:r>
      <w:r w:rsidR="009F10A4">
        <w:t>“</w:t>
      </w:r>
      <w:r>
        <w:t>Dr. Amin</w:t>
      </w:r>
      <w:r w:rsidR="009F10A4">
        <w:t>”</w:t>
      </w:r>
      <w:r>
        <w:t xml:space="preserve">) for laser tattoo removal.  Alvarez claimed that Dr. Amin burned his skin with a laser during the tattoo removal procedure.  </w:t>
      </w:r>
    </w:p>
    <w:p w:rsidR="009F10A4" w:rsidRDefault="008015C4" w:rsidP="001D48FC">
      <w:pPr>
        <w:spacing w:line="480" w:lineRule="auto"/>
        <w:ind w:firstLine="720"/>
      </w:pPr>
      <w:r>
        <w:t>On September 7, 2005,</w:t>
      </w:r>
      <w:r w:rsidR="00D7112D">
        <w:t xml:space="preserve"> Alvarez</w:t>
      </w:r>
      <w:r>
        <w:t xml:space="preserve"> hired the </w:t>
      </w:r>
      <w:r w:rsidR="006A65FA">
        <w:t>firm</w:t>
      </w:r>
      <w:r>
        <w:t xml:space="preserve"> to represent him in connection with </w:t>
      </w:r>
      <w:r w:rsidR="00A10852">
        <w:t xml:space="preserve">a </w:t>
      </w:r>
      <w:r>
        <w:t xml:space="preserve">medical malpractice matter against </w:t>
      </w:r>
      <w:r w:rsidR="00D7112D">
        <w:t>Dr. Amin</w:t>
      </w:r>
      <w:r w:rsidR="00D01C96">
        <w:t xml:space="preserve"> </w:t>
      </w:r>
      <w:r>
        <w:t>(</w:t>
      </w:r>
      <w:r w:rsidR="00AA48AE">
        <w:t>the “Alvarez matter</w:t>
      </w:r>
      <w:r w:rsidR="009F10A4">
        <w:t>”</w:t>
      </w:r>
      <w:r>
        <w:t>).</w:t>
      </w:r>
      <w:r w:rsidR="00A10852">
        <w:t xml:space="preserve"> </w:t>
      </w:r>
      <w:r w:rsidR="00876226">
        <w:t xml:space="preserve"> </w:t>
      </w:r>
      <w:r w:rsidR="00D7112D">
        <w:t xml:space="preserve">The fee agreement stated the firm would receive 40% of any settlement obtained in </w:t>
      </w:r>
      <w:r w:rsidR="00AA48AE">
        <w:t>the Alvarez matter</w:t>
      </w:r>
      <w:r w:rsidR="00D7112D">
        <w:t xml:space="preserve">.  </w:t>
      </w:r>
      <w:r w:rsidR="00A10852">
        <w:t xml:space="preserve">Alvarez </w:t>
      </w:r>
      <w:r w:rsidR="00A10852" w:rsidRPr="00D7112D">
        <w:t>did not</w:t>
      </w:r>
      <w:r w:rsidR="00A10852">
        <w:t xml:space="preserve"> retain the </w:t>
      </w:r>
      <w:r w:rsidR="006A65FA">
        <w:t>firm</w:t>
      </w:r>
      <w:r w:rsidR="00A10852">
        <w:t xml:space="preserve"> to make an employment claim against Dr. Amin. </w:t>
      </w:r>
      <w:r>
        <w:t xml:space="preserve"> </w:t>
      </w:r>
    </w:p>
    <w:p w:rsidR="008015C4" w:rsidRDefault="009F10A4" w:rsidP="001D48FC">
      <w:pPr>
        <w:spacing w:line="480" w:lineRule="auto"/>
        <w:ind w:firstLine="720"/>
      </w:pPr>
      <w:r>
        <w:t xml:space="preserve">In </w:t>
      </w:r>
      <w:r w:rsidR="00A10852">
        <w:t xml:space="preserve">September </w:t>
      </w:r>
      <w:r w:rsidR="008015C4">
        <w:t xml:space="preserve">2005, </w:t>
      </w:r>
      <w:r w:rsidR="00AD00DC">
        <w:t>the owner of the firm, a</w:t>
      </w:r>
      <w:r w:rsidR="008015C4">
        <w:t>tt</w:t>
      </w:r>
      <w:r w:rsidR="00A10852">
        <w:t>orney Stephen Mashney (</w:t>
      </w:r>
      <w:r w:rsidR="00B513E0">
        <w:t>“</w:t>
      </w:r>
      <w:r w:rsidR="00A10852">
        <w:t>Mashney</w:t>
      </w:r>
      <w:r w:rsidR="00B513E0">
        <w:t>”</w:t>
      </w:r>
      <w:r w:rsidR="008015C4">
        <w:t xml:space="preserve">), </w:t>
      </w:r>
      <w:r>
        <w:t xml:space="preserve">assigned </w:t>
      </w:r>
      <w:r w:rsidR="00AA48AE">
        <w:t>the Alvarez matter</w:t>
      </w:r>
      <w:r w:rsidR="008015C4">
        <w:t xml:space="preserve"> to</w:t>
      </w:r>
      <w:r w:rsidR="006A65FA">
        <w:t xml:space="preserve"> respondent</w:t>
      </w:r>
      <w:r w:rsidR="008015C4">
        <w:t xml:space="preserve"> to handle.</w:t>
      </w:r>
      <w:r w:rsidR="00B513E0">
        <w:t xml:space="preserve">  Respondent told Mashney that he estimated the Alvarez matter was worth $40,000.</w:t>
      </w:r>
    </w:p>
    <w:p w:rsidR="00782B4B" w:rsidRDefault="0034075C" w:rsidP="001D48FC">
      <w:pPr>
        <w:spacing w:line="480" w:lineRule="auto"/>
        <w:ind w:firstLine="720"/>
      </w:pPr>
      <w:r>
        <w:t>Respondent met with Dr. Amin</w:t>
      </w:r>
      <w:r w:rsidR="00A10852">
        <w:t xml:space="preserve"> </w:t>
      </w:r>
      <w:r w:rsidR="00B513E0">
        <w:t>in</w:t>
      </w:r>
      <w:r w:rsidR="00A10852">
        <w:t xml:space="preserve"> October 2005</w:t>
      </w:r>
      <w:r w:rsidR="00B513E0">
        <w:t>.  R</w:t>
      </w:r>
      <w:r w:rsidR="00A10852">
        <w:t xml:space="preserve">espondent and Dr. Amin settled </w:t>
      </w:r>
      <w:r w:rsidR="00AA48AE">
        <w:t>the Alvarez matter</w:t>
      </w:r>
      <w:r w:rsidR="00036698">
        <w:t xml:space="preserve"> for $10,000</w:t>
      </w:r>
      <w:r w:rsidR="00A10852">
        <w:t>.</w:t>
      </w:r>
      <w:r w:rsidR="006A65FA">
        <w:t xml:space="preserve"> </w:t>
      </w:r>
      <w:r>
        <w:t xml:space="preserve"> On October 17,</w:t>
      </w:r>
      <w:r w:rsidR="008015C4">
        <w:t xml:space="preserve"> 2005,</w:t>
      </w:r>
      <w:r w:rsidR="006A65FA">
        <w:t xml:space="preserve"> </w:t>
      </w:r>
      <w:r w:rsidR="00036698">
        <w:t xml:space="preserve">however, </w:t>
      </w:r>
      <w:r w:rsidR="006A65FA">
        <w:t>respondent</w:t>
      </w:r>
      <w:r w:rsidR="008015C4">
        <w:t xml:space="preserve"> told Mashney that </w:t>
      </w:r>
      <w:r w:rsidR="00AA48AE">
        <w:t>the Alvarez matter</w:t>
      </w:r>
      <w:r>
        <w:t xml:space="preserve"> </w:t>
      </w:r>
      <w:r w:rsidR="008015C4">
        <w:t>settled for $5,000.</w:t>
      </w:r>
      <w:r w:rsidR="00A10852">
        <w:t xml:space="preserve">  </w:t>
      </w:r>
    </w:p>
    <w:p w:rsidR="00D80BC7" w:rsidRDefault="00D80BC7" w:rsidP="00D80BC7">
      <w:pPr>
        <w:spacing w:line="480" w:lineRule="auto"/>
        <w:ind w:firstLine="720"/>
      </w:pPr>
      <w:r>
        <w:t xml:space="preserve">On October 20, 2005, respondent prepared a release agreement.  In the release agreement respondent wrote “we agreed to resolve the employment dispute between [Alvarez] and [Dr. Amin] by payment totaling $5,000.00.”  Respondent also wrote that in the exchange for the </w:t>
      </w:r>
      <w:r>
        <w:lastRenderedPageBreak/>
        <w:t xml:space="preserve">payment of $5,000, “[Alvarez] and his attorneys, Mashney Law Offices, agree not to file a lawsuit against [Dr. Amin] for any employment dispute or any medical malpractice dispute if the payment is received.”  Respondent and Dr. Amin each signed the release agreement.  </w:t>
      </w:r>
    </w:p>
    <w:p w:rsidR="00A025E9" w:rsidRDefault="00D80BC7" w:rsidP="001D48FC">
      <w:pPr>
        <w:spacing w:line="480" w:lineRule="auto"/>
        <w:ind w:firstLine="720"/>
      </w:pPr>
      <w:r>
        <w:t>That same day</w:t>
      </w:r>
      <w:r w:rsidR="008015C4">
        <w:t>,</w:t>
      </w:r>
      <w:r w:rsidR="006A65FA">
        <w:t xml:space="preserve"> respondent</w:t>
      </w:r>
      <w:r w:rsidR="0034075C">
        <w:t xml:space="preserve"> sent a fax</w:t>
      </w:r>
      <w:r w:rsidR="008015C4">
        <w:t xml:space="preserve"> to Dr. Amin </w:t>
      </w:r>
      <w:r w:rsidR="00A025E9">
        <w:t xml:space="preserve">on the </w:t>
      </w:r>
      <w:r w:rsidR="006A65FA">
        <w:t>firm</w:t>
      </w:r>
      <w:r w:rsidR="009F10A4">
        <w:t>’</w:t>
      </w:r>
      <w:r w:rsidR="00A025E9">
        <w:t>s letterhead.  In the fa</w:t>
      </w:r>
      <w:r w:rsidR="0034075C">
        <w:t>x</w:t>
      </w:r>
      <w:r w:rsidR="00A025E9">
        <w:t>, respondent told Dr. Amin to issue two checks</w:t>
      </w:r>
      <w:r w:rsidR="00B513E0">
        <w:t>—</w:t>
      </w:r>
      <w:r w:rsidR="00A025E9">
        <w:t>one in the amount of $5</w:t>
      </w:r>
      <w:r w:rsidR="006B4BA0">
        <w:t>,</w:t>
      </w:r>
      <w:r w:rsidR="00A025E9">
        <w:t>000 payable to Mashney Law Offices and Raul Alvarez</w:t>
      </w:r>
      <w:r>
        <w:t>,</w:t>
      </w:r>
      <w:r w:rsidR="006B4BA0">
        <w:t xml:space="preserve"> and the other</w:t>
      </w:r>
      <w:r w:rsidR="00A025E9">
        <w:t xml:space="preserve"> in the amount of $5</w:t>
      </w:r>
      <w:r w:rsidR="006B4BA0">
        <w:t>,</w:t>
      </w:r>
      <w:r w:rsidR="00A025E9">
        <w:t xml:space="preserve">000 payable to </w:t>
      </w:r>
      <w:r w:rsidR="006B4BA0">
        <w:t>respondent</w:t>
      </w:r>
      <w:r w:rsidR="00A025E9">
        <w:t xml:space="preserve">.  </w:t>
      </w:r>
    </w:p>
    <w:p w:rsidR="00782B4B" w:rsidRDefault="00036698" w:rsidP="001D48FC">
      <w:pPr>
        <w:spacing w:line="480" w:lineRule="auto"/>
        <w:ind w:firstLine="720"/>
      </w:pPr>
      <w:r>
        <w:t xml:space="preserve">As requested, </w:t>
      </w:r>
      <w:r w:rsidR="00A025E9">
        <w:t xml:space="preserve">Dr. Amin </w:t>
      </w:r>
      <w:r>
        <w:t>provided</w:t>
      </w:r>
      <w:r w:rsidR="006A65FA">
        <w:t xml:space="preserve"> respondent</w:t>
      </w:r>
      <w:r>
        <w:t xml:space="preserve"> with</w:t>
      </w:r>
      <w:r w:rsidR="00A025E9">
        <w:t xml:space="preserve"> two</w:t>
      </w:r>
      <w:r w:rsidR="00782B4B">
        <w:t xml:space="preserve"> $5,000</w:t>
      </w:r>
      <w:r w:rsidR="00A025E9">
        <w:t xml:space="preserve"> cashier</w:t>
      </w:r>
      <w:r w:rsidR="009F10A4">
        <w:t>’</w:t>
      </w:r>
      <w:r w:rsidR="00A025E9">
        <w:t>s check</w:t>
      </w:r>
      <w:r w:rsidR="00782B4B">
        <w:t>s</w:t>
      </w:r>
      <w:r w:rsidRPr="00036698">
        <w:t xml:space="preserve"> </w:t>
      </w:r>
      <w:r>
        <w:t>on October 20, 2005</w:t>
      </w:r>
      <w:r w:rsidR="00782B4B">
        <w:t xml:space="preserve">. </w:t>
      </w:r>
      <w:r w:rsidR="00A025E9">
        <w:t xml:space="preserve"> </w:t>
      </w:r>
      <w:r>
        <w:t>The first check</w:t>
      </w:r>
      <w:r w:rsidR="00782B4B">
        <w:t xml:space="preserve"> </w:t>
      </w:r>
      <w:r w:rsidR="00A025E9">
        <w:t xml:space="preserve">was </w:t>
      </w:r>
      <w:r w:rsidR="00782B4B">
        <w:t xml:space="preserve">made </w:t>
      </w:r>
      <w:r w:rsidR="00A025E9">
        <w:t xml:space="preserve">payable to Mashney Law Offices and Raul Alvarez. </w:t>
      </w:r>
      <w:r w:rsidR="006A65FA">
        <w:t xml:space="preserve"> </w:t>
      </w:r>
      <w:r w:rsidR="00782B4B">
        <w:t>R</w:t>
      </w:r>
      <w:r w:rsidR="006A65FA">
        <w:t>espondent</w:t>
      </w:r>
      <w:r w:rsidR="00A025E9">
        <w:t xml:space="preserve"> gave this check to the </w:t>
      </w:r>
      <w:r w:rsidR="006A65FA">
        <w:t>firm</w:t>
      </w:r>
      <w:r w:rsidR="00A025E9">
        <w:t xml:space="preserve">.  The </w:t>
      </w:r>
      <w:r>
        <w:t>second</w:t>
      </w:r>
      <w:r w:rsidR="00A025E9">
        <w:t xml:space="preserve"> check </w:t>
      </w:r>
      <w:r w:rsidR="00782B4B">
        <w:t>was made</w:t>
      </w:r>
      <w:r w:rsidR="00A025E9">
        <w:t xml:space="preserve"> payable </w:t>
      </w:r>
      <w:r w:rsidR="00782B4B">
        <w:t>to respondent</w:t>
      </w:r>
      <w:r w:rsidR="00A025E9">
        <w:t xml:space="preserve">.  </w:t>
      </w:r>
      <w:r w:rsidR="0058094A">
        <w:t>On October 20, 2005, r</w:t>
      </w:r>
      <w:r w:rsidR="00B324FC">
        <w:t xml:space="preserve">espondent cashed the second check and retained the </w:t>
      </w:r>
      <w:r w:rsidR="00245EFE">
        <w:t>funds</w:t>
      </w:r>
      <w:r w:rsidR="00B324FC">
        <w:t xml:space="preserve">.  </w:t>
      </w:r>
    </w:p>
    <w:p w:rsidR="00654EFF" w:rsidRDefault="00987EE5" w:rsidP="001D48FC">
      <w:pPr>
        <w:spacing w:line="480" w:lineRule="auto"/>
        <w:ind w:firstLine="720"/>
      </w:pPr>
      <w:r>
        <w:t xml:space="preserve">Meanwhile, Mashney was suspicious about the </w:t>
      </w:r>
      <w:r w:rsidR="00782B4B">
        <w:t>$5,000</w:t>
      </w:r>
      <w:r>
        <w:t xml:space="preserve"> settlement claim</w:t>
      </w:r>
      <w:r w:rsidR="00654EFF">
        <w:t xml:space="preserve"> because respondent had initially estimated that the Alvarez case was worth $40,000</w:t>
      </w:r>
      <w:r w:rsidR="00A63C49">
        <w:t xml:space="preserve">.  Mashney </w:t>
      </w:r>
      <w:r w:rsidR="00654EFF">
        <w:t xml:space="preserve">also </w:t>
      </w:r>
      <w:r w:rsidR="00A63C49">
        <w:t xml:space="preserve">questioned the speed of the settlement and respondent’s lack of communication with Mashney regarding the </w:t>
      </w:r>
      <w:r w:rsidR="00D80BC7">
        <w:t xml:space="preserve">progression of the </w:t>
      </w:r>
      <w:r w:rsidR="00A63C49">
        <w:t>settlement neg</w:t>
      </w:r>
      <w:r w:rsidR="000D527C">
        <w:t>otia</w:t>
      </w:r>
      <w:r w:rsidR="00A63C49">
        <w:t xml:space="preserve">tions.  </w:t>
      </w:r>
    </w:p>
    <w:p w:rsidR="008015C4" w:rsidRDefault="00987EE5" w:rsidP="001D48FC">
      <w:pPr>
        <w:spacing w:line="480" w:lineRule="auto"/>
        <w:ind w:firstLine="720"/>
      </w:pPr>
      <w:r>
        <w:t>Therefore, be</w:t>
      </w:r>
      <w:r w:rsidR="008015C4">
        <w:t>tween October 20</w:t>
      </w:r>
      <w:r w:rsidR="00F5687A">
        <w:t xml:space="preserve"> and</w:t>
      </w:r>
      <w:r w:rsidR="008015C4">
        <w:t xml:space="preserve"> 25, 2005, Mashney called Dr. Amin to discuss the settlement in </w:t>
      </w:r>
      <w:r w:rsidR="00AA48AE">
        <w:t>the Alvarez matter</w:t>
      </w:r>
      <w:r w:rsidR="008015C4">
        <w:t xml:space="preserve">. </w:t>
      </w:r>
      <w:r w:rsidR="00654EFF">
        <w:t xml:space="preserve"> </w:t>
      </w:r>
      <w:r w:rsidR="008015C4">
        <w:t xml:space="preserve">Dr. Amin informed Mashney that </w:t>
      </w:r>
      <w:r w:rsidR="00AA48AE">
        <w:t>the Alvarez matter</w:t>
      </w:r>
      <w:r w:rsidR="008015C4">
        <w:t xml:space="preserve"> settled for $10,000.</w:t>
      </w:r>
      <w:r w:rsidR="00765853">
        <w:t xml:space="preserve">  Mashney sent his investigator and clerk, Moh</w:t>
      </w:r>
      <w:r w:rsidR="00041417">
        <w:t>ammed</w:t>
      </w:r>
      <w:r w:rsidR="00CE7811">
        <w:t>,</w:t>
      </w:r>
      <w:r w:rsidR="00041417">
        <w:t xml:space="preserve"> to personally speak with Dr. Amin.  Dr. Amin confirmed with Mohammed</w:t>
      </w:r>
      <w:r w:rsidR="00CE7811">
        <w:t xml:space="preserve"> that</w:t>
      </w:r>
      <w:r w:rsidR="00041417">
        <w:t xml:space="preserve"> the case has settled for $10,000.  </w:t>
      </w:r>
    </w:p>
    <w:p w:rsidR="00653ABB" w:rsidRDefault="00765853" w:rsidP="001D48FC">
      <w:pPr>
        <w:spacing w:line="480" w:lineRule="auto"/>
        <w:ind w:firstLine="720"/>
      </w:pPr>
      <w:r>
        <w:t>On Oc</w:t>
      </w:r>
      <w:r w:rsidR="008015C4">
        <w:t>tober 25</w:t>
      </w:r>
      <w:r w:rsidR="001D48FC">
        <w:t>,</w:t>
      </w:r>
      <w:r w:rsidR="008015C4">
        <w:t xml:space="preserve"> 20</w:t>
      </w:r>
      <w:r>
        <w:t>05, Mashney told re</w:t>
      </w:r>
      <w:r w:rsidR="008015C4">
        <w:t xml:space="preserve">spondent that </w:t>
      </w:r>
      <w:r>
        <w:t xml:space="preserve">he </w:t>
      </w:r>
      <w:r w:rsidR="008015C4">
        <w:t xml:space="preserve">knew </w:t>
      </w:r>
      <w:r w:rsidR="00AA48AE">
        <w:t>the Alvarez matter</w:t>
      </w:r>
      <w:r w:rsidR="008015C4">
        <w:t xml:space="preserve"> had settled for $10,000, and not $5,000.</w:t>
      </w:r>
      <w:r w:rsidR="006A65FA">
        <w:t xml:space="preserve"> </w:t>
      </w:r>
      <w:r w:rsidR="006113D1">
        <w:t xml:space="preserve"> R</w:t>
      </w:r>
      <w:r w:rsidR="006A65FA">
        <w:t>espondent</w:t>
      </w:r>
      <w:r w:rsidR="00041417">
        <w:t xml:space="preserve"> admitted that the case settled for $10,000 and</w:t>
      </w:r>
      <w:r w:rsidR="006113D1">
        <w:t xml:space="preserve"> did not offer any explanation </w:t>
      </w:r>
      <w:r w:rsidR="00041417">
        <w:t xml:space="preserve">as to why he told Mashney </w:t>
      </w:r>
      <w:r w:rsidR="00653ABB">
        <w:t xml:space="preserve">that </w:t>
      </w:r>
      <w:r w:rsidR="00AA48AE">
        <w:t>the Alvarez matter</w:t>
      </w:r>
      <w:r w:rsidR="00653ABB">
        <w:t xml:space="preserve"> </w:t>
      </w:r>
      <w:r w:rsidR="00041417">
        <w:t xml:space="preserve">settled for </w:t>
      </w:r>
      <w:r w:rsidR="00782B4B">
        <w:t>$5,000</w:t>
      </w:r>
      <w:r w:rsidR="006113D1">
        <w:t xml:space="preserve">.  </w:t>
      </w:r>
      <w:r w:rsidR="00041417">
        <w:t xml:space="preserve">Mashney demanded that respondent return the additional </w:t>
      </w:r>
      <w:r w:rsidR="00782B4B">
        <w:t>$5,000</w:t>
      </w:r>
      <w:r w:rsidR="00041417">
        <w:t xml:space="preserve">.  </w:t>
      </w:r>
    </w:p>
    <w:p w:rsidR="008015C4" w:rsidRDefault="00653ABB" w:rsidP="00653ABB">
      <w:pPr>
        <w:spacing w:line="480" w:lineRule="auto"/>
        <w:ind w:firstLine="720"/>
      </w:pPr>
      <w:r>
        <w:t xml:space="preserve">That same day, </w:t>
      </w:r>
      <w:r w:rsidR="00041417">
        <w:t>Mashney had Mohammed accompany respondent to his bank to purchase a cashier</w:t>
      </w:r>
      <w:r w:rsidR="009F10A4">
        <w:t>’</w:t>
      </w:r>
      <w:r w:rsidR="00041417">
        <w:t>s check in the amount</w:t>
      </w:r>
      <w:r w:rsidR="001D48FC">
        <w:t xml:space="preserve"> of </w:t>
      </w:r>
      <w:r w:rsidR="00782B4B">
        <w:t>$5,000</w:t>
      </w:r>
      <w:r w:rsidR="001D48FC">
        <w:t xml:space="preserve"> payable to the </w:t>
      </w:r>
      <w:r w:rsidR="006A65FA">
        <w:t>firm</w:t>
      </w:r>
      <w:r w:rsidR="001D48FC">
        <w:t xml:space="preserve">.  </w:t>
      </w:r>
      <w:r>
        <w:t>R</w:t>
      </w:r>
      <w:r w:rsidR="006A65FA">
        <w:t>espondent</w:t>
      </w:r>
      <w:r w:rsidR="008015C4">
        <w:t xml:space="preserve"> purchased the </w:t>
      </w:r>
      <w:r w:rsidR="008015C4">
        <w:lastRenderedPageBreak/>
        <w:t>cashier</w:t>
      </w:r>
      <w:r w:rsidR="009F10A4">
        <w:t>’</w:t>
      </w:r>
      <w:r w:rsidR="008015C4">
        <w:t>s check</w:t>
      </w:r>
      <w:r>
        <w:t xml:space="preserve"> and gave it</w:t>
      </w:r>
      <w:r w:rsidR="008015C4">
        <w:t xml:space="preserve"> to Mashney as reimbursement for the settlement funds</w:t>
      </w:r>
      <w:r w:rsidR="006A65FA">
        <w:t xml:space="preserve"> respondent</w:t>
      </w:r>
      <w:r w:rsidR="008015C4">
        <w:t xml:space="preserve"> had taken in the Alvarez case.</w:t>
      </w:r>
    </w:p>
    <w:p w:rsidR="00653ABB" w:rsidRDefault="001D48FC" w:rsidP="001D48FC">
      <w:pPr>
        <w:spacing w:line="480" w:lineRule="auto"/>
        <w:ind w:firstLine="720"/>
      </w:pPr>
      <w:r>
        <w:t xml:space="preserve">On </w:t>
      </w:r>
      <w:r w:rsidR="00041417">
        <w:t xml:space="preserve">October </w:t>
      </w:r>
      <w:r w:rsidR="008015C4">
        <w:t>25, 2005, Mashney</w:t>
      </w:r>
      <w:r w:rsidR="00D22933">
        <w:t xml:space="preserve"> sent a letter to Dr. Amin </w:t>
      </w:r>
      <w:r w:rsidR="00653ABB">
        <w:t>acknowledging that the Mashney Law Offices</w:t>
      </w:r>
      <w:r w:rsidR="00D22933">
        <w:t xml:space="preserve"> </w:t>
      </w:r>
      <w:r w:rsidR="00653ABB">
        <w:t>received</w:t>
      </w:r>
      <w:r w:rsidR="00D22933">
        <w:t xml:space="preserve"> $10,000 from </w:t>
      </w:r>
      <w:r w:rsidR="00653ABB">
        <w:t>Dr. Amin in</w:t>
      </w:r>
      <w:r w:rsidR="00D22933">
        <w:t xml:space="preserve"> full and final settlement of </w:t>
      </w:r>
      <w:r w:rsidR="00AA48AE">
        <w:t>the Alvarez matter</w:t>
      </w:r>
      <w:r w:rsidR="00653ABB">
        <w:t>.</w:t>
      </w:r>
      <w:r w:rsidR="00D22933">
        <w:t xml:space="preserve">  </w:t>
      </w:r>
      <w:r w:rsidR="00653ABB" w:rsidRPr="002527B7">
        <w:t>That same day</w:t>
      </w:r>
      <w:r w:rsidR="00D22933">
        <w:t xml:space="preserve">, </w:t>
      </w:r>
      <w:r w:rsidR="002527B7">
        <w:t xml:space="preserve">Mashney sent </w:t>
      </w:r>
      <w:r w:rsidR="00D22933">
        <w:t xml:space="preserve">a letter to Alvarez stating </w:t>
      </w:r>
      <w:r w:rsidR="009F10A4">
        <w:t>“</w:t>
      </w:r>
      <w:r w:rsidR="00D22933">
        <w:t>[a]s you are aware, the case referenced above</w:t>
      </w:r>
      <w:r w:rsidR="00653ABB">
        <w:t xml:space="preserve"> settled for a total of $10,000.</w:t>
      </w:r>
      <w:r w:rsidR="009F10A4">
        <w:t>”</w:t>
      </w:r>
      <w:r w:rsidR="00653ABB">
        <w:t xml:space="preserve">  This letter contained</w:t>
      </w:r>
      <w:r w:rsidR="00D22933">
        <w:t xml:space="preserve"> an accounting of the $10,000</w:t>
      </w:r>
      <w:r w:rsidR="00F200C5">
        <w:t>,</w:t>
      </w:r>
      <w:r w:rsidR="00D22933">
        <w:t xml:space="preserve"> with $4</w:t>
      </w:r>
      <w:r w:rsidR="00CD7AE1">
        <w:t>,</w:t>
      </w:r>
      <w:r w:rsidR="00D22933">
        <w:t xml:space="preserve">000 to be paid to the </w:t>
      </w:r>
      <w:r w:rsidR="006A65FA">
        <w:t>firm</w:t>
      </w:r>
      <w:r w:rsidR="00D22933">
        <w:t xml:space="preserve"> as attorney</w:t>
      </w:r>
      <w:r w:rsidR="009F10A4">
        <w:t>’</w:t>
      </w:r>
      <w:r w:rsidR="00D22933">
        <w:t>s fees and $6</w:t>
      </w:r>
      <w:r w:rsidR="00E37F65">
        <w:t>,</w:t>
      </w:r>
      <w:r w:rsidR="00D22933">
        <w:t xml:space="preserve">000 to be paid to Alvarez.  </w:t>
      </w:r>
    </w:p>
    <w:p w:rsidR="00D22933" w:rsidRDefault="00BF39EA" w:rsidP="001D48FC">
      <w:pPr>
        <w:spacing w:line="480" w:lineRule="auto"/>
        <w:ind w:firstLine="720"/>
      </w:pPr>
      <w:r>
        <w:t xml:space="preserve">On October 26, 2005, Alvarez signed the letter confirming his claim settled for $10,000.  The </w:t>
      </w:r>
      <w:r w:rsidR="006A65FA">
        <w:t>firm</w:t>
      </w:r>
      <w:r>
        <w:t xml:space="preserve"> paid Alvarez $6</w:t>
      </w:r>
      <w:r w:rsidR="00653ABB">
        <w:t>,</w:t>
      </w:r>
      <w:r>
        <w:t>000</w:t>
      </w:r>
      <w:r w:rsidR="00F200C5">
        <w:t>,</w:t>
      </w:r>
      <w:r>
        <w:t xml:space="preserve"> and it retained $4</w:t>
      </w:r>
      <w:r w:rsidR="00653ABB">
        <w:t>,</w:t>
      </w:r>
      <w:r>
        <w:t xml:space="preserve">000 </w:t>
      </w:r>
      <w:r w:rsidR="00653ABB">
        <w:t>in</w:t>
      </w:r>
      <w:r>
        <w:t xml:space="preserve"> attorney</w:t>
      </w:r>
      <w:r w:rsidR="009F10A4">
        <w:t>’</w:t>
      </w:r>
      <w:r>
        <w:t>s fees.</w:t>
      </w:r>
    </w:p>
    <w:p w:rsidR="00D55834" w:rsidRDefault="00BF39EA" w:rsidP="00FD4995">
      <w:pPr>
        <w:spacing w:line="480" w:lineRule="auto"/>
        <w:ind w:firstLine="720"/>
      </w:pPr>
      <w:r>
        <w:t>On February 6, 2006,</w:t>
      </w:r>
      <w:r w:rsidR="006A65FA">
        <w:t xml:space="preserve"> respondent</w:t>
      </w:r>
      <w:r>
        <w:t xml:space="preserve"> signed a new Associate Attorney</w:t>
      </w:r>
      <w:r w:rsidR="006A50AC">
        <w:t xml:space="preserve"> </w:t>
      </w:r>
      <w:r w:rsidR="002527B7">
        <w:t>E</w:t>
      </w:r>
      <w:r w:rsidR="006A50AC">
        <w:t xml:space="preserve">mployment </w:t>
      </w:r>
      <w:r w:rsidR="002527B7">
        <w:t>A</w:t>
      </w:r>
      <w:r w:rsidR="006A50AC">
        <w:t>greement</w:t>
      </w:r>
      <w:r>
        <w:t xml:space="preserve">.  </w:t>
      </w:r>
      <w:r w:rsidR="00FD4995">
        <w:t>This agreement</w:t>
      </w:r>
      <w:r w:rsidR="009C5C20">
        <w:t xml:space="preserve"> </w:t>
      </w:r>
      <w:r w:rsidR="00FD4995">
        <w:t>reduc</w:t>
      </w:r>
      <w:r w:rsidR="009C5C20">
        <w:t>ed</w:t>
      </w:r>
      <w:r>
        <w:t xml:space="preserve"> the percentage of</w:t>
      </w:r>
      <w:r w:rsidR="009C5C20">
        <w:t xml:space="preserve"> r</w:t>
      </w:r>
      <w:r w:rsidR="00782B4B">
        <w:t>espondent</w:t>
      </w:r>
      <w:r w:rsidR="009F10A4">
        <w:t>’</w:t>
      </w:r>
      <w:r>
        <w:t>s commission</w:t>
      </w:r>
      <w:r w:rsidR="00FD4995">
        <w:t>s</w:t>
      </w:r>
      <w:r>
        <w:t>.</w:t>
      </w:r>
      <w:r w:rsidR="00FD4995">
        <w:t xml:space="preserve">  Approximately</w:t>
      </w:r>
      <w:r w:rsidR="00FD4995" w:rsidRPr="00FD4995">
        <w:t xml:space="preserve"> </w:t>
      </w:r>
      <w:r w:rsidR="00FD4995">
        <w:t>two months later, r</w:t>
      </w:r>
      <w:r>
        <w:t>espondent left the firm and</w:t>
      </w:r>
      <w:r w:rsidR="000934CE">
        <w:t xml:space="preserve"> opened his own law office.  </w:t>
      </w:r>
    </w:p>
    <w:p w:rsidR="008079A8" w:rsidRDefault="000934CE" w:rsidP="001D48FC">
      <w:pPr>
        <w:spacing w:line="480" w:lineRule="auto"/>
        <w:ind w:firstLine="720"/>
      </w:pPr>
      <w:r>
        <w:t xml:space="preserve">On October 26, 2007, </w:t>
      </w:r>
      <w:r w:rsidR="00BF39EA">
        <w:t xml:space="preserve">Mashney </w:t>
      </w:r>
      <w:r w:rsidR="00D55834">
        <w:t xml:space="preserve">complained to the State Bar about respondent’s conduct in the Alvarez matter.  </w:t>
      </w:r>
      <w:r w:rsidR="008079A8">
        <w:t xml:space="preserve">Mashney wrote the complaint to the </w:t>
      </w:r>
      <w:r w:rsidR="00B27586">
        <w:t>S</w:t>
      </w:r>
      <w:r w:rsidR="008079A8">
        <w:t xml:space="preserve">tate </w:t>
      </w:r>
      <w:r w:rsidR="00B27586">
        <w:t>B</w:t>
      </w:r>
      <w:r w:rsidR="008079A8">
        <w:t>ar after a number of his ex-clients</w:t>
      </w:r>
      <w:r>
        <w:t>,</w:t>
      </w:r>
      <w:r w:rsidR="008079A8">
        <w:t xml:space="preserve"> some of whom respondent took to his own law office</w:t>
      </w:r>
      <w:r>
        <w:t>,</w:t>
      </w:r>
      <w:r w:rsidR="008079A8">
        <w:t xml:space="preserve"> told him that respondent took settlement checks without paying them.  </w:t>
      </w:r>
    </w:p>
    <w:p w:rsidR="00D55834" w:rsidRDefault="00BF39EA" w:rsidP="001D48FC">
      <w:pPr>
        <w:spacing w:line="480" w:lineRule="auto"/>
        <w:ind w:firstLine="720"/>
      </w:pPr>
      <w:r>
        <w:t xml:space="preserve">On </w:t>
      </w:r>
      <w:r w:rsidR="008079A8">
        <w:t>January 18, 2008, State Bar investigator Rose Morales (</w:t>
      </w:r>
      <w:r w:rsidR="00D55834">
        <w:t>“</w:t>
      </w:r>
      <w:r w:rsidR="008079A8">
        <w:t>Morales</w:t>
      </w:r>
      <w:r w:rsidR="00D55834">
        <w:t>”</w:t>
      </w:r>
      <w:r w:rsidR="008079A8">
        <w:t xml:space="preserve">) wrote and sent respondent a letter requesting information </w:t>
      </w:r>
      <w:r w:rsidR="00B47F2F">
        <w:t>and</w:t>
      </w:r>
      <w:r w:rsidR="008079A8">
        <w:t xml:space="preserve"> documents concerning Mashney</w:t>
      </w:r>
      <w:r w:rsidR="009F10A4">
        <w:t>’</w:t>
      </w:r>
      <w:r w:rsidR="008079A8">
        <w:t xml:space="preserve">s State Bar </w:t>
      </w:r>
      <w:r w:rsidR="00D55834">
        <w:t>c</w:t>
      </w:r>
      <w:r w:rsidR="008079A8">
        <w:t>omplaint.  The letter was sent to</w:t>
      </w:r>
      <w:r w:rsidR="006A65FA">
        <w:t xml:space="preserve"> respondent</w:t>
      </w:r>
      <w:r w:rsidR="009F10A4">
        <w:t>’</w:t>
      </w:r>
      <w:r w:rsidR="008079A8">
        <w:t>s then current official State Bar membership records address</w:t>
      </w:r>
      <w:r w:rsidR="00484B5F">
        <w:t xml:space="preserve"> (“official address”)</w:t>
      </w:r>
      <w:r w:rsidR="008079A8">
        <w:t xml:space="preserve">.  The letter was not returned by the United States Postal Service.  </w:t>
      </w:r>
    </w:p>
    <w:p w:rsidR="001F1A5C" w:rsidRDefault="00D55834" w:rsidP="001D48FC">
      <w:pPr>
        <w:spacing w:line="480" w:lineRule="auto"/>
        <w:ind w:firstLine="720"/>
      </w:pPr>
      <w:r>
        <w:t>O</w:t>
      </w:r>
      <w:r w:rsidR="008079A8">
        <w:t>n February 19, 2008, Morales wrote and sent a</w:t>
      </w:r>
      <w:r>
        <w:t xml:space="preserve"> second</w:t>
      </w:r>
      <w:r w:rsidR="008079A8">
        <w:t xml:space="preserve"> letter to respondent requesting information and documents concerning Mashney</w:t>
      </w:r>
      <w:r w:rsidR="009F10A4">
        <w:t>’</w:t>
      </w:r>
      <w:r w:rsidR="008079A8">
        <w:t>s State Bar complaint.  The letter was sent to respondent</w:t>
      </w:r>
      <w:r w:rsidR="009F10A4">
        <w:t>’</w:t>
      </w:r>
      <w:r w:rsidR="008079A8">
        <w:t xml:space="preserve">s </w:t>
      </w:r>
      <w:r w:rsidR="00484B5F">
        <w:t>official</w:t>
      </w:r>
      <w:r w:rsidR="008079A8">
        <w:t xml:space="preserve"> address. The letter was not returned by the United States Postal Service.</w:t>
      </w:r>
      <w:r w:rsidR="00E86EC9">
        <w:t xml:space="preserve">  </w:t>
      </w:r>
    </w:p>
    <w:p w:rsidR="00BF39EA" w:rsidRDefault="00F40392" w:rsidP="001D48FC">
      <w:pPr>
        <w:spacing w:line="480" w:lineRule="auto"/>
        <w:ind w:firstLine="720"/>
      </w:pPr>
      <w:r>
        <w:lastRenderedPageBreak/>
        <w:t>Between</w:t>
      </w:r>
      <w:r w:rsidR="00E86EC9">
        <w:t xml:space="preserve"> January </w:t>
      </w:r>
      <w:r w:rsidR="00F52B2A">
        <w:t xml:space="preserve">and March 2008, </w:t>
      </w:r>
      <w:r>
        <w:t>respondent was in the process of</w:t>
      </w:r>
      <w:r w:rsidR="00F52B2A">
        <w:t xml:space="preserve"> </w:t>
      </w:r>
      <w:r>
        <w:t>moving</w:t>
      </w:r>
      <w:r w:rsidR="00E86EC9">
        <w:t xml:space="preserve"> his office from Beverly Hills to Los Angeles.</w:t>
      </w:r>
      <w:r w:rsidR="00B47F2F">
        <w:t xml:space="preserve">  </w:t>
      </w:r>
    </w:p>
    <w:p w:rsidR="00E86EC9" w:rsidRPr="00E86EC9" w:rsidRDefault="00F52B2A" w:rsidP="008015C4">
      <w:pPr>
        <w:spacing w:line="480" w:lineRule="auto"/>
        <w:rPr>
          <w:b/>
        </w:rPr>
      </w:pPr>
      <w:r>
        <w:rPr>
          <w:b/>
        </w:rPr>
        <w:t>E</w:t>
      </w:r>
      <w:r w:rsidR="00947289">
        <w:rPr>
          <w:b/>
        </w:rPr>
        <w:t xml:space="preserve">.  </w:t>
      </w:r>
      <w:r w:rsidR="00E86EC9" w:rsidRPr="00E86EC9">
        <w:rPr>
          <w:b/>
        </w:rPr>
        <w:t>Conclusions of Law</w:t>
      </w:r>
    </w:p>
    <w:p w:rsidR="00997083" w:rsidRPr="00FD2FDE" w:rsidRDefault="00D11639" w:rsidP="00AA48AE">
      <w:pPr>
        <w:spacing w:line="480" w:lineRule="auto"/>
        <w:ind w:firstLine="720"/>
        <w:rPr>
          <w:b/>
          <w:i/>
        </w:rPr>
      </w:pPr>
      <w:r>
        <w:rPr>
          <w:b/>
          <w:i/>
        </w:rPr>
        <w:t>Count One</w:t>
      </w:r>
      <w:r w:rsidR="00997083" w:rsidRPr="00FD2FDE">
        <w:rPr>
          <w:b/>
          <w:i/>
        </w:rPr>
        <w:t>:</w:t>
      </w:r>
      <w:r w:rsidR="00AA48AE">
        <w:rPr>
          <w:b/>
          <w:i/>
        </w:rPr>
        <w:t xml:space="preserve">  Conversion</w:t>
      </w:r>
      <w:r w:rsidR="00E17ADC">
        <w:rPr>
          <w:b/>
          <w:i/>
        </w:rPr>
        <w:t xml:space="preserve"> (Business and Professions Code, Section </w:t>
      </w:r>
      <w:r w:rsidR="00997083" w:rsidRPr="00FD2FDE">
        <w:rPr>
          <w:b/>
          <w:i/>
        </w:rPr>
        <w:t>6106)</w:t>
      </w:r>
      <w:r w:rsidR="00997083" w:rsidRPr="00FD2FDE">
        <w:rPr>
          <w:rStyle w:val="FootnoteReference"/>
          <w:b/>
          <w:i/>
        </w:rPr>
        <w:footnoteReference w:id="2"/>
      </w:r>
      <w:r w:rsidR="00AA48AE">
        <w:rPr>
          <w:b/>
          <w:i/>
        </w:rPr>
        <w:t xml:space="preserve">  </w:t>
      </w:r>
    </w:p>
    <w:p w:rsidR="008015C4" w:rsidRDefault="00997083" w:rsidP="00AA48AE">
      <w:pPr>
        <w:spacing w:line="480" w:lineRule="auto"/>
        <w:ind w:firstLine="720"/>
      </w:pPr>
      <w:r>
        <w:t xml:space="preserve">Section 6106 prohibits an attorney from engaging in conduct involving moral turpitude, dishonesty or corruption. </w:t>
      </w:r>
      <w:r w:rsidR="00AA48AE">
        <w:t xml:space="preserve"> </w:t>
      </w:r>
      <w:r>
        <w:t xml:space="preserve">By the terms of his associate agreement with the </w:t>
      </w:r>
      <w:r w:rsidR="006A65FA">
        <w:t>firm</w:t>
      </w:r>
      <w:r w:rsidR="00AA48AE">
        <w:t xml:space="preserve">, respondent </w:t>
      </w:r>
      <w:r>
        <w:t>was not authorized to pay himself any portion of the f</w:t>
      </w:r>
      <w:r w:rsidR="00AA48AE">
        <w:t>unds from the settlement in the Alvarez matter</w:t>
      </w:r>
      <w:r>
        <w:t>.</w:t>
      </w:r>
      <w:r w:rsidR="00782B4B">
        <w:t xml:space="preserve">  </w:t>
      </w:r>
      <w:r w:rsidR="00E17ADC">
        <w:t>By intentionally converting</w:t>
      </w:r>
      <w:r>
        <w:t xml:space="preserve"> </w:t>
      </w:r>
      <w:r w:rsidR="00782B4B">
        <w:t>$5,000</w:t>
      </w:r>
      <w:r>
        <w:t xml:space="preserve"> from the settlement in </w:t>
      </w:r>
      <w:r w:rsidR="00E17ADC">
        <w:t>the Alvarez matter</w:t>
      </w:r>
      <w:r>
        <w:t xml:space="preserve"> for his own use and benefit</w:t>
      </w:r>
      <w:r w:rsidR="009B71DE">
        <w:t>, respondent committed an act involving moral turpitude, dishonesty or corruption, in willful violation of section 6106.</w:t>
      </w:r>
      <w:r>
        <w:t xml:space="preserve"> </w:t>
      </w:r>
    </w:p>
    <w:p w:rsidR="009B71DE" w:rsidRPr="00FD2FDE" w:rsidRDefault="00D11639" w:rsidP="00E17ADC">
      <w:pPr>
        <w:spacing w:line="480" w:lineRule="auto"/>
        <w:ind w:firstLine="720"/>
        <w:rPr>
          <w:b/>
          <w:i/>
        </w:rPr>
      </w:pPr>
      <w:r>
        <w:rPr>
          <w:b/>
          <w:i/>
        </w:rPr>
        <w:t>Count Two</w:t>
      </w:r>
      <w:r w:rsidR="009B71DE" w:rsidRPr="00FD2FDE">
        <w:rPr>
          <w:b/>
          <w:i/>
        </w:rPr>
        <w:t>:</w:t>
      </w:r>
      <w:r w:rsidR="00E17ADC">
        <w:rPr>
          <w:b/>
          <w:i/>
        </w:rPr>
        <w:t xml:space="preserve">  Fraud (</w:t>
      </w:r>
      <w:r w:rsidR="00615625">
        <w:rPr>
          <w:b/>
          <w:i/>
        </w:rPr>
        <w:t xml:space="preserve">Section </w:t>
      </w:r>
      <w:r w:rsidR="00E17ADC">
        <w:rPr>
          <w:b/>
          <w:i/>
        </w:rPr>
        <w:t xml:space="preserve">6106)  </w:t>
      </w:r>
    </w:p>
    <w:p w:rsidR="009E08CF" w:rsidRDefault="008015C4" w:rsidP="00615625">
      <w:pPr>
        <w:spacing w:line="480" w:lineRule="auto"/>
        <w:ind w:firstLine="720"/>
      </w:pPr>
      <w:r>
        <w:t>At the time</w:t>
      </w:r>
      <w:r w:rsidR="006A65FA">
        <w:t xml:space="preserve"> respondent</w:t>
      </w:r>
      <w:r>
        <w:t xml:space="preserve"> created the </w:t>
      </w:r>
      <w:r w:rsidR="004E2080">
        <w:t>release</w:t>
      </w:r>
      <w:r>
        <w:t xml:space="preserve"> agreement, presented it to Dr. Amin, and signed it,</w:t>
      </w:r>
      <w:r w:rsidR="006A65FA">
        <w:t xml:space="preserve"> respondent</w:t>
      </w:r>
      <w:r>
        <w:t xml:space="preserve"> knew</w:t>
      </w:r>
      <w:r w:rsidR="009B71DE">
        <w:t xml:space="preserve"> </w:t>
      </w:r>
      <w:r>
        <w:t xml:space="preserve">that the </w:t>
      </w:r>
      <w:r w:rsidR="004E2080">
        <w:t>release</w:t>
      </w:r>
      <w:r>
        <w:t xml:space="preserve"> agreement was false in that the agreement stated that the amount of settlement was $5,000, </w:t>
      </w:r>
      <w:r w:rsidR="004E2080">
        <w:t>rather than</w:t>
      </w:r>
      <w:r>
        <w:t xml:space="preserve"> $10,000.</w:t>
      </w:r>
      <w:r w:rsidR="00782B4B">
        <w:t xml:space="preserve">  Respondent</w:t>
      </w:r>
      <w:r>
        <w:t xml:space="preserve"> created the false </w:t>
      </w:r>
      <w:r w:rsidR="004E2080">
        <w:t>release</w:t>
      </w:r>
      <w:r>
        <w:t xml:space="preserve"> agreement, presented it to Dr. Amin, signed it, and misrepresented the amount of </w:t>
      </w:r>
      <w:r w:rsidR="00AD00DC">
        <w:t>Alvarez’</w:t>
      </w:r>
      <w:r>
        <w:t xml:space="preserve"> settlement to Mashney to facilitate and conceal his conversion of $5,000 from the settlement in </w:t>
      </w:r>
      <w:r w:rsidR="00AA48AE">
        <w:t>the Alvarez matter</w:t>
      </w:r>
      <w:r>
        <w:t xml:space="preserve"> for his own use and benefit.</w:t>
      </w:r>
      <w:r w:rsidR="009B71DE">
        <w:t xml:space="preserve">  </w:t>
      </w:r>
    </w:p>
    <w:p w:rsidR="004E2080" w:rsidRDefault="009B71DE" w:rsidP="00615625">
      <w:pPr>
        <w:spacing w:line="480" w:lineRule="auto"/>
        <w:ind w:firstLine="720"/>
      </w:pPr>
      <w:r w:rsidRPr="004E2080">
        <w:t>The cou</w:t>
      </w:r>
      <w:r w:rsidR="005C3937" w:rsidRPr="004E2080">
        <w:t xml:space="preserve">rt </w:t>
      </w:r>
      <w:r w:rsidR="004E2080" w:rsidRPr="004E2080">
        <w:t>finds that</w:t>
      </w:r>
      <w:r w:rsidR="005C3937" w:rsidRPr="004E2080">
        <w:t xml:space="preserve"> respondent</w:t>
      </w:r>
      <w:r w:rsidR="009F10A4" w:rsidRPr="004E2080">
        <w:t>’</w:t>
      </w:r>
      <w:r w:rsidR="005C3937" w:rsidRPr="004E2080">
        <w:t xml:space="preserve">s </w:t>
      </w:r>
      <w:r w:rsidR="004E2080" w:rsidRPr="004E2080">
        <w:t xml:space="preserve">testimony regarding the settlement of the Alvarez matter lacks credibility.  Respondent testified </w:t>
      </w:r>
      <w:r w:rsidRPr="004E2080">
        <w:t xml:space="preserve">that he </w:t>
      </w:r>
      <w:r w:rsidR="004E2080" w:rsidRPr="004E2080">
        <w:t>told</w:t>
      </w:r>
      <w:r w:rsidRPr="004E2080">
        <w:t xml:space="preserve"> Dr. Amin </w:t>
      </w:r>
      <w:r w:rsidR="004E2080" w:rsidRPr="004E2080">
        <w:t>that he would be</w:t>
      </w:r>
      <w:r w:rsidRPr="004E2080">
        <w:t xml:space="preserve"> starting his own law firm in the near future and that Dr. Amin asked him to assist him with some future legal work.  </w:t>
      </w:r>
      <w:r w:rsidR="004E2080" w:rsidRPr="004E2080">
        <w:t xml:space="preserve">Respondent went on to state that </w:t>
      </w:r>
      <w:r w:rsidRPr="004E2080">
        <w:t xml:space="preserve">Dr. Amin then agreed to retain respondent to represent </w:t>
      </w:r>
      <w:r w:rsidR="00615625" w:rsidRPr="004E2080">
        <w:t xml:space="preserve">him </w:t>
      </w:r>
      <w:r w:rsidRPr="004E2080">
        <w:t xml:space="preserve">in the future for </w:t>
      </w:r>
      <w:r w:rsidR="00782B4B" w:rsidRPr="004E2080">
        <w:t>$5,000</w:t>
      </w:r>
      <w:r w:rsidRPr="004E2080">
        <w:t>.</w:t>
      </w:r>
      <w:r>
        <w:t xml:space="preserve"> </w:t>
      </w:r>
      <w:r w:rsidR="00615625">
        <w:t xml:space="preserve"> </w:t>
      </w:r>
    </w:p>
    <w:p w:rsidR="00FF71BB" w:rsidRDefault="004E2080" w:rsidP="004E2080">
      <w:pPr>
        <w:spacing w:line="480" w:lineRule="auto"/>
        <w:ind w:firstLine="720"/>
      </w:pPr>
      <w:r>
        <w:lastRenderedPageBreak/>
        <w:t xml:space="preserve">Dr. Amin, on the other hand, testified that he had no reason to hire respondent in the future because he had medical malpractice insurance.  Dr. Amin believed that the $10,000 was to cover </w:t>
      </w:r>
      <w:r w:rsidR="00597F1D">
        <w:t>Alvarez’</w:t>
      </w:r>
      <w:r>
        <w:t xml:space="preserve"> medical malpractice claim</w:t>
      </w:r>
      <w:r w:rsidR="00597F1D">
        <w:t>.  Dr. Amin felt that</w:t>
      </w:r>
      <w:r>
        <w:t xml:space="preserve"> the purpose </w:t>
      </w:r>
      <w:r w:rsidR="00597F1D">
        <w:t>behind</w:t>
      </w:r>
      <w:r>
        <w:t xml:space="preserve"> writing two checks was immaterial to him</w:t>
      </w:r>
      <w:r w:rsidR="00597F1D">
        <w:t>; and he was willing to sign the settlement agreement</w:t>
      </w:r>
      <w:r>
        <w:t xml:space="preserve"> </w:t>
      </w:r>
      <w:r w:rsidR="00597F1D">
        <w:t>because it covered what he was most interested in—the medical malpractice claim.</w:t>
      </w:r>
      <w:r w:rsidR="00FF71BB">
        <w:t xml:space="preserve">  </w:t>
      </w:r>
    </w:p>
    <w:p w:rsidR="004E2080" w:rsidRDefault="00FF71BB" w:rsidP="004E2080">
      <w:pPr>
        <w:spacing w:line="480" w:lineRule="auto"/>
        <w:ind w:firstLine="720"/>
      </w:pPr>
      <w:r>
        <w:t>Dr. Amin’s testimony was bolstered by the fact that the court received</w:t>
      </w:r>
      <w:r w:rsidR="004E2080">
        <w:t xml:space="preserve"> no tangible evidence of an attorney-client relationship between </w:t>
      </w:r>
      <w:r>
        <w:t xml:space="preserve">respondent and </w:t>
      </w:r>
      <w:r w:rsidR="004E2080">
        <w:t>Dr. Amin.  Had Dr. Amin actually hired respondent, the court would expect to see a fee agreement, some proof that respondent performed work on Dr. Amin’s behalf, or, at a minimum, some evidence that respondent refunded unearned attorney’s fees back to Dr. Amin.</w:t>
      </w:r>
    </w:p>
    <w:p w:rsidR="008015C4" w:rsidRDefault="00FF71BB" w:rsidP="00615625">
      <w:pPr>
        <w:spacing w:line="480" w:lineRule="auto"/>
        <w:ind w:firstLine="720"/>
      </w:pPr>
      <w:r>
        <w:t xml:space="preserve">By </w:t>
      </w:r>
      <w:r w:rsidR="00166A6B">
        <w:t xml:space="preserve">intentionally </w:t>
      </w:r>
      <w:r>
        <w:t>creating the false release</w:t>
      </w:r>
      <w:r w:rsidR="008015C4">
        <w:t xml:space="preserve"> agreement, presenting it to Dr. Amin, signing the </w:t>
      </w:r>
      <w:r>
        <w:t>release</w:t>
      </w:r>
      <w:r w:rsidR="008015C4">
        <w:t xml:space="preserve"> agreement, and misrepresenting the amount of </w:t>
      </w:r>
      <w:r w:rsidR="00AD00DC">
        <w:t>Alvarez’</w:t>
      </w:r>
      <w:r w:rsidR="008015C4">
        <w:t xml:space="preserve"> settlement to Mashney,</w:t>
      </w:r>
      <w:r w:rsidR="006A65FA">
        <w:t xml:space="preserve"> respondent</w:t>
      </w:r>
      <w:r w:rsidR="008015C4">
        <w:t xml:space="preserve"> </w:t>
      </w:r>
      <w:r>
        <w:t>acted to conceal his conversion of $5,000 in the Alvarez matter</w:t>
      </w:r>
      <w:r w:rsidR="008015C4">
        <w:t xml:space="preserve">, thereby committing acts involving moral turpitude, dishonesty </w:t>
      </w:r>
      <w:r w:rsidR="00615625">
        <w:t>and</w:t>
      </w:r>
      <w:r w:rsidR="008015C4">
        <w:t xml:space="preserve"> corruption, in wil</w:t>
      </w:r>
      <w:r w:rsidR="00615625">
        <w:t>l</w:t>
      </w:r>
      <w:r w:rsidR="008015C4">
        <w:t>ful violation section 6106.</w:t>
      </w:r>
    </w:p>
    <w:p w:rsidR="00570D80" w:rsidRDefault="00570D80" w:rsidP="00947289">
      <w:pPr>
        <w:spacing w:line="480" w:lineRule="auto"/>
        <w:ind w:firstLine="720"/>
      </w:pPr>
      <w:r>
        <w:rPr>
          <w:b/>
          <w:i/>
        </w:rPr>
        <w:t>Count T</w:t>
      </w:r>
      <w:r w:rsidR="00D11639">
        <w:rPr>
          <w:b/>
          <w:i/>
        </w:rPr>
        <w:t>hree</w:t>
      </w:r>
      <w:r w:rsidRPr="00FD2FDE">
        <w:rPr>
          <w:b/>
          <w:i/>
        </w:rPr>
        <w:t>:</w:t>
      </w:r>
      <w:r w:rsidR="00BD2195">
        <w:rPr>
          <w:b/>
          <w:i/>
        </w:rPr>
        <w:t xml:space="preserve">  Failure to Cooperate </w:t>
      </w:r>
      <w:r w:rsidRPr="00FD2FDE">
        <w:rPr>
          <w:b/>
          <w:i/>
        </w:rPr>
        <w:t>(</w:t>
      </w:r>
      <w:r w:rsidR="00615625">
        <w:rPr>
          <w:b/>
          <w:i/>
        </w:rPr>
        <w:t xml:space="preserve">Section </w:t>
      </w:r>
      <w:r w:rsidRPr="00FD2FDE">
        <w:rPr>
          <w:b/>
          <w:i/>
        </w:rPr>
        <w:t>6</w:t>
      </w:r>
      <w:r>
        <w:rPr>
          <w:b/>
          <w:i/>
        </w:rPr>
        <w:t>068</w:t>
      </w:r>
      <w:r w:rsidR="00615625">
        <w:rPr>
          <w:b/>
          <w:i/>
        </w:rPr>
        <w:t xml:space="preserve">, Subdivision </w:t>
      </w:r>
      <w:r>
        <w:rPr>
          <w:b/>
          <w:i/>
        </w:rPr>
        <w:t>(i</w:t>
      </w:r>
      <w:r w:rsidR="00615625">
        <w:rPr>
          <w:b/>
          <w:i/>
        </w:rPr>
        <w:t>)</w:t>
      </w:r>
      <w:r>
        <w:rPr>
          <w:b/>
          <w:i/>
        </w:rPr>
        <w:t>)</w:t>
      </w:r>
    </w:p>
    <w:p w:rsidR="00B60D95" w:rsidRDefault="00B60D95" w:rsidP="00615625">
      <w:pPr>
        <w:spacing w:line="480" w:lineRule="auto"/>
        <w:ind w:firstLine="720"/>
      </w:pPr>
      <w:r>
        <w:t>Section 6068, subdivision (i), provides that an attorney must cooperate and participate in any disciplinary investigation or proceeding pending against the attorney.  The evidence establishes that the State Bar mailed two investigation letters to respondent at his official address.  Respondent did not reply to either of these letters, nor were they returned by the United States Postal Service.</w:t>
      </w:r>
    </w:p>
    <w:p w:rsidR="006E0FC6" w:rsidRDefault="00782B4B" w:rsidP="00615625">
      <w:pPr>
        <w:spacing w:line="480" w:lineRule="auto"/>
        <w:ind w:firstLine="720"/>
      </w:pPr>
      <w:r>
        <w:t>Respondent</w:t>
      </w:r>
      <w:r w:rsidR="00570D80">
        <w:t xml:space="preserve"> a</w:t>
      </w:r>
      <w:r w:rsidR="00BD71E8">
        <w:t>cknowledges</w:t>
      </w:r>
      <w:r w:rsidR="00570D80">
        <w:t xml:space="preserve"> that he did not respond to </w:t>
      </w:r>
      <w:r w:rsidR="008015C4">
        <w:t xml:space="preserve">the </w:t>
      </w:r>
      <w:r w:rsidR="00B60D95">
        <w:t>State Bar investigator’s letters,</w:t>
      </w:r>
      <w:r w:rsidR="00570D80">
        <w:t xml:space="preserve"> </w:t>
      </w:r>
      <w:r w:rsidR="00B60D95">
        <w:t>h</w:t>
      </w:r>
      <w:r w:rsidR="00570D80">
        <w:t xml:space="preserve">owever, </w:t>
      </w:r>
      <w:r w:rsidR="00B60D95">
        <w:t>he</w:t>
      </w:r>
      <w:r w:rsidR="00BD71E8">
        <w:t xml:space="preserve"> attributes his lack of response to</w:t>
      </w:r>
      <w:r w:rsidR="00570D80">
        <w:t xml:space="preserve"> </w:t>
      </w:r>
      <w:r w:rsidR="00BD71E8">
        <w:t>t</w:t>
      </w:r>
      <w:r w:rsidR="00570D80">
        <w:t xml:space="preserve">he </w:t>
      </w:r>
      <w:r w:rsidR="00BD71E8">
        <w:t xml:space="preserve">fact that he </w:t>
      </w:r>
      <w:r w:rsidR="00570D80">
        <w:t xml:space="preserve">never </w:t>
      </w:r>
      <w:r w:rsidR="00BD71E8">
        <w:t xml:space="preserve">actually </w:t>
      </w:r>
      <w:r w:rsidR="00570D80">
        <w:t>saw the letters</w:t>
      </w:r>
      <w:r w:rsidR="00BD71E8">
        <w:t xml:space="preserve">.  At the time the </w:t>
      </w:r>
      <w:r w:rsidR="00570D80">
        <w:t xml:space="preserve">letters were </w:t>
      </w:r>
      <w:r w:rsidR="00BE2F62">
        <w:t>s</w:t>
      </w:r>
      <w:r w:rsidR="00570D80">
        <w:t>ent</w:t>
      </w:r>
      <w:r w:rsidR="00BD71E8">
        <w:t>,</w:t>
      </w:r>
      <w:r w:rsidR="00570D80">
        <w:t xml:space="preserve"> </w:t>
      </w:r>
      <w:r w:rsidR="00BD71E8">
        <w:t>respondent</w:t>
      </w:r>
      <w:r w:rsidR="00570D80">
        <w:t xml:space="preserve"> was in the process of moving his office from Beverly Hills to </w:t>
      </w:r>
      <w:r w:rsidR="00BD71E8">
        <w:t>Los Angeles</w:t>
      </w:r>
      <w:r w:rsidR="00D019DA">
        <w:t xml:space="preserve">. </w:t>
      </w:r>
      <w:r w:rsidR="00BD71E8">
        <w:t xml:space="preserve"> </w:t>
      </w:r>
    </w:p>
    <w:p w:rsidR="008015C4" w:rsidRDefault="006E0FC6" w:rsidP="00615625">
      <w:pPr>
        <w:spacing w:line="480" w:lineRule="auto"/>
        <w:ind w:firstLine="720"/>
      </w:pPr>
      <w:r>
        <w:lastRenderedPageBreak/>
        <w:t>There is no indication in the record that the State Bar investigator ever called or spoke with respondent.  And despite his failure to reply to the State Bar investigator’s letters, respondent did participate in the present proceedings.</w:t>
      </w:r>
    </w:p>
    <w:p w:rsidR="00BD71E8" w:rsidRDefault="006E0FC6" w:rsidP="00BD71E8">
      <w:pPr>
        <w:spacing w:line="480" w:lineRule="auto"/>
        <w:ind w:firstLine="720"/>
      </w:pPr>
      <w:r>
        <w:t>Based on the evidence, the court questions whether respondent</w:t>
      </w:r>
      <w:r w:rsidR="00A54C9C">
        <w:t xml:space="preserve"> </w:t>
      </w:r>
      <w:r w:rsidR="00A51CEC">
        <w:t>willfully failed to cooperate in a</w:t>
      </w:r>
      <w:r w:rsidR="00BD71E8">
        <w:t xml:space="preserve"> State Bar investigation.  </w:t>
      </w:r>
      <w:r w:rsidR="00A54C9C">
        <w:t xml:space="preserve">Because the court is unable to resolve this </w:t>
      </w:r>
      <w:r w:rsidR="00A51CEC">
        <w:t>issue by clear and convincing evidence</w:t>
      </w:r>
      <w:r w:rsidR="00A54C9C">
        <w:t>, respondent shall be given the benefit of the doubt</w:t>
      </w:r>
      <w:r w:rsidR="00BD71E8" w:rsidRPr="00BD71E8">
        <w:t>.</w:t>
      </w:r>
      <w:r w:rsidR="002D5FF7">
        <w:t xml:space="preserve"> </w:t>
      </w:r>
      <w:r w:rsidR="00BD71E8" w:rsidRPr="00BD71E8">
        <w:t xml:space="preserve"> (</w:t>
      </w:r>
      <w:r w:rsidR="00BD71E8" w:rsidRPr="002D5FF7">
        <w:rPr>
          <w:i/>
        </w:rPr>
        <w:t>In the Matter of Gadda</w:t>
      </w:r>
      <w:r w:rsidR="00BD71E8">
        <w:t xml:space="preserve"> (Review Dept. 2002) 4 Cal. State Bar Ct. Rptr. 416, 438 [any reasonable doubts must be resolved in respondent’s favor].)</w:t>
      </w:r>
      <w:r w:rsidR="002D5FF7">
        <w:t xml:space="preserve">  Accordingly, Count Three is dismissed with prejudice.</w:t>
      </w:r>
    </w:p>
    <w:p w:rsidR="00160DB7" w:rsidRPr="009252D4" w:rsidRDefault="00160DB7" w:rsidP="00160DB7">
      <w:pPr>
        <w:pStyle w:val="Header"/>
        <w:spacing w:line="480" w:lineRule="auto"/>
        <w:jc w:val="center"/>
        <w:rPr>
          <w:b/>
        </w:rPr>
      </w:pPr>
      <w:r w:rsidRPr="009252D4">
        <w:rPr>
          <w:b/>
        </w:rPr>
        <w:t>IV.  M</w:t>
      </w:r>
      <w:r w:rsidR="00947289">
        <w:rPr>
          <w:b/>
        </w:rPr>
        <w:t>itigating</w:t>
      </w:r>
      <w:r w:rsidRPr="009252D4">
        <w:rPr>
          <w:b/>
        </w:rPr>
        <w:t xml:space="preserve"> </w:t>
      </w:r>
      <w:r w:rsidR="00947289">
        <w:rPr>
          <w:b/>
        </w:rPr>
        <w:t>and Aggravating</w:t>
      </w:r>
      <w:r w:rsidRPr="009252D4">
        <w:rPr>
          <w:b/>
        </w:rPr>
        <w:t xml:space="preserve"> C</w:t>
      </w:r>
      <w:r w:rsidR="00947289">
        <w:rPr>
          <w:b/>
        </w:rPr>
        <w:t>ircumstances</w:t>
      </w:r>
    </w:p>
    <w:p w:rsidR="00160DB7" w:rsidRPr="009252D4" w:rsidRDefault="00160DB7" w:rsidP="00160DB7">
      <w:pPr>
        <w:pStyle w:val="Header"/>
        <w:spacing w:line="480" w:lineRule="auto"/>
        <w:rPr>
          <w:b/>
        </w:rPr>
      </w:pPr>
      <w:r w:rsidRPr="009252D4">
        <w:rPr>
          <w:b/>
        </w:rPr>
        <w:t>A.  Mitigation</w:t>
      </w:r>
    </w:p>
    <w:p w:rsidR="00D7611D" w:rsidRDefault="00D7611D" w:rsidP="00D7611D">
      <w:pPr>
        <w:spacing w:line="480" w:lineRule="auto"/>
        <w:ind w:firstLine="720"/>
      </w:pPr>
      <w:r>
        <w:t xml:space="preserve">Respondent bears the burden of proving mitigating circumstances by clear and convincing evidence.  </w:t>
      </w:r>
      <w:r w:rsidR="006A674C">
        <w:t>(Rules Proc. of State Bar, tit. IV, Stds. for Atty. Sanctions for Prof. Misconduct, std 1.2(e).)</w:t>
      </w:r>
      <w:r w:rsidR="006A674C">
        <w:rPr>
          <w:rStyle w:val="FootnoteReference"/>
        </w:rPr>
        <w:footnoteReference w:id="3"/>
      </w:r>
      <w:r>
        <w:t xml:space="preserve">  The instant matter involves one factor in mitigation.</w:t>
      </w:r>
    </w:p>
    <w:p w:rsidR="00D7611D" w:rsidRDefault="00D7611D" w:rsidP="00D7611D">
      <w:pPr>
        <w:spacing w:line="480" w:lineRule="auto"/>
        <w:ind w:firstLine="720"/>
      </w:pPr>
      <w:r>
        <w:t xml:space="preserve">Respondent entered into an extensive stipulation as to facts and admission of documents with the State Bar.  (Std.1.2(e)(v).)  Respondent’s cooperation with the State Bar </w:t>
      </w:r>
      <w:r w:rsidR="00AA4A79">
        <w:t xml:space="preserve">constitutes </w:t>
      </w:r>
      <w:r>
        <w:t xml:space="preserve">some consideration in mitigation.  </w:t>
      </w:r>
    </w:p>
    <w:p w:rsidR="00160DB7" w:rsidRPr="009065A4" w:rsidRDefault="00C5361D" w:rsidP="00160DB7">
      <w:pPr>
        <w:pStyle w:val="Header"/>
        <w:spacing w:line="480" w:lineRule="auto"/>
        <w:ind w:firstLine="720"/>
      </w:pPr>
      <w:r>
        <w:t>Although r</w:t>
      </w:r>
      <w:r w:rsidR="000800B9">
        <w:t>espondent has</w:t>
      </w:r>
      <w:r w:rsidR="00B8564E">
        <w:t xml:space="preserve"> n</w:t>
      </w:r>
      <w:r>
        <w:t>o prior record of discipline, h</w:t>
      </w:r>
      <w:r w:rsidR="00B8564E">
        <w:t xml:space="preserve">is four </w:t>
      </w:r>
      <w:r w:rsidR="009065A4">
        <w:t xml:space="preserve">years of discipline-free practice </w:t>
      </w:r>
      <w:r w:rsidR="00B8564E">
        <w:t xml:space="preserve">prior to </w:t>
      </w:r>
      <w:r>
        <w:t>the present misconduct</w:t>
      </w:r>
      <w:r w:rsidR="00B8564E">
        <w:t xml:space="preserve"> </w:t>
      </w:r>
      <w:r w:rsidR="00CA7A72">
        <w:t>are insufficient to</w:t>
      </w:r>
      <w:r w:rsidR="009065A4">
        <w:t xml:space="preserve"> warrant consideration in mitigation</w:t>
      </w:r>
      <w:r w:rsidR="000800B9">
        <w:t xml:space="preserve">.  </w:t>
      </w:r>
      <w:r w:rsidR="009065A4">
        <w:t>(</w:t>
      </w:r>
      <w:r w:rsidR="009065A4">
        <w:rPr>
          <w:i/>
        </w:rPr>
        <w:t xml:space="preserve">In the Matter of Hertz </w:t>
      </w:r>
      <w:r w:rsidR="009065A4">
        <w:t xml:space="preserve">(Review Dept. 1991) </w:t>
      </w:r>
      <w:r w:rsidR="00531B55">
        <w:t xml:space="preserve">1 </w:t>
      </w:r>
      <w:r w:rsidR="009065A4">
        <w:t>Cal. State Bar Ct. Rptr. 456</w:t>
      </w:r>
      <w:r w:rsidR="007D7732">
        <w:t>,</w:t>
      </w:r>
      <w:r w:rsidR="009065A4">
        <w:t xml:space="preserve"> </w:t>
      </w:r>
      <w:r w:rsidR="00531B55">
        <w:t>473</w:t>
      </w:r>
      <w:r w:rsidR="009065A4">
        <w:t>.)</w:t>
      </w:r>
    </w:p>
    <w:p w:rsidR="00160DB7" w:rsidRPr="009252D4" w:rsidRDefault="00160DB7" w:rsidP="00160DB7">
      <w:pPr>
        <w:pStyle w:val="Header"/>
        <w:spacing w:line="480" w:lineRule="auto"/>
        <w:rPr>
          <w:b/>
        </w:rPr>
      </w:pPr>
      <w:r w:rsidRPr="009252D4">
        <w:rPr>
          <w:b/>
        </w:rPr>
        <w:t>B.  Aggravation</w:t>
      </w:r>
    </w:p>
    <w:p w:rsidR="008F26A0" w:rsidRDefault="008F26A0" w:rsidP="008F26A0">
      <w:pPr>
        <w:spacing w:line="480" w:lineRule="auto"/>
        <w:ind w:firstLine="720"/>
      </w:pPr>
      <w:r w:rsidRPr="000C31B9">
        <w:t>It is the State Bar’s burden to establish aggravating circumstances by clear and convincing evidence.  (Std</w:t>
      </w:r>
      <w:r w:rsidR="00E63212">
        <w:t>.</w:t>
      </w:r>
      <w:r w:rsidRPr="000C31B9">
        <w:t xml:space="preserve"> 1.2(b).) </w:t>
      </w:r>
      <w:r>
        <w:t xml:space="preserve"> </w:t>
      </w:r>
      <w:r w:rsidRPr="002713D5">
        <w:t xml:space="preserve">The record establishes </w:t>
      </w:r>
      <w:r w:rsidR="00511803">
        <w:t>one</w:t>
      </w:r>
      <w:r w:rsidR="004E3513">
        <w:t xml:space="preserve"> factor</w:t>
      </w:r>
      <w:r w:rsidR="004242DD">
        <w:t xml:space="preserve"> in aggravation.  (Std. 1.2(b).) </w:t>
      </w:r>
    </w:p>
    <w:p w:rsidR="00D23E46" w:rsidRDefault="00511803" w:rsidP="00AA4A79">
      <w:pPr>
        <w:spacing w:line="480" w:lineRule="auto"/>
        <w:ind w:firstLine="720"/>
        <w:rPr>
          <w:bCs/>
        </w:rPr>
      </w:pPr>
      <w:r>
        <w:rPr>
          <w:bCs/>
        </w:rPr>
        <w:lastRenderedPageBreak/>
        <w:t xml:space="preserve">Respondent has demonstrated indifference toward rectification of or atonement for the consequences of his misconduct.  (Std. 1.2(b)(v).)  Respondent </w:t>
      </w:r>
      <w:r w:rsidR="00E905E5">
        <w:rPr>
          <w:bCs/>
        </w:rPr>
        <w:t xml:space="preserve">continues to </w:t>
      </w:r>
      <w:r w:rsidR="00A7107B">
        <w:rPr>
          <w:bCs/>
        </w:rPr>
        <w:t>assert</w:t>
      </w:r>
      <w:r w:rsidR="00E905E5">
        <w:rPr>
          <w:bCs/>
        </w:rPr>
        <w:t>, despite overwhelming evidence to the contrary, that</w:t>
      </w:r>
      <w:r w:rsidR="00312C53">
        <w:rPr>
          <w:bCs/>
        </w:rPr>
        <w:t>: (1)</w:t>
      </w:r>
      <w:r w:rsidR="00E905E5">
        <w:rPr>
          <w:bCs/>
        </w:rPr>
        <w:t xml:space="preserve"> he settled the Alvarez matter for only $5,000</w:t>
      </w:r>
      <w:r w:rsidR="00312C53">
        <w:rPr>
          <w:bCs/>
        </w:rPr>
        <w:t xml:space="preserve">; and (2) he was paid $5,000 to perform future legal work </w:t>
      </w:r>
      <w:r w:rsidR="00B255BE">
        <w:rPr>
          <w:bCs/>
        </w:rPr>
        <w:t xml:space="preserve">on </w:t>
      </w:r>
      <w:r w:rsidR="00312C53">
        <w:rPr>
          <w:bCs/>
        </w:rPr>
        <w:t>Dr. Amin’s behalf</w:t>
      </w:r>
      <w:r>
        <w:rPr>
          <w:bCs/>
        </w:rPr>
        <w:t xml:space="preserve">.  </w:t>
      </w:r>
      <w:r w:rsidR="00E905E5">
        <w:rPr>
          <w:bCs/>
        </w:rPr>
        <w:t>“The law does not require false penitence.  [Citation.]  But it does require that the respondent accept responsibility for his acts and come to grips with his culpability.  [Citation.]”  (</w:t>
      </w:r>
      <w:r w:rsidR="00E905E5" w:rsidRPr="00E905E5">
        <w:rPr>
          <w:bCs/>
          <w:i/>
        </w:rPr>
        <w:t xml:space="preserve">In the Matter of Katz </w:t>
      </w:r>
      <w:r w:rsidR="00E905E5">
        <w:rPr>
          <w:bCs/>
        </w:rPr>
        <w:t>(Review Dept. 1991) 1 Cal. State Bar Ct. Rptr. 502, 511.)</w:t>
      </w:r>
      <w:r w:rsidR="00D23E46">
        <w:t xml:space="preserve">  </w:t>
      </w:r>
    </w:p>
    <w:p w:rsidR="00B44006" w:rsidRPr="00FC7977" w:rsidRDefault="00B44006" w:rsidP="00B44006">
      <w:pPr>
        <w:pStyle w:val="Header"/>
        <w:spacing w:line="480" w:lineRule="auto"/>
        <w:jc w:val="center"/>
        <w:rPr>
          <w:b/>
        </w:rPr>
      </w:pPr>
      <w:r w:rsidRPr="00FC7977">
        <w:rPr>
          <w:b/>
        </w:rPr>
        <w:t>V.  D</w:t>
      </w:r>
      <w:r w:rsidR="004726FC">
        <w:rPr>
          <w:b/>
        </w:rPr>
        <w:t>iscussion</w:t>
      </w:r>
    </w:p>
    <w:p w:rsidR="0054408D" w:rsidRPr="00B255BE" w:rsidRDefault="0054408D" w:rsidP="0054408D">
      <w:pPr>
        <w:spacing w:line="480" w:lineRule="auto"/>
        <w:ind w:firstLine="720"/>
      </w:pPr>
      <w:r w:rsidRPr="00B255BE">
        <w:t>The purpose of State Bar disciplinary proceedings is not to punish the attorney, but to protect the public, to preserve public confidence in the profession, and to maintain the highest possible professional standards for attorneys.  (</w:t>
      </w:r>
      <w:r w:rsidRPr="00B255BE">
        <w:rPr>
          <w:i/>
        </w:rPr>
        <w:t>Chadwick v. State Bar</w:t>
      </w:r>
      <w:r w:rsidRPr="00B255BE">
        <w:t xml:space="preserve"> (1989) 49 Cal.3d 103, 111; </w:t>
      </w:r>
      <w:r w:rsidRPr="00B255BE">
        <w:rPr>
          <w:i/>
        </w:rPr>
        <w:t>Cooper v. State Bar</w:t>
      </w:r>
      <w:r w:rsidRPr="00B255BE">
        <w:t xml:space="preserve"> (1987) 43 Cal.3d 1016, 1025; std. 1.3.) </w:t>
      </w:r>
    </w:p>
    <w:p w:rsidR="0054408D" w:rsidRPr="00B255BE" w:rsidRDefault="0054408D" w:rsidP="0054408D">
      <w:pPr>
        <w:spacing w:line="480" w:lineRule="auto"/>
        <w:ind w:firstLine="720"/>
      </w:pPr>
      <w:r w:rsidRPr="00B255BE">
        <w:t xml:space="preserve">Standard 1.6 provides that the appropriate sanction for the misconduct found must be balanced with any mitigating or aggravating circumstances, with due regard for the purposes of imposing discipline.  </w:t>
      </w:r>
    </w:p>
    <w:p w:rsidR="0054408D" w:rsidRPr="008339F7" w:rsidRDefault="0054408D" w:rsidP="0054408D">
      <w:pPr>
        <w:spacing w:line="480" w:lineRule="auto"/>
        <w:ind w:firstLine="720"/>
        <w:rPr>
          <w:highlight w:val="green"/>
        </w:rPr>
      </w:pPr>
      <w:r w:rsidRPr="00B255BE">
        <w:t>In this case, the standards provide for the imposition of sanctions ranging from suspension to disbarment.  (Std. 2.3.)  The Supreme Court gives the standards “great weight” and will reject a recommendation consistent with the standards only where the court entertains “grave doubts” as to its propriety.  (</w:t>
      </w:r>
      <w:r w:rsidRPr="00B255BE">
        <w:rPr>
          <w:i/>
        </w:rPr>
        <w:t>In re Silverton</w:t>
      </w:r>
      <w:r w:rsidRPr="00B255BE">
        <w:t xml:space="preserve"> (2005) 36 Cal.4th 81, 91-92; </w:t>
      </w:r>
      <w:r w:rsidRPr="00B255BE">
        <w:rPr>
          <w:i/>
        </w:rPr>
        <w:t>In re Naney</w:t>
      </w:r>
      <w:r w:rsidRPr="00B255BE">
        <w:t xml:space="preserve"> (1990) 51 Cal.3d 186, 190.)  The standards are not mandatory; they may be deviated from when there is a compelling, well-defined reason to do so.  (</w:t>
      </w:r>
      <w:r w:rsidRPr="00B255BE">
        <w:rPr>
          <w:i/>
        </w:rPr>
        <w:t>Bates v. State Bar</w:t>
      </w:r>
      <w:r w:rsidRPr="00B255BE">
        <w:t xml:space="preserve"> (1990) 51 Cal.3d 1056, 1061, fn. 2; </w:t>
      </w:r>
      <w:r w:rsidRPr="00B255BE">
        <w:rPr>
          <w:i/>
        </w:rPr>
        <w:t>Aronin v. State Bar</w:t>
      </w:r>
      <w:r w:rsidRPr="00B255BE">
        <w:t xml:space="preserve"> (1990) 52 Cal.3d 276, 291.)</w:t>
      </w:r>
    </w:p>
    <w:p w:rsidR="0054408D" w:rsidRDefault="0054408D" w:rsidP="0054408D">
      <w:pPr>
        <w:spacing w:line="480" w:lineRule="auto"/>
        <w:ind w:firstLine="720"/>
      </w:pPr>
      <w:r w:rsidRPr="0054408D">
        <w:lastRenderedPageBreak/>
        <w:t>In the present matter, the State Bar recommends that respondent be disbarred.</w:t>
      </w:r>
      <w:r w:rsidRPr="0054408D">
        <w:rPr>
          <w:rStyle w:val="FootnoteReference"/>
        </w:rPr>
        <w:footnoteReference w:id="4"/>
      </w:r>
      <w:r w:rsidRPr="0054408D">
        <w:t xml:space="preserve">  Respondent, on the other hand, requests that </w:t>
      </w:r>
      <w:r>
        <w:t>no period of actual suspension be imposed.</w:t>
      </w:r>
      <w:r w:rsidRPr="0054408D">
        <w:t xml:space="preserve">  </w:t>
      </w:r>
    </w:p>
    <w:p w:rsidR="008339F7" w:rsidRPr="008339F7" w:rsidRDefault="00FF2284" w:rsidP="008339F7">
      <w:pPr>
        <w:spacing w:line="480" w:lineRule="auto"/>
        <w:ind w:firstLine="720"/>
        <w:rPr>
          <w:highlight w:val="green"/>
        </w:rPr>
      </w:pPr>
      <w:r>
        <w:t xml:space="preserve">The court looks to </w:t>
      </w:r>
      <w:r>
        <w:rPr>
          <w:i/>
        </w:rPr>
        <w:t xml:space="preserve">Chang v. State Bar </w:t>
      </w:r>
      <w:r>
        <w:t xml:space="preserve">(1989) 49 Cal.3d 114, for guidance.  </w:t>
      </w:r>
      <w:r w:rsidR="008339F7" w:rsidRPr="005D7E49">
        <w:t xml:space="preserve">In that case, </w:t>
      </w:r>
      <w:r w:rsidR="00B8571B">
        <w:t>the attorney</w:t>
      </w:r>
      <w:r w:rsidR="008339F7" w:rsidRPr="005D7E49">
        <w:t xml:space="preserve"> was found culpable, in a single-client matter, of misappropriating $7,900 in client funds, failing to provide his client with an accounting, and making misrepresentations both to his client and to the State Bar.  In aggravation, </w:t>
      </w:r>
      <w:r w:rsidR="00B8571B">
        <w:t>the attorney’s misconduct caused significant harm and he</w:t>
      </w:r>
      <w:r w:rsidR="008339F7" w:rsidRPr="005D7E49">
        <w:t xml:space="preserve"> never acknowledged the impropriety of his </w:t>
      </w:r>
      <w:r w:rsidR="00B8571B">
        <w:t>actions</w:t>
      </w:r>
      <w:r w:rsidR="008339F7" w:rsidRPr="005D7E49">
        <w:t xml:space="preserve">.  No mitigating circumstances were found.  </w:t>
      </w:r>
      <w:r w:rsidR="00B8571B">
        <w:t xml:space="preserve">The Supreme Court </w:t>
      </w:r>
      <w:r w:rsidR="004213D4">
        <w:t xml:space="preserve">ordered </w:t>
      </w:r>
      <w:r w:rsidR="00B8571B">
        <w:t xml:space="preserve">that the attorney be disbarred.  </w:t>
      </w:r>
    </w:p>
    <w:p w:rsidR="00DB0D53" w:rsidRDefault="00DB0D53" w:rsidP="00FF2284">
      <w:pPr>
        <w:spacing w:line="480" w:lineRule="auto"/>
        <w:ind w:firstLine="720"/>
      </w:pPr>
      <w:r>
        <w:t xml:space="preserve">The present </w:t>
      </w:r>
      <w:r w:rsidR="00B8571B">
        <w:t>matter</w:t>
      </w:r>
      <w:r w:rsidR="003475FE">
        <w:t xml:space="preserve"> is similar to </w:t>
      </w:r>
      <w:r w:rsidR="003475FE" w:rsidRPr="003475FE">
        <w:rPr>
          <w:i/>
        </w:rPr>
        <w:t>Chang</w:t>
      </w:r>
      <w:r w:rsidR="003475FE">
        <w:t xml:space="preserve">, </w:t>
      </w:r>
      <w:r w:rsidR="00B8571B">
        <w:t>however,</w:t>
      </w:r>
      <w:r>
        <w:t xml:space="preserve"> </w:t>
      </w:r>
      <w:r w:rsidR="003475FE">
        <w:t xml:space="preserve">it </w:t>
      </w:r>
      <w:r>
        <w:t xml:space="preserve">is </w:t>
      </w:r>
      <w:r w:rsidR="003475FE">
        <w:t>distinguished by a few key points</w:t>
      </w:r>
      <w:r>
        <w:t xml:space="preserve">.  </w:t>
      </w:r>
      <w:r w:rsidR="00BF06E3">
        <w:t xml:space="preserve">In </w:t>
      </w:r>
      <w:r w:rsidR="00BF06E3" w:rsidRPr="00BF06E3">
        <w:rPr>
          <w:i/>
        </w:rPr>
        <w:t>Chang</w:t>
      </w:r>
      <w:r w:rsidR="00BF06E3">
        <w:t>, the California Supreme Court’s order of disbarment was predicated on the Court’s doubt as to whether the attorney had the ability to conform his future conduct to the professional standards demanded of California attorneys.</w:t>
      </w:r>
      <w:r w:rsidR="00DB0A27">
        <w:t xml:space="preserve">  (</w:t>
      </w:r>
      <w:r w:rsidR="00B255BE">
        <w:rPr>
          <w:i/>
        </w:rPr>
        <w:t>Chang v. State Bar</w:t>
      </w:r>
      <w:r w:rsidR="00B255BE">
        <w:t>,</w:t>
      </w:r>
      <w:r w:rsidR="00B255BE">
        <w:rPr>
          <w:i/>
        </w:rPr>
        <w:t xml:space="preserve"> </w:t>
      </w:r>
      <w:r w:rsidR="00B255BE" w:rsidRPr="00B255BE">
        <w:rPr>
          <w:i/>
        </w:rPr>
        <w:t>supra</w:t>
      </w:r>
      <w:r w:rsidR="00B255BE">
        <w:t xml:space="preserve">, 49 Cal.3d 114, </w:t>
      </w:r>
      <w:r w:rsidR="006447B1">
        <w:t>129</w:t>
      </w:r>
      <w:r w:rsidR="00DB0A27">
        <w:t>.)</w:t>
      </w:r>
      <w:r w:rsidR="00BF06E3">
        <w:t xml:space="preserve">  The </w:t>
      </w:r>
      <w:r w:rsidR="00DB0A27">
        <w:t xml:space="preserve">Supreme </w:t>
      </w:r>
      <w:r w:rsidR="00BF06E3">
        <w:t xml:space="preserve">Court </w:t>
      </w:r>
      <w:r w:rsidR="00DB0A27">
        <w:t xml:space="preserve">specifically </w:t>
      </w:r>
      <w:r w:rsidR="00BF06E3">
        <w:t>addressed three areas of doubt</w:t>
      </w:r>
      <w:r w:rsidR="00DB0A27">
        <w:t>:  (1)</w:t>
      </w:r>
      <w:r w:rsidR="00BF06E3">
        <w:t xml:space="preserve"> the attorney’s </w:t>
      </w:r>
      <w:r w:rsidR="00DB0A27">
        <w:t>failure to acknowledge the impropriety of his conduct; (2) the attorney’s failure to make any efforts toward restitution; and (3) the attorney’s lack of candor before the State Bar.</w:t>
      </w:r>
      <w:r w:rsidR="009D6C9A">
        <w:t xml:space="preserve">  (</w:t>
      </w:r>
      <w:r w:rsidR="009D6C9A" w:rsidRPr="009D6C9A">
        <w:rPr>
          <w:i/>
        </w:rPr>
        <w:t>Ibid</w:t>
      </w:r>
      <w:r w:rsidR="009D6C9A">
        <w:t>.)</w:t>
      </w:r>
      <w:r w:rsidR="00DB0A27">
        <w:t xml:space="preserve">  </w:t>
      </w:r>
      <w:r w:rsidR="009C5544">
        <w:t>In contrast, t</w:t>
      </w:r>
      <w:r w:rsidR="00A7327D">
        <w:t>he prese</w:t>
      </w:r>
      <w:r w:rsidR="009C5544">
        <w:t>nt case</w:t>
      </w:r>
      <w:r w:rsidR="00A7327D">
        <w:t xml:space="preserve"> does not </w:t>
      </w:r>
      <w:r w:rsidR="00531164">
        <w:t xml:space="preserve">rise to the level of </w:t>
      </w:r>
      <w:r w:rsidR="00531164" w:rsidRPr="00531164">
        <w:rPr>
          <w:i/>
        </w:rPr>
        <w:t>Chang</w:t>
      </w:r>
      <w:r w:rsidR="00531164">
        <w:t xml:space="preserve"> because it does not </w:t>
      </w:r>
      <w:r w:rsidR="00A7327D">
        <w:t xml:space="preserve">involve </w:t>
      </w:r>
      <w:r w:rsidR="00531164">
        <w:t>a lack of candor</w:t>
      </w:r>
      <w:r w:rsidR="00B8571B">
        <w:t xml:space="preserve"> to the State Bar</w:t>
      </w:r>
      <w:r w:rsidR="00531164">
        <w:rPr>
          <w:rStyle w:val="FootnoteReference"/>
        </w:rPr>
        <w:footnoteReference w:id="5"/>
      </w:r>
      <w:r w:rsidR="00531164">
        <w:t xml:space="preserve"> or </w:t>
      </w:r>
      <w:r w:rsidR="00A7327D">
        <w:t>a</w:t>
      </w:r>
      <w:r w:rsidR="00531164">
        <w:t xml:space="preserve"> failure to make restitution.  </w:t>
      </w:r>
    </w:p>
    <w:p w:rsidR="00531164" w:rsidRPr="00DB0D53" w:rsidRDefault="002A4A28" w:rsidP="00FF2284">
      <w:pPr>
        <w:spacing w:line="480" w:lineRule="auto"/>
        <w:ind w:firstLine="720"/>
      </w:pPr>
      <w:r>
        <w:t>That being said</w:t>
      </w:r>
      <w:r w:rsidR="00180BEA">
        <w:t xml:space="preserve">, the court </w:t>
      </w:r>
      <w:r w:rsidR="00C67B94">
        <w:t xml:space="preserve">is </w:t>
      </w:r>
      <w:r w:rsidR="004213D4">
        <w:t xml:space="preserve">still </w:t>
      </w:r>
      <w:r w:rsidR="00C67B94">
        <w:t>greatly concerned by the nature of</w:t>
      </w:r>
      <w:r w:rsidR="00180BEA">
        <w:t xml:space="preserve"> respondent’s misconduct and his failure to acknowledge or </w:t>
      </w:r>
      <w:r w:rsidR="00E111DC">
        <w:t>appreciate</w:t>
      </w:r>
      <w:r w:rsidR="00180BEA">
        <w:t xml:space="preserve"> the impropriety of his </w:t>
      </w:r>
      <w:r w:rsidR="00C67B94">
        <w:t>actions</w:t>
      </w:r>
      <w:r w:rsidR="00180BEA">
        <w:t xml:space="preserve">.  </w:t>
      </w:r>
      <w:r w:rsidR="000E0664">
        <w:t xml:space="preserve">Therefore, in the interests of public protection the court recommends, among other things, that respondent be actually suspended for two years and until he provides proof to the State Bar Court </w:t>
      </w:r>
      <w:r w:rsidR="000E0664">
        <w:lastRenderedPageBreak/>
        <w:t>of his rehabilitation, present fitness to practice, and learning and ability in the general law pursuant to standard 1.4(c)(ii).</w:t>
      </w:r>
    </w:p>
    <w:p w:rsidR="007E27FF" w:rsidRPr="00FE3E6C" w:rsidRDefault="007E27FF" w:rsidP="007E27FF">
      <w:pPr>
        <w:spacing w:line="480" w:lineRule="auto"/>
        <w:ind w:firstLine="720"/>
        <w:jc w:val="center"/>
        <w:rPr>
          <w:b/>
        </w:rPr>
      </w:pPr>
      <w:r w:rsidRPr="00FE3E6C">
        <w:rPr>
          <w:b/>
        </w:rPr>
        <w:t xml:space="preserve">VI.  </w:t>
      </w:r>
      <w:r w:rsidR="004726FC">
        <w:rPr>
          <w:b/>
        </w:rPr>
        <w:t>Recommended Discipline</w:t>
      </w:r>
    </w:p>
    <w:p w:rsidR="007E27FF" w:rsidRDefault="007E27FF" w:rsidP="007E27FF">
      <w:pPr>
        <w:spacing w:line="480" w:lineRule="auto"/>
        <w:ind w:firstLine="720"/>
      </w:pPr>
      <w:r>
        <w:t xml:space="preserve">Accordingly, it is recommended that respondent </w:t>
      </w:r>
      <w:r>
        <w:rPr>
          <w:b/>
        </w:rPr>
        <w:t>Christopher LaVar Turpin</w:t>
      </w:r>
      <w:r>
        <w:rPr>
          <w:bCs/>
        </w:rPr>
        <w:t>,</w:t>
      </w:r>
      <w:r>
        <w:rPr>
          <w:b/>
          <w:bCs/>
        </w:rPr>
        <w:t xml:space="preserve"> </w:t>
      </w:r>
      <w:r w:rsidRPr="00BB743D">
        <w:rPr>
          <w:bCs/>
        </w:rPr>
        <w:t xml:space="preserve">State Bar Number </w:t>
      </w:r>
      <w:r>
        <w:rPr>
          <w:bCs/>
        </w:rPr>
        <w:t>210177</w:t>
      </w:r>
      <w:r w:rsidRPr="00BB743D">
        <w:rPr>
          <w:bCs/>
        </w:rPr>
        <w:t>,</w:t>
      </w:r>
      <w:r>
        <w:rPr>
          <w:b/>
          <w:bCs/>
        </w:rPr>
        <w:t xml:space="preserve"> </w:t>
      </w:r>
      <w:r>
        <w:t>be suspended from the practice of law in California for four (4) years, that execution of that period of suspension be stayed, and that he be placed on probation for a period of three (3) years</w:t>
      </w:r>
      <w:r>
        <w:rPr>
          <w:rStyle w:val="FootnoteReference"/>
        </w:rPr>
        <w:footnoteReference w:id="6"/>
      </w:r>
      <w:r>
        <w:t xml:space="preserve"> subject to the following conditions:  </w:t>
      </w:r>
    </w:p>
    <w:p w:rsidR="007E27FF" w:rsidRDefault="007E27FF" w:rsidP="007E27FF">
      <w:pPr>
        <w:tabs>
          <w:tab w:val="left" w:pos="720"/>
          <w:tab w:val="left" w:pos="1080"/>
          <w:tab w:val="left" w:pos="1800"/>
        </w:tabs>
        <w:ind w:left="1080" w:hanging="360"/>
        <w:rPr>
          <w:sz w:val="26"/>
          <w:szCs w:val="36"/>
        </w:rPr>
      </w:pPr>
      <w:r>
        <w:t>1.</w:t>
      </w:r>
      <w:r>
        <w:tab/>
      </w:r>
      <w:r w:rsidR="001D4C18">
        <w:t>Respondent</w:t>
      </w:r>
      <w:r>
        <w:rPr>
          <w:sz w:val="26"/>
          <w:szCs w:val="36"/>
        </w:rPr>
        <w:t xml:space="preserve"> is suspended from the practice of law for a minimum of the first two (2) years of probation, and </w:t>
      </w:r>
      <w:bookmarkStart w:id="6" w:name="g2"/>
      <w:bookmarkEnd w:id="6"/>
      <w:r>
        <w:rPr>
          <w:sz w:val="26"/>
          <w:szCs w:val="36"/>
        </w:rPr>
        <w:t>he will remain suspended until the following requirement is satisfied:</w:t>
      </w:r>
    </w:p>
    <w:p w:rsidR="007E27FF" w:rsidRDefault="007E27FF" w:rsidP="007E27FF">
      <w:pPr>
        <w:tabs>
          <w:tab w:val="left" w:pos="1080"/>
          <w:tab w:val="left" w:pos="1800"/>
        </w:tabs>
        <w:ind w:left="1080" w:hanging="360"/>
        <w:rPr>
          <w:sz w:val="26"/>
          <w:szCs w:val="36"/>
        </w:rPr>
      </w:pPr>
    </w:p>
    <w:p w:rsidR="007E27FF" w:rsidRDefault="007E27FF" w:rsidP="00361E5D">
      <w:pPr>
        <w:tabs>
          <w:tab w:val="left" w:pos="1080"/>
          <w:tab w:val="left" w:pos="2160"/>
        </w:tabs>
        <w:ind w:left="2160" w:hanging="720"/>
        <w:rPr>
          <w:sz w:val="26"/>
          <w:szCs w:val="36"/>
        </w:rPr>
      </w:pPr>
      <w:r>
        <w:rPr>
          <w:sz w:val="26"/>
          <w:szCs w:val="36"/>
        </w:rPr>
        <w:t>i.</w:t>
      </w:r>
      <w:r>
        <w:rPr>
          <w:sz w:val="26"/>
          <w:szCs w:val="36"/>
        </w:rPr>
        <w:tab/>
      </w:r>
      <w:bookmarkStart w:id="7" w:name="g3"/>
      <w:bookmarkEnd w:id="7"/>
      <w:r w:rsidR="001D4C18">
        <w:t>Respondent</w:t>
      </w:r>
      <w:r>
        <w:rPr>
          <w:sz w:val="26"/>
          <w:szCs w:val="36"/>
        </w:rPr>
        <w:t xml:space="preserve"> must provide proof to the State Bar Court of </w:t>
      </w:r>
      <w:bookmarkStart w:id="8" w:name="g4"/>
      <w:bookmarkEnd w:id="8"/>
      <w:r>
        <w:rPr>
          <w:sz w:val="26"/>
          <w:szCs w:val="36"/>
        </w:rPr>
        <w:t xml:space="preserve">his rehabilitation, fitness to practice and learning and ability in the general law before </w:t>
      </w:r>
      <w:bookmarkStart w:id="9" w:name="g5"/>
      <w:bookmarkEnd w:id="9"/>
      <w:r>
        <w:rPr>
          <w:sz w:val="26"/>
          <w:szCs w:val="36"/>
        </w:rPr>
        <w:t>his suspension will be terminated.  (Rules Proc. of State Bar, tit. IV, Stds. for Atty. Sanctions for Prof. Misconduct, std. 1.4(c)(ii).)</w:t>
      </w:r>
    </w:p>
    <w:p w:rsidR="007E27FF" w:rsidRDefault="007E27FF" w:rsidP="007E27FF">
      <w:pPr>
        <w:tabs>
          <w:tab w:val="left" w:pos="1080"/>
        </w:tabs>
        <w:ind w:left="1440" w:hanging="360"/>
        <w:rPr>
          <w:sz w:val="26"/>
          <w:szCs w:val="36"/>
        </w:rPr>
      </w:pPr>
    </w:p>
    <w:p w:rsidR="007E27FF" w:rsidRDefault="007E27FF" w:rsidP="007E27FF">
      <w:pPr>
        <w:ind w:left="1080" w:hanging="360"/>
        <w:jc w:val="both"/>
      </w:pPr>
      <w:r>
        <w:t>2.</w:t>
      </w:r>
      <w:r>
        <w:tab/>
      </w:r>
      <w:r w:rsidR="001D4C18">
        <w:t>Respondent</w:t>
      </w:r>
      <w:r>
        <w:t xml:space="preserve"> must also comply with the following additional conditions of probation:</w:t>
      </w:r>
    </w:p>
    <w:p w:rsidR="007E27FF" w:rsidRDefault="007E27FF" w:rsidP="007E27FF">
      <w:pPr>
        <w:ind w:firstLine="720"/>
        <w:jc w:val="both"/>
      </w:pPr>
    </w:p>
    <w:p w:rsidR="007E27FF" w:rsidRDefault="007E27FF" w:rsidP="007E27FF">
      <w:pPr>
        <w:ind w:left="2160" w:hanging="720"/>
      </w:pPr>
      <w:r>
        <w:t>i.</w:t>
      </w:r>
      <w:r>
        <w:tab/>
        <w:t xml:space="preserve">During the period of probation, </w:t>
      </w:r>
      <w:r w:rsidR="001D4C18">
        <w:t>respondent</w:t>
      </w:r>
      <w:r>
        <w:t xml:space="preserve"> must comply with the State Bar Act and the Rules of Professional Conduct of the State Bar of California;</w:t>
      </w:r>
    </w:p>
    <w:p w:rsidR="007E27FF" w:rsidRDefault="007E27FF" w:rsidP="007E27FF">
      <w:pPr>
        <w:ind w:left="2160" w:hanging="720"/>
      </w:pPr>
    </w:p>
    <w:p w:rsidR="007E27FF" w:rsidRDefault="007E27FF" w:rsidP="007E27FF">
      <w:pPr>
        <w:ind w:left="2160" w:hanging="720"/>
      </w:pPr>
      <w:r>
        <w:t>ii.</w:t>
      </w:r>
      <w:r>
        <w:tab/>
      </w:r>
      <w:r w:rsidR="001D4C18">
        <w:t>Respondent</w:t>
      </w:r>
      <w:r>
        <w:t xml:space="preserve"> must submit written quarterly reports to the State Bar’s Office of Probation (</w:t>
      </w:r>
      <w:r w:rsidR="006B2E73">
        <w:t>“</w:t>
      </w:r>
      <w:r>
        <w:t>Office of Probation</w:t>
      </w:r>
      <w:r w:rsidR="006B2E73">
        <w:t>”</w:t>
      </w:r>
      <w:r>
        <w:t xml:space="preserve">) on each January 10, April 10, July 10, and October 10 of the period of probation.  Under penalty of perjury, </w:t>
      </w:r>
      <w:r w:rsidR="001D4C18">
        <w:t>respondent</w:t>
      </w:r>
      <w:r>
        <w:t xml:space="preserve"> must state whether</w:t>
      </w:r>
      <w:r w:rsidR="00361E5D">
        <w:t xml:space="preserve"> he </w:t>
      </w:r>
      <w:r>
        <w:t xml:space="preserve">has complied with the State Bar Act, the Rules of Professional Conduct, and all conditions of probation during the preceding calendar quarter.  If the first report will cover less than </w:t>
      </w:r>
      <w:r w:rsidR="00875CE8">
        <w:t xml:space="preserve">thirty </w:t>
      </w:r>
      <w:r>
        <w:t>(30) days, the report must be submitted on</w:t>
      </w:r>
      <w:r w:rsidR="00361E5D">
        <w:t xml:space="preserve"> the next following quarter </w:t>
      </w:r>
      <w:r>
        <w:t>date, and cover the extended period.</w:t>
      </w:r>
    </w:p>
    <w:p w:rsidR="007E27FF" w:rsidRDefault="007E27FF" w:rsidP="007E27FF">
      <w:pPr>
        <w:ind w:left="2160" w:hanging="720"/>
      </w:pPr>
    </w:p>
    <w:p w:rsidR="007E27FF" w:rsidRDefault="00361E5D" w:rsidP="007E27FF">
      <w:pPr>
        <w:ind w:left="2160" w:hanging="720"/>
      </w:pPr>
      <w:r>
        <w:tab/>
      </w:r>
      <w:r w:rsidR="007E27FF">
        <w:t xml:space="preserve">In addition to all the quarterly reports, a final </w:t>
      </w:r>
      <w:r>
        <w:t xml:space="preserve">report, containing the same </w:t>
      </w:r>
      <w:r w:rsidR="007E27FF">
        <w:t xml:space="preserve">information is due no earlier than twenty (20) </w:t>
      </w:r>
      <w:r>
        <w:t xml:space="preserve">days before the last day of </w:t>
      </w:r>
      <w:r w:rsidR="007E27FF">
        <w:t>the probation period and no later than th</w:t>
      </w:r>
      <w:r>
        <w:t xml:space="preserve">e last day of the probationary </w:t>
      </w:r>
      <w:r w:rsidR="007E27FF">
        <w:t xml:space="preserve">period; </w:t>
      </w:r>
    </w:p>
    <w:p w:rsidR="007E27FF" w:rsidRDefault="007E27FF" w:rsidP="007E27FF">
      <w:pPr>
        <w:ind w:left="2160" w:hanging="720"/>
      </w:pPr>
    </w:p>
    <w:p w:rsidR="007E27FF" w:rsidRDefault="007E27FF" w:rsidP="007E27FF">
      <w:pPr>
        <w:ind w:left="2160" w:hanging="720"/>
      </w:pPr>
      <w:r>
        <w:lastRenderedPageBreak/>
        <w:t>iii.</w:t>
      </w:r>
      <w:r>
        <w:tab/>
        <w:t xml:space="preserve">Subject to the assertion of applicable privileges, </w:t>
      </w:r>
      <w:r w:rsidR="001D4C18">
        <w:t>respondent</w:t>
      </w:r>
      <w:r w:rsidR="00361E5D">
        <w:t xml:space="preserve"> must </w:t>
      </w:r>
      <w:r>
        <w:t>answer fully, promptly, and truthfully, any in</w:t>
      </w:r>
      <w:r w:rsidR="00255E0A">
        <w:t xml:space="preserve">quiries of the Office of </w:t>
      </w:r>
      <w:r>
        <w:t>Probation, which are directed to</w:t>
      </w:r>
      <w:r w:rsidR="00475B57">
        <w:t xml:space="preserve"> him</w:t>
      </w:r>
      <w:r w:rsidR="00361E5D">
        <w:t xml:space="preserve"> </w:t>
      </w:r>
      <w:r>
        <w:t>personally</w:t>
      </w:r>
      <w:r w:rsidR="00255E0A">
        <w:t xml:space="preserve"> or in writing, relating to </w:t>
      </w:r>
      <w:r>
        <w:t>whether</w:t>
      </w:r>
      <w:r w:rsidR="00361E5D">
        <w:t xml:space="preserve"> he </w:t>
      </w:r>
      <w:r>
        <w:t>is complying or has complied wi</w:t>
      </w:r>
      <w:r w:rsidR="00255E0A">
        <w:t xml:space="preserve">th the conditions contained </w:t>
      </w:r>
      <w:r>
        <w:t xml:space="preserve">herein; </w:t>
      </w:r>
    </w:p>
    <w:p w:rsidR="007E27FF" w:rsidRDefault="007E27FF" w:rsidP="007E27FF">
      <w:pPr>
        <w:ind w:left="2160" w:hanging="720"/>
        <w:rPr>
          <w:highlight w:val="yellow"/>
        </w:rPr>
      </w:pPr>
    </w:p>
    <w:p w:rsidR="007E27FF" w:rsidRDefault="007E27FF" w:rsidP="007E27FF">
      <w:pPr>
        <w:ind w:left="2160" w:hanging="720"/>
      </w:pPr>
      <w:r>
        <w:t>iv.</w:t>
      </w:r>
      <w:r>
        <w:tab/>
        <w:t xml:space="preserve">Within ten (10) days of any change, </w:t>
      </w:r>
      <w:r w:rsidR="001D4C18">
        <w:t>respondent</w:t>
      </w:r>
      <w:r w:rsidR="008D4649">
        <w:t xml:space="preserve"> must report to the </w:t>
      </w:r>
      <w:r>
        <w:t xml:space="preserve">Membership Records Office of the State </w:t>
      </w:r>
      <w:r w:rsidR="008D4649">
        <w:t xml:space="preserve">Bar, 180 Howard Street, San </w:t>
      </w:r>
      <w:r>
        <w:t xml:space="preserve">Francisco, California 94105-1639, </w:t>
      </w:r>
      <w:r>
        <w:rPr>
          <w:b/>
          <w:bCs/>
        </w:rPr>
        <w:t>and</w:t>
      </w:r>
      <w:r>
        <w:t xml:space="preserve"> to t</w:t>
      </w:r>
      <w:r w:rsidR="008D4649">
        <w:t xml:space="preserve">he Office of Probation, all </w:t>
      </w:r>
      <w:r>
        <w:t>changes of information, including current o</w:t>
      </w:r>
      <w:r w:rsidR="008D4649">
        <w:t xml:space="preserve">ffice address and telephone </w:t>
      </w:r>
      <w:r>
        <w:t>number, or if no office is maintained, the addre</w:t>
      </w:r>
      <w:r w:rsidR="008D4649">
        <w:t xml:space="preserve">ss to be used for State Bar </w:t>
      </w:r>
      <w:r>
        <w:t>purposes, as prescribed by section 6002.1 of t</w:t>
      </w:r>
      <w:r w:rsidR="008D4649">
        <w:t xml:space="preserve">he Business and Professions </w:t>
      </w:r>
      <w:r>
        <w:t xml:space="preserve">Code; and </w:t>
      </w:r>
    </w:p>
    <w:p w:rsidR="007E27FF" w:rsidRDefault="007E27FF" w:rsidP="007E27FF">
      <w:pPr>
        <w:ind w:left="2160" w:hanging="720"/>
      </w:pPr>
    </w:p>
    <w:p w:rsidR="00250058" w:rsidRDefault="007E27FF" w:rsidP="007E27FF">
      <w:pPr>
        <w:ind w:left="2160" w:hanging="720"/>
      </w:pPr>
      <w:r>
        <w:t>v.</w:t>
      </w:r>
      <w:r>
        <w:tab/>
        <w:t xml:space="preserve">Within thirty (30) days after the effective date of discipline, </w:t>
      </w:r>
      <w:r w:rsidR="001D4C18">
        <w:t>respondent</w:t>
      </w:r>
      <w:r>
        <w:t xml:space="preserve"> must contact the Office of Probation and</w:t>
      </w:r>
      <w:r w:rsidR="00B71B19">
        <w:t xml:space="preserve"> schedule a meeting with his</w:t>
      </w:r>
      <w:r>
        <w:t xml:space="preserve"> assigned probation deputy to discuss th</w:t>
      </w:r>
      <w:r w:rsidR="00B71B19">
        <w:t xml:space="preserve">ese terms and conditions of </w:t>
      </w:r>
      <w:r>
        <w:t xml:space="preserve">probation.  Upon the direction of the Office of Probation, </w:t>
      </w:r>
      <w:r w:rsidR="001D4C18">
        <w:t>respondent</w:t>
      </w:r>
      <w:r>
        <w:t xml:space="preserve"> must meet with the probation deputy e</w:t>
      </w:r>
      <w:r w:rsidR="00B71B19">
        <w:t xml:space="preserve">ither in person or by </w:t>
      </w:r>
      <w:r>
        <w:t>telephone.  During the period of probatio</w:t>
      </w:r>
      <w:r w:rsidR="00B71B19">
        <w:t xml:space="preserve">n, </w:t>
      </w:r>
      <w:r w:rsidR="001D4C18">
        <w:t>respondent</w:t>
      </w:r>
      <w:r w:rsidR="00B71B19">
        <w:t xml:space="preserve"> must promptly </w:t>
      </w:r>
      <w:r>
        <w:t>meet with the probation deputy as directed and upon request</w:t>
      </w:r>
      <w:r w:rsidR="00250058">
        <w:t>; and</w:t>
      </w:r>
    </w:p>
    <w:p w:rsidR="00250058" w:rsidRDefault="00250058" w:rsidP="007E27FF">
      <w:pPr>
        <w:ind w:left="2160" w:hanging="720"/>
      </w:pPr>
    </w:p>
    <w:p w:rsidR="007E27FF" w:rsidRDefault="00250058" w:rsidP="007E27FF">
      <w:pPr>
        <w:ind w:left="2160" w:hanging="720"/>
      </w:pPr>
      <w:r>
        <w:t>vi.</w:t>
      </w:r>
      <w:r>
        <w:tab/>
        <w:t xml:space="preserve">Within one year after the effective date of the discipline herein, </w:t>
      </w:r>
      <w:r w:rsidR="003102B0">
        <w:rPr>
          <w:lang w:val="en-CA"/>
        </w:rPr>
        <w:fldChar w:fldCharType="begin"/>
      </w:r>
      <w:r>
        <w:rPr>
          <w:lang w:val="en-CA"/>
        </w:rPr>
        <w:instrText xml:space="preserve"> SEQ CHAPTER \h \r 1</w:instrText>
      </w:r>
      <w:r w:rsidR="003102B0">
        <w:rPr>
          <w:lang w:val="en-CA"/>
        </w:rPr>
        <w:fldChar w:fldCharType="end"/>
      </w:r>
      <w:r w:rsidR="001D4C18">
        <w:t>respondent</w:t>
      </w:r>
      <w:r>
        <w:t xml:space="preserve"> must provide to the Office of Probation satisfactory proof of attendance at a session of the State Bar Ethics School</w:t>
      </w:r>
      <w:r w:rsidRPr="00E83880">
        <w:t>, given periodically</w:t>
      </w:r>
      <w:r>
        <w:t xml:space="preserve"> by the State Bar at either 180 Howard Street, San Francisco, California, 94105-1639, or 1149 South Hill Street, Los Angeles, California, 90015, and passage of the test given at the end of the session.  Arrangements to attend Ethics School must be made in advance by calling (213) 765-1287, and paying the required fee.  This requirement is separate from any Minimum Continuing Legal Education (</w:t>
      </w:r>
      <w:r w:rsidR="009629AC">
        <w:t>“</w:t>
      </w:r>
      <w:r>
        <w:t>MCLE</w:t>
      </w:r>
      <w:r w:rsidR="009629AC">
        <w:t>”</w:t>
      </w:r>
      <w:r>
        <w:t xml:space="preserve">) requirements, and </w:t>
      </w:r>
      <w:r w:rsidR="001D4C18">
        <w:t>respondent</w:t>
      </w:r>
      <w:r>
        <w:t xml:space="preserve"> will not receive MCLE credit for attending Ethics School (Rule 3201, Rules of Procedure of the State Bar.);</w:t>
      </w:r>
      <w:r w:rsidR="007E27FF">
        <w:t xml:space="preserve"> </w:t>
      </w:r>
    </w:p>
    <w:p w:rsidR="007E27FF" w:rsidRDefault="007E27FF" w:rsidP="007E27FF">
      <w:pPr>
        <w:ind w:firstLine="720"/>
      </w:pPr>
    </w:p>
    <w:p w:rsidR="007E27FF" w:rsidRDefault="007E27FF" w:rsidP="00046E0F">
      <w:pPr>
        <w:ind w:left="1080" w:hanging="360"/>
      </w:pPr>
      <w:r>
        <w:t xml:space="preserve">3. </w:t>
      </w:r>
      <w:r>
        <w:tab/>
        <w:t xml:space="preserve">At the expiration of the period of this probation, if </w:t>
      </w:r>
      <w:r w:rsidR="001D4C18">
        <w:t>respondent</w:t>
      </w:r>
      <w:r w:rsidR="00B71B19">
        <w:t xml:space="preserve"> has </w:t>
      </w:r>
      <w:r>
        <w:t>complied with all the terms of probation, the</w:t>
      </w:r>
      <w:r w:rsidR="00B71B19">
        <w:t xml:space="preserve"> order of the Supreme Court </w:t>
      </w:r>
      <w:r>
        <w:t xml:space="preserve">suspending </w:t>
      </w:r>
      <w:r w:rsidR="001D4C18">
        <w:t>respondent</w:t>
      </w:r>
      <w:r>
        <w:t xml:space="preserve"> from the practice of law for </w:t>
      </w:r>
      <w:r w:rsidR="00250058">
        <w:t>four</w:t>
      </w:r>
      <w:r w:rsidR="00B71B19">
        <w:t xml:space="preserve"> (</w:t>
      </w:r>
      <w:r w:rsidR="00250058">
        <w:t>4</w:t>
      </w:r>
      <w:r w:rsidR="00B71B19">
        <w:t xml:space="preserve">) years will be satisfied </w:t>
      </w:r>
      <w:r>
        <w:t>and that suspension will be terminated.</w:t>
      </w:r>
    </w:p>
    <w:p w:rsidR="007E27FF" w:rsidRDefault="007E27FF" w:rsidP="007E27FF">
      <w:pPr>
        <w:ind w:firstLine="720"/>
      </w:pPr>
    </w:p>
    <w:p w:rsidR="007E27FF" w:rsidRDefault="006B2E73" w:rsidP="007E27FF">
      <w:pPr>
        <w:tabs>
          <w:tab w:val="center" w:pos="4680"/>
        </w:tabs>
        <w:spacing w:line="480" w:lineRule="auto"/>
        <w:ind w:firstLine="720"/>
      </w:pPr>
      <w:r>
        <w:t xml:space="preserve">It is also recommended that </w:t>
      </w:r>
      <w:r w:rsidR="001D4C18">
        <w:t>respondent</w:t>
      </w:r>
      <w:r>
        <w:t xml:space="preserve"> take and pass the Multistate Professional Responsibility Examination (“MPRE”) administered by the National Conference of Bar Examiners, MPRE Application Department, P.O. Box 4001, Iowa City, Iowa, 52243, (telephone 319-337-1287) and provide proof of passage to the Office of Probation, within one year after the effective date of the discipline herein.  Failure to pass the MPRE within the specified time results </w:t>
      </w:r>
      <w:r>
        <w:lastRenderedPageBreak/>
        <w:t>in actual suspension by the Review Department, without further hearing, until passage.  (But see Cal. Rules of Court, rule 9.10(b), and Rules Proc. of State Bar, rule 321(a)(1) and (3).)</w:t>
      </w:r>
    </w:p>
    <w:p w:rsidR="007E27FF" w:rsidRDefault="00D1693F" w:rsidP="007E27FF">
      <w:pPr>
        <w:tabs>
          <w:tab w:val="center" w:pos="4680"/>
        </w:tabs>
        <w:spacing w:line="480" w:lineRule="auto"/>
        <w:ind w:firstLine="720"/>
      </w:pPr>
      <w:r>
        <w:t xml:space="preserve">It is further recommended that </w:t>
      </w:r>
      <w:r w:rsidR="001D4C18">
        <w:t>respondent</w:t>
      </w:r>
      <w:r>
        <w:t xml:space="preserve"> be ordered to comply with the California Rules of Court, rule 9.20 and to perform the acts specified in subdivisions (a) and (c) of that rule within 30 and 40 calendar days, respectively, after the effective date of the Supreme Court order in this matter.</w:t>
      </w:r>
      <w:r>
        <w:rPr>
          <w:rStyle w:val="FootnoteReference"/>
        </w:rPr>
        <w:footnoteReference w:id="7"/>
      </w:r>
    </w:p>
    <w:p w:rsidR="007E27FF" w:rsidRPr="002713D5" w:rsidRDefault="007E27FF" w:rsidP="007E27FF">
      <w:pPr>
        <w:pStyle w:val="Heading1"/>
      </w:pPr>
      <w:r w:rsidRPr="002713D5">
        <w:t>VII.  C</w:t>
      </w:r>
      <w:r w:rsidR="004726FC">
        <w:t>osts</w:t>
      </w:r>
    </w:p>
    <w:p w:rsidR="007E27FF" w:rsidRDefault="007E27FF" w:rsidP="007E27FF">
      <w:pPr>
        <w:spacing w:line="480" w:lineRule="auto"/>
        <w:ind w:firstLine="720"/>
      </w:pPr>
      <w:r>
        <w:t>It is recommended t</w:t>
      </w:r>
      <w:r w:rsidRPr="002713D5">
        <w:t>hat costs be awarded to the State Bar in accordance with Business and Professions Code section 6086.10</w:t>
      </w:r>
      <w:r>
        <w:t>,</w:t>
      </w:r>
      <w:r w:rsidRPr="002713D5">
        <w:t xml:space="preserve"> and are enforceable both as provided in Business and Professions Code section 6140.7 and</w:t>
      </w:r>
      <w:r w:rsidRPr="00B11F2B">
        <w:t xml:space="preserve"> as a money judgment.</w:t>
      </w:r>
    </w:p>
    <w:p w:rsidR="00630E7B" w:rsidRPr="00744366" w:rsidRDefault="00630E7B" w:rsidP="00630E7B">
      <w:pPr>
        <w:pStyle w:val="Header"/>
        <w:tabs>
          <w:tab w:val="clear" w:pos="4320"/>
          <w:tab w:val="clear" w:pos="8640"/>
        </w:tabs>
        <w:spacing w:line="480" w:lineRule="auto"/>
        <w:jc w:val="center"/>
        <w:rPr>
          <w:b/>
        </w:rPr>
      </w:pPr>
    </w:p>
    <w:p w:rsidR="00160DB7" w:rsidRDefault="00160DB7" w:rsidP="008015C4">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2F4BC5">
                <w:rPr>
                  <w:noProof/>
                </w:rPr>
                <w:t>February _____, 2010</w:t>
              </w:r>
            </w:fldSimple>
          </w:p>
        </w:tc>
        <w:tc>
          <w:tcPr>
            <w:tcW w:w="4565" w:type="dxa"/>
            <w:tcBorders>
              <w:top w:val="single" w:sz="4" w:space="0" w:color="auto"/>
              <w:bottom w:val="nil"/>
              <w:right w:val="nil"/>
            </w:tcBorders>
          </w:tcPr>
          <w:p w:rsidR="003D3B12" w:rsidRDefault="0028640B">
            <w:bookmarkStart w:id="10" w:name="judge"/>
            <w:bookmarkEnd w:id="10"/>
            <w:r>
              <w:t>PAT</w:t>
            </w:r>
            <w:r w:rsidR="007516D7">
              <w:t xml:space="preserve">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61D" w:rsidRDefault="00C5361D">
      <w:r>
        <w:separator/>
      </w:r>
    </w:p>
  </w:endnote>
  <w:endnote w:type="continuationSeparator" w:id="0">
    <w:p w:rsidR="00C5361D" w:rsidRDefault="00C53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1D" w:rsidRDefault="003102B0" w:rsidP="003B44D5">
    <w:pPr>
      <w:pStyle w:val="Footer"/>
      <w:framePr w:wrap="around" w:vAnchor="text" w:hAnchor="margin" w:xAlign="center" w:y="1"/>
      <w:rPr>
        <w:rStyle w:val="PageNumber"/>
      </w:rPr>
    </w:pPr>
    <w:r>
      <w:rPr>
        <w:rStyle w:val="PageNumber"/>
      </w:rPr>
      <w:fldChar w:fldCharType="begin"/>
    </w:r>
    <w:r w:rsidR="00C5361D">
      <w:rPr>
        <w:rStyle w:val="PageNumber"/>
      </w:rPr>
      <w:instrText xml:space="preserve">PAGE  </w:instrText>
    </w:r>
    <w:r>
      <w:rPr>
        <w:rStyle w:val="PageNumber"/>
      </w:rPr>
      <w:fldChar w:fldCharType="end"/>
    </w:r>
  </w:p>
  <w:p w:rsidR="00C5361D" w:rsidRDefault="00C536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1D" w:rsidRDefault="003102B0" w:rsidP="00200B09">
    <w:pPr>
      <w:pStyle w:val="Footer"/>
      <w:framePr w:wrap="around" w:vAnchor="text" w:hAnchor="margin" w:xAlign="center" w:y="1"/>
      <w:rPr>
        <w:rStyle w:val="PageNumber"/>
      </w:rPr>
    </w:pPr>
    <w:r>
      <w:rPr>
        <w:rStyle w:val="PageNumber"/>
      </w:rPr>
      <w:fldChar w:fldCharType="begin"/>
    </w:r>
    <w:r w:rsidR="00C5361D">
      <w:rPr>
        <w:rStyle w:val="PageNumber"/>
      </w:rPr>
      <w:instrText xml:space="preserve">PAGE  </w:instrText>
    </w:r>
    <w:r>
      <w:rPr>
        <w:rStyle w:val="PageNumber"/>
      </w:rPr>
      <w:fldChar w:fldCharType="separate"/>
    </w:r>
    <w:r w:rsidR="002F4BC5">
      <w:rPr>
        <w:rStyle w:val="PageNumber"/>
        <w:noProof/>
      </w:rPr>
      <w:t>- 13 -</w:t>
    </w:r>
    <w:r>
      <w:rPr>
        <w:rStyle w:val="PageNumber"/>
      </w:rPr>
      <w:fldChar w:fldCharType="end"/>
    </w:r>
  </w:p>
  <w:p w:rsidR="00C5361D" w:rsidRDefault="00C5361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1D" w:rsidRDefault="00C5361D">
    <w:pPr>
      <w:pStyle w:val="Footer"/>
      <w:framePr w:wrap="around" w:vAnchor="text" w:hAnchor="margin" w:xAlign="center" w:y="1"/>
      <w:rPr>
        <w:rStyle w:val="PageNumber"/>
      </w:rPr>
    </w:pPr>
  </w:p>
  <w:p w:rsidR="00C5361D" w:rsidRDefault="00C53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61D" w:rsidRDefault="00C5361D">
      <w:r>
        <w:separator/>
      </w:r>
    </w:p>
  </w:footnote>
  <w:footnote w:type="continuationSeparator" w:id="0">
    <w:p w:rsidR="00C5361D" w:rsidRDefault="00C5361D">
      <w:r>
        <w:continuationSeparator/>
      </w:r>
    </w:p>
  </w:footnote>
  <w:footnote w:id="1">
    <w:p w:rsidR="00C5361D" w:rsidRDefault="00C5361D" w:rsidP="00150948">
      <w:pPr>
        <w:pStyle w:val="FootnoteText"/>
      </w:pPr>
      <w:r>
        <w:rPr>
          <w:rStyle w:val="FootnoteReference"/>
        </w:rPr>
        <w:footnoteRef/>
      </w:r>
      <w:r>
        <w:t xml:space="preserve"> The parties agreed that the facts contained in the stipulation constitute an admission of the facts.</w:t>
      </w:r>
    </w:p>
  </w:footnote>
  <w:footnote w:id="2">
    <w:p w:rsidR="00C5361D" w:rsidRDefault="00C5361D" w:rsidP="00997083">
      <w:pPr>
        <w:pStyle w:val="FootnoteText"/>
      </w:pPr>
      <w:r>
        <w:rPr>
          <w:rStyle w:val="FootnoteReference"/>
        </w:rPr>
        <w:footnoteRef/>
      </w:r>
      <w:r>
        <w:t xml:space="preserve"> All further references to section(s) are to the provisions of the Business and Professions Code, unless otherwise indicated.</w:t>
      </w:r>
    </w:p>
  </w:footnote>
  <w:footnote w:id="3">
    <w:p w:rsidR="00C5361D" w:rsidRDefault="00C5361D" w:rsidP="006A674C">
      <w:pPr>
        <w:pStyle w:val="FootnoteText"/>
      </w:pPr>
      <w:r>
        <w:rPr>
          <w:rStyle w:val="FootnoteReference"/>
        </w:rPr>
        <w:footnoteRef/>
      </w:r>
      <w:r>
        <w:t xml:space="preserve"> </w:t>
      </w:r>
      <w:r w:rsidRPr="009252D4">
        <w:t>All further references to standard</w:t>
      </w:r>
      <w:r>
        <w:t>(</w:t>
      </w:r>
      <w:r w:rsidRPr="009252D4">
        <w:t>s</w:t>
      </w:r>
      <w:r>
        <w:t>)</w:t>
      </w:r>
      <w:r w:rsidRPr="009252D4">
        <w:t xml:space="preserve"> are to this source.</w:t>
      </w:r>
    </w:p>
  </w:footnote>
  <w:footnote w:id="4">
    <w:p w:rsidR="00C5361D" w:rsidRDefault="00C5361D" w:rsidP="0054408D">
      <w:pPr>
        <w:pStyle w:val="FootnoteText"/>
      </w:pPr>
      <w:r>
        <w:rPr>
          <w:rStyle w:val="FootnoteReference"/>
        </w:rPr>
        <w:footnoteRef/>
      </w:r>
      <w:r>
        <w:t xml:space="preserve"> In its pre-trial statement, the State Bar recommended either disbarment or a two-year period of suspension.</w:t>
      </w:r>
    </w:p>
  </w:footnote>
  <w:footnote w:id="5">
    <w:p w:rsidR="00C5361D" w:rsidRDefault="00C5361D" w:rsidP="00531164">
      <w:pPr>
        <w:pStyle w:val="FootnoteText"/>
      </w:pPr>
      <w:r>
        <w:rPr>
          <w:rStyle w:val="FootnoteReference"/>
        </w:rPr>
        <w:footnoteRef/>
      </w:r>
      <w:r w:rsidR="00945A62">
        <w:t xml:space="preserve"> While the court finds, based on the evidence, </w:t>
      </w:r>
      <w:r>
        <w:t xml:space="preserve">that much of respondent’s testimony lacked credibility, the court did not go so far as to make an affirmative finding that respondent’s testimony lacked candor.  </w:t>
      </w:r>
    </w:p>
  </w:footnote>
  <w:footnote w:id="6">
    <w:p w:rsidR="00C5361D" w:rsidRDefault="00C5361D" w:rsidP="007E27FF">
      <w:pPr>
        <w:pStyle w:val="FootnoteText"/>
      </w:pPr>
      <w:r>
        <w:rPr>
          <w:rStyle w:val="FootnoteReference"/>
        </w:rPr>
        <w:footnoteRef/>
      </w:r>
      <w:r>
        <w:t xml:space="preserve"> The probation period will commence on the effective date of the Supreme Court</w:t>
      </w:r>
      <w:r w:rsidR="00820D42">
        <w:t>’s</w:t>
      </w:r>
      <w:r>
        <w:t xml:space="preserve"> order imposing discipline in this matter.  (See Cal. Rules of Court, rule 9.18.)</w:t>
      </w:r>
    </w:p>
  </w:footnote>
  <w:footnote w:id="7">
    <w:p w:rsidR="00C5361D" w:rsidRDefault="00C5361D" w:rsidP="00D1693F">
      <w:pPr>
        <w:pStyle w:val="FootnoteText"/>
      </w:pPr>
      <w:r>
        <w:rPr>
          <w:rStyle w:val="FootnoteReference"/>
        </w:rPr>
        <w:footnoteRef/>
      </w:r>
      <w:r>
        <w:t xml:space="preserve"> Respondent is required to file a rule 9.20 affidavit even if he has no clients to notify on the date the Supreme Court files its order in this proceeding.  (</w:t>
      </w:r>
      <w:r>
        <w:rPr>
          <w:i/>
          <w:iCs/>
        </w:rPr>
        <w:t xml:space="preserve">Powers v. State Bar </w:t>
      </w:r>
      <w:r>
        <w:t>(1998) 44 Cal.3d 337, 341.)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574319"/>
    <w:rsid w:val="000079A1"/>
    <w:rsid w:val="00036698"/>
    <w:rsid w:val="00041417"/>
    <w:rsid w:val="00046E0F"/>
    <w:rsid w:val="000800B9"/>
    <w:rsid w:val="000813A8"/>
    <w:rsid w:val="000934CE"/>
    <w:rsid w:val="000B1C12"/>
    <w:rsid w:val="000D527C"/>
    <w:rsid w:val="000E0664"/>
    <w:rsid w:val="00150948"/>
    <w:rsid w:val="00155DD4"/>
    <w:rsid w:val="00160DB7"/>
    <w:rsid w:val="00166A6B"/>
    <w:rsid w:val="00180BEA"/>
    <w:rsid w:val="001B0694"/>
    <w:rsid w:val="001D1629"/>
    <w:rsid w:val="001D48FC"/>
    <w:rsid w:val="001D4C18"/>
    <w:rsid w:val="001E154E"/>
    <w:rsid w:val="001F1A5C"/>
    <w:rsid w:val="00200B09"/>
    <w:rsid w:val="00245EFE"/>
    <w:rsid w:val="00250058"/>
    <w:rsid w:val="002527B7"/>
    <w:rsid w:val="00255E0A"/>
    <w:rsid w:val="0028640B"/>
    <w:rsid w:val="002A4A28"/>
    <w:rsid w:val="002D1E20"/>
    <w:rsid w:val="002D5FF7"/>
    <w:rsid w:val="002F4BC5"/>
    <w:rsid w:val="00300705"/>
    <w:rsid w:val="003102B0"/>
    <w:rsid w:val="00312C53"/>
    <w:rsid w:val="00336E47"/>
    <w:rsid w:val="0034063D"/>
    <w:rsid w:val="0034075C"/>
    <w:rsid w:val="003475FE"/>
    <w:rsid w:val="00353149"/>
    <w:rsid w:val="00361E5D"/>
    <w:rsid w:val="003B44D5"/>
    <w:rsid w:val="003D3B12"/>
    <w:rsid w:val="004213D4"/>
    <w:rsid w:val="004242DD"/>
    <w:rsid w:val="004726FC"/>
    <w:rsid w:val="00475B57"/>
    <w:rsid w:val="00484B5F"/>
    <w:rsid w:val="004E2080"/>
    <w:rsid w:val="004E3513"/>
    <w:rsid w:val="004F6941"/>
    <w:rsid w:val="00504BC8"/>
    <w:rsid w:val="00511803"/>
    <w:rsid w:val="0052039F"/>
    <w:rsid w:val="005264A3"/>
    <w:rsid w:val="00531164"/>
    <w:rsid w:val="00531B55"/>
    <w:rsid w:val="00540335"/>
    <w:rsid w:val="0054408D"/>
    <w:rsid w:val="005619FE"/>
    <w:rsid w:val="00561DFB"/>
    <w:rsid w:val="0056621B"/>
    <w:rsid w:val="00570D80"/>
    <w:rsid w:val="00574319"/>
    <w:rsid w:val="0058094A"/>
    <w:rsid w:val="005926F7"/>
    <w:rsid w:val="00597F1D"/>
    <w:rsid w:val="005A502A"/>
    <w:rsid w:val="005C3937"/>
    <w:rsid w:val="005D7E49"/>
    <w:rsid w:val="005E0E2E"/>
    <w:rsid w:val="0060345F"/>
    <w:rsid w:val="006113D1"/>
    <w:rsid w:val="00615625"/>
    <w:rsid w:val="00630E7B"/>
    <w:rsid w:val="006447B1"/>
    <w:rsid w:val="00653ABB"/>
    <w:rsid w:val="00654EFF"/>
    <w:rsid w:val="006706DC"/>
    <w:rsid w:val="006969BB"/>
    <w:rsid w:val="006A50AC"/>
    <w:rsid w:val="006A65FA"/>
    <w:rsid w:val="006A674C"/>
    <w:rsid w:val="006B2E73"/>
    <w:rsid w:val="006B4BA0"/>
    <w:rsid w:val="006D297B"/>
    <w:rsid w:val="006E0FC6"/>
    <w:rsid w:val="007516D7"/>
    <w:rsid w:val="00751C25"/>
    <w:rsid w:val="00765853"/>
    <w:rsid w:val="00782B4B"/>
    <w:rsid w:val="00792DB6"/>
    <w:rsid w:val="007A1261"/>
    <w:rsid w:val="007D7732"/>
    <w:rsid w:val="007E0C27"/>
    <w:rsid w:val="007E27FF"/>
    <w:rsid w:val="008015C4"/>
    <w:rsid w:val="008079A8"/>
    <w:rsid w:val="00820D42"/>
    <w:rsid w:val="008227B5"/>
    <w:rsid w:val="0082490B"/>
    <w:rsid w:val="008305B0"/>
    <w:rsid w:val="008339F7"/>
    <w:rsid w:val="00847F87"/>
    <w:rsid w:val="00875CE8"/>
    <w:rsid w:val="00876226"/>
    <w:rsid w:val="00892040"/>
    <w:rsid w:val="00894CFF"/>
    <w:rsid w:val="008A5554"/>
    <w:rsid w:val="008B094C"/>
    <w:rsid w:val="008D4649"/>
    <w:rsid w:val="008F26A0"/>
    <w:rsid w:val="00900088"/>
    <w:rsid w:val="009065A4"/>
    <w:rsid w:val="009417EF"/>
    <w:rsid w:val="00945A62"/>
    <w:rsid w:val="00947289"/>
    <w:rsid w:val="00950334"/>
    <w:rsid w:val="00956A81"/>
    <w:rsid w:val="009629AC"/>
    <w:rsid w:val="00987EE5"/>
    <w:rsid w:val="009941F3"/>
    <w:rsid w:val="009948EC"/>
    <w:rsid w:val="00997083"/>
    <w:rsid w:val="009B5BA9"/>
    <w:rsid w:val="009B71DE"/>
    <w:rsid w:val="009C5544"/>
    <w:rsid w:val="009C5C20"/>
    <w:rsid w:val="009D3414"/>
    <w:rsid w:val="009D6C9A"/>
    <w:rsid w:val="009E08CF"/>
    <w:rsid w:val="009E31BB"/>
    <w:rsid w:val="009F10A4"/>
    <w:rsid w:val="00A025E9"/>
    <w:rsid w:val="00A10852"/>
    <w:rsid w:val="00A51CEC"/>
    <w:rsid w:val="00A54C9C"/>
    <w:rsid w:val="00A63C49"/>
    <w:rsid w:val="00A7107B"/>
    <w:rsid w:val="00A7327D"/>
    <w:rsid w:val="00AA48AE"/>
    <w:rsid w:val="00AA4A79"/>
    <w:rsid w:val="00AB7707"/>
    <w:rsid w:val="00AD00DC"/>
    <w:rsid w:val="00AF037A"/>
    <w:rsid w:val="00B255BE"/>
    <w:rsid w:val="00B27586"/>
    <w:rsid w:val="00B324FC"/>
    <w:rsid w:val="00B44006"/>
    <w:rsid w:val="00B47F2F"/>
    <w:rsid w:val="00B513E0"/>
    <w:rsid w:val="00B60D95"/>
    <w:rsid w:val="00B71B19"/>
    <w:rsid w:val="00B8564E"/>
    <w:rsid w:val="00B8571B"/>
    <w:rsid w:val="00BA1121"/>
    <w:rsid w:val="00BD2195"/>
    <w:rsid w:val="00BD71E8"/>
    <w:rsid w:val="00BE2F62"/>
    <w:rsid w:val="00BF06E3"/>
    <w:rsid w:val="00BF39EA"/>
    <w:rsid w:val="00C12282"/>
    <w:rsid w:val="00C5361D"/>
    <w:rsid w:val="00C67B94"/>
    <w:rsid w:val="00CA0C50"/>
    <w:rsid w:val="00CA7A72"/>
    <w:rsid w:val="00CD7AE1"/>
    <w:rsid w:val="00CE1DE9"/>
    <w:rsid w:val="00CE7811"/>
    <w:rsid w:val="00D019DA"/>
    <w:rsid w:val="00D01C96"/>
    <w:rsid w:val="00D04292"/>
    <w:rsid w:val="00D11639"/>
    <w:rsid w:val="00D14BB5"/>
    <w:rsid w:val="00D1693F"/>
    <w:rsid w:val="00D22933"/>
    <w:rsid w:val="00D23E46"/>
    <w:rsid w:val="00D4758D"/>
    <w:rsid w:val="00D55834"/>
    <w:rsid w:val="00D7112D"/>
    <w:rsid w:val="00D71F36"/>
    <w:rsid w:val="00D7611D"/>
    <w:rsid w:val="00D77936"/>
    <w:rsid w:val="00D80BC7"/>
    <w:rsid w:val="00D97D09"/>
    <w:rsid w:val="00DA3F52"/>
    <w:rsid w:val="00DB0A27"/>
    <w:rsid w:val="00DB0D53"/>
    <w:rsid w:val="00E111DC"/>
    <w:rsid w:val="00E17ADC"/>
    <w:rsid w:val="00E32AEB"/>
    <w:rsid w:val="00E37F65"/>
    <w:rsid w:val="00E63212"/>
    <w:rsid w:val="00E657E3"/>
    <w:rsid w:val="00E86EC9"/>
    <w:rsid w:val="00E905E5"/>
    <w:rsid w:val="00E92B0E"/>
    <w:rsid w:val="00EA5C08"/>
    <w:rsid w:val="00EC4100"/>
    <w:rsid w:val="00EE3AFC"/>
    <w:rsid w:val="00F07137"/>
    <w:rsid w:val="00F200C5"/>
    <w:rsid w:val="00F40392"/>
    <w:rsid w:val="00F45FB1"/>
    <w:rsid w:val="00F52B2A"/>
    <w:rsid w:val="00F5687A"/>
    <w:rsid w:val="00FD4995"/>
    <w:rsid w:val="00FF2284"/>
    <w:rsid w:val="00FF71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49"/>
    <w:rPr>
      <w:sz w:val="24"/>
      <w:szCs w:val="24"/>
    </w:rPr>
  </w:style>
  <w:style w:type="paragraph" w:styleId="Heading1">
    <w:name w:val="heading 1"/>
    <w:basedOn w:val="Normal"/>
    <w:next w:val="Normal"/>
    <w:link w:val="Heading1Char"/>
    <w:qFormat/>
    <w:rsid w:val="00353149"/>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53149"/>
    <w:pPr>
      <w:spacing w:before="28"/>
      <w:ind w:right="90"/>
    </w:pPr>
    <w:rPr>
      <w:sz w:val="19"/>
      <w:szCs w:val="19"/>
    </w:rPr>
  </w:style>
  <w:style w:type="paragraph" w:styleId="Header">
    <w:name w:val="header"/>
    <w:basedOn w:val="Normal"/>
    <w:link w:val="HeaderChar"/>
    <w:semiHidden/>
    <w:rsid w:val="00353149"/>
    <w:pPr>
      <w:tabs>
        <w:tab w:val="center" w:pos="4320"/>
        <w:tab w:val="right" w:pos="8640"/>
      </w:tabs>
    </w:pPr>
  </w:style>
  <w:style w:type="paragraph" w:styleId="Footer">
    <w:name w:val="footer"/>
    <w:basedOn w:val="Normal"/>
    <w:semiHidden/>
    <w:rsid w:val="00353149"/>
    <w:pPr>
      <w:tabs>
        <w:tab w:val="center" w:pos="4320"/>
        <w:tab w:val="right" w:pos="8640"/>
      </w:tabs>
    </w:pPr>
  </w:style>
  <w:style w:type="character" w:styleId="PageNumber">
    <w:name w:val="page number"/>
    <w:basedOn w:val="DefaultParagraphFont"/>
    <w:semiHidden/>
    <w:rsid w:val="00353149"/>
  </w:style>
  <w:style w:type="paragraph" w:styleId="FootnoteText">
    <w:name w:val="footnote text"/>
    <w:basedOn w:val="Normal"/>
    <w:link w:val="FootnoteTextChar"/>
    <w:rsid w:val="00353149"/>
    <w:pPr>
      <w:ind w:firstLine="720"/>
    </w:pPr>
    <w:rPr>
      <w:szCs w:val="20"/>
    </w:rPr>
  </w:style>
  <w:style w:type="character" w:styleId="FootnoteReference">
    <w:name w:val="footnote reference"/>
    <w:basedOn w:val="DefaultParagraphFont"/>
    <w:rsid w:val="00353149"/>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rsid w:val="00574319"/>
    <w:rPr>
      <w:sz w:val="24"/>
    </w:rPr>
  </w:style>
  <w:style w:type="character" w:customStyle="1" w:styleId="HeaderChar">
    <w:name w:val="Header Char"/>
    <w:basedOn w:val="DefaultParagraphFont"/>
    <w:link w:val="Header"/>
    <w:semiHidden/>
    <w:rsid w:val="00160DB7"/>
    <w:rPr>
      <w:sz w:val="24"/>
      <w:szCs w:val="24"/>
    </w:rPr>
  </w:style>
  <w:style w:type="paragraph" w:styleId="BodyText">
    <w:name w:val="Body Text"/>
    <w:basedOn w:val="Normal"/>
    <w:link w:val="BodyTextChar"/>
    <w:semiHidden/>
    <w:rsid w:val="000813A8"/>
    <w:pPr>
      <w:spacing w:line="480" w:lineRule="auto"/>
      <w:jc w:val="both"/>
    </w:pPr>
  </w:style>
  <w:style w:type="character" w:customStyle="1" w:styleId="BodyTextChar">
    <w:name w:val="Body Text Char"/>
    <w:basedOn w:val="DefaultParagraphFont"/>
    <w:link w:val="BodyText"/>
    <w:semiHidden/>
    <w:rsid w:val="000813A8"/>
    <w:rPr>
      <w:sz w:val="24"/>
      <w:szCs w:val="24"/>
    </w:rPr>
  </w:style>
  <w:style w:type="character" w:customStyle="1" w:styleId="Heading1Char">
    <w:name w:val="Heading 1 Char"/>
    <w:basedOn w:val="DefaultParagraphFont"/>
    <w:link w:val="Heading1"/>
    <w:rsid w:val="007E27FF"/>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13</Pages>
  <Words>3676</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Pat McElroy</dc:creator>
  <cp:keywords/>
  <dc:description/>
  <cp:lastModifiedBy>Lauretta Cramer</cp:lastModifiedBy>
  <cp:revision>2</cp:revision>
  <cp:lastPrinted>2010-02-08T17:16:00Z</cp:lastPrinted>
  <dcterms:created xsi:type="dcterms:W3CDTF">2010-02-09T21:52:00Z</dcterms:created>
  <dcterms:modified xsi:type="dcterms:W3CDTF">2010-02-09T21:52:00Z</dcterms:modified>
</cp:coreProperties>
</file>