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23245" w:rsidRDefault="00323245" w:rsidP="00323245">
      <w:pPr>
        <w:jc w:val="right"/>
        <w:rPr>
          <w:b/>
          <w:sz w:val="36"/>
        </w:rPr>
      </w:pPr>
      <w:r w:rsidRPr="00323245">
        <w:rPr>
          <w:b/>
        </w:rPr>
        <w:t>FILED NOVEMBER 1,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C292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AC2924" w:rsidRDefault="00AC2924"/>
          <w:p w:rsidR="003D3B12" w:rsidRDefault="003D3B12">
            <w:r>
              <w:t>In the Matter of</w:t>
            </w:r>
          </w:p>
          <w:p w:rsidR="003D3B12" w:rsidRDefault="003D3B12">
            <w:pPr>
              <w:rPr>
                <w:b/>
                <w:bCs/>
              </w:rPr>
            </w:pPr>
          </w:p>
          <w:p w:rsidR="003D3B12" w:rsidRDefault="00AC2924">
            <w:pPr>
              <w:rPr>
                <w:b/>
                <w:bCs/>
              </w:rPr>
            </w:pPr>
            <w:bookmarkStart w:id="1" w:name="resp"/>
            <w:bookmarkEnd w:id="1"/>
            <w:r>
              <w:rPr>
                <w:b/>
                <w:bCs/>
              </w:rPr>
              <w:t xml:space="preserve">DAVID </w:t>
            </w:r>
            <w:proofErr w:type="spellStart"/>
            <w:r>
              <w:rPr>
                <w:b/>
                <w:bCs/>
              </w:rPr>
              <w:t>BURKENROAD</w:t>
            </w:r>
            <w:proofErr w:type="spellEnd"/>
          </w:p>
          <w:p w:rsidR="003D3B12" w:rsidRDefault="003D3B12">
            <w:pPr>
              <w:rPr>
                <w:b/>
                <w:bCs/>
              </w:rPr>
            </w:pPr>
          </w:p>
          <w:p w:rsidR="003D3B12" w:rsidRDefault="003D3B12">
            <w:pPr>
              <w:rPr>
                <w:b/>
                <w:bCs/>
              </w:rPr>
            </w:pPr>
            <w:r>
              <w:rPr>
                <w:b/>
                <w:bCs/>
              </w:rPr>
              <w:t xml:space="preserve">Member No. </w:t>
            </w:r>
            <w:bookmarkStart w:id="2" w:name="member"/>
            <w:bookmarkEnd w:id="2"/>
            <w:r w:rsidR="00AC2924">
              <w:rPr>
                <w:b/>
                <w:bCs/>
              </w:rPr>
              <w:t>110320</w:t>
            </w:r>
          </w:p>
          <w:p w:rsidR="003D3B12" w:rsidRDefault="003D3B12">
            <w:pPr>
              <w:rPr>
                <w:b/>
                <w:bCs/>
              </w:rPr>
            </w:pPr>
          </w:p>
          <w:p w:rsidR="003D3B12" w:rsidRDefault="00AC292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AC2924" w:rsidRDefault="00AC2924">
            <w:pPr>
              <w:rPr>
                <w:b/>
                <w:bCs/>
              </w:rPr>
            </w:pPr>
            <w:r>
              <w:rPr>
                <w:b/>
                <w:bCs/>
              </w:rPr>
              <w:t>)</w:t>
            </w:r>
          </w:p>
          <w:p w:rsidR="00AC2924" w:rsidRDefault="00F32987">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F32987">
              <w:t>s</w:t>
            </w:r>
            <w:r>
              <w:t>.:</w:t>
            </w:r>
          </w:p>
        </w:tc>
        <w:tc>
          <w:tcPr>
            <w:tcW w:w="3468" w:type="dxa"/>
          </w:tcPr>
          <w:p w:rsidR="00AC2924" w:rsidRDefault="00F32987">
            <w:pPr>
              <w:rPr>
                <w:b/>
                <w:bCs/>
              </w:rPr>
            </w:pPr>
            <w:bookmarkStart w:id="4" w:name="caseno"/>
            <w:bookmarkEnd w:id="4"/>
            <w:r>
              <w:rPr>
                <w:b/>
                <w:bCs/>
              </w:rPr>
              <w:t>07-O-14519-</w:t>
            </w:r>
            <w:r w:rsidR="00AC2924">
              <w:rPr>
                <w:b/>
                <w:bCs/>
              </w:rPr>
              <w:t xml:space="preserve">RAH </w:t>
            </w:r>
          </w:p>
          <w:p w:rsidR="00AC2924" w:rsidRPr="00F32987" w:rsidRDefault="00F32987">
            <w:pPr>
              <w:rPr>
                <w:bCs/>
              </w:rPr>
            </w:pPr>
            <w:r w:rsidRPr="00F32987">
              <w:rPr>
                <w:bCs/>
              </w:rPr>
              <w:t>(</w:t>
            </w:r>
            <w:r w:rsidR="00AC2924" w:rsidRPr="00F32987">
              <w:rPr>
                <w:bCs/>
              </w:rPr>
              <w:t>08-O-10806; 08-O-13802;</w:t>
            </w:r>
            <w:r>
              <w:rPr>
                <w:bCs/>
              </w:rPr>
              <w:t xml:space="preserve"> </w:t>
            </w:r>
          </w:p>
          <w:p w:rsidR="00AC2924" w:rsidRPr="00F32987" w:rsidRDefault="00AC2924">
            <w:pPr>
              <w:rPr>
                <w:bCs/>
              </w:rPr>
            </w:pPr>
            <w:r w:rsidRPr="00F32987">
              <w:rPr>
                <w:bCs/>
              </w:rPr>
              <w:t xml:space="preserve">08-O-14238; 08-O-14287; </w:t>
            </w:r>
          </w:p>
          <w:p w:rsidR="00AC2924" w:rsidRPr="00F32987" w:rsidRDefault="00AC2924" w:rsidP="00AC2924">
            <w:pPr>
              <w:rPr>
                <w:bCs/>
              </w:rPr>
            </w:pPr>
            <w:r w:rsidRPr="00F32987">
              <w:rPr>
                <w:bCs/>
              </w:rPr>
              <w:t>08-O-14642; 08-O-14844;</w:t>
            </w:r>
          </w:p>
          <w:p w:rsidR="003D3B12" w:rsidRDefault="00AC2924" w:rsidP="00F32987">
            <w:pPr>
              <w:rPr>
                <w:b/>
                <w:bCs/>
              </w:rPr>
            </w:pPr>
            <w:r w:rsidRPr="00F32987">
              <w:rPr>
                <w:bCs/>
              </w:rPr>
              <w:t>09-O-10194</w:t>
            </w:r>
            <w:r w:rsidR="00F32987">
              <w:rPr>
                <w:bCs/>
              </w:rPr>
              <w:t>)</w:t>
            </w:r>
            <w:r w:rsidRPr="00F32987">
              <w:rPr>
                <w:bCs/>
              </w:rPr>
              <w:t xml:space="preserve"> </w:t>
            </w:r>
          </w:p>
        </w:tc>
      </w:tr>
      <w:tr w:rsidR="003D3B12" w:rsidTr="00F32987">
        <w:trPr>
          <w:cantSplit/>
          <w:trHeight w:val="1143"/>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AC2924" w:rsidRDefault="00AC2924">
            <w:pPr>
              <w:rPr>
                <w:b/>
                <w:bCs/>
              </w:rPr>
            </w:pPr>
            <w:bookmarkStart w:id="5" w:name="title"/>
            <w:bookmarkEnd w:id="5"/>
          </w:p>
          <w:p w:rsidR="003D3B12" w:rsidRDefault="00AC2924">
            <w:pPr>
              <w:rPr>
                <w:b/>
                <w:bCs/>
              </w:rPr>
            </w:pPr>
            <w:r>
              <w:rPr>
                <w:b/>
                <w:bCs/>
              </w:rPr>
              <w:t>DECISION</w:t>
            </w:r>
            <w:r w:rsidR="00F32987">
              <w:rPr>
                <w:b/>
                <w:bCs/>
              </w:rPr>
              <w:t xml:space="preserve"> AND ORDER OF INVOLUNTARY INACTIVE ENROLLMENT</w:t>
            </w:r>
          </w:p>
        </w:tc>
      </w:tr>
    </w:tbl>
    <w:p w:rsidR="003D3B12" w:rsidRDefault="003D3B12">
      <w:pPr>
        <w:spacing w:line="480" w:lineRule="auto"/>
      </w:pPr>
    </w:p>
    <w:p w:rsidR="001E074A" w:rsidRPr="006658DD" w:rsidRDefault="001E074A" w:rsidP="001E074A">
      <w:pPr>
        <w:pStyle w:val="Level1"/>
        <w:numPr>
          <w:ilvl w:val="0"/>
          <w:numId w:val="0"/>
        </w:numPr>
        <w:tabs>
          <w:tab w:val="left" w:pos="-1440"/>
        </w:tabs>
        <w:spacing w:line="480" w:lineRule="auto"/>
        <w:rPr>
          <w:b/>
          <w:u w:val="single"/>
        </w:rPr>
      </w:pPr>
      <w:r>
        <w:rPr>
          <w:b/>
        </w:rPr>
        <w:t xml:space="preserve">1.  </w:t>
      </w:r>
      <w:r w:rsidRPr="00193022">
        <w:rPr>
          <w:b/>
          <w:u w:val="single"/>
        </w:rPr>
        <w:t>INTRODUCTIO</w:t>
      </w:r>
      <w:r>
        <w:rPr>
          <w:b/>
          <w:u w:val="single"/>
        </w:rPr>
        <w:t>N</w:t>
      </w:r>
    </w:p>
    <w:p w:rsidR="007E0B53" w:rsidRDefault="001E074A" w:rsidP="001E074A">
      <w:pPr>
        <w:spacing w:line="480" w:lineRule="auto"/>
      </w:pPr>
      <w:r>
        <w:tab/>
        <w:t xml:space="preserve">The trial in this matter commenced on July 26, 2010.  The Office of the Chief Trial Counsel of the State Bar of California was represented by Ashod Mooradian.  Respondent </w:t>
      </w:r>
      <w:r w:rsidR="00E370E4">
        <w:t xml:space="preserve">David </w:t>
      </w:r>
      <w:proofErr w:type="spellStart"/>
      <w:r w:rsidR="00E370E4">
        <w:t>Burkenroad</w:t>
      </w:r>
      <w:proofErr w:type="spellEnd"/>
      <w:r w:rsidR="00E370E4">
        <w:t xml:space="preserve"> </w:t>
      </w:r>
      <w:r>
        <w:t>was represented by Robert Steinberg.</w:t>
      </w:r>
      <w:r w:rsidR="007E0B53">
        <w:t xml:space="preserve">  </w:t>
      </w:r>
    </w:p>
    <w:p w:rsidR="001E074A" w:rsidRDefault="007E0B53" w:rsidP="001E074A">
      <w:pPr>
        <w:spacing w:line="480" w:lineRule="auto"/>
      </w:pPr>
      <w:r>
        <w:tab/>
      </w:r>
      <w:r w:rsidR="001E074A">
        <w:t>The Office of the Chief Trial Counsel seeks disbarment.  For the reasons set forth below, the court agrees.</w:t>
      </w:r>
    </w:p>
    <w:p w:rsidR="001E074A" w:rsidRPr="001576E6" w:rsidRDefault="001E074A" w:rsidP="001E074A">
      <w:pPr>
        <w:spacing w:line="480" w:lineRule="auto"/>
      </w:pPr>
      <w:r>
        <w:rPr>
          <w:b/>
        </w:rPr>
        <w:t xml:space="preserve">2.  </w:t>
      </w:r>
      <w:r w:rsidRPr="00193022">
        <w:rPr>
          <w:b/>
          <w:u w:val="single"/>
        </w:rPr>
        <w:t>FINDINGS OF FACT AND CONCLUSIONS OF LAW</w:t>
      </w:r>
    </w:p>
    <w:p w:rsidR="00F32987" w:rsidRPr="00F32987" w:rsidRDefault="00F32987" w:rsidP="001E074A">
      <w:pPr>
        <w:spacing w:line="480" w:lineRule="auto"/>
      </w:pPr>
      <w:r>
        <w:rPr>
          <w:bCs/>
        </w:rPr>
        <w:tab/>
      </w:r>
      <w:r>
        <w:t>The parties stipulated to facts on issues of culpability.  Those facts are set forth below.</w:t>
      </w:r>
    </w:p>
    <w:p w:rsidR="001E074A" w:rsidRDefault="001E074A" w:rsidP="001E074A">
      <w:pPr>
        <w:spacing w:line="480" w:lineRule="auto"/>
      </w:pPr>
      <w:r>
        <w:rPr>
          <w:b/>
          <w:bCs/>
        </w:rPr>
        <w:tab/>
        <w:t xml:space="preserve">A.  </w:t>
      </w:r>
      <w:r>
        <w:rPr>
          <w:b/>
          <w:bCs/>
          <w:u w:val="single"/>
        </w:rPr>
        <w:t>Jurisdiction</w:t>
      </w:r>
      <w:r>
        <w:t xml:space="preserve">  </w:t>
      </w:r>
    </w:p>
    <w:p w:rsidR="001E074A" w:rsidRPr="003321FA" w:rsidRDefault="001E074A" w:rsidP="003321FA">
      <w:pPr>
        <w:spacing w:line="480" w:lineRule="auto"/>
        <w:ind w:firstLine="720"/>
      </w:pPr>
      <w:r>
        <w:t xml:space="preserve">Respondent was admitted to the practice of law in the State of California on </w:t>
      </w:r>
      <w:r w:rsidR="003321FA" w:rsidRPr="003C1F3B">
        <w:t>December 1</w:t>
      </w:r>
      <w:r w:rsidR="003321FA">
        <w:t>2</w:t>
      </w:r>
      <w:r w:rsidR="003321FA" w:rsidRPr="003C1F3B">
        <w:t>, 198</w:t>
      </w:r>
      <w:r w:rsidR="003321FA">
        <w:t>3,</w:t>
      </w:r>
      <w:r>
        <w:t xml:space="preserve"> and since that time has been an attorney at law and a member of the State Bar of </w:t>
      </w:r>
      <w:r w:rsidRPr="003321FA">
        <w:t>California.</w:t>
      </w:r>
    </w:p>
    <w:p w:rsidR="001E074A" w:rsidRPr="003321FA" w:rsidRDefault="001E074A" w:rsidP="003321FA">
      <w:pPr>
        <w:spacing w:line="480" w:lineRule="auto"/>
        <w:rPr>
          <w:b/>
          <w:u w:val="single"/>
        </w:rPr>
      </w:pPr>
      <w:r w:rsidRPr="003321FA">
        <w:rPr>
          <w:b/>
        </w:rPr>
        <w:lastRenderedPageBreak/>
        <w:tab/>
        <w:t xml:space="preserve">B.  </w:t>
      </w:r>
      <w:r w:rsidR="006019F3" w:rsidRPr="003321FA">
        <w:rPr>
          <w:b/>
          <w:u w:val="single"/>
        </w:rPr>
        <w:t>Brandy Barrera Matter (Counts</w:t>
      </w:r>
      <w:r w:rsidR="006019F3" w:rsidRPr="00B425C3">
        <w:rPr>
          <w:b/>
          <w:u w:val="single"/>
        </w:rPr>
        <w:t xml:space="preserve"> </w:t>
      </w:r>
      <w:r w:rsidR="006019F3">
        <w:rPr>
          <w:b/>
          <w:u w:val="single"/>
        </w:rPr>
        <w:t>1</w:t>
      </w:r>
      <w:r w:rsidR="006019F3" w:rsidRPr="00B425C3">
        <w:rPr>
          <w:b/>
          <w:u w:val="single"/>
        </w:rPr>
        <w:t xml:space="preserve"> through </w:t>
      </w:r>
      <w:r w:rsidR="006019F3">
        <w:rPr>
          <w:b/>
          <w:u w:val="single"/>
        </w:rPr>
        <w:t>4</w:t>
      </w:r>
      <w:r w:rsidR="006019F3" w:rsidRPr="00B425C3">
        <w:rPr>
          <w:b/>
          <w:u w:val="single"/>
        </w:rPr>
        <w:t>)</w:t>
      </w:r>
    </w:p>
    <w:p w:rsidR="00093202" w:rsidRPr="00273DA6" w:rsidRDefault="006019F3" w:rsidP="000200FC">
      <w:pPr>
        <w:pStyle w:val="DoubleSpacing"/>
        <w:spacing w:line="480" w:lineRule="auto"/>
        <w:ind w:firstLine="1080"/>
      </w:pPr>
      <w:r w:rsidRPr="00273DA6">
        <w:rPr>
          <w:b/>
          <w:szCs w:val="24"/>
        </w:rPr>
        <w:t xml:space="preserve">Findings of </w:t>
      </w:r>
      <w:r w:rsidRPr="00273DA6">
        <w:rPr>
          <w:b/>
        </w:rPr>
        <w:t>Fact</w:t>
      </w:r>
    </w:p>
    <w:p w:rsidR="00335A6E" w:rsidRDefault="00093202" w:rsidP="00F95115">
      <w:pPr>
        <w:pStyle w:val="DoubleSpacing"/>
        <w:spacing w:line="480" w:lineRule="auto"/>
      </w:pPr>
      <w:r>
        <w:tab/>
      </w:r>
      <w:r w:rsidR="003321FA">
        <w:rPr>
          <w:szCs w:val="24"/>
        </w:rPr>
        <w:t xml:space="preserve">On February 7, 2007, Brandy Barrera and her husband (the </w:t>
      </w:r>
      <w:proofErr w:type="spellStart"/>
      <w:r w:rsidR="003321FA">
        <w:rPr>
          <w:szCs w:val="24"/>
        </w:rPr>
        <w:t>Barreras</w:t>
      </w:r>
      <w:proofErr w:type="spellEnd"/>
      <w:r w:rsidR="003321FA">
        <w:rPr>
          <w:szCs w:val="24"/>
        </w:rPr>
        <w:t>) went to Public Management Services, Inc. (</w:t>
      </w:r>
      <w:proofErr w:type="spellStart"/>
      <w:r w:rsidR="003321FA">
        <w:rPr>
          <w:szCs w:val="24"/>
        </w:rPr>
        <w:t>PMSI</w:t>
      </w:r>
      <w:proofErr w:type="spellEnd"/>
      <w:r w:rsidR="003321FA">
        <w:rPr>
          <w:szCs w:val="24"/>
        </w:rPr>
        <w:t>) seeking representation in three separate legal matters involving personal injury, probate, and immigration, respectively.</w:t>
      </w:r>
      <w:r w:rsidR="005D0FEF">
        <w:rPr>
          <w:szCs w:val="24"/>
        </w:rPr>
        <w:t xml:space="preserve">  </w:t>
      </w:r>
      <w:r w:rsidR="003321FA">
        <w:rPr>
          <w:szCs w:val="24"/>
        </w:rPr>
        <w:t xml:space="preserve">At </w:t>
      </w:r>
      <w:proofErr w:type="spellStart"/>
      <w:r w:rsidR="003321FA">
        <w:rPr>
          <w:szCs w:val="24"/>
        </w:rPr>
        <w:t>PMSI</w:t>
      </w:r>
      <w:proofErr w:type="spellEnd"/>
      <w:r w:rsidR="003321FA">
        <w:rPr>
          <w:szCs w:val="24"/>
        </w:rPr>
        <w:t xml:space="preserve">, the </w:t>
      </w:r>
      <w:proofErr w:type="spellStart"/>
      <w:r w:rsidR="003321FA">
        <w:rPr>
          <w:szCs w:val="24"/>
        </w:rPr>
        <w:t>Barreras</w:t>
      </w:r>
      <w:proofErr w:type="spellEnd"/>
      <w:r w:rsidR="003321FA">
        <w:rPr>
          <w:szCs w:val="24"/>
        </w:rPr>
        <w:t xml:space="preserve"> initially met with Robert </w:t>
      </w:r>
      <w:proofErr w:type="spellStart"/>
      <w:r w:rsidR="003321FA">
        <w:rPr>
          <w:szCs w:val="24"/>
        </w:rPr>
        <w:t>Mohit</w:t>
      </w:r>
      <w:proofErr w:type="spellEnd"/>
      <w:r w:rsidR="003321FA">
        <w:rPr>
          <w:szCs w:val="24"/>
        </w:rPr>
        <w:t xml:space="preserve">, a non-attorney and president of </w:t>
      </w:r>
      <w:proofErr w:type="spellStart"/>
      <w:r w:rsidR="003321FA">
        <w:rPr>
          <w:szCs w:val="24"/>
        </w:rPr>
        <w:t>PMSI</w:t>
      </w:r>
      <w:proofErr w:type="spellEnd"/>
      <w:r w:rsidR="003321FA">
        <w:rPr>
          <w:szCs w:val="24"/>
        </w:rPr>
        <w:t xml:space="preserve">.  </w:t>
      </w:r>
      <w:proofErr w:type="spellStart"/>
      <w:r w:rsidR="003321FA">
        <w:rPr>
          <w:szCs w:val="24"/>
        </w:rPr>
        <w:t>Mohit</w:t>
      </w:r>
      <w:proofErr w:type="spellEnd"/>
      <w:r w:rsidR="003321FA">
        <w:rPr>
          <w:szCs w:val="24"/>
        </w:rPr>
        <w:t xml:space="preserve"> introduced the </w:t>
      </w:r>
      <w:proofErr w:type="spellStart"/>
      <w:r w:rsidR="003321FA">
        <w:rPr>
          <w:szCs w:val="24"/>
        </w:rPr>
        <w:t>Barreras</w:t>
      </w:r>
      <w:proofErr w:type="spellEnd"/>
      <w:r w:rsidR="003321FA">
        <w:rPr>
          <w:szCs w:val="24"/>
        </w:rPr>
        <w:t xml:space="preserve"> to </w:t>
      </w:r>
      <w:r w:rsidR="0029579C">
        <w:rPr>
          <w:szCs w:val="24"/>
        </w:rPr>
        <w:t>respondent</w:t>
      </w:r>
      <w:r w:rsidR="003321FA">
        <w:rPr>
          <w:szCs w:val="24"/>
        </w:rPr>
        <w:t xml:space="preserve">.  The </w:t>
      </w:r>
      <w:proofErr w:type="spellStart"/>
      <w:r w:rsidR="003321FA">
        <w:rPr>
          <w:szCs w:val="24"/>
        </w:rPr>
        <w:t>Barreras</w:t>
      </w:r>
      <w:proofErr w:type="spellEnd"/>
      <w:r w:rsidR="003321FA">
        <w:rPr>
          <w:szCs w:val="24"/>
        </w:rPr>
        <w:t xml:space="preserve"> were made to understand that </w:t>
      </w:r>
      <w:r w:rsidR="0029579C">
        <w:rPr>
          <w:szCs w:val="24"/>
        </w:rPr>
        <w:t>respondent</w:t>
      </w:r>
      <w:r w:rsidR="003321FA">
        <w:rPr>
          <w:szCs w:val="24"/>
        </w:rPr>
        <w:t xml:space="preserve"> would represent them in their legal matters.</w:t>
      </w:r>
    </w:p>
    <w:p w:rsidR="003321FA" w:rsidRPr="009D4016" w:rsidRDefault="005D0FEF" w:rsidP="005D0FEF">
      <w:pPr>
        <w:pStyle w:val="DoubleSpacing"/>
        <w:spacing w:line="480" w:lineRule="auto"/>
      </w:pPr>
      <w:r>
        <w:rPr>
          <w:szCs w:val="24"/>
        </w:rPr>
        <w:tab/>
      </w:r>
      <w:r w:rsidR="003321FA">
        <w:rPr>
          <w:szCs w:val="24"/>
        </w:rPr>
        <w:t xml:space="preserve">The </w:t>
      </w:r>
      <w:proofErr w:type="spellStart"/>
      <w:r w:rsidR="003321FA">
        <w:rPr>
          <w:szCs w:val="24"/>
        </w:rPr>
        <w:t>Barreras</w:t>
      </w:r>
      <w:proofErr w:type="spellEnd"/>
      <w:r w:rsidR="00EE784E">
        <w:rPr>
          <w:szCs w:val="24"/>
        </w:rPr>
        <w:t>’</w:t>
      </w:r>
      <w:r w:rsidR="003321FA">
        <w:rPr>
          <w:szCs w:val="24"/>
        </w:rPr>
        <w:t xml:space="preserve"> personal injury matter and probate matter were related.  The linking fact was that in March 2006, Brandy Barrera</w:t>
      </w:r>
      <w:r w:rsidR="00EE784E">
        <w:rPr>
          <w:szCs w:val="24"/>
        </w:rPr>
        <w:t>’</w:t>
      </w:r>
      <w:r w:rsidR="003321FA">
        <w:rPr>
          <w:szCs w:val="24"/>
        </w:rPr>
        <w:t>s mother and sister were killed in an automobile accident.</w:t>
      </w:r>
      <w:r>
        <w:rPr>
          <w:szCs w:val="24"/>
        </w:rPr>
        <w:t xml:space="preserve">  </w:t>
      </w:r>
      <w:r w:rsidR="003321FA" w:rsidRPr="00871C02">
        <w:t>In the probate matter, a probate action had been filed to distribute Ms. Barrera</w:t>
      </w:r>
      <w:r w:rsidR="00EE784E">
        <w:t>’</w:t>
      </w:r>
      <w:r w:rsidR="003321FA" w:rsidRPr="00871C02">
        <w:t>s deceased relatives</w:t>
      </w:r>
      <w:r w:rsidR="00EE784E">
        <w:t>’</w:t>
      </w:r>
      <w:r w:rsidR="003321FA" w:rsidRPr="00871C02">
        <w:t xml:space="preserve"> assets. </w:t>
      </w:r>
      <w:r>
        <w:t xml:space="preserve"> </w:t>
      </w:r>
      <w:r w:rsidR="003321FA" w:rsidRPr="00871C02">
        <w:t>That probate was administered by a friend of Ms. Barrera</w:t>
      </w:r>
      <w:r w:rsidR="00EE784E">
        <w:t>’</w:t>
      </w:r>
      <w:r w:rsidR="003321FA" w:rsidRPr="00871C02">
        <w:t>s deceased mother.  Ms. Barrera felt that she was not being properly informed about the assets in probate and/or their distribution</w:t>
      </w:r>
      <w:r w:rsidR="003321FA">
        <w:t>.</w:t>
      </w:r>
      <w:r>
        <w:t xml:space="preserve">  </w:t>
      </w:r>
      <w:r w:rsidR="003321FA" w:rsidRPr="00871C02">
        <w:t xml:space="preserve">Ms. Barrera made it clear to </w:t>
      </w:r>
      <w:r w:rsidR="0029579C">
        <w:t>respondent</w:t>
      </w:r>
      <w:r w:rsidR="003321FA" w:rsidRPr="00871C02">
        <w:t xml:space="preserve"> that she wanted immediate action on the probate, because the administrator was not giving her sufficient information about her mother</w:t>
      </w:r>
      <w:r w:rsidR="00EE784E">
        <w:t>’</w:t>
      </w:r>
      <w:r w:rsidR="003321FA" w:rsidRPr="00871C02">
        <w:t>s assets</w:t>
      </w:r>
      <w:r w:rsidR="003321FA">
        <w:t>.</w:t>
      </w:r>
      <w:r>
        <w:t xml:space="preserve">  </w:t>
      </w:r>
      <w:r w:rsidR="003321FA" w:rsidRPr="00871C02">
        <w:t xml:space="preserve">The </w:t>
      </w:r>
      <w:proofErr w:type="spellStart"/>
      <w:r w:rsidR="003321FA" w:rsidRPr="00871C02">
        <w:t>Barreras</w:t>
      </w:r>
      <w:proofErr w:type="spellEnd"/>
      <w:r w:rsidR="003321FA" w:rsidRPr="00871C02">
        <w:t xml:space="preserve"> paid </w:t>
      </w:r>
      <w:proofErr w:type="spellStart"/>
      <w:r w:rsidR="003321FA" w:rsidRPr="00871C02">
        <w:t>PMSI</w:t>
      </w:r>
      <w:proofErr w:type="spellEnd"/>
      <w:r w:rsidR="003321FA" w:rsidRPr="00871C02">
        <w:t xml:space="preserve"> $5,000 as advance</w:t>
      </w:r>
      <w:r w:rsidR="00672EDE">
        <w:t>d</w:t>
      </w:r>
      <w:r w:rsidR="003321FA" w:rsidRPr="00871C02">
        <w:t xml:space="preserve"> legal fees for the probate matter after </w:t>
      </w:r>
      <w:r w:rsidR="0029579C">
        <w:t>respondent</w:t>
      </w:r>
      <w:r w:rsidR="003321FA" w:rsidRPr="00871C02">
        <w:t xml:space="preserve"> had drafted the </w:t>
      </w:r>
      <w:r w:rsidR="00CD5778">
        <w:t>probate p</w:t>
      </w:r>
      <w:r w:rsidR="003321FA" w:rsidRPr="00871C02">
        <w:t>etition.</w:t>
      </w:r>
      <w:r w:rsidR="007E0B53">
        <w:t xml:space="preserve">  </w:t>
      </w:r>
      <w:r w:rsidR="003321FA" w:rsidRPr="00871C02">
        <w:t>Respondent never filed a claim on Ms. Barrera</w:t>
      </w:r>
      <w:r w:rsidR="00EE784E">
        <w:t>’</w:t>
      </w:r>
      <w:r w:rsidR="003321FA" w:rsidRPr="00871C02">
        <w:t>s behalf in her mother</w:t>
      </w:r>
      <w:r w:rsidR="00EE784E">
        <w:t>’</w:t>
      </w:r>
      <w:r w:rsidR="003321FA" w:rsidRPr="00871C02">
        <w:t>s probate.</w:t>
      </w:r>
    </w:p>
    <w:p w:rsidR="005D0FEF" w:rsidRDefault="007E0B53" w:rsidP="007E0B53">
      <w:pPr>
        <w:pStyle w:val="DoubleSpacing"/>
        <w:tabs>
          <w:tab w:val="left" w:pos="720"/>
        </w:tabs>
        <w:spacing w:line="480" w:lineRule="auto"/>
      </w:pPr>
      <w:r>
        <w:tab/>
      </w:r>
      <w:r w:rsidR="003321FA" w:rsidRPr="00871C02">
        <w:t xml:space="preserve">The </w:t>
      </w:r>
      <w:proofErr w:type="spellStart"/>
      <w:r w:rsidR="003321FA" w:rsidRPr="00871C02">
        <w:t>Barreras</w:t>
      </w:r>
      <w:proofErr w:type="spellEnd"/>
      <w:r w:rsidR="003321FA" w:rsidRPr="00871C02">
        <w:t xml:space="preserve"> paid </w:t>
      </w:r>
      <w:proofErr w:type="spellStart"/>
      <w:r w:rsidR="003321FA" w:rsidRPr="00871C02">
        <w:t>PMSI</w:t>
      </w:r>
      <w:proofErr w:type="spellEnd"/>
      <w:r w:rsidR="003321FA" w:rsidRPr="00871C02">
        <w:t xml:space="preserve"> $1,400 in advance</w:t>
      </w:r>
      <w:r w:rsidR="003F4231">
        <w:t>d</w:t>
      </w:r>
      <w:r w:rsidR="003321FA" w:rsidRPr="00871C02">
        <w:t xml:space="preserve"> legal fees and $155 in costs for the immigration matter.</w:t>
      </w:r>
      <w:r w:rsidR="005D0FEF">
        <w:t xml:space="preserve">  </w:t>
      </w:r>
      <w:r w:rsidR="003321FA" w:rsidRPr="00871C02">
        <w:t xml:space="preserve">Respondent never deposited the $155 that the </w:t>
      </w:r>
      <w:proofErr w:type="spellStart"/>
      <w:r w:rsidR="003321FA" w:rsidRPr="00871C02">
        <w:t>Barreras</w:t>
      </w:r>
      <w:proofErr w:type="spellEnd"/>
      <w:r w:rsidR="003321FA" w:rsidRPr="00871C02">
        <w:t xml:space="preserve"> paid for costs in the immigration matter into his client trust account.</w:t>
      </w:r>
    </w:p>
    <w:p w:rsidR="003321FA" w:rsidRDefault="005D0FEF" w:rsidP="005D0FEF">
      <w:pPr>
        <w:pStyle w:val="DoubleSpacing"/>
        <w:tabs>
          <w:tab w:val="left" w:pos="720"/>
        </w:tabs>
        <w:spacing w:line="480" w:lineRule="auto"/>
      </w:pPr>
      <w:r>
        <w:tab/>
      </w:r>
      <w:r w:rsidR="003321FA" w:rsidRPr="00871C02">
        <w:t xml:space="preserve">Between February 2007 and May 2007, the </w:t>
      </w:r>
      <w:proofErr w:type="spellStart"/>
      <w:r w:rsidR="003321FA" w:rsidRPr="00871C02">
        <w:t>Barreras</w:t>
      </w:r>
      <w:proofErr w:type="spellEnd"/>
      <w:r w:rsidR="003321FA" w:rsidRPr="00871C02">
        <w:t xml:space="preserve"> called </w:t>
      </w:r>
      <w:r w:rsidR="0029579C">
        <w:t>respondent</w:t>
      </w:r>
      <w:r w:rsidR="003321FA" w:rsidRPr="00871C02">
        <w:t xml:space="preserve"> on multiple occasions to inquire about the status of their legal matters.  Sometimes they spoke to </w:t>
      </w:r>
      <w:r w:rsidR="0029579C">
        <w:t>respondent</w:t>
      </w:r>
      <w:r w:rsidR="003321FA" w:rsidRPr="00871C02">
        <w:t xml:space="preserve"> and sometimes they spoke to Mr. </w:t>
      </w:r>
      <w:proofErr w:type="spellStart"/>
      <w:r w:rsidR="003321FA" w:rsidRPr="00871C02">
        <w:t>Mohit</w:t>
      </w:r>
      <w:proofErr w:type="spellEnd"/>
      <w:r w:rsidR="003321FA" w:rsidRPr="00871C02">
        <w:t xml:space="preserve">.  When they called, the </w:t>
      </w:r>
      <w:proofErr w:type="spellStart"/>
      <w:r w:rsidR="003321FA" w:rsidRPr="00871C02">
        <w:t>Barreras</w:t>
      </w:r>
      <w:proofErr w:type="spellEnd"/>
      <w:r w:rsidR="003321FA" w:rsidRPr="00871C02">
        <w:t xml:space="preserve"> informed </w:t>
      </w:r>
      <w:r w:rsidR="0029579C">
        <w:t>respondent</w:t>
      </w:r>
      <w:r w:rsidR="003321FA" w:rsidRPr="00871C02">
        <w:t xml:space="preserve"> </w:t>
      </w:r>
      <w:r w:rsidR="003321FA" w:rsidRPr="00871C02">
        <w:lastRenderedPageBreak/>
        <w:t>that they wanted prompt action on their legal matters.</w:t>
      </w:r>
      <w:r>
        <w:t xml:space="preserve">  </w:t>
      </w:r>
      <w:r w:rsidR="00FB411E">
        <w:t xml:space="preserve">Despite demands for an accounting by the </w:t>
      </w:r>
      <w:proofErr w:type="spellStart"/>
      <w:r w:rsidR="00FB411E">
        <w:t>Barrerras</w:t>
      </w:r>
      <w:proofErr w:type="spellEnd"/>
      <w:r w:rsidR="00FB411E">
        <w:t>, respondent failed to provide an accounting of any funds</w:t>
      </w:r>
      <w:r w:rsidR="0036621F">
        <w:t xml:space="preserve">.  </w:t>
      </w:r>
      <w:r w:rsidR="003321FA" w:rsidRPr="00871C02">
        <w:t xml:space="preserve">On May 24, 2007, the </w:t>
      </w:r>
      <w:proofErr w:type="spellStart"/>
      <w:r w:rsidR="003321FA" w:rsidRPr="00871C02">
        <w:t>Barreras</w:t>
      </w:r>
      <w:proofErr w:type="spellEnd"/>
      <w:r w:rsidR="003321FA" w:rsidRPr="00871C02">
        <w:t xml:space="preserve"> fired </w:t>
      </w:r>
      <w:r w:rsidR="0029579C">
        <w:t>respondent</w:t>
      </w:r>
      <w:r w:rsidR="003321FA" w:rsidRPr="00871C02">
        <w:t xml:space="preserve"> and demanded a full refund of the advance</w:t>
      </w:r>
      <w:r w:rsidR="00672EDE">
        <w:t>d</w:t>
      </w:r>
      <w:r w:rsidR="003321FA" w:rsidRPr="00871C02">
        <w:t xml:space="preserve"> legal fees that </w:t>
      </w:r>
      <w:r w:rsidR="00B05A7F">
        <w:t>they</w:t>
      </w:r>
      <w:r w:rsidR="003321FA" w:rsidRPr="00871C02">
        <w:t xml:space="preserve"> paid.</w:t>
      </w:r>
      <w:r w:rsidR="0036621F">
        <w:t xml:space="preserve">  As of trial in this matter, respondent had failed to refund any of </w:t>
      </w:r>
      <w:r w:rsidR="00B05A7F">
        <w:t xml:space="preserve">the </w:t>
      </w:r>
      <w:proofErr w:type="spellStart"/>
      <w:r w:rsidR="0036621F">
        <w:t>Barrerras</w:t>
      </w:r>
      <w:proofErr w:type="spellEnd"/>
      <w:r w:rsidR="00EE784E">
        <w:t>’</w:t>
      </w:r>
      <w:r w:rsidR="0036621F">
        <w:t xml:space="preserve"> fees.</w:t>
      </w:r>
    </w:p>
    <w:p w:rsidR="0029579C" w:rsidRPr="00273DA6" w:rsidRDefault="0029579C" w:rsidP="000200FC">
      <w:pPr>
        <w:pStyle w:val="DoubleSpacing"/>
        <w:tabs>
          <w:tab w:val="left" w:pos="720"/>
        </w:tabs>
        <w:spacing w:line="480" w:lineRule="auto"/>
        <w:ind w:firstLine="1080"/>
        <w:rPr>
          <w:b/>
        </w:rPr>
      </w:pPr>
      <w:r w:rsidRPr="00273DA6">
        <w:rPr>
          <w:b/>
        </w:rPr>
        <w:t>Conclusions of Law</w:t>
      </w:r>
    </w:p>
    <w:p w:rsidR="00FB411E" w:rsidRDefault="0029579C" w:rsidP="00FB411E">
      <w:pPr>
        <w:pStyle w:val="DoubleSpacing"/>
        <w:tabs>
          <w:tab w:val="left" w:pos="720"/>
        </w:tabs>
        <w:spacing w:line="480" w:lineRule="auto"/>
      </w:pPr>
      <w:r>
        <w:rPr>
          <w:b/>
        </w:rPr>
        <w:tab/>
      </w:r>
      <w:r>
        <w:rPr>
          <w:b/>
        </w:rPr>
        <w:tab/>
        <w:t>Count 1.</w:t>
      </w:r>
      <w:r w:rsidR="00FB411E">
        <w:rPr>
          <w:b/>
        </w:rPr>
        <w:t xml:space="preserve">  </w:t>
      </w:r>
      <w:r w:rsidR="00FB411E">
        <w:t xml:space="preserve">By not performing any services of value </w:t>
      </w:r>
      <w:r w:rsidR="005A2D42">
        <w:t>for</w:t>
      </w:r>
      <w:r w:rsidR="00B975D3">
        <w:t xml:space="preserve"> the </w:t>
      </w:r>
      <w:proofErr w:type="spellStart"/>
      <w:r w:rsidR="00B975D3">
        <w:t>Ba</w:t>
      </w:r>
      <w:r w:rsidR="00FB411E">
        <w:t>rreras</w:t>
      </w:r>
      <w:proofErr w:type="spellEnd"/>
      <w:r w:rsidR="00FB411E">
        <w:t xml:space="preserve"> in the personal injury matter, failing to file the petition in the probate matter, and by not completing the paperwork in the immigration matter, respondent intentionally, recklessly, </w:t>
      </w:r>
      <w:r w:rsidR="005A2D42">
        <w:t>and</w:t>
      </w:r>
      <w:r w:rsidR="00FB411E">
        <w:t xml:space="preserve"> repeatedly failed to perform legal services with competence, </w:t>
      </w:r>
      <w:r w:rsidR="00112058">
        <w:t>willful</w:t>
      </w:r>
      <w:r w:rsidR="00FB411E">
        <w:t xml:space="preserve">ly violating Rules of Professional Conduct, rule 3-110(A).  </w:t>
      </w:r>
    </w:p>
    <w:p w:rsidR="0029579C" w:rsidRPr="0016599B" w:rsidRDefault="0029579C" w:rsidP="00FB411E">
      <w:pPr>
        <w:pStyle w:val="DoubleSpacing"/>
        <w:tabs>
          <w:tab w:val="left" w:pos="720"/>
        </w:tabs>
        <w:spacing w:line="480" w:lineRule="auto"/>
      </w:pPr>
      <w:r>
        <w:tab/>
      </w:r>
      <w:r w:rsidR="00FB411E">
        <w:tab/>
      </w:r>
      <w:r>
        <w:rPr>
          <w:b/>
        </w:rPr>
        <w:t xml:space="preserve">Count 2.  </w:t>
      </w:r>
      <w:r w:rsidRPr="00DD5E03">
        <w:rPr>
          <w:szCs w:val="24"/>
        </w:rPr>
        <w:t xml:space="preserve">By not </w:t>
      </w:r>
      <w:r>
        <w:rPr>
          <w:szCs w:val="24"/>
        </w:rPr>
        <w:t xml:space="preserve">depositing the money that the </w:t>
      </w:r>
      <w:proofErr w:type="spellStart"/>
      <w:r>
        <w:rPr>
          <w:szCs w:val="24"/>
        </w:rPr>
        <w:t>Barreras</w:t>
      </w:r>
      <w:proofErr w:type="spellEnd"/>
      <w:r>
        <w:rPr>
          <w:szCs w:val="24"/>
        </w:rPr>
        <w:t xml:space="preserve"> paid him for costs in the immigration matter</w:t>
      </w:r>
      <w:r w:rsidR="00EE784E">
        <w:rPr>
          <w:szCs w:val="24"/>
        </w:rPr>
        <w:t xml:space="preserve"> into his client trust account</w:t>
      </w:r>
      <w:r>
        <w:rPr>
          <w:szCs w:val="24"/>
        </w:rPr>
        <w:t>, r</w:t>
      </w:r>
      <w:r w:rsidRPr="00DD5E03">
        <w:rPr>
          <w:szCs w:val="24"/>
        </w:rPr>
        <w:t xml:space="preserve">espondent failed </w:t>
      </w:r>
      <w:r w:rsidRPr="00DD7BF4">
        <w:rPr>
          <w:szCs w:val="24"/>
        </w:rPr>
        <w:t>to deposit funds received for the benefit of a client</w:t>
      </w:r>
      <w:r>
        <w:rPr>
          <w:szCs w:val="24"/>
        </w:rPr>
        <w:t>, including advances for costs,</w:t>
      </w:r>
      <w:r w:rsidRPr="00DD7BF4">
        <w:rPr>
          <w:szCs w:val="24"/>
        </w:rPr>
        <w:t xml:space="preserve"> in a bank account labeled </w:t>
      </w:r>
      <w:r w:rsidR="00EE784E">
        <w:rPr>
          <w:szCs w:val="24"/>
        </w:rPr>
        <w:t>“</w:t>
      </w:r>
      <w:r w:rsidRPr="00DD7BF4">
        <w:rPr>
          <w:szCs w:val="24"/>
        </w:rPr>
        <w:t>Trust Account,</w:t>
      </w:r>
      <w:r w:rsidR="00EE784E">
        <w:rPr>
          <w:szCs w:val="24"/>
        </w:rPr>
        <w:t>”</w:t>
      </w:r>
      <w:r w:rsidRPr="00DD7BF4">
        <w:rPr>
          <w:szCs w:val="24"/>
        </w:rPr>
        <w:t xml:space="preserve"> </w:t>
      </w:r>
      <w:r w:rsidR="00EE784E">
        <w:rPr>
          <w:szCs w:val="24"/>
        </w:rPr>
        <w:t>“</w:t>
      </w:r>
      <w:r w:rsidRPr="00DD7BF4">
        <w:rPr>
          <w:szCs w:val="24"/>
        </w:rPr>
        <w:t>Client</w:t>
      </w:r>
      <w:r w:rsidR="00EE784E">
        <w:rPr>
          <w:szCs w:val="24"/>
        </w:rPr>
        <w:t>’</w:t>
      </w:r>
      <w:r w:rsidRPr="00DD7BF4">
        <w:rPr>
          <w:szCs w:val="24"/>
        </w:rPr>
        <w:t>s Funds Account</w:t>
      </w:r>
      <w:r w:rsidR="00EE784E">
        <w:rPr>
          <w:szCs w:val="24"/>
        </w:rPr>
        <w:t>”</w:t>
      </w:r>
      <w:r w:rsidRPr="00DD7BF4">
        <w:rPr>
          <w:szCs w:val="24"/>
        </w:rPr>
        <w:t xml:space="preserve"> or words of similar import</w:t>
      </w:r>
      <w:r>
        <w:rPr>
          <w:szCs w:val="24"/>
        </w:rPr>
        <w:t xml:space="preserve">, </w:t>
      </w:r>
      <w:r w:rsidR="00112058">
        <w:rPr>
          <w:szCs w:val="24"/>
        </w:rPr>
        <w:t>willful</w:t>
      </w:r>
      <w:r>
        <w:rPr>
          <w:szCs w:val="24"/>
        </w:rPr>
        <w:t>ly violating</w:t>
      </w:r>
      <w:r w:rsidRPr="00DD7BF4">
        <w:rPr>
          <w:szCs w:val="24"/>
        </w:rPr>
        <w:t xml:space="preserve"> Rules of Professional Conduct, rule 4-100(A)</w:t>
      </w:r>
      <w:r>
        <w:rPr>
          <w:szCs w:val="24"/>
        </w:rPr>
        <w:t>.</w:t>
      </w:r>
    </w:p>
    <w:p w:rsidR="0029579C" w:rsidRDefault="0029579C" w:rsidP="005D0FEF">
      <w:pPr>
        <w:pStyle w:val="DoubleSpacing"/>
        <w:tabs>
          <w:tab w:val="left" w:pos="720"/>
        </w:tabs>
        <w:spacing w:line="480" w:lineRule="auto"/>
      </w:pPr>
      <w:r>
        <w:tab/>
      </w:r>
      <w:r>
        <w:tab/>
      </w:r>
      <w:r>
        <w:rPr>
          <w:b/>
        </w:rPr>
        <w:t>Count 3.</w:t>
      </w:r>
      <w:r w:rsidR="0036621F">
        <w:rPr>
          <w:b/>
        </w:rPr>
        <w:t xml:space="preserve">  </w:t>
      </w:r>
      <w:r w:rsidR="0036621F">
        <w:t xml:space="preserve">By never giving the </w:t>
      </w:r>
      <w:proofErr w:type="spellStart"/>
      <w:r w:rsidR="0036621F">
        <w:t>Barrerras</w:t>
      </w:r>
      <w:proofErr w:type="spellEnd"/>
      <w:r w:rsidR="0036621F">
        <w:t xml:space="preserve"> an accounting of the advance</w:t>
      </w:r>
      <w:r w:rsidR="00DD48DC">
        <w:t>d</w:t>
      </w:r>
      <w:r w:rsidR="0036621F">
        <w:t xml:space="preserve"> fees that he received, respondent failed to render appropriate accounts to a client regarding all funds coming into respondent</w:t>
      </w:r>
      <w:r w:rsidR="00EE784E">
        <w:t>’</w:t>
      </w:r>
      <w:r w:rsidR="0036621F">
        <w:t>s possession</w:t>
      </w:r>
      <w:r w:rsidR="00ED6F4A">
        <w:t>,</w:t>
      </w:r>
      <w:r w:rsidR="0036621F" w:rsidRPr="0036621F">
        <w:t xml:space="preserve"> </w:t>
      </w:r>
      <w:r w:rsidR="00112058">
        <w:t>willful</w:t>
      </w:r>
      <w:r w:rsidR="0036621F">
        <w:t xml:space="preserve">ly violating Rules of Professional Conduct, rule 4-100(B)(3).  </w:t>
      </w:r>
    </w:p>
    <w:p w:rsidR="0029579C" w:rsidRDefault="0029579C" w:rsidP="007E0B53">
      <w:pPr>
        <w:pStyle w:val="DoubleSpacing"/>
        <w:tabs>
          <w:tab w:val="left" w:pos="720"/>
        </w:tabs>
        <w:spacing w:line="480" w:lineRule="auto"/>
      </w:pPr>
      <w:r>
        <w:tab/>
      </w:r>
      <w:r>
        <w:tab/>
      </w:r>
      <w:r>
        <w:rPr>
          <w:b/>
        </w:rPr>
        <w:t>Count 4.</w:t>
      </w:r>
      <w:r>
        <w:t xml:space="preserve">  </w:t>
      </w:r>
      <w:r w:rsidR="0036621F">
        <w:t xml:space="preserve">By not refunding any money to the </w:t>
      </w:r>
      <w:proofErr w:type="spellStart"/>
      <w:r w:rsidR="0036621F">
        <w:t>Barrerras</w:t>
      </w:r>
      <w:proofErr w:type="spellEnd"/>
      <w:r w:rsidR="0036621F">
        <w:t xml:space="preserve">, respondent failed to refund promptly any part of a fee paid in advance that had not been earned, </w:t>
      </w:r>
      <w:r w:rsidR="00112058">
        <w:t>willful</w:t>
      </w:r>
      <w:r w:rsidR="0036621F">
        <w:t>ly violating Rules of Professional Conduct, rule 3</w:t>
      </w:r>
      <w:r w:rsidR="00E07B0E">
        <w:t>-</w:t>
      </w:r>
      <w:r w:rsidR="0036621F">
        <w:t xml:space="preserve">700(D)(2).  </w:t>
      </w:r>
    </w:p>
    <w:p w:rsidR="00295BED" w:rsidRDefault="00295BED" w:rsidP="007E0B53">
      <w:pPr>
        <w:pStyle w:val="DoubleSpacing"/>
        <w:tabs>
          <w:tab w:val="left" w:pos="720"/>
        </w:tabs>
        <w:spacing w:line="480" w:lineRule="auto"/>
      </w:pPr>
    </w:p>
    <w:p w:rsidR="00295BED" w:rsidRPr="0029579C" w:rsidRDefault="00295BED" w:rsidP="007E0B53">
      <w:pPr>
        <w:pStyle w:val="DoubleSpacing"/>
        <w:tabs>
          <w:tab w:val="left" w:pos="720"/>
        </w:tabs>
        <w:spacing w:line="480" w:lineRule="auto"/>
      </w:pPr>
    </w:p>
    <w:p w:rsidR="003321FA" w:rsidRDefault="00DD48DC" w:rsidP="007E0B53">
      <w:pPr>
        <w:pStyle w:val="DoubleSpacing"/>
        <w:spacing w:line="480" w:lineRule="auto"/>
        <w:rPr>
          <w:b/>
          <w:szCs w:val="24"/>
          <w:u w:val="single"/>
        </w:rPr>
      </w:pPr>
      <w:r w:rsidRPr="00DD48DC">
        <w:rPr>
          <w:b/>
        </w:rPr>
        <w:lastRenderedPageBreak/>
        <w:tab/>
        <w:t>C</w:t>
      </w:r>
      <w:r w:rsidR="003321FA" w:rsidRPr="00DD48DC">
        <w:rPr>
          <w:b/>
        </w:rPr>
        <w:t xml:space="preserve">.  </w:t>
      </w:r>
      <w:r w:rsidR="003321FA" w:rsidRPr="00DD48DC">
        <w:rPr>
          <w:b/>
          <w:szCs w:val="24"/>
          <w:u w:val="single"/>
        </w:rPr>
        <w:t xml:space="preserve">Rodney Henderson Matter (Counts </w:t>
      </w:r>
      <w:r w:rsidR="00115958" w:rsidRPr="00DD48DC">
        <w:rPr>
          <w:b/>
          <w:szCs w:val="24"/>
          <w:u w:val="single"/>
        </w:rPr>
        <w:t>5</w:t>
      </w:r>
      <w:r w:rsidR="003321FA" w:rsidRPr="00DD48DC">
        <w:rPr>
          <w:b/>
          <w:szCs w:val="24"/>
          <w:u w:val="single"/>
        </w:rPr>
        <w:t xml:space="preserve"> through </w:t>
      </w:r>
      <w:r w:rsidR="00115958" w:rsidRPr="00DD48DC">
        <w:rPr>
          <w:b/>
          <w:szCs w:val="24"/>
          <w:u w:val="single"/>
        </w:rPr>
        <w:t>7</w:t>
      </w:r>
      <w:r w:rsidR="003321FA" w:rsidRPr="00DD48DC">
        <w:rPr>
          <w:b/>
          <w:szCs w:val="24"/>
          <w:u w:val="single"/>
        </w:rPr>
        <w:t>)</w:t>
      </w:r>
    </w:p>
    <w:p w:rsidR="00DD48DC" w:rsidRPr="00273DA6" w:rsidRDefault="00DD48DC" w:rsidP="000200FC">
      <w:pPr>
        <w:pStyle w:val="DoubleSpacing"/>
        <w:spacing w:line="480" w:lineRule="auto"/>
        <w:ind w:firstLine="1080"/>
      </w:pPr>
      <w:r w:rsidRPr="00273DA6">
        <w:rPr>
          <w:b/>
          <w:szCs w:val="24"/>
        </w:rPr>
        <w:t xml:space="preserve">Findings of </w:t>
      </w:r>
      <w:r w:rsidRPr="00273DA6">
        <w:rPr>
          <w:b/>
        </w:rPr>
        <w:t>Fact</w:t>
      </w:r>
    </w:p>
    <w:p w:rsidR="003321FA" w:rsidRDefault="00DE45B9" w:rsidP="007E0B53">
      <w:pPr>
        <w:pStyle w:val="DoubleSpacing"/>
        <w:tabs>
          <w:tab w:val="left" w:pos="720"/>
        </w:tabs>
        <w:spacing w:line="480" w:lineRule="auto"/>
      </w:pPr>
      <w:r>
        <w:tab/>
      </w:r>
      <w:r w:rsidR="003321FA" w:rsidRPr="00871C02">
        <w:t xml:space="preserve">On February 28, 2006, Rodney Henderson was arrested and jailed. </w:t>
      </w:r>
      <w:r w:rsidR="00DD48DC">
        <w:t xml:space="preserve"> </w:t>
      </w:r>
      <w:r w:rsidR="003321FA" w:rsidRPr="00871C02">
        <w:t>When they arrested him, the police seized about $1,375 of Mr. Henderson</w:t>
      </w:r>
      <w:r w:rsidR="00EE784E">
        <w:t>’</w:t>
      </w:r>
      <w:r w:rsidR="003321FA" w:rsidRPr="00871C02">
        <w:t>s cash.  The Los Angeles District Attorney (D.A.) sought title to the cash in a forfeiture action</w:t>
      </w:r>
      <w:r w:rsidR="003321FA">
        <w:t>.</w:t>
      </w:r>
      <w:r>
        <w:t xml:space="preserve">  </w:t>
      </w:r>
      <w:r w:rsidR="003321FA" w:rsidRPr="00871C02">
        <w:t xml:space="preserve">From April 2007 through March 2008, </w:t>
      </w:r>
      <w:r w:rsidR="0029579C">
        <w:t>respondent</w:t>
      </w:r>
      <w:r w:rsidR="003321FA" w:rsidRPr="00871C02">
        <w:t xml:space="preserve"> maintained his client trust account at First Federal Bank of California, account no.  ********5413 (</w:t>
      </w:r>
      <w:r w:rsidR="005A6B3E">
        <w:t xml:space="preserve">First Federal </w:t>
      </w:r>
      <w:r w:rsidR="003321FA" w:rsidRPr="00871C02">
        <w:t>CTA)</w:t>
      </w:r>
      <w:r w:rsidR="003321FA">
        <w:t>.</w:t>
      </w:r>
    </w:p>
    <w:p w:rsidR="00B975D3" w:rsidRDefault="00DE45B9" w:rsidP="00B975D3">
      <w:pPr>
        <w:pStyle w:val="DoubleSpacing"/>
        <w:tabs>
          <w:tab w:val="left" w:pos="720"/>
        </w:tabs>
        <w:spacing w:line="480" w:lineRule="auto"/>
      </w:pPr>
      <w:r>
        <w:tab/>
      </w:r>
      <w:r w:rsidR="003321FA" w:rsidRPr="00871C02">
        <w:t xml:space="preserve">On November 17, 2006, </w:t>
      </w:r>
      <w:r w:rsidR="0029579C">
        <w:t>respondent</w:t>
      </w:r>
      <w:r w:rsidR="003321FA" w:rsidRPr="00871C02">
        <w:t xml:space="preserve"> settled the forfeiture matter with the D.A.  The terms of the settlement agreement were that Mr. Henderson would receive $687.50, plus interest, and that the D.A. would retain the remainder of the seized cash.  The D.A. agreed to mail Mr. Henderson</w:t>
      </w:r>
      <w:r w:rsidR="00EE784E">
        <w:t>’</w:t>
      </w:r>
      <w:r w:rsidR="003321FA" w:rsidRPr="00871C02">
        <w:t xml:space="preserve">s funds to </w:t>
      </w:r>
      <w:r w:rsidR="0029579C">
        <w:t>respondent</w:t>
      </w:r>
      <w:r w:rsidR="003321FA" w:rsidRPr="00871C02">
        <w:t>.  At this time, and at all times relevant to this matter, Mr. Henderson remained in jail</w:t>
      </w:r>
      <w:r w:rsidR="003321FA">
        <w:t>.</w:t>
      </w:r>
    </w:p>
    <w:p w:rsidR="00B975D3" w:rsidRDefault="003321FA" w:rsidP="00B975D3">
      <w:pPr>
        <w:pStyle w:val="DoubleSpacing"/>
        <w:tabs>
          <w:tab w:val="left" w:pos="720"/>
        </w:tabs>
        <w:spacing w:line="480" w:lineRule="auto"/>
        <w:ind w:firstLine="720"/>
      </w:pPr>
      <w:r w:rsidRPr="00871C02">
        <w:t xml:space="preserve">On March 29, 2007, the D.A. mailed a settlement check in the amount of $693.55 to </w:t>
      </w:r>
      <w:r w:rsidR="0029579C">
        <w:t>respondent</w:t>
      </w:r>
      <w:r w:rsidRPr="00871C02">
        <w:t xml:space="preserve"> on Mr. Henderson</w:t>
      </w:r>
      <w:r w:rsidR="00EE784E">
        <w:t>’</w:t>
      </w:r>
      <w:r w:rsidRPr="00871C02">
        <w:t>s behalf.  Respondent received the settlement check</w:t>
      </w:r>
      <w:r>
        <w:t>.</w:t>
      </w:r>
    </w:p>
    <w:p w:rsidR="00E07B0E" w:rsidRDefault="003321FA" w:rsidP="00B975D3">
      <w:pPr>
        <w:pStyle w:val="DoubleSpacing"/>
        <w:tabs>
          <w:tab w:val="left" w:pos="720"/>
        </w:tabs>
        <w:spacing w:line="480" w:lineRule="auto"/>
        <w:ind w:firstLine="720"/>
      </w:pPr>
      <w:r w:rsidRPr="00871C02">
        <w:t xml:space="preserve">After subtracting the money that he was entitled to retain from the settlement check for his legal services, </w:t>
      </w:r>
      <w:r w:rsidR="0029579C">
        <w:t>respondent</w:t>
      </w:r>
      <w:r w:rsidRPr="00871C02">
        <w:t xml:space="preserve"> was required to maintain $306.05 of Mr. Henderson</w:t>
      </w:r>
      <w:r w:rsidR="00EE784E">
        <w:t>’</w:t>
      </w:r>
      <w:r w:rsidRPr="00871C02">
        <w:t xml:space="preserve">s settlement funds in his </w:t>
      </w:r>
      <w:r w:rsidR="005A6B3E">
        <w:t xml:space="preserve">First Federal </w:t>
      </w:r>
      <w:r w:rsidR="005A6B3E" w:rsidRPr="00871C02">
        <w:t>CTA</w:t>
      </w:r>
      <w:r>
        <w:t>.</w:t>
      </w:r>
      <w:r w:rsidR="00DE45B9">
        <w:t xml:space="preserve">  </w:t>
      </w:r>
    </w:p>
    <w:p w:rsidR="003321FA" w:rsidRDefault="003321FA" w:rsidP="00B975D3">
      <w:pPr>
        <w:pStyle w:val="DoubleSpacing"/>
        <w:tabs>
          <w:tab w:val="left" w:pos="720"/>
        </w:tabs>
        <w:spacing w:line="480" w:lineRule="auto"/>
        <w:ind w:firstLine="720"/>
      </w:pPr>
      <w:r w:rsidRPr="00871C02">
        <w:t xml:space="preserve">The balance in </w:t>
      </w:r>
      <w:r w:rsidR="0029579C">
        <w:t>respondent</w:t>
      </w:r>
      <w:r w:rsidR="00EE784E">
        <w:t>’</w:t>
      </w:r>
      <w:r w:rsidRPr="00871C02">
        <w:t xml:space="preserve">s </w:t>
      </w:r>
      <w:r w:rsidR="005A6B3E">
        <w:t xml:space="preserve">First Federal </w:t>
      </w:r>
      <w:r w:rsidR="005A6B3E" w:rsidRPr="00871C02">
        <w:t>CTA</w:t>
      </w:r>
      <w:r w:rsidRPr="00871C02">
        <w:t xml:space="preserve"> fell below $306.05 on several occasions including, but not limited to, the following:</w:t>
      </w:r>
    </w:p>
    <w:tbl>
      <w:tblPr>
        <w:tblW w:w="0" w:type="auto"/>
        <w:jc w:val="center"/>
        <w:tblCellMar>
          <w:left w:w="115" w:type="dxa"/>
          <w:right w:w="115" w:type="dxa"/>
        </w:tblCellMar>
        <w:tblLook w:val="04A0"/>
      </w:tblPr>
      <w:tblGrid>
        <w:gridCol w:w="3168"/>
        <w:gridCol w:w="2880"/>
      </w:tblGrid>
      <w:tr w:rsidR="003321FA" w:rsidRPr="00B425C3" w:rsidTr="00E44304">
        <w:trPr>
          <w:jc w:val="center"/>
        </w:trPr>
        <w:tc>
          <w:tcPr>
            <w:tcW w:w="3168" w:type="dxa"/>
            <w:vAlign w:val="center"/>
          </w:tcPr>
          <w:p w:rsidR="003321FA" w:rsidRPr="00E44304" w:rsidRDefault="003321FA" w:rsidP="00E44304">
            <w:pPr>
              <w:pStyle w:val="ListParagraph"/>
              <w:widowControl w:val="0"/>
              <w:tabs>
                <w:tab w:val="left" w:pos="-1440"/>
                <w:tab w:val="left" w:pos="-720"/>
              </w:tabs>
              <w:ind w:left="29"/>
              <w:jc w:val="center"/>
              <w:rPr>
                <w:b/>
                <w:szCs w:val="24"/>
                <w:u w:val="single"/>
              </w:rPr>
            </w:pPr>
            <w:r w:rsidRPr="00E44304">
              <w:rPr>
                <w:b/>
                <w:szCs w:val="24"/>
                <w:u w:val="single"/>
              </w:rPr>
              <w:t>D</w:t>
            </w:r>
            <w:r w:rsidR="00E44304" w:rsidRPr="00E44304">
              <w:rPr>
                <w:b/>
                <w:szCs w:val="24"/>
                <w:u w:val="single"/>
              </w:rPr>
              <w:t>ate</w:t>
            </w:r>
          </w:p>
        </w:tc>
        <w:tc>
          <w:tcPr>
            <w:tcW w:w="2880" w:type="dxa"/>
            <w:vAlign w:val="center"/>
          </w:tcPr>
          <w:p w:rsidR="003321FA" w:rsidRPr="00E44304" w:rsidRDefault="003321FA" w:rsidP="00E44304">
            <w:pPr>
              <w:pStyle w:val="ListParagraph"/>
              <w:widowControl w:val="0"/>
              <w:tabs>
                <w:tab w:val="left" w:pos="-1440"/>
                <w:tab w:val="left" w:pos="-720"/>
              </w:tabs>
              <w:ind w:left="29"/>
              <w:jc w:val="center"/>
              <w:rPr>
                <w:b/>
                <w:szCs w:val="24"/>
                <w:u w:val="single"/>
              </w:rPr>
            </w:pPr>
            <w:r w:rsidRPr="00E44304">
              <w:rPr>
                <w:b/>
                <w:szCs w:val="24"/>
                <w:u w:val="single"/>
              </w:rPr>
              <w:t>B</w:t>
            </w:r>
            <w:r w:rsidR="00E44304" w:rsidRPr="00E44304">
              <w:rPr>
                <w:b/>
                <w:szCs w:val="24"/>
                <w:u w:val="single"/>
              </w:rPr>
              <w:t>alance</w:t>
            </w:r>
          </w:p>
        </w:tc>
      </w:tr>
      <w:tr w:rsidR="003321FA" w:rsidRPr="00B425C3" w:rsidTr="00E44304">
        <w:trPr>
          <w:jc w:val="center"/>
        </w:trPr>
        <w:tc>
          <w:tcPr>
            <w:tcW w:w="3168"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June 30, 2007</w:t>
            </w:r>
          </w:p>
        </w:tc>
        <w:tc>
          <w:tcPr>
            <w:tcW w:w="2880"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$106.15</w:t>
            </w:r>
          </w:p>
        </w:tc>
      </w:tr>
      <w:tr w:rsidR="003321FA" w:rsidRPr="00B425C3" w:rsidTr="00E44304">
        <w:trPr>
          <w:jc w:val="center"/>
        </w:trPr>
        <w:tc>
          <w:tcPr>
            <w:tcW w:w="3168"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July 31, 2007</w:t>
            </w:r>
          </w:p>
        </w:tc>
        <w:tc>
          <w:tcPr>
            <w:tcW w:w="2880"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$106.08</w:t>
            </w:r>
          </w:p>
        </w:tc>
      </w:tr>
      <w:tr w:rsidR="003321FA" w:rsidRPr="00B425C3" w:rsidTr="00E44304">
        <w:trPr>
          <w:jc w:val="center"/>
        </w:trPr>
        <w:tc>
          <w:tcPr>
            <w:tcW w:w="3168"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August 31, 2007</w:t>
            </w:r>
          </w:p>
        </w:tc>
        <w:tc>
          <w:tcPr>
            <w:tcW w:w="2880"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$106.08</w:t>
            </w:r>
          </w:p>
        </w:tc>
      </w:tr>
      <w:tr w:rsidR="003321FA" w:rsidRPr="00B425C3" w:rsidTr="00E44304">
        <w:trPr>
          <w:jc w:val="center"/>
        </w:trPr>
        <w:tc>
          <w:tcPr>
            <w:tcW w:w="3168"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September 30, 2007</w:t>
            </w:r>
          </w:p>
        </w:tc>
        <w:tc>
          <w:tcPr>
            <w:tcW w:w="2880"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$106.08</w:t>
            </w:r>
          </w:p>
        </w:tc>
      </w:tr>
      <w:tr w:rsidR="003321FA" w:rsidRPr="00B425C3" w:rsidTr="00E44304">
        <w:trPr>
          <w:jc w:val="center"/>
        </w:trPr>
        <w:tc>
          <w:tcPr>
            <w:tcW w:w="3168"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January 31, 2008</w:t>
            </w:r>
          </w:p>
        </w:tc>
        <w:tc>
          <w:tcPr>
            <w:tcW w:w="2880"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w:t>
            </w:r>
            <w:r>
              <w:rPr>
                <w:szCs w:val="24"/>
              </w:rPr>
              <w:t>0</w:t>
            </w:r>
            <w:r w:rsidRPr="00B425C3">
              <w:rPr>
                <w:szCs w:val="24"/>
              </w:rPr>
              <w:t>.48</w:t>
            </w:r>
          </w:p>
        </w:tc>
      </w:tr>
      <w:tr w:rsidR="003321FA" w:rsidRPr="00B425C3" w:rsidTr="00E44304">
        <w:trPr>
          <w:jc w:val="center"/>
        </w:trPr>
        <w:tc>
          <w:tcPr>
            <w:tcW w:w="3168"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February 29, 2008</w:t>
            </w:r>
          </w:p>
        </w:tc>
        <w:tc>
          <w:tcPr>
            <w:tcW w:w="2880" w:type="dxa"/>
            <w:vAlign w:val="center"/>
          </w:tcPr>
          <w:p w:rsidR="003321FA" w:rsidRPr="00B425C3" w:rsidRDefault="003321FA" w:rsidP="00335A6E">
            <w:pPr>
              <w:pStyle w:val="ListParagraph"/>
              <w:widowControl w:val="0"/>
              <w:tabs>
                <w:tab w:val="left" w:pos="-1440"/>
                <w:tab w:val="left" w:pos="-720"/>
              </w:tabs>
              <w:ind w:left="29"/>
              <w:jc w:val="center"/>
              <w:rPr>
                <w:szCs w:val="24"/>
              </w:rPr>
            </w:pPr>
            <w:r w:rsidRPr="00B425C3">
              <w:rPr>
                <w:szCs w:val="24"/>
              </w:rPr>
              <w:t>$</w:t>
            </w:r>
            <w:r>
              <w:rPr>
                <w:szCs w:val="24"/>
              </w:rPr>
              <w:t>0</w:t>
            </w:r>
            <w:r w:rsidRPr="00B425C3">
              <w:rPr>
                <w:szCs w:val="24"/>
              </w:rPr>
              <w:t>.84</w:t>
            </w:r>
          </w:p>
        </w:tc>
      </w:tr>
    </w:tbl>
    <w:p w:rsidR="003321FA" w:rsidRDefault="003321FA" w:rsidP="003321FA">
      <w:pPr>
        <w:pStyle w:val="DoubleSpacing"/>
        <w:tabs>
          <w:tab w:val="left" w:pos="1260"/>
        </w:tabs>
        <w:spacing w:line="180" w:lineRule="exact"/>
        <w:rPr>
          <w:szCs w:val="24"/>
        </w:rPr>
      </w:pPr>
    </w:p>
    <w:p w:rsidR="003321FA" w:rsidRDefault="00DE45B9" w:rsidP="00DE45B9">
      <w:pPr>
        <w:pStyle w:val="DoubleSpacing"/>
        <w:tabs>
          <w:tab w:val="left" w:pos="720"/>
        </w:tabs>
        <w:rPr>
          <w:szCs w:val="24"/>
        </w:rPr>
      </w:pPr>
      <w:r>
        <w:lastRenderedPageBreak/>
        <w:tab/>
      </w:r>
      <w:r w:rsidR="003321FA" w:rsidRPr="00871C02">
        <w:t xml:space="preserve">On August 1, 2007, Mr. Henderson filed a complaint against </w:t>
      </w:r>
      <w:r w:rsidR="0029579C">
        <w:t>respondent</w:t>
      </w:r>
      <w:r w:rsidR="003321FA" w:rsidRPr="00871C02">
        <w:t xml:space="preserve"> with the State Bar.</w:t>
      </w:r>
      <w:r>
        <w:t xml:space="preserve">  </w:t>
      </w:r>
      <w:r w:rsidR="003321FA" w:rsidRPr="00871C02">
        <w:t xml:space="preserve">On August 27, 2007, </w:t>
      </w:r>
      <w:r w:rsidR="0029579C">
        <w:t>respondent</w:t>
      </w:r>
      <w:r w:rsidR="003321FA" w:rsidRPr="00871C02">
        <w:t xml:space="preserve"> sent a letter to Mr. Henderson asking him to withdraw the State</w:t>
      </w:r>
      <w:r w:rsidR="003321FA" w:rsidRPr="00530CF4">
        <w:rPr>
          <w:szCs w:val="24"/>
        </w:rPr>
        <w:t xml:space="preserve"> Bar complaint that Mr. Henderson had filed</w:t>
      </w:r>
      <w:r w:rsidR="003321FA">
        <w:rPr>
          <w:szCs w:val="24"/>
        </w:rPr>
        <w:t>.</w:t>
      </w:r>
    </w:p>
    <w:p w:rsidR="00DE45B9" w:rsidRPr="00273DA6" w:rsidRDefault="00DE45B9" w:rsidP="00E44304">
      <w:pPr>
        <w:pStyle w:val="DoubleSpacing"/>
        <w:tabs>
          <w:tab w:val="left" w:pos="720"/>
        </w:tabs>
        <w:ind w:firstLine="1080"/>
        <w:rPr>
          <w:b/>
          <w:szCs w:val="24"/>
        </w:rPr>
      </w:pPr>
      <w:r w:rsidRPr="00273DA6">
        <w:rPr>
          <w:b/>
          <w:szCs w:val="24"/>
        </w:rPr>
        <w:t>Conclusions of Law</w:t>
      </w:r>
    </w:p>
    <w:p w:rsidR="00DE45B9" w:rsidRDefault="00DE45B9" w:rsidP="00DE45B9">
      <w:pPr>
        <w:pStyle w:val="DoubleSpacing"/>
        <w:tabs>
          <w:tab w:val="left" w:pos="720"/>
        </w:tabs>
        <w:rPr>
          <w:b/>
          <w:szCs w:val="24"/>
        </w:rPr>
      </w:pPr>
      <w:r>
        <w:rPr>
          <w:b/>
          <w:szCs w:val="24"/>
        </w:rPr>
        <w:tab/>
      </w:r>
      <w:r>
        <w:rPr>
          <w:b/>
          <w:szCs w:val="24"/>
        </w:rPr>
        <w:tab/>
        <w:t>Count 5.</w:t>
      </w:r>
      <w:r w:rsidRPr="00DE45B9">
        <w:rPr>
          <w:szCs w:val="24"/>
        </w:rPr>
        <w:t xml:space="preserve"> </w:t>
      </w:r>
      <w:r>
        <w:rPr>
          <w:szCs w:val="24"/>
        </w:rPr>
        <w:t xml:space="preserve"> </w:t>
      </w:r>
      <w:r w:rsidRPr="0029579C">
        <w:rPr>
          <w:szCs w:val="24"/>
        </w:rPr>
        <w:t xml:space="preserve">By not maintaining at least $306.05 in his </w:t>
      </w:r>
      <w:r w:rsidR="005A6B3E">
        <w:t xml:space="preserve">First Federal </w:t>
      </w:r>
      <w:r w:rsidR="005A6B3E" w:rsidRPr="00871C02">
        <w:t>CTA</w:t>
      </w:r>
      <w:r w:rsidRPr="0029579C">
        <w:rPr>
          <w:szCs w:val="24"/>
        </w:rPr>
        <w:t xml:space="preserve"> </w:t>
      </w:r>
      <w:r w:rsidR="00607A36">
        <w:rPr>
          <w:szCs w:val="24"/>
        </w:rPr>
        <w:t>between June 30, 2007 and February 29, 2008</w:t>
      </w:r>
      <w:r w:rsidRPr="0029579C">
        <w:rPr>
          <w:szCs w:val="24"/>
        </w:rPr>
        <w:t xml:space="preserve">, </w:t>
      </w:r>
      <w:r>
        <w:rPr>
          <w:szCs w:val="24"/>
        </w:rPr>
        <w:t>respondent</w:t>
      </w:r>
      <w:r w:rsidRPr="0029579C">
        <w:rPr>
          <w:szCs w:val="24"/>
        </w:rPr>
        <w:t xml:space="preserve"> failed to maintain client funds in trust, </w:t>
      </w:r>
      <w:r w:rsidR="00112058">
        <w:rPr>
          <w:szCs w:val="24"/>
        </w:rPr>
        <w:t>willful</w:t>
      </w:r>
      <w:r w:rsidRPr="0029579C">
        <w:rPr>
          <w:szCs w:val="24"/>
        </w:rPr>
        <w:t>ly violating Rules of Professional Conduct, rule 4-100(A).</w:t>
      </w:r>
    </w:p>
    <w:p w:rsidR="00DE45B9" w:rsidRPr="00722FBA" w:rsidRDefault="00DE45B9" w:rsidP="00DE45B9">
      <w:pPr>
        <w:pStyle w:val="DoubleSpacing"/>
        <w:tabs>
          <w:tab w:val="left" w:pos="720"/>
        </w:tabs>
        <w:rPr>
          <w:szCs w:val="24"/>
        </w:rPr>
      </w:pPr>
      <w:r>
        <w:rPr>
          <w:b/>
          <w:szCs w:val="24"/>
        </w:rPr>
        <w:tab/>
      </w:r>
      <w:r>
        <w:rPr>
          <w:b/>
          <w:szCs w:val="24"/>
        </w:rPr>
        <w:tab/>
        <w:t>Count 6.</w:t>
      </w:r>
      <w:r w:rsidR="00722FBA">
        <w:rPr>
          <w:b/>
          <w:szCs w:val="24"/>
        </w:rPr>
        <w:t xml:space="preserve">  </w:t>
      </w:r>
      <w:r w:rsidR="00722FBA">
        <w:rPr>
          <w:szCs w:val="24"/>
        </w:rPr>
        <w:t>By misappropriating $305.57 ($306.05-$</w:t>
      </w:r>
      <w:r w:rsidR="00B61B9D">
        <w:rPr>
          <w:szCs w:val="24"/>
        </w:rPr>
        <w:t>0</w:t>
      </w:r>
      <w:r w:rsidR="00722FBA">
        <w:rPr>
          <w:szCs w:val="24"/>
        </w:rPr>
        <w:t xml:space="preserve">.48) </w:t>
      </w:r>
      <w:r w:rsidR="000F3B03">
        <w:rPr>
          <w:szCs w:val="24"/>
        </w:rPr>
        <w:t>of Mr. Henderson</w:t>
      </w:r>
      <w:r w:rsidR="00EE784E">
        <w:rPr>
          <w:szCs w:val="24"/>
        </w:rPr>
        <w:t>’</w:t>
      </w:r>
      <w:r w:rsidR="000F3B03">
        <w:rPr>
          <w:szCs w:val="24"/>
        </w:rPr>
        <w:t>s settlement funds</w:t>
      </w:r>
      <w:r w:rsidR="00722FBA">
        <w:rPr>
          <w:szCs w:val="24"/>
        </w:rPr>
        <w:t xml:space="preserve">, respondent committed an act involving moral turpitude, dishonesty or corruption, in </w:t>
      </w:r>
      <w:r w:rsidR="00112058">
        <w:rPr>
          <w:szCs w:val="24"/>
        </w:rPr>
        <w:t>willful</w:t>
      </w:r>
      <w:r w:rsidR="00722FBA">
        <w:rPr>
          <w:szCs w:val="24"/>
        </w:rPr>
        <w:t xml:space="preserve"> violation</w:t>
      </w:r>
      <w:r w:rsidR="00AA4F16">
        <w:rPr>
          <w:szCs w:val="24"/>
        </w:rPr>
        <w:t xml:space="preserve"> of</w:t>
      </w:r>
      <w:r w:rsidR="00722FBA">
        <w:rPr>
          <w:szCs w:val="24"/>
        </w:rPr>
        <w:t xml:space="preserve"> Business and </w:t>
      </w:r>
      <w:r w:rsidR="000D4CB3">
        <w:rPr>
          <w:szCs w:val="24"/>
        </w:rPr>
        <w:t>Professions Code section</w:t>
      </w:r>
      <w:r w:rsidR="00722FBA">
        <w:rPr>
          <w:szCs w:val="24"/>
        </w:rPr>
        <w:t xml:space="preserve"> 6106. </w:t>
      </w:r>
    </w:p>
    <w:p w:rsidR="00DE45B9" w:rsidRPr="00FC07B8" w:rsidRDefault="00DE45B9" w:rsidP="00F34C98">
      <w:pPr>
        <w:pStyle w:val="DoubleSpacing"/>
      </w:pPr>
      <w:r>
        <w:rPr>
          <w:b/>
          <w:szCs w:val="24"/>
        </w:rPr>
        <w:tab/>
      </w:r>
      <w:r>
        <w:rPr>
          <w:b/>
          <w:szCs w:val="24"/>
        </w:rPr>
        <w:tab/>
        <w:t xml:space="preserve">Count 7.  </w:t>
      </w:r>
      <w:r w:rsidRPr="00151638">
        <w:rPr>
          <w:szCs w:val="24"/>
        </w:rPr>
        <w:t>Respondent</w:t>
      </w:r>
      <w:r w:rsidRPr="00754C9B">
        <w:rPr>
          <w:szCs w:val="24"/>
        </w:rPr>
        <w:t xml:space="preserve">, while acting as a party, </w:t>
      </w:r>
      <w:r w:rsidR="00112058">
        <w:rPr>
          <w:szCs w:val="24"/>
        </w:rPr>
        <w:t>willful</w:t>
      </w:r>
      <w:r w:rsidRPr="00754C9B">
        <w:rPr>
          <w:szCs w:val="24"/>
        </w:rPr>
        <w:t xml:space="preserve">ly violated Business and </w:t>
      </w:r>
      <w:r w:rsidR="000D4CB3">
        <w:rPr>
          <w:szCs w:val="24"/>
        </w:rPr>
        <w:t>Professions Code section</w:t>
      </w:r>
      <w:r w:rsidRPr="00754C9B">
        <w:rPr>
          <w:szCs w:val="24"/>
        </w:rPr>
        <w:t xml:space="preserve"> 6090.5</w:t>
      </w:r>
      <w:r w:rsidR="00C0502A">
        <w:rPr>
          <w:szCs w:val="24"/>
        </w:rPr>
        <w:t xml:space="preserve">, subdivision </w:t>
      </w:r>
      <w:r w:rsidRPr="00754C9B">
        <w:rPr>
          <w:szCs w:val="24"/>
        </w:rPr>
        <w:t xml:space="preserve">(a)(2), </w:t>
      </w:r>
      <w:r>
        <w:rPr>
          <w:szCs w:val="24"/>
        </w:rPr>
        <w:t xml:space="preserve">by asking Mr. Henderson to withdraw his </w:t>
      </w:r>
      <w:r w:rsidRPr="00754C9B">
        <w:rPr>
          <w:szCs w:val="24"/>
        </w:rPr>
        <w:t>disciplinary complaint</w:t>
      </w:r>
      <w:r>
        <w:rPr>
          <w:szCs w:val="24"/>
        </w:rPr>
        <w:t>.</w:t>
      </w:r>
    </w:p>
    <w:p w:rsidR="003321FA" w:rsidRDefault="003321FA" w:rsidP="003321FA">
      <w:pPr>
        <w:pStyle w:val="DoubleSpacing"/>
        <w:rPr>
          <w:b/>
          <w:szCs w:val="24"/>
          <w:u w:val="single"/>
        </w:rPr>
      </w:pPr>
      <w:r w:rsidRPr="00784A77">
        <w:rPr>
          <w:szCs w:val="24"/>
        </w:rPr>
        <w:tab/>
      </w:r>
      <w:r w:rsidR="002D7A18">
        <w:rPr>
          <w:b/>
          <w:szCs w:val="24"/>
        </w:rPr>
        <w:t>D</w:t>
      </w:r>
      <w:r>
        <w:rPr>
          <w:b/>
          <w:szCs w:val="24"/>
        </w:rPr>
        <w:t xml:space="preserve">.  </w:t>
      </w:r>
      <w:r>
        <w:rPr>
          <w:b/>
          <w:szCs w:val="24"/>
          <w:u w:val="single"/>
        </w:rPr>
        <w:t>Office of Administrative Hearings</w:t>
      </w:r>
      <w:r w:rsidRPr="00B425C3">
        <w:rPr>
          <w:b/>
          <w:szCs w:val="24"/>
          <w:u w:val="single"/>
        </w:rPr>
        <w:t xml:space="preserve"> Matter (Counts </w:t>
      </w:r>
      <w:r w:rsidR="00115958">
        <w:rPr>
          <w:b/>
          <w:szCs w:val="24"/>
          <w:u w:val="single"/>
        </w:rPr>
        <w:t>8</w:t>
      </w:r>
      <w:r w:rsidRPr="00B425C3">
        <w:rPr>
          <w:b/>
          <w:szCs w:val="24"/>
          <w:u w:val="single"/>
        </w:rPr>
        <w:t xml:space="preserve"> </w:t>
      </w:r>
      <w:r>
        <w:rPr>
          <w:b/>
          <w:szCs w:val="24"/>
          <w:u w:val="single"/>
        </w:rPr>
        <w:t xml:space="preserve">and </w:t>
      </w:r>
      <w:r w:rsidR="00115958">
        <w:rPr>
          <w:b/>
          <w:szCs w:val="24"/>
          <w:u w:val="single"/>
        </w:rPr>
        <w:t>9</w:t>
      </w:r>
      <w:r w:rsidRPr="00B425C3">
        <w:rPr>
          <w:b/>
          <w:szCs w:val="24"/>
          <w:u w:val="single"/>
        </w:rPr>
        <w:t>)</w:t>
      </w:r>
    </w:p>
    <w:p w:rsidR="002D7A18" w:rsidRPr="008628DD" w:rsidRDefault="002D7A18" w:rsidP="002D7A18">
      <w:pPr>
        <w:pStyle w:val="DoubleSpacing"/>
        <w:ind w:firstLine="1080"/>
        <w:rPr>
          <w:b/>
        </w:rPr>
      </w:pPr>
      <w:r w:rsidRPr="008628DD">
        <w:rPr>
          <w:b/>
        </w:rPr>
        <w:t>Findings of Fact</w:t>
      </w:r>
    </w:p>
    <w:p w:rsidR="003321FA" w:rsidRDefault="00F34C98" w:rsidP="002D7A18">
      <w:pPr>
        <w:pStyle w:val="DoubleSpacing"/>
        <w:tabs>
          <w:tab w:val="left" w:pos="720"/>
        </w:tabs>
      </w:pPr>
      <w:r>
        <w:tab/>
      </w:r>
      <w:r w:rsidR="003321FA">
        <w:t xml:space="preserve">In June 2007, </w:t>
      </w:r>
      <w:r w:rsidR="0029579C">
        <w:t>respondent</w:t>
      </w:r>
      <w:r w:rsidR="003321FA">
        <w:t xml:space="preserve"> and his paralegal Brian Allen (Allen) represented a student in an action involving a violation of school rules.  Allen worked with </w:t>
      </w:r>
      <w:r w:rsidR="0029579C">
        <w:t>respondent</w:t>
      </w:r>
      <w:r w:rsidR="00EE784E">
        <w:t>’</w:t>
      </w:r>
      <w:r w:rsidR="003321FA">
        <w:t>s authority.  T</w:t>
      </w:r>
      <w:r w:rsidR="003321FA" w:rsidRPr="00D51436">
        <w:t>he school was represented by a representative of the student</w:t>
      </w:r>
      <w:r w:rsidR="00EE784E">
        <w:t>’</w:t>
      </w:r>
      <w:r w:rsidR="003321FA" w:rsidRPr="00D51436">
        <w:t>s school district (District)</w:t>
      </w:r>
      <w:r w:rsidR="003321FA">
        <w:t>.</w:t>
      </w:r>
    </w:p>
    <w:p w:rsidR="003321FA" w:rsidRDefault="00F34C98" w:rsidP="00F34C98">
      <w:pPr>
        <w:pStyle w:val="DoubleSpacing"/>
        <w:tabs>
          <w:tab w:val="left" w:pos="720"/>
        </w:tabs>
      </w:pPr>
      <w:r>
        <w:tab/>
      </w:r>
      <w:r w:rsidR="003321FA">
        <w:t>In June 2007, Allen requested that the District refer the student to the Los Angeles Department of Mental Health (</w:t>
      </w:r>
      <w:proofErr w:type="spellStart"/>
      <w:r w:rsidR="003321FA">
        <w:t>DMH</w:t>
      </w:r>
      <w:proofErr w:type="spellEnd"/>
      <w:r w:rsidR="003321FA">
        <w:t>) for assessment and possible treatment.</w:t>
      </w:r>
      <w:r>
        <w:t xml:space="preserve">  </w:t>
      </w:r>
      <w:r w:rsidR="003321FA">
        <w:t xml:space="preserve">A referral to </w:t>
      </w:r>
      <w:proofErr w:type="spellStart"/>
      <w:r w:rsidR="003321FA">
        <w:t>DMH</w:t>
      </w:r>
      <w:proofErr w:type="spellEnd"/>
      <w:r w:rsidR="003321FA">
        <w:t xml:space="preserve"> requires that the student</w:t>
      </w:r>
      <w:r w:rsidR="00EE784E">
        <w:t>’</w:t>
      </w:r>
      <w:r w:rsidR="003321FA">
        <w:t>s parent sign</w:t>
      </w:r>
      <w:r w:rsidR="00266758">
        <w:t xml:space="preserve"> a</w:t>
      </w:r>
      <w:r w:rsidR="003321FA">
        <w:t xml:space="preserve"> form entitled </w:t>
      </w:r>
      <w:r w:rsidR="00EE784E">
        <w:t>“</w:t>
      </w:r>
      <w:r w:rsidR="003321FA">
        <w:t>Consent to Refer, Observe, and Release Information to Los Angeles County Department of Mental Health</w:t>
      </w:r>
      <w:r w:rsidR="00EE784E">
        <w:t>”</w:t>
      </w:r>
      <w:r w:rsidR="003321FA">
        <w:t xml:space="preserve"> (consent form).</w:t>
      </w:r>
      <w:r>
        <w:t xml:space="preserve">  </w:t>
      </w:r>
      <w:r w:rsidR="003321FA" w:rsidRPr="001D53F6">
        <w:t>After the June 14, 2007 meeting, the District realized it did not have the consent form in its file and mistakenly thought that it had misplaced the consent form.  The District contacted the student</w:t>
      </w:r>
      <w:r w:rsidR="00EE784E">
        <w:t>’</w:t>
      </w:r>
      <w:r w:rsidR="003321FA" w:rsidRPr="001D53F6">
        <w:t>s parents, sent them another consent form, and asked the student</w:t>
      </w:r>
      <w:r w:rsidR="00EE784E">
        <w:t>’</w:t>
      </w:r>
      <w:r w:rsidR="003321FA" w:rsidRPr="001D53F6">
        <w:t xml:space="preserve">s parents to sign the second consent form.  </w:t>
      </w:r>
      <w:r w:rsidR="003321FA">
        <w:t>Neither Allen nor the student</w:t>
      </w:r>
      <w:r w:rsidR="00EE784E">
        <w:t>’</w:t>
      </w:r>
      <w:r w:rsidR="003321FA">
        <w:t>s parents informed the District that the student</w:t>
      </w:r>
      <w:r w:rsidR="00EE784E">
        <w:t>’</w:t>
      </w:r>
      <w:r w:rsidR="003321FA">
        <w:t xml:space="preserve">s </w:t>
      </w:r>
      <w:r w:rsidR="003321FA">
        <w:lastRenderedPageBreak/>
        <w:t xml:space="preserve">parents already had a consent form.  </w:t>
      </w:r>
      <w:r w:rsidR="003321FA" w:rsidRPr="001D53F6">
        <w:t>The student</w:t>
      </w:r>
      <w:r w:rsidR="00EE784E">
        <w:t>’</w:t>
      </w:r>
      <w:r w:rsidR="003321FA" w:rsidRPr="001D53F6">
        <w:t>s parents did not promptly return an executed version of either the original form or the second consent form</w:t>
      </w:r>
      <w:r w:rsidR="003321FA">
        <w:t>.</w:t>
      </w:r>
    </w:p>
    <w:p w:rsidR="003321FA" w:rsidRDefault="00F34C98" w:rsidP="00F34C98">
      <w:pPr>
        <w:pStyle w:val="DoubleSpacing"/>
        <w:tabs>
          <w:tab w:val="left" w:pos="720"/>
        </w:tabs>
      </w:pPr>
      <w:r>
        <w:tab/>
      </w:r>
      <w:r w:rsidR="003321FA" w:rsidRPr="001D53F6">
        <w:t xml:space="preserve">On September 7, 2007, Allen contacted the District and asked about the </w:t>
      </w:r>
      <w:proofErr w:type="spellStart"/>
      <w:r w:rsidR="003321FA" w:rsidRPr="001D53F6">
        <w:t>DMH</w:t>
      </w:r>
      <w:proofErr w:type="spellEnd"/>
      <w:r w:rsidR="003321FA" w:rsidRPr="001D53F6">
        <w:t xml:space="preserve"> referral.  In its response, the District told Allen that the consent form had been misplaced</w:t>
      </w:r>
      <w:r w:rsidR="003321FA">
        <w:t>.</w:t>
      </w:r>
      <w:r>
        <w:t xml:space="preserve">  </w:t>
      </w:r>
      <w:r w:rsidR="003321FA">
        <w:t>In September 2007, Allen learned that the student</w:t>
      </w:r>
      <w:r w:rsidR="00EE784E">
        <w:t>’</w:t>
      </w:r>
      <w:r w:rsidR="003321FA">
        <w:t>s parents had the original consent form.  In September 2007, Allen, or the student</w:t>
      </w:r>
      <w:r w:rsidR="00EE784E">
        <w:t>’</w:t>
      </w:r>
      <w:r w:rsidR="003321FA">
        <w:t>s parents with Allen</w:t>
      </w:r>
      <w:r w:rsidR="00EE784E">
        <w:t>’</w:t>
      </w:r>
      <w:r w:rsidR="003321FA">
        <w:t>s knowledge, sent a copy of the signed consent form to the student</w:t>
      </w:r>
      <w:r w:rsidR="00EE784E">
        <w:t>’</w:t>
      </w:r>
      <w:r w:rsidR="003321FA">
        <w:t>s school.</w:t>
      </w:r>
    </w:p>
    <w:p w:rsidR="003321FA" w:rsidRDefault="00F34C98" w:rsidP="00F34C98">
      <w:pPr>
        <w:pStyle w:val="DoubleSpacing"/>
        <w:tabs>
          <w:tab w:val="left" w:pos="720"/>
        </w:tabs>
      </w:pPr>
      <w:r>
        <w:tab/>
      </w:r>
      <w:r w:rsidR="003321FA" w:rsidRPr="00D51436">
        <w:t>In October 2007, Allen filed a complaint with the California Department of Education (</w:t>
      </w:r>
      <w:proofErr w:type="spellStart"/>
      <w:r w:rsidR="003321FA" w:rsidRPr="00D51436">
        <w:t>CDE</w:t>
      </w:r>
      <w:proofErr w:type="spellEnd"/>
      <w:r w:rsidR="003321FA" w:rsidRPr="00D51436">
        <w:t xml:space="preserve">), complaining that the District did not complete the </w:t>
      </w:r>
      <w:proofErr w:type="spellStart"/>
      <w:r w:rsidR="003321FA" w:rsidRPr="00D51436">
        <w:t>DMH</w:t>
      </w:r>
      <w:proofErr w:type="spellEnd"/>
      <w:r w:rsidR="003321FA" w:rsidRPr="00D51436">
        <w:t xml:space="preserve"> referral in a timely manner.  </w:t>
      </w:r>
      <w:r w:rsidR="003321FA">
        <w:t xml:space="preserve">Allen neglected to inform the </w:t>
      </w:r>
      <w:proofErr w:type="spellStart"/>
      <w:r w:rsidR="003321FA">
        <w:t>CDE</w:t>
      </w:r>
      <w:proofErr w:type="spellEnd"/>
      <w:r w:rsidR="003321FA">
        <w:t xml:space="preserve"> that he and/or the student</w:t>
      </w:r>
      <w:r w:rsidR="00EE784E">
        <w:t>’</w:t>
      </w:r>
      <w:r w:rsidR="003321FA">
        <w:t xml:space="preserve">s parents did not return the consent form to the District until September 2007, and </w:t>
      </w:r>
      <w:r w:rsidR="00DE6CE9">
        <w:t xml:space="preserve">that </w:t>
      </w:r>
      <w:r w:rsidR="003321FA">
        <w:t>from</w:t>
      </w:r>
      <w:r w:rsidR="00DE6CE9">
        <w:t xml:space="preserve"> June 14, 2007</w:t>
      </w:r>
      <w:r w:rsidR="003321FA">
        <w:t xml:space="preserve"> through September 2007, </w:t>
      </w:r>
      <w:r w:rsidR="003321FA" w:rsidRPr="00D51436">
        <w:t xml:space="preserve">Allen, </w:t>
      </w:r>
      <w:r w:rsidR="003321FA">
        <w:t>and/or the student</w:t>
      </w:r>
      <w:r w:rsidR="00EE784E">
        <w:t>’</w:t>
      </w:r>
      <w:r w:rsidR="003321FA">
        <w:t xml:space="preserve">s parents, </w:t>
      </w:r>
      <w:r w:rsidR="003321FA" w:rsidRPr="00D51436">
        <w:t xml:space="preserve">had the </w:t>
      </w:r>
      <w:r w:rsidR="003321FA">
        <w:t xml:space="preserve">original </w:t>
      </w:r>
      <w:r w:rsidR="003321FA" w:rsidRPr="00D51436">
        <w:t>consent form in their possession</w:t>
      </w:r>
      <w:r w:rsidR="003321FA">
        <w:t>.</w:t>
      </w:r>
    </w:p>
    <w:p w:rsidR="003321FA" w:rsidRDefault="003321FA" w:rsidP="00871C02">
      <w:pPr>
        <w:pStyle w:val="DoubleSpacing"/>
        <w:tabs>
          <w:tab w:val="left" w:pos="1260"/>
        </w:tabs>
      </w:pPr>
      <w:r w:rsidRPr="009B7A51">
        <w:t xml:space="preserve">On December 17, 2007, the </w:t>
      </w:r>
      <w:proofErr w:type="spellStart"/>
      <w:r w:rsidRPr="009B7A51">
        <w:t>CDE</w:t>
      </w:r>
      <w:proofErr w:type="spellEnd"/>
      <w:r w:rsidRPr="009B7A51">
        <w:t xml:space="preserve"> issued a report stating that the District was out of compliance with </w:t>
      </w:r>
      <w:r>
        <w:t xml:space="preserve">certain </w:t>
      </w:r>
      <w:r w:rsidRPr="009B7A51">
        <w:t xml:space="preserve">time guidelines and that the District was at fault because it had misplaced the </w:t>
      </w:r>
      <w:r>
        <w:t xml:space="preserve">original </w:t>
      </w:r>
      <w:r w:rsidRPr="009B7A51">
        <w:t>consent form.</w:t>
      </w:r>
      <w:r>
        <w:t xml:space="preserve">  Neither Allen nor </w:t>
      </w:r>
      <w:r w:rsidR="0029579C">
        <w:t>respondent</w:t>
      </w:r>
      <w:r>
        <w:t xml:space="preserve"> took any steps to correct </w:t>
      </w:r>
      <w:proofErr w:type="spellStart"/>
      <w:r>
        <w:t>CDE</w:t>
      </w:r>
      <w:r w:rsidR="00EE784E">
        <w:t>’</w:t>
      </w:r>
      <w:r>
        <w:t>s</w:t>
      </w:r>
      <w:proofErr w:type="spellEnd"/>
      <w:r>
        <w:t xml:space="preserve"> mistaken conclusion that the District had misplaced the original consent form.</w:t>
      </w:r>
    </w:p>
    <w:p w:rsidR="003321FA" w:rsidRDefault="00F34C98" w:rsidP="00394892">
      <w:pPr>
        <w:pStyle w:val="DoubleSpacing"/>
        <w:tabs>
          <w:tab w:val="left" w:pos="720"/>
        </w:tabs>
      </w:pPr>
      <w:r>
        <w:tab/>
      </w:r>
      <w:r w:rsidR="003321FA" w:rsidRPr="009B7A51">
        <w:t xml:space="preserve">On January 8, 2008, </w:t>
      </w:r>
      <w:r w:rsidR="0029579C">
        <w:t>respondent</w:t>
      </w:r>
      <w:r w:rsidR="003321FA" w:rsidRPr="009B7A51">
        <w:t xml:space="preserve"> filed a due process hearing request on behalf of the student against the District.  Respondent filed the due process action before the Office of Administrative Hearings for the State of California</w:t>
      </w:r>
      <w:r w:rsidR="003321FA">
        <w:t xml:space="preserve"> (</w:t>
      </w:r>
      <w:proofErr w:type="spellStart"/>
      <w:r w:rsidR="003321FA">
        <w:t>OAH</w:t>
      </w:r>
      <w:proofErr w:type="spellEnd"/>
      <w:r w:rsidR="003321FA">
        <w:t>).</w:t>
      </w:r>
      <w:r>
        <w:t xml:space="preserve">  </w:t>
      </w:r>
      <w:r w:rsidR="003321FA">
        <w:t>Respondent</w:t>
      </w:r>
      <w:r w:rsidR="00EE784E">
        <w:t>’</w:t>
      </w:r>
      <w:r w:rsidR="003321FA">
        <w:t>s due process hearing request alleged that the District had violated the student</w:t>
      </w:r>
      <w:r w:rsidR="00EE784E">
        <w:t>’</w:t>
      </w:r>
      <w:r w:rsidR="003321FA">
        <w:t xml:space="preserve">s rights by failing to timely complete and submit the </w:t>
      </w:r>
      <w:proofErr w:type="spellStart"/>
      <w:r w:rsidR="003321FA">
        <w:t>DMH</w:t>
      </w:r>
      <w:proofErr w:type="spellEnd"/>
      <w:r w:rsidR="003321FA">
        <w:t xml:space="preserve"> referral.</w:t>
      </w:r>
      <w:r>
        <w:t xml:space="preserve">  </w:t>
      </w:r>
      <w:r w:rsidR="003321FA">
        <w:t>Respondent</w:t>
      </w:r>
      <w:r w:rsidR="00EE784E">
        <w:t>’</w:t>
      </w:r>
      <w:r w:rsidR="003321FA">
        <w:t xml:space="preserve">s </w:t>
      </w:r>
      <w:r w:rsidR="003321FA" w:rsidRPr="009B7A51">
        <w:t xml:space="preserve">due process hearing request did not </w:t>
      </w:r>
      <w:r w:rsidR="003321FA">
        <w:t xml:space="preserve">disclose </w:t>
      </w:r>
      <w:r w:rsidR="003321FA" w:rsidRPr="009B7A51">
        <w:t>that the student</w:t>
      </w:r>
      <w:r w:rsidR="00EE784E">
        <w:t>’</w:t>
      </w:r>
      <w:r w:rsidR="003321FA" w:rsidRPr="009B7A51">
        <w:t xml:space="preserve">s parents took the consent form home in June 2007, or that </w:t>
      </w:r>
      <w:r w:rsidR="0029579C">
        <w:t>respondent</w:t>
      </w:r>
      <w:r w:rsidR="003321FA" w:rsidRPr="009B7A51">
        <w:t xml:space="preserve"> did not deliver an executed copy of the consent form to the District until about September 2007</w:t>
      </w:r>
      <w:r w:rsidR="003321FA">
        <w:t>.</w:t>
      </w:r>
      <w:r w:rsidR="000F3B03">
        <w:t xml:space="preserve">  At all relevant times, respondent knew that the parents had never sent in the consent form.</w:t>
      </w:r>
    </w:p>
    <w:p w:rsidR="003321FA" w:rsidRDefault="00F34C98" w:rsidP="00BF60F4">
      <w:pPr>
        <w:pStyle w:val="DoubleSpacing"/>
        <w:tabs>
          <w:tab w:val="left" w:pos="720"/>
        </w:tabs>
      </w:pPr>
      <w:r>
        <w:tab/>
      </w:r>
      <w:r w:rsidR="003321FA">
        <w:t xml:space="preserve">On April 15, 2008, the due process hearing was held.  That day the District filed a motion seeking the award of costs and sanctions against </w:t>
      </w:r>
      <w:r w:rsidR="0029579C">
        <w:t>respondent</w:t>
      </w:r>
      <w:r w:rsidR="003321FA">
        <w:t xml:space="preserve"> and Allen, pursuant to the California Code of Civil Procedure </w:t>
      </w:r>
      <w:r w:rsidR="000D4CB3">
        <w:t xml:space="preserve">section </w:t>
      </w:r>
      <w:r w:rsidR="003321FA">
        <w:t>128.5.</w:t>
      </w:r>
      <w:r w:rsidR="00BF60F4">
        <w:t xml:space="preserve">  </w:t>
      </w:r>
      <w:r w:rsidR="003321FA" w:rsidRPr="009B7A51">
        <w:t xml:space="preserve">On April 22, 2008, </w:t>
      </w:r>
      <w:r w:rsidR="0029579C">
        <w:t>respondent</w:t>
      </w:r>
      <w:r w:rsidR="003321FA" w:rsidRPr="009B7A51">
        <w:t xml:space="preserve"> filed a closing argument </w:t>
      </w:r>
      <w:r w:rsidR="003321FA" w:rsidRPr="009B7A51">
        <w:lastRenderedPageBreak/>
        <w:t>in the due process hearing</w:t>
      </w:r>
      <w:r w:rsidR="003321FA">
        <w:t>.</w:t>
      </w:r>
      <w:r w:rsidR="003321FA" w:rsidRPr="009B7A51">
        <w:t xml:space="preserve">  In </w:t>
      </w:r>
      <w:r w:rsidR="003321FA">
        <w:t xml:space="preserve">his closing argument, </w:t>
      </w:r>
      <w:r w:rsidR="0029579C">
        <w:t>respondent</w:t>
      </w:r>
      <w:r w:rsidR="003321FA">
        <w:t xml:space="preserve"> </w:t>
      </w:r>
      <w:r w:rsidR="003321FA" w:rsidRPr="009B7A51">
        <w:t>stated that the student</w:t>
      </w:r>
      <w:r w:rsidR="00EE784E">
        <w:t>’</w:t>
      </w:r>
      <w:r w:rsidR="003321FA" w:rsidRPr="009B7A51">
        <w:t>s parents signed the consent form on June 14, 2007</w:t>
      </w:r>
      <w:r w:rsidR="003321FA">
        <w:t xml:space="preserve">, but </w:t>
      </w:r>
      <w:r w:rsidR="0029579C">
        <w:t>respondent</w:t>
      </w:r>
      <w:r w:rsidR="003321FA" w:rsidRPr="009B7A51">
        <w:t xml:space="preserve"> failed to inform the court that the student</w:t>
      </w:r>
      <w:r w:rsidR="00EE784E">
        <w:t>’</w:t>
      </w:r>
      <w:r w:rsidR="003321FA" w:rsidRPr="009B7A51">
        <w:t xml:space="preserve">s parents took the consent form home with them and did not return it to the </w:t>
      </w:r>
      <w:r w:rsidR="003321FA">
        <w:t>District</w:t>
      </w:r>
      <w:r w:rsidR="003321FA" w:rsidRPr="009B7A51">
        <w:t xml:space="preserve"> until September 2007</w:t>
      </w:r>
      <w:r w:rsidR="003321FA">
        <w:t>.</w:t>
      </w:r>
      <w:r w:rsidR="00BF60F4">
        <w:t xml:space="preserve">  </w:t>
      </w:r>
      <w:r w:rsidR="003321FA" w:rsidRPr="009B7A51">
        <w:t>The fact that the student</w:t>
      </w:r>
      <w:r w:rsidR="00EE784E">
        <w:t>’</w:t>
      </w:r>
      <w:r w:rsidR="003321FA" w:rsidRPr="009B7A51">
        <w:t xml:space="preserve">s parents took the consent form home with them was a material and relevant fact.  It directly affected the </w:t>
      </w:r>
      <w:r w:rsidR="003321FA">
        <w:t>District</w:t>
      </w:r>
      <w:r w:rsidR="00EE784E">
        <w:t>’</w:t>
      </w:r>
      <w:r w:rsidR="003321FA" w:rsidRPr="009B7A51">
        <w:t xml:space="preserve">s ability to make a timely </w:t>
      </w:r>
      <w:proofErr w:type="spellStart"/>
      <w:r w:rsidR="003321FA" w:rsidRPr="009B7A51">
        <w:t>DMH</w:t>
      </w:r>
      <w:proofErr w:type="spellEnd"/>
      <w:r w:rsidR="003321FA" w:rsidRPr="009B7A51">
        <w:t xml:space="preserve"> referral</w:t>
      </w:r>
      <w:r w:rsidR="003321FA">
        <w:t>.</w:t>
      </w:r>
    </w:p>
    <w:p w:rsidR="003321FA" w:rsidRDefault="00BF60F4" w:rsidP="00BF60F4">
      <w:pPr>
        <w:pStyle w:val="DoubleSpacing"/>
        <w:tabs>
          <w:tab w:val="left" w:pos="720"/>
        </w:tabs>
      </w:pPr>
      <w:r>
        <w:tab/>
      </w:r>
      <w:r w:rsidR="003321FA" w:rsidRPr="00240984">
        <w:t xml:space="preserve">In its decision, dated June 4, 2008, the </w:t>
      </w:r>
      <w:proofErr w:type="spellStart"/>
      <w:r w:rsidR="003321FA" w:rsidRPr="00240984">
        <w:t>O</w:t>
      </w:r>
      <w:r w:rsidR="003321FA">
        <w:t>AH</w:t>
      </w:r>
      <w:proofErr w:type="spellEnd"/>
      <w:r w:rsidR="003321FA" w:rsidRPr="00240984">
        <w:t xml:space="preserve"> found that the District did not misplace the consent form, but that the student</w:t>
      </w:r>
      <w:r w:rsidR="00EE784E">
        <w:t>’</w:t>
      </w:r>
      <w:r w:rsidR="003321FA" w:rsidRPr="00240984">
        <w:t xml:space="preserve">s parents prevented the District from timely completing the </w:t>
      </w:r>
      <w:proofErr w:type="spellStart"/>
      <w:r w:rsidR="003321FA" w:rsidRPr="00240984">
        <w:t>DMH</w:t>
      </w:r>
      <w:proofErr w:type="spellEnd"/>
      <w:r w:rsidR="003321FA" w:rsidRPr="00240984">
        <w:t xml:space="preserve"> referral by taking the original consent form home and then failing to return it to the </w:t>
      </w:r>
      <w:r w:rsidR="003321FA">
        <w:t>District</w:t>
      </w:r>
      <w:r w:rsidR="003321FA" w:rsidRPr="00240984">
        <w:t xml:space="preserve"> until September 2007.  It held that the delay in the </w:t>
      </w:r>
      <w:proofErr w:type="spellStart"/>
      <w:r w:rsidR="003321FA" w:rsidRPr="00240984">
        <w:t>DMH</w:t>
      </w:r>
      <w:proofErr w:type="spellEnd"/>
      <w:r w:rsidR="003321FA" w:rsidRPr="00240984">
        <w:t xml:space="preserve"> referral was caused by the student</w:t>
      </w:r>
      <w:r w:rsidR="00EE784E">
        <w:t>’</w:t>
      </w:r>
      <w:r w:rsidR="003321FA" w:rsidRPr="00240984">
        <w:t xml:space="preserve">s parents and/or </w:t>
      </w:r>
      <w:r w:rsidR="0029579C">
        <w:t>respondent</w:t>
      </w:r>
      <w:r w:rsidR="003321FA" w:rsidRPr="00240984">
        <w:t xml:space="preserve"> and Allen</w:t>
      </w:r>
      <w:r w:rsidR="003321FA">
        <w:t>.</w:t>
      </w:r>
    </w:p>
    <w:p w:rsidR="003321FA" w:rsidRDefault="00BF60F4" w:rsidP="00BF60F4">
      <w:pPr>
        <w:pStyle w:val="DoubleSpacing"/>
        <w:tabs>
          <w:tab w:val="left" w:pos="720"/>
        </w:tabs>
      </w:pPr>
      <w:r>
        <w:tab/>
      </w:r>
      <w:r w:rsidR="003321FA" w:rsidRPr="00871C02">
        <w:t xml:space="preserve">On July 22, 2008, the </w:t>
      </w:r>
      <w:proofErr w:type="spellStart"/>
      <w:r w:rsidR="003321FA" w:rsidRPr="00F448B4">
        <w:t>O</w:t>
      </w:r>
      <w:r w:rsidR="003321FA">
        <w:t>AH</w:t>
      </w:r>
      <w:proofErr w:type="spellEnd"/>
      <w:r w:rsidR="003321FA">
        <w:t xml:space="preserve"> held a hearing on the motion for costs and sanctions that the District filed in April 2007.</w:t>
      </w:r>
      <w:r>
        <w:t xml:space="preserve">  </w:t>
      </w:r>
      <w:r w:rsidR="003321FA">
        <w:t xml:space="preserve">The </w:t>
      </w:r>
      <w:proofErr w:type="spellStart"/>
      <w:r w:rsidR="003321FA">
        <w:t>OAH</w:t>
      </w:r>
      <w:proofErr w:type="spellEnd"/>
      <w:r w:rsidR="003321FA">
        <w:t xml:space="preserve"> found that the due process complaint was totally and completely</w:t>
      </w:r>
      <w:r w:rsidR="003321FA" w:rsidRPr="00506926">
        <w:t xml:space="preserve"> </w:t>
      </w:r>
      <w:r w:rsidR="003321FA">
        <w:t xml:space="preserve">without merit, and that it was brought by </w:t>
      </w:r>
      <w:r w:rsidR="0029579C">
        <w:t>respondent</w:t>
      </w:r>
      <w:r w:rsidR="003321FA">
        <w:t xml:space="preserve"> in bad faith.</w:t>
      </w:r>
      <w:r>
        <w:t xml:space="preserve">  </w:t>
      </w:r>
      <w:r w:rsidR="003321FA">
        <w:t xml:space="preserve">The </w:t>
      </w:r>
      <w:proofErr w:type="spellStart"/>
      <w:r w:rsidR="003321FA">
        <w:t>OAH</w:t>
      </w:r>
      <w:proofErr w:type="spellEnd"/>
      <w:r w:rsidR="003321FA">
        <w:t xml:space="preserve"> imposed sanctions in the amount of $9,645 against </w:t>
      </w:r>
      <w:r w:rsidR="0029579C">
        <w:t>respondent</w:t>
      </w:r>
      <w:r w:rsidR="003321FA">
        <w:t xml:space="preserve"> and Allen, jointly and severally, for their bad faith actions and tactics involved in litigating the due process complaint.</w:t>
      </w:r>
    </w:p>
    <w:p w:rsidR="00BF60F4" w:rsidRDefault="003321FA" w:rsidP="000F031D">
      <w:pPr>
        <w:pStyle w:val="DoubleSpacing"/>
        <w:tabs>
          <w:tab w:val="left" w:pos="1260"/>
        </w:tabs>
        <w:ind w:firstLine="720"/>
      </w:pPr>
      <w:r>
        <w:t>Respondent did not report the sanction to the State Bar</w:t>
      </w:r>
      <w:r w:rsidRPr="00871C02">
        <w:t xml:space="preserve"> within 30 days of the time </w:t>
      </w:r>
      <w:r w:rsidR="0029579C">
        <w:t>respondent</w:t>
      </w:r>
      <w:r w:rsidRPr="00871C02">
        <w:t xml:space="preserve"> had knowledge of the</w:t>
      </w:r>
      <w:r w:rsidRPr="00315388">
        <w:rPr>
          <w:szCs w:val="24"/>
        </w:rPr>
        <w:t xml:space="preserve"> imposition of any judicial sanctions against</w:t>
      </w:r>
      <w:r>
        <w:rPr>
          <w:szCs w:val="24"/>
        </w:rPr>
        <w:t xml:space="preserve"> him</w:t>
      </w:r>
      <w:r>
        <w:t>.</w:t>
      </w:r>
    </w:p>
    <w:p w:rsidR="00BF60F4" w:rsidRPr="008628DD" w:rsidRDefault="00EC5DE1" w:rsidP="00BD0DEE">
      <w:pPr>
        <w:pStyle w:val="DoubleSpacing"/>
        <w:tabs>
          <w:tab w:val="left" w:pos="720"/>
        </w:tabs>
        <w:ind w:firstLine="1080"/>
        <w:rPr>
          <w:b/>
        </w:rPr>
      </w:pPr>
      <w:r w:rsidRPr="008628DD">
        <w:rPr>
          <w:b/>
        </w:rPr>
        <w:t>Conclusions of Law</w:t>
      </w:r>
    </w:p>
    <w:p w:rsidR="00BF60F4" w:rsidRPr="000F3B03" w:rsidRDefault="000F3B03" w:rsidP="00115958">
      <w:pPr>
        <w:pStyle w:val="DoubleSpacing"/>
        <w:tabs>
          <w:tab w:val="left" w:pos="720"/>
        </w:tabs>
      </w:pPr>
      <w:r>
        <w:rPr>
          <w:b/>
        </w:rPr>
        <w:tab/>
      </w:r>
      <w:r>
        <w:rPr>
          <w:b/>
        </w:rPr>
        <w:tab/>
      </w:r>
      <w:r w:rsidR="00BF60F4">
        <w:rPr>
          <w:b/>
        </w:rPr>
        <w:t xml:space="preserve">Count 8.  </w:t>
      </w:r>
      <w:r>
        <w:t xml:space="preserve">By </w:t>
      </w:r>
      <w:r w:rsidR="001E5CC7">
        <w:t>filing a due process hearing request and a making a closing argument in the due process hearing that omitted relevant, material facts, respondent sought to mi</w:t>
      </w:r>
      <w:r w:rsidR="00F0034E">
        <w:t>s</w:t>
      </w:r>
      <w:r w:rsidR="001E5CC7">
        <w:t>lead the judge or judicial officer by an artifice or false statement of fact or law</w:t>
      </w:r>
      <w:r w:rsidR="00F0034E">
        <w:t xml:space="preserve">, </w:t>
      </w:r>
      <w:r w:rsidR="00112058">
        <w:rPr>
          <w:szCs w:val="24"/>
        </w:rPr>
        <w:t>willful</w:t>
      </w:r>
      <w:r w:rsidR="00F0034E">
        <w:rPr>
          <w:szCs w:val="24"/>
        </w:rPr>
        <w:t xml:space="preserve">ly violating </w:t>
      </w:r>
      <w:r w:rsidR="00F0034E" w:rsidRPr="00340999">
        <w:rPr>
          <w:szCs w:val="24"/>
        </w:rPr>
        <w:t xml:space="preserve">Business and </w:t>
      </w:r>
      <w:r w:rsidR="000D4CB3">
        <w:rPr>
          <w:szCs w:val="24"/>
        </w:rPr>
        <w:t>Professions Code section</w:t>
      </w:r>
      <w:r w:rsidR="00A37572">
        <w:rPr>
          <w:szCs w:val="24"/>
        </w:rPr>
        <w:t xml:space="preserve"> 6068</w:t>
      </w:r>
      <w:r w:rsidR="00F005D4">
        <w:rPr>
          <w:szCs w:val="24"/>
        </w:rPr>
        <w:t>,</w:t>
      </w:r>
      <w:r w:rsidR="00640981">
        <w:rPr>
          <w:szCs w:val="24"/>
        </w:rPr>
        <w:t xml:space="preserve"> subdivision </w:t>
      </w:r>
      <w:r w:rsidR="00A37572">
        <w:rPr>
          <w:szCs w:val="24"/>
        </w:rPr>
        <w:t>(d)</w:t>
      </w:r>
      <w:r w:rsidR="001E5CC7">
        <w:t>.</w:t>
      </w:r>
    </w:p>
    <w:p w:rsidR="00BF60F4" w:rsidRPr="00856C20" w:rsidRDefault="00BF60F4" w:rsidP="002849DE">
      <w:pPr>
        <w:pStyle w:val="DoubleSpacing"/>
        <w:tabs>
          <w:tab w:val="left" w:pos="1440"/>
        </w:tabs>
      </w:pPr>
      <w:r>
        <w:rPr>
          <w:b/>
        </w:rPr>
        <w:tab/>
        <w:t xml:space="preserve">Count 9.  </w:t>
      </w:r>
      <w:r w:rsidRPr="00694CF2">
        <w:rPr>
          <w:szCs w:val="24"/>
        </w:rPr>
        <w:t xml:space="preserve">By not reporting the $9,645 sanction imposed against him by the </w:t>
      </w:r>
      <w:proofErr w:type="spellStart"/>
      <w:r w:rsidRPr="00694CF2">
        <w:rPr>
          <w:szCs w:val="24"/>
        </w:rPr>
        <w:t>OAH</w:t>
      </w:r>
      <w:proofErr w:type="spellEnd"/>
      <w:r w:rsidRPr="00694CF2">
        <w:rPr>
          <w:szCs w:val="24"/>
        </w:rPr>
        <w:t xml:space="preserve">, </w:t>
      </w:r>
      <w:r>
        <w:rPr>
          <w:szCs w:val="24"/>
        </w:rPr>
        <w:t>respondent</w:t>
      </w:r>
      <w:r w:rsidRPr="00694CF2">
        <w:rPr>
          <w:szCs w:val="24"/>
        </w:rPr>
        <w:t xml:space="preserve"> failed to </w:t>
      </w:r>
      <w:r w:rsidR="00625EFE">
        <w:rPr>
          <w:szCs w:val="24"/>
        </w:rPr>
        <w:t xml:space="preserve">properly </w:t>
      </w:r>
      <w:r w:rsidRPr="00694CF2">
        <w:rPr>
          <w:szCs w:val="24"/>
        </w:rPr>
        <w:t xml:space="preserve">report </w:t>
      </w:r>
      <w:r w:rsidR="00625EFE">
        <w:rPr>
          <w:szCs w:val="24"/>
        </w:rPr>
        <w:t xml:space="preserve">sanctions </w:t>
      </w:r>
      <w:r w:rsidRPr="00694CF2">
        <w:rPr>
          <w:szCs w:val="24"/>
        </w:rPr>
        <w:t xml:space="preserve">to the </w:t>
      </w:r>
      <w:r>
        <w:rPr>
          <w:szCs w:val="24"/>
        </w:rPr>
        <w:t>State Bar</w:t>
      </w:r>
      <w:r w:rsidRPr="00694CF2">
        <w:rPr>
          <w:szCs w:val="24"/>
        </w:rPr>
        <w:t xml:space="preserve">, in writing, within 30 days of the time </w:t>
      </w:r>
      <w:r>
        <w:rPr>
          <w:szCs w:val="24"/>
        </w:rPr>
        <w:t>respondent</w:t>
      </w:r>
      <w:r w:rsidRPr="00694CF2">
        <w:rPr>
          <w:szCs w:val="24"/>
        </w:rPr>
        <w:t xml:space="preserve"> had knowledge of the imposition </w:t>
      </w:r>
      <w:r w:rsidR="00625EFE">
        <w:rPr>
          <w:szCs w:val="24"/>
        </w:rPr>
        <w:t>of the</w:t>
      </w:r>
      <w:r w:rsidRPr="00694CF2">
        <w:rPr>
          <w:szCs w:val="24"/>
        </w:rPr>
        <w:t xml:space="preserve"> sanctions</w:t>
      </w:r>
      <w:r>
        <w:rPr>
          <w:szCs w:val="24"/>
        </w:rPr>
        <w:t xml:space="preserve">, </w:t>
      </w:r>
      <w:r w:rsidR="00625EFE">
        <w:rPr>
          <w:szCs w:val="24"/>
        </w:rPr>
        <w:t>in</w:t>
      </w:r>
      <w:r>
        <w:rPr>
          <w:szCs w:val="24"/>
        </w:rPr>
        <w:t xml:space="preserve"> </w:t>
      </w:r>
      <w:r w:rsidR="00112058">
        <w:rPr>
          <w:szCs w:val="24"/>
        </w:rPr>
        <w:t>willful</w:t>
      </w:r>
      <w:r w:rsidR="00625EFE">
        <w:rPr>
          <w:szCs w:val="24"/>
        </w:rPr>
        <w:t xml:space="preserve"> violation of</w:t>
      </w:r>
      <w:r>
        <w:rPr>
          <w:szCs w:val="24"/>
        </w:rPr>
        <w:t xml:space="preserve"> </w:t>
      </w:r>
      <w:r w:rsidRPr="00340999">
        <w:rPr>
          <w:szCs w:val="24"/>
        </w:rPr>
        <w:t xml:space="preserve">Business and </w:t>
      </w:r>
      <w:r w:rsidR="000D4CB3">
        <w:rPr>
          <w:szCs w:val="24"/>
        </w:rPr>
        <w:t>Professions Code section</w:t>
      </w:r>
      <w:r w:rsidRPr="00340999">
        <w:rPr>
          <w:szCs w:val="24"/>
        </w:rPr>
        <w:t xml:space="preserve"> 6068</w:t>
      </w:r>
      <w:r w:rsidR="00F005D4">
        <w:rPr>
          <w:szCs w:val="24"/>
        </w:rPr>
        <w:t xml:space="preserve">, subdivision </w:t>
      </w:r>
      <w:r w:rsidRPr="00340999">
        <w:rPr>
          <w:szCs w:val="24"/>
        </w:rPr>
        <w:t>(o)(3)</w:t>
      </w:r>
      <w:r>
        <w:rPr>
          <w:szCs w:val="24"/>
        </w:rPr>
        <w:t>.</w:t>
      </w:r>
    </w:p>
    <w:p w:rsidR="003321FA" w:rsidRDefault="00552594" w:rsidP="003321FA">
      <w:pPr>
        <w:pStyle w:val="DoubleSpacing"/>
        <w:ind w:left="720"/>
        <w:rPr>
          <w:b/>
          <w:szCs w:val="24"/>
          <w:u w:val="single"/>
        </w:rPr>
      </w:pPr>
      <w:r>
        <w:rPr>
          <w:b/>
          <w:szCs w:val="24"/>
        </w:rPr>
        <w:lastRenderedPageBreak/>
        <w:t>E</w:t>
      </w:r>
      <w:r w:rsidR="003321FA">
        <w:rPr>
          <w:b/>
          <w:szCs w:val="24"/>
        </w:rPr>
        <w:t xml:space="preserve">.  </w:t>
      </w:r>
      <w:r w:rsidR="003321FA">
        <w:rPr>
          <w:b/>
          <w:szCs w:val="24"/>
          <w:u w:val="single"/>
        </w:rPr>
        <w:t>Albert J. Gonzales</w:t>
      </w:r>
      <w:r w:rsidR="007643E0">
        <w:rPr>
          <w:b/>
          <w:szCs w:val="24"/>
          <w:u w:val="single"/>
        </w:rPr>
        <w:t>,</w:t>
      </w:r>
      <w:r w:rsidR="003321FA">
        <w:rPr>
          <w:b/>
          <w:szCs w:val="24"/>
          <w:u w:val="single"/>
        </w:rPr>
        <w:t xml:space="preserve"> II</w:t>
      </w:r>
      <w:r w:rsidR="007643E0">
        <w:rPr>
          <w:b/>
          <w:szCs w:val="24"/>
          <w:u w:val="single"/>
        </w:rPr>
        <w:t>,</w:t>
      </w:r>
      <w:r w:rsidR="003321FA" w:rsidRPr="00B425C3">
        <w:rPr>
          <w:b/>
          <w:szCs w:val="24"/>
          <w:u w:val="single"/>
        </w:rPr>
        <w:t xml:space="preserve"> Matter (Counts </w:t>
      </w:r>
      <w:r w:rsidR="00115958">
        <w:rPr>
          <w:b/>
          <w:szCs w:val="24"/>
          <w:u w:val="single"/>
        </w:rPr>
        <w:t>10</w:t>
      </w:r>
      <w:r w:rsidR="003321FA" w:rsidRPr="00B425C3">
        <w:rPr>
          <w:b/>
          <w:szCs w:val="24"/>
          <w:u w:val="single"/>
        </w:rPr>
        <w:t xml:space="preserve"> through </w:t>
      </w:r>
      <w:r w:rsidR="00115958">
        <w:rPr>
          <w:b/>
          <w:szCs w:val="24"/>
          <w:u w:val="single"/>
        </w:rPr>
        <w:t>13</w:t>
      </w:r>
      <w:r w:rsidR="003321FA" w:rsidRPr="00B425C3">
        <w:rPr>
          <w:b/>
          <w:szCs w:val="24"/>
          <w:u w:val="single"/>
        </w:rPr>
        <w:t>)</w:t>
      </w:r>
    </w:p>
    <w:p w:rsidR="00552594" w:rsidRPr="008628DD" w:rsidRDefault="00552594" w:rsidP="00552594">
      <w:pPr>
        <w:pStyle w:val="DoubleSpacing"/>
        <w:ind w:left="720" w:firstLine="360"/>
      </w:pPr>
      <w:r w:rsidRPr="008628DD">
        <w:rPr>
          <w:b/>
          <w:szCs w:val="24"/>
        </w:rPr>
        <w:t>Findings of Fact</w:t>
      </w:r>
    </w:p>
    <w:p w:rsidR="003321FA" w:rsidRDefault="00BF60F4" w:rsidP="00BF60F4">
      <w:pPr>
        <w:pStyle w:val="DoubleSpacing"/>
        <w:tabs>
          <w:tab w:val="left" w:pos="720"/>
        </w:tabs>
      </w:pPr>
      <w:r>
        <w:tab/>
      </w:r>
      <w:r w:rsidR="003321FA" w:rsidRPr="00871C02">
        <w:t xml:space="preserve">In December 2007, and at all times relevant to </w:t>
      </w:r>
      <w:r>
        <w:t xml:space="preserve">the </w:t>
      </w:r>
      <w:r w:rsidR="00691844">
        <w:t>events alleged below</w:t>
      </w:r>
      <w:r w:rsidR="003321FA" w:rsidRPr="00871C02">
        <w:t xml:space="preserve">, </w:t>
      </w:r>
      <w:r w:rsidR="0029579C">
        <w:t>respondent</w:t>
      </w:r>
      <w:r w:rsidR="003321FA" w:rsidRPr="00871C02">
        <w:t xml:space="preserve"> represented Albert John Gonzales</w:t>
      </w:r>
      <w:r w:rsidR="007643E0">
        <w:t>,</w:t>
      </w:r>
      <w:r w:rsidR="003321FA" w:rsidRPr="00871C02">
        <w:t xml:space="preserve"> II,</w:t>
      </w:r>
      <w:r w:rsidR="00CB730D">
        <w:t xml:space="preserve"> (Gonzales)</w:t>
      </w:r>
      <w:r w:rsidR="003321FA" w:rsidRPr="00871C02">
        <w:t xml:space="preserve"> in a case entitled </w:t>
      </w:r>
      <w:r w:rsidR="003321FA" w:rsidRPr="00BF60F4">
        <w:rPr>
          <w:i/>
        </w:rPr>
        <w:t>In the Matter of Albert John Gonzales, Sr. Trust</w:t>
      </w:r>
      <w:r w:rsidR="00A649F2">
        <w:t>, Los Angeles Superior Court, Case N</w:t>
      </w:r>
      <w:r w:rsidR="003321FA" w:rsidRPr="00871C02">
        <w:t xml:space="preserve">o. </w:t>
      </w:r>
      <w:proofErr w:type="spellStart"/>
      <w:r w:rsidR="003321FA" w:rsidRPr="00871C02">
        <w:t>VP010917</w:t>
      </w:r>
      <w:proofErr w:type="spellEnd"/>
      <w:r w:rsidR="003321FA" w:rsidRPr="00871C02">
        <w:t>, and all related matters (Gonzales matter)</w:t>
      </w:r>
      <w:r w:rsidR="003321FA">
        <w:t>.</w:t>
      </w:r>
      <w:r>
        <w:t xml:space="preserve">  </w:t>
      </w:r>
      <w:r w:rsidR="003321FA" w:rsidRPr="00871C02">
        <w:t>One of the issues in the Gonzales matter involved a parcel of real property located at 14423 Mercado Avenue, La Mirada, California (La Mirada property)</w:t>
      </w:r>
      <w:r w:rsidR="003321FA">
        <w:t>.</w:t>
      </w:r>
    </w:p>
    <w:p w:rsidR="003321FA" w:rsidRDefault="00BF60F4" w:rsidP="00480B32">
      <w:pPr>
        <w:pStyle w:val="DoubleSpacing"/>
        <w:tabs>
          <w:tab w:val="left" w:pos="720"/>
        </w:tabs>
      </w:pPr>
      <w:r>
        <w:tab/>
      </w:r>
      <w:r w:rsidR="003321FA" w:rsidRPr="00871C02">
        <w:t xml:space="preserve">In December 2007, </w:t>
      </w:r>
      <w:r w:rsidR="0029579C">
        <w:t>respondent</w:t>
      </w:r>
      <w:r w:rsidR="003321FA" w:rsidRPr="00871C02">
        <w:t xml:space="preserve"> recorded a Notice of Pending Action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against the title of the La Mirada property</w:t>
      </w:r>
      <w:r w:rsidR="003321FA">
        <w:t>.</w:t>
      </w:r>
      <w:r>
        <w:t xml:space="preserve">  </w:t>
      </w:r>
      <w:r w:rsidR="003321FA" w:rsidRPr="00871C02">
        <w:t xml:space="preserve">In January 2008, opposing counsel in the Gonzales matter filed a motion to expunge the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The court set April 15, 2008</w:t>
      </w:r>
      <w:r w:rsidR="009F77CF">
        <w:t>,</w:t>
      </w:r>
      <w:r w:rsidR="003321FA" w:rsidRPr="00871C02">
        <w:t xml:space="preserve"> as the date for a hearing on the motion to expunge the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t>.</w:t>
      </w:r>
      <w:r>
        <w:t xml:space="preserve">  </w:t>
      </w:r>
      <w:r w:rsidR="003321FA" w:rsidRPr="00871C02">
        <w:t xml:space="preserve">On April 15, 2008, the </w:t>
      </w:r>
      <w:r w:rsidR="0020748B">
        <w:t>superior court</w:t>
      </w:r>
      <w:r w:rsidR="003321FA" w:rsidRPr="00871C02">
        <w:t xml:space="preserve"> held a hearing on the motion to expunge the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and, in open court, expunged the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recorded against the La Mirada property.  In addition, the court ordered </w:t>
      </w:r>
      <w:r w:rsidR="0029579C">
        <w:t>respondent</w:t>
      </w:r>
      <w:r w:rsidR="003321FA" w:rsidRPr="00871C02">
        <w:t xml:space="preserve"> to get court approval before recording another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against the La Mirada property</w:t>
      </w:r>
      <w:r w:rsidR="003321FA">
        <w:t>.</w:t>
      </w:r>
      <w:r w:rsidR="0054311F">
        <w:t xml:space="preserve">  </w:t>
      </w:r>
      <w:r w:rsidR="003321FA" w:rsidRPr="00871C02">
        <w:t xml:space="preserve">On April 15, 2008, </w:t>
      </w:r>
      <w:r w:rsidR="0029579C">
        <w:t>respondent</w:t>
      </w:r>
      <w:r w:rsidR="003321FA" w:rsidRPr="00871C02">
        <w:t xml:space="preserve"> was present in the courtroom when the court made its order, and </w:t>
      </w:r>
      <w:r w:rsidR="0029579C">
        <w:t>respondent</w:t>
      </w:r>
      <w:r w:rsidR="003321FA" w:rsidRPr="00871C02">
        <w:t xml:space="preserve"> had actual notice of the court</w:t>
      </w:r>
      <w:r w:rsidR="00EE784E">
        <w:t>’</w:t>
      </w:r>
      <w:r w:rsidR="003321FA" w:rsidRPr="00871C02">
        <w:t>s order</w:t>
      </w:r>
      <w:r w:rsidR="003321FA">
        <w:t>.</w:t>
      </w:r>
    </w:p>
    <w:p w:rsidR="003321FA" w:rsidRDefault="0054311F" w:rsidP="0054311F">
      <w:pPr>
        <w:pStyle w:val="DoubleSpacing"/>
        <w:tabs>
          <w:tab w:val="left" w:pos="720"/>
        </w:tabs>
      </w:pPr>
      <w:r>
        <w:tab/>
      </w:r>
      <w:r w:rsidR="003321FA" w:rsidRPr="00871C02">
        <w:t xml:space="preserve">On April 18, 2008, </w:t>
      </w:r>
      <w:r w:rsidR="0029579C">
        <w:t>respondent</w:t>
      </w:r>
      <w:r w:rsidR="003321FA" w:rsidRPr="00871C02">
        <w:t xml:space="preserve"> recorded another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against the La Mirada property.</w:t>
      </w:r>
      <w:r>
        <w:t xml:space="preserve">  </w:t>
      </w:r>
      <w:r w:rsidR="003321FA" w:rsidRPr="00871C02">
        <w:t xml:space="preserve">Respondent did not get prior approval from the court before recording the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on April 18, 200</w:t>
      </w:r>
      <w:r w:rsidR="0050078D">
        <w:t>8</w:t>
      </w:r>
      <w:r w:rsidR="003321FA">
        <w:t>.</w:t>
      </w:r>
    </w:p>
    <w:p w:rsidR="003321FA" w:rsidRDefault="0054311F" w:rsidP="0054311F">
      <w:pPr>
        <w:pStyle w:val="DoubleSpacing"/>
        <w:tabs>
          <w:tab w:val="left" w:pos="720"/>
        </w:tabs>
      </w:pPr>
      <w:r>
        <w:tab/>
      </w:r>
      <w:r w:rsidR="003321FA" w:rsidRPr="00871C02">
        <w:t xml:space="preserve">On May 6, 2008, the </w:t>
      </w:r>
      <w:r w:rsidR="0020748B">
        <w:t>superior court</w:t>
      </w:r>
      <w:r w:rsidR="003321FA" w:rsidRPr="00871C02">
        <w:t xml:space="preserve"> held another hearing in the Gonzales matter.  In that hearing, the court granted a motion to expunge the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that </w:t>
      </w:r>
      <w:r w:rsidR="0029579C">
        <w:t>respondent</w:t>
      </w:r>
      <w:r w:rsidR="003321FA" w:rsidRPr="00871C02">
        <w:t xml:space="preserve"> recorded against the La Mirada property on April 18, 2008</w:t>
      </w:r>
      <w:r w:rsidR="003321FA">
        <w:t>.</w:t>
      </w:r>
      <w:r>
        <w:t xml:space="preserve">  </w:t>
      </w:r>
      <w:r w:rsidR="003321FA" w:rsidRPr="00871C02">
        <w:t xml:space="preserve">In </w:t>
      </w:r>
      <w:r>
        <w:t>this hearing</w:t>
      </w:r>
      <w:r w:rsidR="003321FA" w:rsidRPr="00871C02">
        <w:t xml:space="preserve">, the </w:t>
      </w:r>
      <w:r w:rsidR="0020748B">
        <w:t>superior court</w:t>
      </w:r>
      <w:r w:rsidR="003321FA" w:rsidRPr="00871C02">
        <w:t xml:space="preserve"> cited </w:t>
      </w:r>
      <w:r w:rsidR="0029579C">
        <w:t>respondent</w:t>
      </w:r>
      <w:r w:rsidR="003321FA" w:rsidRPr="00871C02">
        <w:t xml:space="preserve"> for contempt of court and set a hearing date on the contempt citation</w:t>
      </w:r>
      <w:r w:rsidR="003321FA">
        <w:t>.</w:t>
      </w:r>
    </w:p>
    <w:p w:rsidR="003321FA" w:rsidRPr="00B70DC0" w:rsidRDefault="0054311F" w:rsidP="0054311F">
      <w:pPr>
        <w:pStyle w:val="DoubleSpacing"/>
        <w:tabs>
          <w:tab w:val="left" w:pos="720"/>
        </w:tabs>
      </w:pPr>
      <w:r>
        <w:tab/>
      </w:r>
      <w:r w:rsidR="003321FA" w:rsidRPr="00871C02">
        <w:t xml:space="preserve">On about June 4, 2008, the court conducted the hearing on the contempt citation.  Finding that </w:t>
      </w:r>
      <w:r w:rsidR="0029579C">
        <w:t>respondent</w:t>
      </w:r>
      <w:r w:rsidR="003321FA" w:rsidRPr="00871C02">
        <w:t xml:space="preserve"> had actual notice of its order prohibiting him from filing a </w:t>
      </w:r>
      <w:proofErr w:type="spellStart"/>
      <w:r w:rsidR="003321FA" w:rsidRPr="00871C02">
        <w:t>lis</w:t>
      </w:r>
      <w:proofErr w:type="spellEnd"/>
      <w:r w:rsidR="003321FA" w:rsidRPr="00871C02">
        <w:t xml:space="preserve"> </w:t>
      </w:r>
      <w:proofErr w:type="spellStart"/>
      <w:r w:rsidR="003321FA" w:rsidRPr="00871C02">
        <w:t>pendens</w:t>
      </w:r>
      <w:proofErr w:type="spellEnd"/>
      <w:r w:rsidR="003321FA" w:rsidRPr="00871C02">
        <w:t xml:space="preserve"> on the La Mirada proper</w:t>
      </w:r>
      <w:r w:rsidR="006E75C6">
        <w:t>ty without prior court approval</w:t>
      </w:r>
      <w:r w:rsidR="003321FA" w:rsidRPr="00871C02">
        <w:t xml:space="preserve"> and that </w:t>
      </w:r>
      <w:r w:rsidR="0029579C">
        <w:t>respondent</w:t>
      </w:r>
      <w:r w:rsidR="003321FA" w:rsidRPr="00871C02">
        <w:t xml:space="preserve"> violated that order, the court sanctioned </w:t>
      </w:r>
      <w:r w:rsidR="0029579C">
        <w:t>respondent</w:t>
      </w:r>
      <w:r w:rsidR="003321FA" w:rsidRPr="00871C02">
        <w:t xml:space="preserve"> as follows:</w:t>
      </w:r>
    </w:p>
    <w:p w:rsidR="004D6E52" w:rsidRPr="00871C02" w:rsidRDefault="00F739C0" w:rsidP="004D6E52">
      <w:pPr>
        <w:pStyle w:val="DoubleSpacing"/>
        <w:numPr>
          <w:ilvl w:val="0"/>
          <w:numId w:val="5"/>
        </w:numPr>
        <w:tabs>
          <w:tab w:val="left" w:pos="1260"/>
        </w:tabs>
      </w:pPr>
      <w:r>
        <w:lastRenderedPageBreak/>
        <w:t>$1,000.00</w:t>
      </w:r>
      <w:r w:rsidR="003321FA" w:rsidRPr="00871C02">
        <w:t xml:space="preserve"> levied against </w:t>
      </w:r>
      <w:r w:rsidR="0029579C">
        <w:t>respondent</w:t>
      </w:r>
      <w:r w:rsidR="003321FA" w:rsidRPr="00871C02">
        <w:t xml:space="preserve"> only, payable to the clerk of the court;</w:t>
      </w:r>
      <w:r w:rsidR="00740F02">
        <w:t xml:space="preserve"> and</w:t>
      </w:r>
    </w:p>
    <w:p w:rsidR="003321FA" w:rsidRDefault="00F739C0" w:rsidP="004D6E52">
      <w:pPr>
        <w:pStyle w:val="DoubleSpacing"/>
        <w:numPr>
          <w:ilvl w:val="0"/>
          <w:numId w:val="5"/>
        </w:numPr>
        <w:tabs>
          <w:tab w:val="left" w:pos="1260"/>
        </w:tabs>
        <w:spacing w:line="240" w:lineRule="auto"/>
      </w:pPr>
      <w:r>
        <w:t>$30,000.00</w:t>
      </w:r>
      <w:r w:rsidR="003321FA" w:rsidRPr="00871C02">
        <w:t xml:space="preserve"> levied jointly and severally against Gonzales and </w:t>
      </w:r>
      <w:r w:rsidR="0029579C">
        <w:t>respondent</w:t>
      </w:r>
      <w:r w:rsidR="003321FA" w:rsidRPr="00871C02">
        <w:t>, payable to opposing</w:t>
      </w:r>
      <w:r w:rsidR="0054311F">
        <w:t xml:space="preserve"> counsel in the Gonzales matter.</w:t>
      </w:r>
    </w:p>
    <w:p w:rsidR="004D6E52" w:rsidRDefault="004D6E52" w:rsidP="004D6E52">
      <w:pPr>
        <w:pStyle w:val="DoubleSpacing"/>
        <w:tabs>
          <w:tab w:val="left" w:pos="1260"/>
        </w:tabs>
        <w:spacing w:line="240" w:lineRule="auto"/>
        <w:ind w:left="720"/>
      </w:pPr>
    </w:p>
    <w:p w:rsidR="003321FA" w:rsidRDefault="0054311F" w:rsidP="0054311F">
      <w:pPr>
        <w:pStyle w:val="DoubleSpacing"/>
        <w:tabs>
          <w:tab w:val="left" w:pos="720"/>
        </w:tabs>
      </w:pPr>
      <w:r>
        <w:tab/>
        <w:t>R</w:t>
      </w:r>
      <w:r w:rsidR="0029579C">
        <w:t xml:space="preserve">espondent </w:t>
      </w:r>
      <w:r w:rsidR="003321FA" w:rsidRPr="00871C02">
        <w:t>was present when the sanctions were issued by the court and had actual notice of the sanctions issued against him.  Respondent did not report either sanction to the State Bar</w:t>
      </w:r>
      <w:r w:rsidR="003321FA">
        <w:t>.</w:t>
      </w:r>
    </w:p>
    <w:p w:rsidR="0054311F" w:rsidRDefault="0054311F" w:rsidP="0054311F">
      <w:pPr>
        <w:pStyle w:val="DoubleSpacing"/>
        <w:tabs>
          <w:tab w:val="left" w:pos="720"/>
        </w:tabs>
      </w:pPr>
      <w:r>
        <w:tab/>
      </w:r>
      <w:r w:rsidR="003321FA">
        <w:t xml:space="preserve">On August 13, 2008, </w:t>
      </w:r>
      <w:r w:rsidR="0029579C">
        <w:t>respondent</w:t>
      </w:r>
      <w:r w:rsidR="003321FA">
        <w:t xml:space="preserve"> filed</w:t>
      </w:r>
      <w:r w:rsidR="00677A70">
        <w:t>,</w:t>
      </w:r>
      <w:r w:rsidR="003321FA">
        <w:t xml:space="preserve"> </w:t>
      </w:r>
      <w:r w:rsidR="00677A70">
        <w:t>on Gonzales</w:t>
      </w:r>
      <w:r w:rsidR="00EE784E">
        <w:t>’</w:t>
      </w:r>
      <w:r w:rsidR="00677A70">
        <w:t xml:space="preserve"> behalf, </w:t>
      </w:r>
      <w:r w:rsidR="003321FA">
        <w:t>a Notice of Appeal in the Second Appellate District of th</w:t>
      </w:r>
      <w:r w:rsidR="00A649F2">
        <w:t>e California Appellate Courts, Case N</w:t>
      </w:r>
      <w:r w:rsidR="003321FA">
        <w:t xml:space="preserve">o. </w:t>
      </w:r>
      <w:proofErr w:type="spellStart"/>
      <w:r w:rsidR="003321FA">
        <w:t>B209943</w:t>
      </w:r>
      <w:proofErr w:type="spellEnd"/>
      <w:r w:rsidR="003321FA">
        <w:t>.</w:t>
      </w:r>
      <w:r>
        <w:t xml:space="preserve">  </w:t>
      </w:r>
    </w:p>
    <w:p w:rsidR="003321FA" w:rsidRDefault="0054311F" w:rsidP="0054311F">
      <w:pPr>
        <w:pStyle w:val="DoubleSpacing"/>
        <w:tabs>
          <w:tab w:val="left" w:pos="720"/>
        </w:tabs>
      </w:pPr>
      <w:r>
        <w:tab/>
      </w:r>
      <w:r w:rsidR="003321FA" w:rsidRPr="00871C02">
        <w:t>On September 16, 2008, the California Sup</w:t>
      </w:r>
      <w:r w:rsidR="00A649F2">
        <w:t>reme Court entered an order in Case N</w:t>
      </w:r>
      <w:r w:rsidR="003321FA" w:rsidRPr="00871C02">
        <w:t xml:space="preserve">o. </w:t>
      </w:r>
      <w:proofErr w:type="spellStart"/>
      <w:r w:rsidR="003321FA" w:rsidRPr="00871C02">
        <w:t>S165318</w:t>
      </w:r>
      <w:proofErr w:type="spellEnd"/>
      <w:r w:rsidR="003321FA" w:rsidRPr="00871C02">
        <w:t xml:space="preserve"> (Supreme Court order), suspending </w:t>
      </w:r>
      <w:r w:rsidR="0029579C">
        <w:t>respondent</w:t>
      </w:r>
      <w:r w:rsidR="003321FA" w:rsidRPr="00871C02">
        <w:t xml:space="preserve"> from the practice of law for a period of 30 days.  Respondent</w:t>
      </w:r>
      <w:r w:rsidR="00EE784E">
        <w:t>’</w:t>
      </w:r>
      <w:r w:rsidR="003321FA" w:rsidRPr="00871C02">
        <w:t xml:space="preserve">s suspension was the result of his stipulation to misconduct and level of discipline.  On September 16, 2008, the clerk of the Supreme Court properly served a copy of the Supreme Court order upon </w:t>
      </w:r>
      <w:r w:rsidR="0029579C">
        <w:t>respondent</w:t>
      </w:r>
      <w:r w:rsidR="003321FA" w:rsidRPr="00871C02">
        <w:t xml:space="preserve"> at his State Bar membership records address</w:t>
      </w:r>
      <w:r w:rsidR="003321FA">
        <w:t xml:space="preserve">.  </w:t>
      </w:r>
      <w:r w:rsidR="003321FA" w:rsidRPr="00871C02">
        <w:t>Respondent received the Supreme Court order</w:t>
      </w:r>
      <w:r>
        <w:t xml:space="preserve">.  </w:t>
      </w:r>
      <w:r w:rsidR="003321FA" w:rsidRPr="00871C02">
        <w:t>Respondent</w:t>
      </w:r>
      <w:r w:rsidR="00EE784E">
        <w:t>’</w:t>
      </w:r>
      <w:r w:rsidR="003321FA" w:rsidRPr="00871C02">
        <w:t xml:space="preserve">s suspension from the practice of law began on October 16, 2008, pursuant to California Rules of Court, </w:t>
      </w:r>
      <w:r w:rsidR="00673AD9">
        <w:t>r</w:t>
      </w:r>
      <w:r w:rsidR="003321FA" w:rsidRPr="00871C02">
        <w:t>ule 9.18(a), and continued until November 15, 2008</w:t>
      </w:r>
      <w:r w:rsidR="003321FA">
        <w:t>.</w:t>
      </w:r>
    </w:p>
    <w:p w:rsidR="003321FA" w:rsidRDefault="0054311F" w:rsidP="002F3BA4">
      <w:pPr>
        <w:pStyle w:val="DoubleSpacing"/>
        <w:tabs>
          <w:tab w:val="left" w:pos="720"/>
        </w:tabs>
      </w:pPr>
      <w:r>
        <w:tab/>
      </w:r>
      <w:r w:rsidR="003321FA">
        <w:t>On October 6, 2008, the Court of Appeal dismissed Gonzales</w:t>
      </w:r>
      <w:r w:rsidR="00EE784E">
        <w:t>’</w:t>
      </w:r>
      <w:r w:rsidR="003321FA">
        <w:t xml:space="preserve"> appeal.</w:t>
      </w:r>
      <w:r>
        <w:t xml:space="preserve">  </w:t>
      </w:r>
      <w:r w:rsidR="003321FA" w:rsidRPr="00C87419">
        <w:t xml:space="preserve">On October </w:t>
      </w:r>
      <w:r w:rsidR="003321FA">
        <w:t>21</w:t>
      </w:r>
      <w:r w:rsidR="003321FA" w:rsidRPr="00C87419">
        <w:t>, 200</w:t>
      </w:r>
      <w:r w:rsidR="003321FA">
        <w:t>8</w:t>
      </w:r>
      <w:r w:rsidR="003321FA" w:rsidRPr="00C87419">
        <w:t xml:space="preserve">, </w:t>
      </w:r>
      <w:r w:rsidR="0029579C">
        <w:t>respondent</w:t>
      </w:r>
      <w:r w:rsidR="003321FA">
        <w:t xml:space="preserve"> presented a motion to vacate the dismissal of Gonzales</w:t>
      </w:r>
      <w:r w:rsidR="00EE784E">
        <w:t>’</w:t>
      </w:r>
      <w:r w:rsidR="003321FA">
        <w:t xml:space="preserve"> appeal (motion to vacate) for filing at the Court of Appeal.</w:t>
      </w:r>
      <w:r>
        <w:t xml:space="preserve">  </w:t>
      </w:r>
      <w:r w:rsidR="003321FA">
        <w:t xml:space="preserve">On October 22, 2008, </w:t>
      </w:r>
      <w:r w:rsidR="003321FA" w:rsidRPr="00C92378">
        <w:t xml:space="preserve">the Court of Appeal </w:t>
      </w:r>
      <w:r w:rsidR="003321FA">
        <w:t xml:space="preserve">rejected </w:t>
      </w:r>
      <w:r w:rsidR="0029579C">
        <w:t>respondent</w:t>
      </w:r>
      <w:r w:rsidR="00EE784E">
        <w:t>’</w:t>
      </w:r>
      <w:r w:rsidR="003321FA">
        <w:t>s attempt to file Gonzales</w:t>
      </w:r>
      <w:r w:rsidR="00EE784E">
        <w:t>’</w:t>
      </w:r>
      <w:r w:rsidR="003321FA">
        <w:t xml:space="preserve"> motion to vacate, because </w:t>
      </w:r>
      <w:r w:rsidR="0029579C">
        <w:t>respondent</w:t>
      </w:r>
      <w:r w:rsidR="003321FA">
        <w:t xml:space="preserve"> was ineligible to practice law in California.</w:t>
      </w:r>
      <w:r>
        <w:t xml:space="preserve">  </w:t>
      </w:r>
      <w:r w:rsidR="003321FA" w:rsidRPr="00494443">
        <w:t xml:space="preserve">On October 29, 2008, </w:t>
      </w:r>
      <w:r w:rsidR="0029579C">
        <w:t>respondent</w:t>
      </w:r>
      <w:r w:rsidR="003321FA" w:rsidRPr="00494443">
        <w:t xml:space="preserve"> presented</w:t>
      </w:r>
      <w:r w:rsidR="003321FA">
        <w:t xml:space="preserve"> </w:t>
      </w:r>
      <w:r w:rsidR="003321FA" w:rsidRPr="00494443">
        <w:t>a motion for rehearing of Gonzales</w:t>
      </w:r>
      <w:r w:rsidR="00EE784E">
        <w:t>’</w:t>
      </w:r>
      <w:r w:rsidR="003321FA" w:rsidRPr="00494443">
        <w:t xml:space="preserve"> motion to vacate</w:t>
      </w:r>
      <w:r w:rsidR="003321FA">
        <w:t xml:space="preserve"> for filing at the Court of Appeal</w:t>
      </w:r>
      <w:r w:rsidR="003321FA" w:rsidRPr="00494443">
        <w:t xml:space="preserve">.  That same day, the Court of </w:t>
      </w:r>
      <w:r w:rsidR="003321FA">
        <w:t>A</w:t>
      </w:r>
      <w:r w:rsidR="003321FA" w:rsidRPr="00494443">
        <w:t xml:space="preserve">ppeal rejected </w:t>
      </w:r>
      <w:r w:rsidR="0029579C">
        <w:t>respondent</w:t>
      </w:r>
      <w:r w:rsidR="00EE784E">
        <w:t>’</w:t>
      </w:r>
      <w:r w:rsidR="003321FA">
        <w:t xml:space="preserve">s attempt to file </w:t>
      </w:r>
      <w:r w:rsidR="003321FA" w:rsidRPr="00494443">
        <w:t>Gonzales</w:t>
      </w:r>
      <w:r w:rsidR="00EE784E">
        <w:t>’</w:t>
      </w:r>
      <w:r w:rsidR="003321FA" w:rsidRPr="00494443">
        <w:t xml:space="preserve"> motion for rehearing </w:t>
      </w:r>
      <w:r w:rsidR="003321FA">
        <w:t xml:space="preserve">because </w:t>
      </w:r>
      <w:r w:rsidR="0029579C">
        <w:t>respondent</w:t>
      </w:r>
      <w:r w:rsidR="003321FA">
        <w:t xml:space="preserve"> was ineligible to practice law in California.</w:t>
      </w:r>
      <w:r>
        <w:t xml:space="preserve">  </w:t>
      </w:r>
      <w:r w:rsidR="003321FA" w:rsidRPr="00871C02">
        <w:t>Respondent knew, or was grossly negligent in not knowing, that he was suspended from the practice of law</w:t>
      </w:r>
      <w:r w:rsidR="003321FA">
        <w:rPr>
          <w:szCs w:val="24"/>
        </w:rPr>
        <w:t xml:space="preserve"> from October 16, 2008 to November 15, 2008</w:t>
      </w:r>
      <w:r w:rsidR="003321FA">
        <w:t>.</w:t>
      </w:r>
    </w:p>
    <w:p w:rsidR="00295BED" w:rsidRDefault="00295BED" w:rsidP="002F3BA4">
      <w:pPr>
        <w:pStyle w:val="DoubleSpacing"/>
        <w:tabs>
          <w:tab w:val="left" w:pos="720"/>
        </w:tabs>
      </w:pPr>
    </w:p>
    <w:p w:rsidR="00295BED" w:rsidRDefault="00295BED" w:rsidP="002F3BA4">
      <w:pPr>
        <w:pStyle w:val="DoubleSpacing"/>
        <w:tabs>
          <w:tab w:val="left" w:pos="720"/>
        </w:tabs>
      </w:pPr>
    </w:p>
    <w:p w:rsidR="00E632A2" w:rsidRPr="008628DD" w:rsidRDefault="00E632A2" w:rsidP="00DB7F79">
      <w:pPr>
        <w:pStyle w:val="DoubleSpacing"/>
        <w:tabs>
          <w:tab w:val="left" w:pos="1080"/>
        </w:tabs>
        <w:ind w:firstLine="1080"/>
        <w:rPr>
          <w:b/>
        </w:rPr>
      </w:pPr>
      <w:r w:rsidRPr="008628DD">
        <w:rPr>
          <w:b/>
        </w:rPr>
        <w:lastRenderedPageBreak/>
        <w:t>Conclusions of Law</w:t>
      </w:r>
    </w:p>
    <w:p w:rsidR="00E632A2" w:rsidRPr="00F0034E" w:rsidRDefault="00E632A2" w:rsidP="002849DE">
      <w:pPr>
        <w:pStyle w:val="DoubleSpacing"/>
        <w:tabs>
          <w:tab w:val="left" w:pos="1440"/>
        </w:tabs>
      </w:pPr>
      <w:r>
        <w:rPr>
          <w:b/>
        </w:rPr>
        <w:tab/>
        <w:t>Count 10.</w:t>
      </w:r>
      <w:r w:rsidR="00F0034E">
        <w:rPr>
          <w:b/>
        </w:rPr>
        <w:t xml:space="preserve">  </w:t>
      </w:r>
      <w:r w:rsidR="00F0034E">
        <w:t xml:space="preserve">By recording a </w:t>
      </w:r>
      <w:proofErr w:type="spellStart"/>
      <w:r w:rsidR="00F0034E">
        <w:t>lis</w:t>
      </w:r>
      <w:proofErr w:type="spellEnd"/>
      <w:r w:rsidR="00F0034E">
        <w:t xml:space="preserve"> </w:t>
      </w:r>
      <w:proofErr w:type="spellStart"/>
      <w:r w:rsidR="00F0034E">
        <w:t>pendens</w:t>
      </w:r>
      <w:proofErr w:type="spellEnd"/>
      <w:r w:rsidR="00F0034E">
        <w:t xml:space="preserve"> against the title of the La Mirada property </w:t>
      </w:r>
      <w:r w:rsidR="00CF6BEB">
        <w:t>on</w:t>
      </w:r>
      <w:r w:rsidR="00F0034E">
        <w:t xml:space="preserve"> April 18, 2008, without obtaining prior court approval, respondent </w:t>
      </w:r>
      <w:r w:rsidR="00112058">
        <w:t>willful</w:t>
      </w:r>
      <w:r w:rsidR="00F0034E">
        <w:t>ly violated or disobeyed a court order requiring him to do or forbear an act connected with or in the course of respondent</w:t>
      </w:r>
      <w:r w:rsidR="00EE784E">
        <w:t>’</w:t>
      </w:r>
      <w:r w:rsidR="00F0034E">
        <w:t>s profession which he ought in good faith to do or forbear</w:t>
      </w:r>
      <w:r w:rsidR="00A37572">
        <w:t>,</w:t>
      </w:r>
      <w:r w:rsidR="00F0034E" w:rsidRPr="00F0034E">
        <w:rPr>
          <w:szCs w:val="24"/>
        </w:rPr>
        <w:t xml:space="preserve"> </w:t>
      </w:r>
      <w:r w:rsidR="00F0034E">
        <w:rPr>
          <w:szCs w:val="24"/>
        </w:rPr>
        <w:t xml:space="preserve">willfully violating </w:t>
      </w:r>
      <w:r w:rsidR="00F0034E" w:rsidRPr="00340999">
        <w:rPr>
          <w:szCs w:val="24"/>
        </w:rPr>
        <w:t xml:space="preserve">Business and </w:t>
      </w:r>
      <w:r w:rsidR="000D4CB3">
        <w:rPr>
          <w:szCs w:val="24"/>
        </w:rPr>
        <w:t>Professions Code section</w:t>
      </w:r>
      <w:r w:rsidR="00F0034E">
        <w:rPr>
          <w:szCs w:val="24"/>
        </w:rPr>
        <w:t xml:space="preserve"> 6103.</w:t>
      </w:r>
      <w:r w:rsidR="00F0034E">
        <w:t xml:space="preserve">  </w:t>
      </w:r>
    </w:p>
    <w:p w:rsidR="00E632A2" w:rsidRDefault="00E632A2" w:rsidP="002849DE">
      <w:pPr>
        <w:pStyle w:val="DoubleSpacing"/>
        <w:tabs>
          <w:tab w:val="left" w:pos="1440"/>
        </w:tabs>
        <w:rPr>
          <w:szCs w:val="24"/>
        </w:rPr>
      </w:pPr>
      <w:r>
        <w:rPr>
          <w:b/>
        </w:rPr>
        <w:tab/>
        <w:t xml:space="preserve">Count 11.  </w:t>
      </w:r>
      <w:r w:rsidRPr="00315388">
        <w:rPr>
          <w:szCs w:val="24"/>
        </w:rPr>
        <w:t>By not reporting the sanctions that the court levied against him</w:t>
      </w:r>
      <w:r>
        <w:rPr>
          <w:szCs w:val="24"/>
        </w:rPr>
        <w:t>,</w:t>
      </w:r>
      <w:r w:rsidRPr="00315388">
        <w:rPr>
          <w:szCs w:val="24"/>
        </w:rPr>
        <w:t xml:space="preserve"> and against him and Gonzales, </w:t>
      </w:r>
      <w:r>
        <w:rPr>
          <w:szCs w:val="24"/>
        </w:rPr>
        <w:t>respondent</w:t>
      </w:r>
      <w:r w:rsidRPr="00315388">
        <w:rPr>
          <w:szCs w:val="24"/>
        </w:rPr>
        <w:t xml:space="preserve"> failed to </w:t>
      </w:r>
      <w:r w:rsidR="007E52A4">
        <w:rPr>
          <w:szCs w:val="24"/>
        </w:rPr>
        <w:t xml:space="preserve">properly </w:t>
      </w:r>
      <w:r w:rsidRPr="00315388">
        <w:rPr>
          <w:szCs w:val="24"/>
        </w:rPr>
        <w:t xml:space="preserve">report </w:t>
      </w:r>
      <w:r w:rsidR="007E52A4">
        <w:rPr>
          <w:szCs w:val="24"/>
        </w:rPr>
        <w:t xml:space="preserve">sanctions </w:t>
      </w:r>
      <w:r w:rsidRPr="00315388">
        <w:rPr>
          <w:szCs w:val="24"/>
        </w:rPr>
        <w:t xml:space="preserve">to the agency charged with attorney discipline, in writing, within 30 days of the time </w:t>
      </w:r>
      <w:r>
        <w:rPr>
          <w:szCs w:val="24"/>
        </w:rPr>
        <w:t>respondent</w:t>
      </w:r>
      <w:r w:rsidRPr="00315388">
        <w:rPr>
          <w:szCs w:val="24"/>
        </w:rPr>
        <w:t xml:space="preserve"> had knowledge of the imposition of </w:t>
      </w:r>
      <w:r w:rsidR="00A34B30">
        <w:rPr>
          <w:szCs w:val="24"/>
        </w:rPr>
        <w:t>the sanctions</w:t>
      </w:r>
      <w:r>
        <w:rPr>
          <w:szCs w:val="24"/>
        </w:rPr>
        <w:t xml:space="preserve">, </w:t>
      </w:r>
      <w:r w:rsidR="00A34B30">
        <w:rPr>
          <w:szCs w:val="24"/>
        </w:rPr>
        <w:t>in willful</w:t>
      </w:r>
      <w:r w:rsidR="001E54BE">
        <w:rPr>
          <w:szCs w:val="24"/>
        </w:rPr>
        <w:t xml:space="preserve"> violation of</w:t>
      </w:r>
      <w:r>
        <w:rPr>
          <w:szCs w:val="24"/>
        </w:rPr>
        <w:t xml:space="preserve"> </w:t>
      </w:r>
      <w:r w:rsidRPr="00340999">
        <w:rPr>
          <w:szCs w:val="24"/>
        </w:rPr>
        <w:t xml:space="preserve">Business and </w:t>
      </w:r>
      <w:r w:rsidR="000D4CB3">
        <w:rPr>
          <w:szCs w:val="24"/>
        </w:rPr>
        <w:t>Professions Code section</w:t>
      </w:r>
      <w:r w:rsidRPr="00340999">
        <w:rPr>
          <w:szCs w:val="24"/>
        </w:rPr>
        <w:t xml:space="preserve"> 6068</w:t>
      </w:r>
      <w:r w:rsidR="002849DE">
        <w:rPr>
          <w:szCs w:val="24"/>
        </w:rPr>
        <w:t xml:space="preserve">, subdivision </w:t>
      </w:r>
      <w:r w:rsidRPr="00340999">
        <w:rPr>
          <w:szCs w:val="24"/>
        </w:rPr>
        <w:t>(o)(3)</w:t>
      </w:r>
      <w:r>
        <w:rPr>
          <w:szCs w:val="24"/>
        </w:rPr>
        <w:t>.</w:t>
      </w:r>
    </w:p>
    <w:p w:rsidR="00E632A2" w:rsidRDefault="00E632A2" w:rsidP="002849DE">
      <w:pPr>
        <w:pStyle w:val="DoubleSpacing"/>
        <w:tabs>
          <w:tab w:val="left" w:pos="1440"/>
        </w:tabs>
      </w:pPr>
      <w:r>
        <w:rPr>
          <w:szCs w:val="24"/>
        </w:rPr>
        <w:tab/>
      </w:r>
      <w:r>
        <w:rPr>
          <w:b/>
          <w:szCs w:val="24"/>
        </w:rPr>
        <w:t xml:space="preserve">Count 12.  </w:t>
      </w:r>
      <w:r w:rsidRPr="00C92378">
        <w:t xml:space="preserve">By </w:t>
      </w:r>
      <w:r>
        <w:t xml:space="preserve">attempting to </w:t>
      </w:r>
      <w:r w:rsidRPr="00C92378">
        <w:t>fil</w:t>
      </w:r>
      <w:r>
        <w:t>e</w:t>
      </w:r>
      <w:r w:rsidRPr="00C92378">
        <w:t xml:space="preserve"> two motion</w:t>
      </w:r>
      <w:r>
        <w:t>s,</w:t>
      </w:r>
      <w:r w:rsidRPr="00C92378">
        <w:t xml:space="preserve"> </w:t>
      </w:r>
      <w:r>
        <w:t xml:space="preserve">on behalf of a client, </w:t>
      </w:r>
      <w:r w:rsidRPr="00C92378">
        <w:t xml:space="preserve">in the Court of Appeal when he was not an active member of the State Bar of California, </w:t>
      </w:r>
      <w:r>
        <w:t>respondent</w:t>
      </w:r>
      <w:r w:rsidRPr="00C92378">
        <w:t xml:space="preserve"> held </w:t>
      </w:r>
      <w:r>
        <w:t xml:space="preserve">himself out as entitled to practice law, and actually practiced law, when he was not an active member of the State Bar in violation of Business and Professions Code </w:t>
      </w:r>
      <w:r w:rsidR="000D4CB3">
        <w:t>sections</w:t>
      </w:r>
      <w:r>
        <w:t xml:space="preserve"> 6125 and 6126,</w:t>
      </w:r>
      <w:r w:rsidRPr="005B4D54">
        <w:t xml:space="preserve"> </w:t>
      </w:r>
      <w:r>
        <w:t xml:space="preserve">and thereby failed to comply with the laws of California, willfully violating Business and </w:t>
      </w:r>
      <w:r w:rsidR="000D4CB3">
        <w:t>Professions Code section</w:t>
      </w:r>
      <w:r>
        <w:t xml:space="preserve"> 6068</w:t>
      </w:r>
      <w:r w:rsidR="009D4CD5">
        <w:rPr>
          <w:szCs w:val="24"/>
        </w:rPr>
        <w:t xml:space="preserve">, subdivision </w:t>
      </w:r>
      <w:r>
        <w:t>(a).</w:t>
      </w:r>
    </w:p>
    <w:p w:rsidR="00E632A2" w:rsidRPr="00FC07B8" w:rsidRDefault="002849DE" w:rsidP="002849DE">
      <w:pPr>
        <w:pStyle w:val="DoubleSpacing"/>
        <w:tabs>
          <w:tab w:val="left" w:pos="1440"/>
        </w:tabs>
      </w:pPr>
      <w:r>
        <w:tab/>
      </w:r>
      <w:r w:rsidR="00E632A2">
        <w:rPr>
          <w:b/>
        </w:rPr>
        <w:t xml:space="preserve">Count 13.  </w:t>
      </w:r>
      <w:r w:rsidR="00E632A2">
        <w:rPr>
          <w:szCs w:val="24"/>
        </w:rPr>
        <w:t xml:space="preserve">By actually practicing law, when he knew, or was grossly negligent in not knowing, that he was not an active member of the State Bar, respondent </w:t>
      </w:r>
      <w:r w:rsidR="00E632A2" w:rsidRPr="003C1F3B">
        <w:rPr>
          <w:szCs w:val="24"/>
        </w:rPr>
        <w:t>committ</w:t>
      </w:r>
      <w:r w:rsidR="00E632A2">
        <w:rPr>
          <w:szCs w:val="24"/>
        </w:rPr>
        <w:t>ed</w:t>
      </w:r>
      <w:r w:rsidR="00E632A2" w:rsidRPr="003C1F3B">
        <w:rPr>
          <w:szCs w:val="24"/>
        </w:rPr>
        <w:t xml:space="preserve"> an act involving moral turpitude, dishonesty or corruption</w:t>
      </w:r>
      <w:r w:rsidR="00E632A2">
        <w:rPr>
          <w:szCs w:val="24"/>
        </w:rPr>
        <w:t xml:space="preserve">, willfully violating </w:t>
      </w:r>
      <w:r w:rsidR="00E632A2" w:rsidRPr="003C1F3B">
        <w:rPr>
          <w:szCs w:val="24"/>
        </w:rPr>
        <w:t xml:space="preserve">Business and </w:t>
      </w:r>
      <w:r w:rsidR="000D4CB3">
        <w:rPr>
          <w:szCs w:val="24"/>
        </w:rPr>
        <w:t>Professions Code section</w:t>
      </w:r>
      <w:r w:rsidR="00E632A2" w:rsidRPr="003C1F3B">
        <w:rPr>
          <w:szCs w:val="24"/>
        </w:rPr>
        <w:t xml:space="preserve"> 6106</w:t>
      </w:r>
      <w:r w:rsidR="00E632A2">
        <w:rPr>
          <w:szCs w:val="24"/>
        </w:rPr>
        <w:t>.</w:t>
      </w:r>
    </w:p>
    <w:p w:rsidR="003321FA" w:rsidRDefault="000F49C6" w:rsidP="003321FA">
      <w:pPr>
        <w:pStyle w:val="DoubleSpacing"/>
        <w:ind w:left="720"/>
      </w:pPr>
      <w:r>
        <w:rPr>
          <w:b/>
        </w:rPr>
        <w:t>F</w:t>
      </w:r>
      <w:r w:rsidR="003321FA">
        <w:rPr>
          <w:b/>
        </w:rPr>
        <w:t xml:space="preserve">.  </w:t>
      </w:r>
      <w:r w:rsidR="003321FA">
        <w:rPr>
          <w:b/>
          <w:u w:val="single"/>
        </w:rPr>
        <w:t>UCLA Law Library</w:t>
      </w:r>
      <w:r w:rsidR="003321FA" w:rsidRPr="00B425C3">
        <w:rPr>
          <w:b/>
          <w:u w:val="single"/>
        </w:rPr>
        <w:t xml:space="preserve"> Matter (Counts </w:t>
      </w:r>
      <w:r w:rsidR="00115958">
        <w:rPr>
          <w:b/>
          <w:u w:val="single"/>
        </w:rPr>
        <w:t>14</w:t>
      </w:r>
      <w:r w:rsidR="003321FA" w:rsidRPr="00B425C3">
        <w:rPr>
          <w:b/>
          <w:u w:val="single"/>
        </w:rPr>
        <w:t xml:space="preserve"> </w:t>
      </w:r>
      <w:r w:rsidR="003321FA">
        <w:rPr>
          <w:b/>
          <w:u w:val="single"/>
        </w:rPr>
        <w:t xml:space="preserve">and </w:t>
      </w:r>
      <w:r w:rsidR="00115958">
        <w:rPr>
          <w:b/>
          <w:u w:val="single"/>
        </w:rPr>
        <w:t>15</w:t>
      </w:r>
      <w:r w:rsidR="003321FA" w:rsidRPr="00B425C3">
        <w:rPr>
          <w:b/>
          <w:u w:val="single"/>
        </w:rPr>
        <w:t>)</w:t>
      </w:r>
    </w:p>
    <w:p w:rsidR="00C940DE" w:rsidRPr="008628DD" w:rsidRDefault="00C940DE" w:rsidP="00C940DE">
      <w:pPr>
        <w:pStyle w:val="DoubleSpacing"/>
        <w:ind w:left="720" w:firstLine="360"/>
      </w:pPr>
      <w:r w:rsidRPr="008628DD">
        <w:rPr>
          <w:b/>
          <w:szCs w:val="24"/>
        </w:rPr>
        <w:t>Findings of Fact</w:t>
      </w:r>
    </w:p>
    <w:p w:rsidR="003321FA" w:rsidRDefault="003321FA" w:rsidP="000F49C6">
      <w:pPr>
        <w:pStyle w:val="DoubleSpacing"/>
        <w:tabs>
          <w:tab w:val="left" w:pos="1260"/>
        </w:tabs>
        <w:ind w:firstLine="720"/>
      </w:pPr>
      <w:r>
        <w:t xml:space="preserve">On October 18, 2008, </w:t>
      </w:r>
      <w:r w:rsidR="0029579C">
        <w:t>respondent</w:t>
      </w:r>
      <w:r>
        <w:t xml:space="preserve"> created a disturbance at the UCLA law library and was removed from the library by UCLA police.</w:t>
      </w:r>
      <w:r w:rsidR="00E632A2">
        <w:t xml:space="preserve">  </w:t>
      </w:r>
      <w:r>
        <w:rPr>
          <w:szCs w:val="24"/>
        </w:rPr>
        <w:t xml:space="preserve">On October 22, 2008, </w:t>
      </w:r>
      <w:r w:rsidR="0029579C">
        <w:rPr>
          <w:szCs w:val="24"/>
        </w:rPr>
        <w:t>respondent</w:t>
      </w:r>
      <w:r>
        <w:rPr>
          <w:szCs w:val="24"/>
        </w:rPr>
        <w:t xml:space="preserve"> sent a demand letter to the UCLA library, on his law office </w:t>
      </w:r>
      <w:r w:rsidRPr="00871C02">
        <w:t>letterhead</w:t>
      </w:r>
      <w:r>
        <w:rPr>
          <w:szCs w:val="24"/>
        </w:rPr>
        <w:t xml:space="preserve">.  </w:t>
      </w:r>
      <w:r w:rsidRPr="00871C02">
        <w:t>Respondent</w:t>
      </w:r>
      <w:r w:rsidR="00EE784E">
        <w:t>’</w:t>
      </w:r>
      <w:r w:rsidRPr="00871C02">
        <w:t>s</w:t>
      </w:r>
      <w:r>
        <w:rPr>
          <w:szCs w:val="24"/>
        </w:rPr>
        <w:t xml:space="preserve"> law office letterhead identified </w:t>
      </w:r>
      <w:r w:rsidR="0029579C">
        <w:rPr>
          <w:szCs w:val="24"/>
        </w:rPr>
        <w:t>respondent</w:t>
      </w:r>
      <w:r>
        <w:rPr>
          <w:szCs w:val="24"/>
        </w:rPr>
        <w:t xml:space="preserve"> as an attorney.  Respondent</w:t>
      </w:r>
      <w:r w:rsidR="00EE784E">
        <w:rPr>
          <w:szCs w:val="24"/>
        </w:rPr>
        <w:t>’</w:t>
      </w:r>
      <w:r>
        <w:rPr>
          <w:szCs w:val="24"/>
        </w:rPr>
        <w:t xml:space="preserve">s letter demanded that the UCLA law library </w:t>
      </w:r>
      <w:r>
        <w:rPr>
          <w:szCs w:val="24"/>
        </w:rPr>
        <w:lastRenderedPageBreak/>
        <w:t>change its rules and reprimand a staff member.  Respondent threatened to sue the library if his demands weren</w:t>
      </w:r>
      <w:r w:rsidR="00EE784E">
        <w:rPr>
          <w:szCs w:val="24"/>
        </w:rPr>
        <w:t>’</w:t>
      </w:r>
      <w:r>
        <w:rPr>
          <w:szCs w:val="24"/>
        </w:rPr>
        <w:t>t met</w:t>
      </w:r>
      <w:r>
        <w:t>.</w:t>
      </w:r>
      <w:r w:rsidR="00E632A2">
        <w:t xml:space="preserve">  </w:t>
      </w:r>
      <w:r w:rsidRPr="00871C02">
        <w:t>Respondent</w:t>
      </w:r>
      <w:r>
        <w:rPr>
          <w:szCs w:val="24"/>
        </w:rPr>
        <w:t xml:space="preserve"> knew, or was grossly negligent in not knowing, that he was suspended from the practice of law from October 16, 2008 to November 15, 2008</w:t>
      </w:r>
      <w:r>
        <w:t>.</w:t>
      </w:r>
    </w:p>
    <w:p w:rsidR="00E632A2" w:rsidRPr="008628DD" w:rsidRDefault="00E632A2" w:rsidP="002F3BA4">
      <w:pPr>
        <w:pStyle w:val="DoubleSpacing"/>
        <w:tabs>
          <w:tab w:val="left" w:pos="1080"/>
        </w:tabs>
        <w:rPr>
          <w:b/>
        </w:rPr>
      </w:pPr>
      <w:r w:rsidRPr="008628DD">
        <w:rPr>
          <w:b/>
        </w:rPr>
        <w:tab/>
      </w:r>
      <w:r w:rsidR="002F3BA4" w:rsidRPr="008628DD">
        <w:rPr>
          <w:b/>
        </w:rPr>
        <w:t>Conclusions of Law</w:t>
      </w:r>
    </w:p>
    <w:p w:rsidR="00E90D1B" w:rsidRDefault="00E632A2" w:rsidP="00E90D1B">
      <w:pPr>
        <w:pStyle w:val="DoubleSpacing"/>
        <w:tabs>
          <w:tab w:val="left" w:pos="1260"/>
        </w:tabs>
        <w:rPr>
          <w:b/>
          <w:u w:val="single"/>
        </w:rPr>
      </w:pPr>
      <w:r>
        <w:rPr>
          <w:b/>
        </w:rPr>
        <w:tab/>
        <w:t xml:space="preserve">Count 14.  </w:t>
      </w:r>
      <w:r w:rsidRPr="00C92378">
        <w:t xml:space="preserve">By </w:t>
      </w:r>
      <w:r>
        <w:t>sending a demand letter to the UCLA law library on his law office letterhead, that identified him as an attorney, respondent</w:t>
      </w:r>
      <w:r w:rsidRPr="00C92378">
        <w:t xml:space="preserve"> held </w:t>
      </w:r>
      <w:r>
        <w:t xml:space="preserve">himself out as entitled to practice law, when he was not an active member of the State Bar in violation of Business and Professions Code </w:t>
      </w:r>
      <w:r w:rsidR="00030875">
        <w:t>sections</w:t>
      </w:r>
      <w:r>
        <w:t xml:space="preserve"> 6125 and 6126,</w:t>
      </w:r>
      <w:r w:rsidRPr="005B4D54">
        <w:t xml:space="preserve"> </w:t>
      </w:r>
      <w:r>
        <w:t>and thereby failed to comply with the laws of California,</w:t>
      </w:r>
      <w:r w:rsidRPr="00184D30">
        <w:t xml:space="preserve"> </w:t>
      </w:r>
      <w:r>
        <w:t xml:space="preserve">willfully violating Business and </w:t>
      </w:r>
      <w:r w:rsidR="000D4CB3">
        <w:t>Professions Code section</w:t>
      </w:r>
      <w:r>
        <w:t xml:space="preserve"> 6068</w:t>
      </w:r>
      <w:r w:rsidR="004B6810">
        <w:t xml:space="preserve">, subdivision </w:t>
      </w:r>
      <w:r>
        <w:t>(a).</w:t>
      </w:r>
      <w:r>
        <w:rPr>
          <w:b/>
        </w:rPr>
        <w:t xml:space="preserve"> </w:t>
      </w:r>
    </w:p>
    <w:p w:rsidR="00E632A2" w:rsidRPr="00E90D1B" w:rsidRDefault="00E90D1B" w:rsidP="00E90D1B">
      <w:pPr>
        <w:pStyle w:val="DoubleSpacing"/>
        <w:tabs>
          <w:tab w:val="left" w:pos="1260"/>
        </w:tabs>
        <w:rPr>
          <w:b/>
          <w:u w:val="single"/>
        </w:rPr>
      </w:pPr>
      <w:r>
        <w:rPr>
          <w:b/>
        </w:rPr>
        <w:tab/>
      </w:r>
      <w:r w:rsidR="00E632A2">
        <w:rPr>
          <w:b/>
        </w:rPr>
        <w:t xml:space="preserve">Count 15.  </w:t>
      </w:r>
      <w:r w:rsidR="00E632A2">
        <w:rPr>
          <w:szCs w:val="24"/>
        </w:rPr>
        <w:t>By knowing</w:t>
      </w:r>
      <w:r w:rsidR="00857338">
        <w:rPr>
          <w:szCs w:val="24"/>
        </w:rPr>
        <w:t>ly</w:t>
      </w:r>
      <w:r w:rsidR="00E632A2">
        <w:rPr>
          <w:szCs w:val="24"/>
        </w:rPr>
        <w:t xml:space="preserve"> holding himself out as entitled to practice law, when he knew, or was grossly negligent in not knowing, that he was not an active member of the State Bar, respondent </w:t>
      </w:r>
      <w:r w:rsidR="00E632A2" w:rsidRPr="003C1F3B">
        <w:rPr>
          <w:szCs w:val="24"/>
        </w:rPr>
        <w:t>committ</w:t>
      </w:r>
      <w:r w:rsidR="00E632A2">
        <w:rPr>
          <w:szCs w:val="24"/>
        </w:rPr>
        <w:t>ed</w:t>
      </w:r>
      <w:r w:rsidR="00E632A2" w:rsidRPr="003C1F3B">
        <w:rPr>
          <w:szCs w:val="24"/>
        </w:rPr>
        <w:t xml:space="preserve"> an act involving moral turpitude, dishonesty or corruption</w:t>
      </w:r>
      <w:r w:rsidR="00E632A2">
        <w:rPr>
          <w:szCs w:val="24"/>
        </w:rPr>
        <w:t xml:space="preserve">, willfully violating </w:t>
      </w:r>
      <w:r w:rsidR="00E632A2" w:rsidRPr="003C1F3B">
        <w:rPr>
          <w:szCs w:val="24"/>
        </w:rPr>
        <w:t xml:space="preserve">Business and </w:t>
      </w:r>
      <w:r w:rsidR="000D4CB3">
        <w:rPr>
          <w:szCs w:val="24"/>
        </w:rPr>
        <w:t>Professions Code section</w:t>
      </w:r>
      <w:r w:rsidR="00E632A2" w:rsidRPr="003C1F3B">
        <w:rPr>
          <w:szCs w:val="24"/>
        </w:rPr>
        <w:t xml:space="preserve"> 6106</w:t>
      </w:r>
      <w:r w:rsidR="00E632A2">
        <w:rPr>
          <w:szCs w:val="24"/>
        </w:rPr>
        <w:t>.</w:t>
      </w:r>
    </w:p>
    <w:p w:rsidR="003321FA" w:rsidRPr="002F3BA4" w:rsidRDefault="002F3BA4" w:rsidP="003321FA">
      <w:pPr>
        <w:pStyle w:val="DoubleSpacing"/>
        <w:rPr>
          <w:b/>
        </w:rPr>
      </w:pPr>
      <w:r w:rsidRPr="002F3BA4">
        <w:rPr>
          <w:b/>
        </w:rPr>
        <w:tab/>
        <w:t>G</w:t>
      </w:r>
      <w:r w:rsidR="003321FA" w:rsidRPr="002F3BA4">
        <w:rPr>
          <w:b/>
        </w:rPr>
        <w:t xml:space="preserve">.  </w:t>
      </w:r>
      <w:r w:rsidR="003321FA" w:rsidRPr="002F3BA4">
        <w:rPr>
          <w:b/>
          <w:szCs w:val="24"/>
          <w:u w:val="single"/>
        </w:rPr>
        <w:t xml:space="preserve">Peter </w:t>
      </w:r>
      <w:proofErr w:type="spellStart"/>
      <w:r w:rsidR="003321FA" w:rsidRPr="002F3BA4">
        <w:rPr>
          <w:b/>
          <w:szCs w:val="24"/>
          <w:u w:val="single"/>
        </w:rPr>
        <w:t>Berrocal</w:t>
      </w:r>
      <w:proofErr w:type="spellEnd"/>
      <w:r w:rsidR="003321FA" w:rsidRPr="002F3BA4">
        <w:rPr>
          <w:b/>
          <w:szCs w:val="24"/>
          <w:u w:val="single"/>
        </w:rPr>
        <w:t xml:space="preserve"> Matter (Counts </w:t>
      </w:r>
      <w:r w:rsidR="00115958" w:rsidRPr="002F3BA4">
        <w:rPr>
          <w:b/>
          <w:szCs w:val="24"/>
          <w:u w:val="single"/>
        </w:rPr>
        <w:t>16</w:t>
      </w:r>
      <w:r w:rsidR="003321FA" w:rsidRPr="002F3BA4">
        <w:rPr>
          <w:b/>
          <w:szCs w:val="24"/>
          <w:u w:val="single"/>
        </w:rPr>
        <w:t xml:space="preserve"> and </w:t>
      </w:r>
      <w:r w:rsidR="00115958" w:rsidRPr="002F3BA4">
        <w:rPr>
          <w:b/>
          <w:szCs w:val="24"/>
          <w:u w:val="single"/>
        </w:rPr>
        <w:t>17</w:t>
      </w:r>
      <w:r w:rsidR="003321FA" w:rsidRPr="002F3BA4">
        <w:rPr>
          <w:b/>
          <w:szCs w:val="24"/>
          <w:u w:val="single"/>
        </w:rPr>
        <w:t>)</w:t>
      </w:r>
    </w:p>
    <w:p w:rsidR="00C940DE" w:rsidRPr="0057291F" w:rsidRDefault="00C940DE" w:rsidP="00C940DE">
      <w:pPr>
        <w:pStyle w:val="DoubleSpacing"/>
        <w:ind w:left="720" w:firstLine="360"/>
      </w:pPr>
      <w:r w:rsidRPr="0057291F">
        <w:rPr>
          <w:b/>
          <w:szCs w:val="24"/>
        </w:rPr>
        <w:t>Findings of Fact</w:t>
      </w:r>
    </w:p>
    <w:p w:rsidR="003321FA" w:rsidRDefault="00E90D1B" w:rsidP="00E90D1B">
      <w:pPr>
        <w:pStyle w:val="DoubleSpacing"/>
        <w:tabs>
          <w:tab w:val="left" w:pos="720"/>
        </w:tabs>
      </w:pPr>
      <w:r>
        <w:tab/>
      </w:r>
      <w:r w:rsidR="003321FA">
        <w:t xml:space="preserve">On November 3, 2008, </w:t>
      </w:r>
      <w:r w:rsidR="0029579C">
        <w:t>respondent</w:t>
      </w:r>
      <w:r w:rsidR="003321FA">
        <w:t xml:space="preserve"> represented Peter </w:t>
      </w:r>
      <w:proofErr w:type="spellStart"/>
      <w:r w:rsidR="003321FA">
        <w:t>Berrocal</w:t>
      </w:r>
      <w:proofErr w:type="spellEnd"/>
      <w:r w:rsidR="003321FA">
        <w:t xml:space="preserve"> and Mr. </w:t>
      </w:r>
      <w:proofErr w:type="spellStart"/>
      <w:r w:rsidR="003321FA">
        <w:t>Berrocal</w:t>
      </w:r>
      <w:r w:rsidR="00EE784E">
        <w:t>’</w:t>
      </w:r>
      <w:r w:rsidR="003321FA">
        <w:t>s</w:t>
      </w:r>
      <w:proofErr w:type="spellEnd"/>
      <w:r w:rsidR="003321FA">
        <w:t xml:space="preserve"> business, the </w:t>
      </w:r>
      <w:proofErr w:type="spellStart"/>
      <w:r w:rsidR="003321FA">
        <w:t>NAZCA</w:t>
      </w:r>
      <w:proofErr w:type="spellEnd"/>
      <w:r w:rsidR="003321FA">
        <w:t xml:space="preserve"> </w:t>
      </w:r>
      <w:r w:rsidR="00E370E4">
        <w:t>Corporation</w:t>
      </w:r>
      <w:r w:rsidR="003321FA">
        <w:t>, in a bankruptcy matter.</w:t>
      </w:r>
      <w:r>
        <w:t xml:space="preserve">  </w:t>
      </w:r>
      <w:r w:rsidR="003321FA">
        <w:t xml:space="preserve">On November 3, 2008, </w:t>
      </w:r>
      <w:r w:rsidR="0029579C">
        <w:t>respondent</w:t>
      </w:r>
      <w:r w:rsidR="003321FA">
        <w:t xml:space="preserve"> filed a petition for chapter 11 bankruptcy, in the Central District of the United States Bankruptcy Court, on behalf of Mr. </w:t>
      </w:r>
      <w:proofErr w:type="spellStart"/>
      <w:r w:rsidR="003321FA">
        <w:t>Berrocal</w:t>
      </w:r>
      <w:proofErr w:type="spellEnd"/>
      <w:r w:rsidR="003321FA">
        <w:t xml:space="preserve"> and </w:t>
      </w:r>
      <w:proofErr w:type="spellStart"/>
      <w:r w:rsidR="003321FA">
        <w:t>NAZCA</w:t>
      </w:r>
      <w:proofErr w:type="spellEnd"/>
      <w:r w:rsidR="003321FA">
        <w:t xml:space="preserve"> </w:t>
      </w:r>
      <w:r w:rsidR="004F37EC">
        <w:t>C</w:t>
      </w:r>
      <w:r w:rsidR="003321FA">
        <w:t>orporation, bankruptcy case number 2:08-28574-</w:t>
      </w:r>
      <w:proofErr w:type="spellStart"/>
      <w:r w:rsidR="003321FA">
        <w:t>VK</w:t>
      </w:r>
      <w:proofErr w:type="spellEnd"/>
      <w:r w:rsidR="003321FA">
        <w:t>.</w:t>
      </w:r>
    </w:p>
    <w:p w:rsidR="003321FA" w:rsidRDefault="00E90D1B" w:rsidP="00E90D1B">
      <w:pPr>
        <w:pStyle w:val="DoubleSpacing"/>
        <w:tabs>
          <w:tab w:val="left" w:pos="720"/>
        </w:tabs>
      </w:pPr>
      <w:r>
        <w:tab/>
      </w:r>
      <w:r w:rsidR="003321FA" w:rsidRPr="00871C02">
        <w:t>Respondent</w:t>
      </w:r>
      <w:r w:rsidR="003321FA">
        <w:rPr>
          <w:szCs w:val="24"/>
        </w:rPr>
        <w:t xml:space="preserve"> knew, or was grossly negligent in not knowing, that he was suspended from the practice of law from October 16, 2008 to November 15, 2008</w:t>
      </w:r>
      <w:r w:rsidR="003321FA">
        <w:t>.</w:t>
      </w:r>
    </w:p>
    <w:p w:rsidR="00E90D1B" w:rsidRPr="0057291F" w:rsidRDefault="00E53F2A" w:rsidP="00C940DE">
      <w:pPr>
        <w:pStyle w:val="DoubleSpacing"/>
        <w:tabs>
          <w:tab w:val="left" w:pos="720"/>
        </w:tabs>
        <w:ind w:firstLine="1080"/>
        <w:rPr>
          <w:b/>
        </w:rPr>
      </w:pPr>
      <w:r w:rsidRPr="0057291F">
        <w:rPr>
          <w:b/>
        </w:rPr>
        <w:t>Conclusions of Law</w:t>
      </w:r>
    </w:p>
    <w:p w:rsidR="00E90D1B" w:rsidRDefault="00E90D1B" w:rsidP="00E90D1B">
      <w:pPr>
        <w:pStyle w:val="DoubleSpacing"/>
        <w:tabs>
          <w:tab w:val="left" w:pos="720"/>
        </w:tabs>
        <w:rPr>
          <w:b/>
        </w:rPr>
      </w:pPr>
      <w:r>
        <w:rPr>
          <w:b/>
        </w:rPr>
        <w:tab/>
      </w:r>
      <w:r>
        <w:rPr>
          <w:b/>
        </w:rPr>
        <w:tab/>
        <w:t xml:space="preserve">Count 16.  </w:t>
      </w:r>
      <w:r w:rsidRPr="00C92378">
        <w:t xml:space="preserve">By </w:t>
      </w:r>
      <w:r>
        <w:t>filing a bankruptcy petition, respondent</w:t>
      </w:r>
      <w:r w:rsidRPr="00C92378">
        <w:t xml:space="preserve"> held </w:t>
      </w:r>
      <w:r>
        <w:t xml:space="preserve">himself out as entitled to practice law, and actually practiced law, when he was not an active member of the State Bar in violation of Business and Professions Code </w:t>
      </w:r>
      <w:r w:rsidR="00030875">
        <w:t>sections</w:t>
      </w:r>
      <w:r>
        <w:t xml:space="preserve"> 6125 and 6126,</w:t>
      </w:r>
      <w:r w:rsidRPr="005B4D54">
        <w:t xml:space="preserve"> </w:t>
      </w:r>
      <w:r>
        <w:t xml:space="preserve">and thereby failed to </w:t>
      </w:r>
      <w:r>
        <w:lastRenderedPageBreak/>
        <w:t>comply with the laws of California,</w:t>
      </w:r>
      <w:r w:rsidRPr="00184D30">
        <w:t xml:space="preserve"> </w:t>
      </w:r>
      <w:r>
        <w:t xml:space="preserve">willfully violating Business and </w:t>
      </w:r>
      <w:r w:rsidR="000D4CB3">
        <w:t>Professions Code section</w:t>
      </w:r>
      <w:r>
        <w:t xml:space="preserve"> 6068</w:t>
      </w:r>
      <w:r w:rsidR="004134D0">
        <w:t xml:space="preserve">, subdivision </w:t>
      </w:r>
      <w:r>
        <w:t>(a).</w:t>
      </w:r>
    </w:p>
    <w:p w:rsidR="00E90D1B" w:rsidRPr="00E90D1B" w:rsidRDefault="00E90D1B" w:rsidP="00E90D1B">
      <w:pPr>
        <w:pStyle w:val="DoubleSpacing"/>
        <w:tabs>
          <w:tab w:val="left" w:pos="720"/>
        </w:tabs>
        <w:rPr>
          <w:b/>
        </w:rPr>
      </w:pPr>
      <w:r>
        <w:rPr>
          <w:b/>
        </w:rPr>
        <w:tab/>
      </w:r>
      <w:r>
        <w:rPr>
          <w:b/>
        </w:rPr>
        <w:tab/>
        <w:t xml:space="preserve">Count 17.  </w:t>
      </w:r>
      <w:r>
        <w:rPr>
          <w:szCs w:val="24"/>
        </w:rPr>
        <w:t xml:space="preserve">By filing a bankruptcy petition when he knew, or was grossly negligent in not knowing, that he was not an active member of the State Bar, respondent </w:t>
      </w:r>
      <w:r w:rsidRPr="003C1F3B">
        <w:rPr>
          <w:szCs w:val="24"/>
        </w:rPr>
        <w:t>committ</w:t>
      </w:r>
      <w:r>
        <w:rPr>
          <w:szCs w:val="24"/>
        </w:rPr>
        <w:t>ed</w:t>
      </w:r>
      <w:r w:rsidRPr="003C1F3B">
        <w:rPr>
          <w:szCs w:val="24"/>
        </w:rPr>
        <w:t xml:space="preserve"> an act involving moral turpitude, dishonesty or corruption</w:t>
      </w:r>
      <w:r>
        <w:rPr>
          <w:szCs w:val="24"/>
        </w:rPr>
        <w:t xml:space="preserve">, willfully violating </w:t>
      </w:r>
      <w:r w:rsidRPr="003C1F3B">
        <w:rPr>
          <w:szCs w:val="24"/>
        </w:rPr>
        <w:t xml:space="preserve">Business and </w:t>
      </w:r>
      <w:r w:rsidR="000D4CB3">
        <w:rPr>
          <w:szCs w:val="24"/>
        </w:rPr>
        <w:t>Professions Code section</w:t>
      </w:r>
      <w:r w:rsidRPr="003C1F3B">
        <w:rPr>
          <w:szCs w:val="24"/>
        </w:rPr>
        <w:t xml:space="preserve"> 6106</w:t>
      </w:r>
      <w:r>
        <w:rPr>
          <w:szCs w:val="24"/>
        </w:rPr>
        <w:t>.</w:t>
      </w:r>
    </w:p>
    <w:p w:rsidR="003321FA" w:rsidRDefault="00775D15" w:rsidP="003321FA">
      <w:pPr>
        <w:pStyle w:val="DoubleSpacing"/>
        <w:ind w:left="720"/>
      </w:pPr>
      <w:r>
        <w:rPr>
          <w:b/>
        </w:rPr>
        <w:t>H</w:t>
      </w:r>
      <w:r w:rsidR="003321FA">
        <w:rPr>
          <w:b/>
        </w:rPr>
        <w:t xml:space="preserve">.  </w:t>
      </w:r>
      <w:r w:rsidR="003321FA">
        <w:rPr>
          <w:b/>
          <w:u w:val="single"/>
        </w:rPr>
        <w:t>Client Trust Account Violation</w:t>
      </w:r>
      <w:r w:rsidR="003321FA" w:rsidRPr="00B425C3">
        <w:rPr>
          <w:b/>
          <w:u w:val="single"/>
        </w:rPr>
        <w:t xml:space="preserve"> Matter</w:t>
      </w:r>
      <w:r w:rsidR="003321FA">
        <w:rPr>
          <w:b/>
          <w:u w:val="single"/>
        </w:rPr>
        <w:t>s</w:t>
      </w:r>
      <w:r w:rsidR="003321FA" w:rsidRPr="00B425C3">
        <w:rPr>
          <w:b/>
          <w:u w:val="single"/>
        </w:rPr>
        <w:t xml:space="preserve"> (Counts </w:t>
      </w:r>
      <w:r w:rsidR="00115958">
        <w:rPr>
          <w:b/>
          <w:u w:val="single"/>
        </w:rPr>
        <w:t>18</w:t>
      </w:r>
      <w:r w:rsidR="002A4967">
        <w:rPr>
          <w:b/>
          <w:u w:val="single"/>
        </w:rPr>
        <w:t xml:space="preserve"> through</w:t>
      </w:r>
      <w:r w:rsidR="00DC5E1E">
        <w:rPr>
          <w:b/>
          <w:u w:val="single"/>
        </w:rPr>
        <w:t xml:space="preserve"> 20</w:t>
      </w:r>
      <w:r w:rsidR="003321FA" w:rsidRPr="00B425C3">
        <w:rPr>
          <w:b/>
          <w:u w:val="single"/>
        </w:rPr>
        <w:t>)</w:t>
      </w:r>
    </w:p>
    <w:p w:rsidR="00775D15" w:rsidRPr="0057291F" w:rsidRDefault="00775D15" w:rsidP="00775D15">
      <w:pPr>
        <w:pStyle w:val="DoubleSpacing"/>
        <w:ind w:left="720" w:firstLine="360"/>
      </w:pPr>
      <w:r w:rsidRPr="0057291F">
        <w:rPr>
          <w:b/>
          <w:szCs w:val="24"/>
        </w:rPr>
        <w:t>Findings of Fact</w:t>
      </w:r>
    </w:p>
    <w:p w:rsidR="003321FA" w:rsidRDefault="00A37572" w:rsidP="00775D15">
      <w:pPr>
        <w:pStyle w:val="DoubleSpacing"/>
        <w:tabs>
          <w:tab w:val="left" w:pos="720"/>
        </w:tabs>
      </w:pPr>
      <w:r>
        <w:rPr>
          <w:szCs w:val="24"/>
        </w:rPr>
        <w:tab/>
      </w:r>
      <w:r w:rsidR="003321FA" w:rsidRPr="003C1F3B">
        <w:rPr>
          <w:szCs w:val="24"/>
        </w:rPr>
        <w:t xml:space="preserve">At all times </w:t>
      </w:r>
      <w:r w:rsidR="003321FA" w:rsidRPr="00871C02">
        <w:t>relevant</w:t>
      </w:r>
      <w:r w:rsidR="003321FA" w:rsidRPr="003C1F3B">
        <w:rPr>
          <w:szCs w:val="24"/>
        </w:rPr>
        <w:t xml:space="preserve"> to the events alleged </w:t>
      </w:r>
      <w:r w:rsidR="002706F2">
        <w:rPr>
          <w:szCs w:val="24"/>
        </w:rPr>
        <w:t>below</w:t>
      </w:r>
      <w:r w:rsidR="003321FA" w:rsidRPr="003C1F3B">
        <w:rPr>
          <w:szCs w:val="24"/>
        </w:rPr>
        <w:t xml:space="preserve">, </w:t>
      </w:r>
      <w:r w:rsidR="0029579C">
        <w:rPr>
          <w:szCs w:val="24"/>
        </w:rPr>
        <w:t>respondent</w:t>
      </w:r>
      <w:r w:rsidR="003321FA" w:rsidRPr="003C1F3B">
        <w:rPr>
          <w:szCs w:val="24"/>
        </w:rPr>
        <w:t xml:space="preserve"> maintained a Client Trust Account at </w:t>
      </w:r>
      <w:r w:rsidR="003321FA">
        <w:rPr>
          <w:szCs w:val="24"/>
        </w:rPr>
        <w:t>Citib</w:t>
      </w:r>
      <w:r w:rsidR="003321FA" w:rsidRPr="003C1F3B">
        <w:rPr>
          <w:szCs w:val="24"/>
        </w:rPr>
        <w:t xml:space="preserve">ank, </w:t>
      </w:r>
      <w:r w:rsidR="003321FA">
        <w:rPr>
          <w:szCs w:val="24"/>
        </w:rPr>
        <w:t>a</w:t>
      </w:r>
      <w:r w:rsidR="003321FA" w:rsidRPr="003C1F3B">
        <w:rPr>
          <w:szCs w:val="24"/>
        </w:rPr>
        <w:t xml:space="preserve">ccount </w:t>
      </w:r>
      <w:r w:rsidR="003321FA">
        <w:rPr>
          <w:szCs w:val="24"/>
        </w:rPr>
        <w:t>n</w:t>
      </w:r>
      <w:r w:rsidR="003321FA" w:rsidRPr="003C1F3B">
        <w:rPr>
          <w:szCs w:val="24"/>
        </w:rPr>
        <w:t xml:space="preserve">o. </w:t>
      </w:r>
      <w:r w:rsidR="003321FA">
        <w:rPr>
          <w:szCs w:val="24"/>
        </w:rPr>
        <w:t>*****1291</w:t>
      </w:r>
      <w:r w:rsidR="003321FA" w:rsidRPr="003C1F3B">
        <w:rPr>
          <w:szCs w:val="24"/>
        </w:rPr>
        <w:t xml:space="preserve"> (</w:t>
      </w:r>
      <w:r w:rsidR="005A6B3E">
        <w:rPr>
          <w:szCs w:val="24"/>
        </w:rPr>
        <w:t xml:space="preserve">Citibank </w:t>
      </w:r>
      <w:r w:rsidR="003321FA" w:rsidRPr="003C1F3B">
        <w:rPr>
          <w:szCs w:val="24"/>
        </w:rPr>
        <w:t xml:space="preserve">CTA).  Respondent did not maintain any other </w:t>
      </w:r>
      <w:r w:rsidR="004335B0">
        <w:rPr>
          <w:szCs w:val="24"/>
        </w:rPr>
        <w:t>client trust account</w:t>
      </w:r>
      <w:r w:rsidR="008733A2">
        <w:rPr>
          <w:szCs w:val="24"/>
        </w:rPr>
        <w:t xml:space="preserve"> during this time period</w:t>
      </w:r>
      <w:r w:rsidR="003321FA">
        <w:t>.</w:t>
      </w:r>
    </w:p>
    <w:p w:rsidR="003321FA" w:rsidRDefault="00A37572" w:rsidP="00480F41">
      <w:pPr>
        <w:pStyle w:val="DoubleSpacing"/>
        <w:tabs>
          <w:tab w:val="left" w:pos="720"/>
        </w:tabs>
      </w:pPr>
      <w:r>
        <w:tab/>
      </w:r>
      <w:r w:rsidR="003321FA">
        <w:t xml:space="preserve">Between October 1, 2008 and October 30, 2008, </w:t>
      </w:r>
      <w:r w:rsidR="0029579C">
        <w:t>respondent</w:t>
      </w:r>
      <w:r w:rsidR="003321FA">
        <w:t xml:space="preserve"> repeatedly issued checks drawn upon </w:t>
      </w:r>
      <w:r w:rsidR="0029579C">
        <w:t>respondent</w:t>
      </w:r>
      <w:r w:rsidR="00EE784E">
        <w:t>’</w:t>
      </w:r>
      <w:r w:rsidR="003321FA">
        <w:t xml:space="preserve">s </w:t>
      </w:r>
      <w:r w:rsidR="005A6B3E">
        <w:rPr>
          <w:szCs w:val="24"/>
        </w:rPr>
        <w:t xml:space="preserve">Citibank </w:t>
      </w:r>
      <w:r w:rsidR="005A6B3E" w:rsidRPr="003C1F3B">
        <w:rPr>
          <w:szCs w:val="24"/>
        </w:rPr>
        <w:t>CTA</w:t>
      </w:r>
      <w:r w:rsidR="003321FA">
        <w:t xml:space="preserve"> against insufficient funds, including but not limited to:</w:t>
      </w:r>
    </w:p>
    <w:p w:rsidR="00510CB6" w:rsidRDefault="00510CB6" w:rsidP="00B369AF">
      <w:pPr>
        <w:pStyle w:val="DoubleSpacing"/>
        <w:tabs>
          <w:tab w:val="left" w:pos="1260"/>
        </w:tabs>
        <w:spacing w:line="240" w:lineRule="auto"/>
      </w:pPr>
    </w:p>
    <w:tbl>
      <w:tblPr>
        <w:tblW w:w="0" w:type="auto"/>
        <w:jc w:val="center"/>
        <w:tblLook w:val="04A0"/>
      </w:tblPr>
      <w:tblGrid>
        <w:gridCol w:w="1575"/>
        <w:gridCol w:w="1881"/>
        <w:gridCol w:w="1440"/>
        <w:gridCol w:w="1899"/>
        <w:gridCol w:w="2115"/>
      </w:tblGrid>
      <w:tr w:rsidR="003321FA" w:rsidRPr="00291092" w:rsidTr="00517B6D">
        <w:trPr>
          <w:jc w:val="center"/>
        </w:trPr>
        <w:tc>
          <w:tcPr>
            <w:tcW w:w="1575" w:type="dxa"/>
          </w:tcPr>
          <w:p w:rsidR="003321FA" w:rsidRPr="00291092" w:rsidRDefault="003321FA" w:rsidP="00335A6E">
            <w:pPr>
              <w:pStyle w:val="Heading1"/>
              <w:spacing w:line="240" w:lineRule="exact"/>
              <w:rPr>
                <w:u w:val="single"/>
              </w:rPr>
            </w:pPr>
            <w:r w:rsidRPr="00291092">
              <w:rPr>
                <w:u w:val="single"/>
              </w:rPr>
              <w:t>Check no.</w:t>
            </w:r>
          </w:p>
        </w:tc>
        <w:tc>
          <w:tcPr>
            <w:tcW w:w="1881" w:type="dxa"/>
          </w:tcPr>
          <w:p w:rsidR="003321FA" w:rsidRPr="00291092" w:rsidRDefault="003321FA" w:rsidP="00335A6E">
            <w:pPr>
              <w:pStyle w:val="Heading1"/>
              <w:spacing w:line="240" w:lineRule="exact"/>
              <w:rPr>
                <w:u w:val="single"/>
              </w:rPr>
            </w:pPr>
            <w:r w:rsidRPr="00291092">
              <w:rPr>
                <w:u w:val="single"/>
              </w:rPr>
              <w:t>Bank Action</w:t>
            </w:r>
          </w:p>
        </w:tc>
        <w:tc>
          <w:tcPr>
            <w:tcW w:w="1440" w:type="dxa"/>
          </w:tcPr>
          <w:p w:rsidR="003321FA" w:rsidRPr="00291092" w:rsidRDefault="003321FA" w:rsidP="00335A6E">
            <w:pPr>
              <w:pStyle w:val="Heading1"/>
              <w:spacing w:line="240" w:lineRule="exact"/>
              <w:rPr>
                <w:u w:val="single"/>
              </w:rPr>
            </w:pPr>
            <w:r w:rsidRPr="00291092">
              <w:rPr>
                <w:u w:val="single"/>
              </w:rPr>
              <w:t>Amount</w:t>
            </w:r>
          </w:p>
        </w:tc>
        <w:tc>
          <w:tcPr>
            <w:tcW w:w="1899" w:type="dxa"/>
          </w:tcPr>
          <w:p w:rsidR="003321FA" w:rsidRPr="00291092" w:rsidRDefault="003321FA" w:rsidP="00335A6E">
            <w:pPr>
              <w:pStyle w:val="Heading1"/>
              <w:spacing w:line="240" w:lineRule="exact"/>
              <w:rPr>
                <w:u w:val="single"/>
              </w:rPr>
            </w:pPr>
            <w:r w:rsidRPr="00291092">
              <w:rPr>
                <w:u w:val="single"/>
              </w:rPr>
              <w:t>Date Presented</w:t>
            </w:r>
          </w:p>
        </w:tc>
        <w:tc>
          <w:tcPr>
            <w:tcW w:w="2115" w:type="dxa"/>
          </w:tcPr>
          <w:p w:rsidR="003321FA" w:rsidRPr="00291092" w:rsidRDefault="003321FA" w:rsidP="00335A6E">
            <w:pPr>
              <w:pStyle w:val="Heading1"/>
              <w:spacing w:line="240" w:lineRule="exact"/>
              <w:rPr>
                <w:u w:val="single"/>
              </w:rPr>
            </w:pPr>
            <w:r w:rsidRPr="00291092">
              <w:rPr>
                <w:u w:val="single"/>
              </w:rPr>
              <w:t>Account Balance</w:t>
            </w:r>
          </w:p>
        </w:tc>
      </w:tr>
      <w:tr w:rsidR="003321FA" w:rsidRPr="00B425C3" w:rsidTr="00517B6D">
        <w:trPr>
          <w:jc w:val="center"/>
        </w:trPr>
        <w:tc>
          <w:tcPr>
            <w:tcW w:w="1575"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1016</w:t>
            </w:r>
          </w:p>
        </w:tc>
        <w:tc>
          <w:tcPr>
            <w:tcW w:w="1881"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Returned</w:t>
            </w:r>
          </w:p>
        </w:tc>
        <w:tc>
          <w:tcPr>
            <w:tcW w:w="1440"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$21,275.00</w:t>
            </w:r>
          </w:p>
        </w:tc>
        <w:tc>
          <w:tcPr>
            <w:tcW w:w="1899"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10/15/08</w:t>
            </w:r>
          </w:p>
        </w:tc>
        <w:tc>
          <w:tcPr>
            <w:tcW w:w="2115" w:type="dxa"/>
            <w:vAlign w:val="center"/>
          </w:tcPr>
          <w:p w:rsidR="003321FA" w:rsidRPr="00B425C3" w:rsidRDefault="003321FA" w:rsidP="00335A6E">
            <w:pPr>
              <w:pStyle w:val="BodyText2"/>
              <w:widowControl w:val="0"/>
              <w:spacing w:line="240" w:lineRule="exact"/>
              <w:jc w:val="center"/>
              <w:rPr>
                <w:lang w:val="en-US"/>
              </w:rPr>
            </w:pPr>
            <w:r w:rsidRPr="00B425C3">
              <w:rPr>
                <w:lang w:val="en-US"/>
              </w:rPr>
              <w:t>$4,794.01</w:t>
            </w:r>
          </w:p>
        </w:tc>
      </w:tr>
      <w:tr w:rsidR="003321FA" w:rsidRPr="00B425C3" w:rsidTr="00517B6D">
        <w:trPr>
          <w:jc w:val="center"/>
        </w:trPr>
        <w:tc>
          <w:tcPr>
            <w:tcW w:w="1575"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1032</w:t>
            </w:r>
          </w:p>
        </w:tc>
        <w:tc>
          <w:tcPr>
            <w:tcW w:w="1881"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Returned</w:t>
            </w:r>
          </w:p>
        </w:tc>
        <w:tc>
          <w:tcPr>
            <w:tcW w:w="1440" w:type="dxa"/>
            <w:vAlign w:val="center"/>
          </w:tcPr>
          <w:p w:rsidR="003321FA" w:rsidRPr="00B425C3" w:rsidRDefault="00C7648A" w:rsidP="00335A6E">
            <w:pPr>
              <w:pStyle w:val="BodyText2"/>
              <w:widowControl w:val="0"/>
              <w:tabs>
                <w:tab w:val="left" w:pos="810"/>
              </w:tabs>
              <w:spacing w:line="240" w:lineRule="exact"/>
              <w:jc w:val="center"/>
              <w:rPr>
                <w:lang w:val="en-US"/>
              </w:rPr>
            </w:pPr>
            <w:r>
              <w:rPr>
                <w:lang w:val="en-US"/>
              </w:rPr>
              <w:t>$175.6</w:t>
            </w:r>
            <w:r w:rsidR="003321FA" w:rsidRPr="00B425C3">
              <w:rPr>
                <w:lang w:val="en-US"/>
              </w:rPr>
              <w:t>1</w:t>
            </w:r>
          </w:p>
        </w:tc>
        <w:tc>
          <w:tcPr>
            <w:tcW w:w="1899"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10/27/08</w:t>
            </w:r>
          </w:p>
        </w:tc>
        <w:tc>
          <w:tcPr>
            <w:tcW w:w="2115" w:type="dxa"/>
            <w:vAlign w:val="center"/>
          </w:tcPr>
          <w:p w:rsidR="003321FA" w:rsidRPr="00B425C3" w:rsidRDefault="003321FA" w:rsidP="00335A6E">
            <w:pPr>
              <w:pStyle w:val="BodyText2"/>
              <w:widowControl w:val="0"/>
              <w:spacing w:line="240" w:lineRule="exact"/>
              <w:jc w:val="center"/>
              <w:rPr>
                <w:lang w:val="en-US"/>
              </w:rPr>
            </w:pPr>
            <w:r w:rsidRPr="00B425C3">
              <w:rPr>
                <w:lang w:val="en-US"/>
              </w:rPr>
              <w:t>$431.71</w:t>
            </w:r>
          </w:p>
        </w:tc>
      </w:tr>
      <w:tr w:rsidR="003321FA" w:rsidRPr="00B425C3" w:rsidTr="00517B6D">
        <w:trPr>
          <w:jc w:val="center"/>
        </w:trPr>
        <w:tc>
          <w:tcPr>
            <w:tcW w:w="1575"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1009</w:t>
            </w:r>
          </w:p>
        </w:tc>
        <w:tc>
          <w:tcPr>
            <w:tcW w:w="1881"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Returned</w:t>
            </w:r>
          </w:p>
        </w:tc>
        <w:tc>
          <w:tcPr>
            <w:tcW w:w="1440"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$281.34</w:t>
            </w:r>
          </w:p>
        </w:tc>
        <w:tc>
          <w:tcPr>
            <w:tcW w:w="1899"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10/28/08</w:t>
            </w:r>
          </w:p>
        </w:tc>
        <w:tc>
          <w:tcPr>
            <w:tcW w:w="2115" w:type="dxa"/>
            <w:vAlign w:val="center"/>
          </w:tcPr>
          <w:p w:rsidR="003321FA" w:rsidRPr="00B425C3" w:rsidRDefault="003321FA" w:rsidP="00335A6E">
            <w:pPr>
              <w:pStyle w:val="BodyText2"/>
              <w:widowControl w:val="0"/>
              <w:spacing w:line="240" w:lineRule="exact"/>
              <w:jc w:val="center"/>
              <w:rPr>
                <w:lang w:val="en-US"/>
              </w:rPr>
            </w:pPr>
            <w:r w:rsidRPr="00B425C3">
              <w:rPr>
                <w:lang w:val="en-US"/>
              </w:rPr>
              <w:t>$-1,625.29</w:t>
            </w:r>
          </w:p>
        </w:tc>
      </w:tr>
      <w:tr w:rsidR="003321FA" w:rsidRPr="00B425C3" w:rsidTr="00517B6D">
        <w:trPr>
          <w:jc w:val="center"/>
        </w:trPr>
        <w:tc>
          <w:tcPr>
            <w:tcW w:w="1575"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1028</w:t>
            </w:r>
          </w:p>
        </w:tc>
        <w:tc>
          <w:tcPr>
            <w:tcW w:w="1881"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Returned</w:t>
            </w:r>
          </w:p>
        </w:tc>
        <w:tc>
          <w:tcPr>
            <w:tcW w:w="1440"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$7.50</w:t>
            </w:r>
          </w:p>
        </w:tc>
        <w:tc>
          <w:tcPr>
            <w:tcW w:w="1899"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10/28/08</w:t>
            </w:r>
          </w:p>
        </w:tc>
        <w:tc>
          <w:tcPr>
            <w:tcW w:w="2115" w:type="dxa"/>
            <w:vAlign w:val="center"/>
          </w:tcPr>
          <w:p w:rsidR="003321FA" w:rsidRPr="00B425C3" w:rsidRDefault="003321FA" w:rsidP="00335A6E">
            <w:pPr>
              <w:pStyle w:val="BodyText2"/>
              <w:widowControl w:val="0"/>
              <w:spacing w:line="240" w:lineRule="exact"/>
              <w:jc w:val="center"/>
              <w:rPr>
                <w:lang w:val="en-US"/>
              </w:rPr>
            </w:pPr>
            <w:r w:rsidRPr="00B425C3">
              <w:rPr>
                <w:lang w:val="en-US"/>
              </w:rPr>
              <w:t>$-1,625.29</w:t>
            </w:r>
          </w:p>
        </w:tc>
      </w:tr>
      <w:tr w:rsidR="003321FA" w:rsidRPr="00B425C3" w:rsidTr="00517B6D">
        <w:trPr>
          <w:jc w:val="center"/>
        </w:trPr>
        <w:tc>
          <w:tcPr>
            <w:tcW w:w="1575"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1040</w:t>
            </w:r>
          </w:p>
        </w:tc>
        <w:tc>
          <w:tcPr>
            <w:tcW w:w="1881"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Paid</w:t>
            </w:r>
          </w:p>
        </w:tc>
        <w:tc>
          <w:tcPr>
            <w:tcW w:w="1440" w:type="dxa"/>
            <w:vAlign w:val="center"/>
          </w:tcPr>
          <w:p w:rsidR="003321FA" w:rsidRPr="00B425C3" w:rsidRDefault="00C7648A" w:rsidP="00C7648A">
            <w:pPr>
              <w:pStyle w:val="BodyText2"/>
              <w:widowControl w:val="0"/>
              <w:tabs>
                <w:tab w:val="left" w:pos="810"/>
              </w:tabs>
              <w:spacing w:line="240" w:lineRule="exact"/>
              <w:jc w:val="center"/>
              <w:rPr>
                <w:lang w:val="en-US"/>
              </w:rPr>
            </w:pPr>
            <w:r>
              <w:rPr>
                <w:lang w:val="en-US"/>
              </w:rPr>
              <w:t>$6,100</w:t>
            </w:r>
            <w:r w:rsidR="003321FA" w:rsidRPr="00B425C3">
              <w:rPr>
                <w:lang w:val="en-US"/>
              </w:rPr>
              <w:t>.00</w:t>
            </w:r>
          </w:p>
        </w:tc>
        <w:tc>
          <w:tcPr>
            <w:tcW w:w="1899" w:type="dxa"/>
            <w:vAlign w:val="center"/>
          </w:tcPr>
          <w:p w:rsidR="003321FA" w:rsidRPr="00B425C3" w:rsidRDefault="003321FA" w:rsidP="00335A6E">
            <w:pPr>
              <w:pStyle w:val="BodyText2"/>
              <w:widowControl w:val="0"/>
              <w:tabs>
                <w:tab w:val="left" w:pos="810"/>
              </w:tabs>
              <w:spacing w:line="240" w:lineRule="exact"/>
              <w:jc w:val="center"/>
              <w:rPr>
                <w:lang w:val="en-US"/>
              </w:rPr>
            </w:pPr>
            <w:r w:rsidRPr="00B425C3">
              <w:rPr>
                <w:lang w:val="en-US"/>
              </w:rPr>
              <w:t>10/30/08</w:t>
            </w:r>
          </w:p>
        </w:tc>
        <w:tc>
          <w:tcPr>
            <w:tcW w:w="2115" w:type="dxa"/>
            <w:vAlign w:val="center"/>
          </w:tcPr>
          <w:p w:rsidR="003321FA" w:rsidRPr="00B425C3" w:rsidRDefault="003321FA" w:rsidP="00335A6E">
            <w:pPr>
              <w:pStyle w:val="BodyText2"/>
              <w:widowControl w:val="0"/>
              <w:spacing w:line="240" w:lineRule="exact"/>
              <w:jc w:val="center"/>
              <w:rPr>
                <w:lang w:val="en-US"/>
              </w:rPr>
            </w:pPr>
            <w:r w:rsidRPr="00B425C3">
              <w:rPr>
                <w:lang w:val="en-US"/>
              </w:rPr>
              <w:t>$4,222.48</w:t>
            </w:r>
          </w:p>
        </w:tc>
      </w:tr>
    </w:tbl>
    <w:p w:rsidR="003321FA" w:rsidRDefault="003321FA" w:rsidP="003321FA">
      <w:pPr>
        <w:pStyle w:val="DoubleSpacing"/>
        <w:tabs>
          <w:tab w:val="left" w:pos="1260"/>
        </w:tabs>
        <w:spacing w:line="180" w:lineRule="exact"/>
      </w:pPr>
    </w:p>
    <w:p w:rsidR="003321FA" w:rsidRDefault="00A37572" w:rsidP="00780228">
      <w:pPr>
        <w:pStyle w:val="DoubleSpacing"/>
        <w:tabs>
          <w:tab w:val="left" w:pos="720"/>
        </w:tabs>
      </w:pPr>
      <w:r>
        <w:tab/>
      </w:r>
      <w:r w:rsidR="003321FA">
        <w:t xml:space="preserve">During the period from October 1, 2008 through October 30, 2008, </w:t>
      </w:r>
      <w:r w:rsidR="0029579C">
        <w:t>respondent</w:t>
      </w:r>
      <w:r w:rsidR="003321FA">
        <w:t xml:space="preserve"> deposited the salary that he received from his employer into his </w:t>
      </w:r>
      <w:r w:rsidR="005A6B3E">
        <w:rPr>
          <w:szCs w:val="24"/>
        </w:rPr>
        <w:t xml:space="preserve">Citibank </w:t>
      </w:r>
      <w:r w:rsidR="005A6B3E" w:rsidRPr="003C1F3B">
        <w:rPr>
          <w:szCs w:val="24"/>
        </w:rPr>
        <w:t>CTA</w:t>
      </w:r>
      <w:r w:rsidR="003321FA">
        <w:t xml:space="preserve"> and paid personal expenses out of his </w:t>
      </w:r>
      <w:r w:rsidR="005A6B3E">
        <w:rPr>
          <w:szCs w:val="24"/>
        </w:rPr>
        <w:t xml:space="preserve">Citibank </w:t>
      </w:r>
      <w:r w:rsidR="005A6B3E" w:rsidRPr="003C1F3B">
        <w:rPr>
          <w:szCs w:val="24"/>
        </w:rPr>
        <w:t>CTA</w:t>
      </w:r>
      <w:r w:rsidR="003321FA">
        <w:t>.</w:t>
      </w:r>
      <w:r>
        <w:t xml:space="preserve">  </w:t>
      </w:r>
      <w:r w:rsidR="003321FA">
        <w:t xml:space="preserve">During the period from October 1, 2008 through October 30, 2008, </w:t>
      </w:r>
      <w:r w:rsidR="0029579C">
        <w:t>respondent</w:t>
      </w:r>
      <w:r w:rsidR="003321FA">
        <w:t xml:space="preserve"> repeatedly issued checks drawn upon his </w:t>
      </w:r>
      <w:r w:rsidR="005A6B3E">
        <w:rPr>
          <w:szCs w:val="24"/>
        </w:rPr>
        <w:t xml:space="preserve">Citibank </w:t>
      </w:r>
      <w:r w:rsidR="005A6B3E" w:rsidRPr="003C1F3B">
        <w:rPr>
          <w:szCs w:val="24"/>
        </w:rPr>
        <w:t>CTA</w:t>
      </w:r>
      <w:r w:rsidR="003321FA">
        <w:t xml:space="preserve"> to pay his personal expenses including, but not limited to, the following:</w:t>
      </w:r>
    </w:p>
    <w:p w:rsidR="00510CB6" w:rsidRDefault="00510CB6" w:rsidP="007E5901">
      <w:pPr>
        <w:pStyle w:val="DoubleSpacing"/>
        <w:tabs>
          <w:tab w:val="left" w:pos="1260"/>
        </w:tabs>
        <w:spacing w:line="240" w:lineRule="auto"/>
      </w:pPr>
    </w:p>
    <w:tbl>
      <w:tblPr>
        <w:tblW w:w="0" w:type="auto"/>
        <w:jc w:val="center"/>
        <w:tblLook w:val="04A0"/>
      </w:tblPr>
      <w:tblGrid>
        <w:gridCol w:w="1728"/>
        <w:gridCol w:w="1728"/>
        <w:gridCol w:w="1728"/>
        <w:gridCol w:w="2880"/>
      </w:tblGrid>
      <w:tr w:rsidR="003321FA" w:rsidRPr="00BC4C0C" w:rsidTr="00BC4C0C">
        <w:trPr>
          <w:trHeight w:val="341"/>
          <w:jc w:val="center"/>
        </w:trPr>
        <w:tc>
          <w:tcPr>
            <w:tcW w:w="1728" w:type="dxa"/>
          </w:tcPr>
          <w:p w:rsidR="00BC4C0C" w:rsidRPr="00BC4C0C" w:rsidRDefault="003321FA" w:rsidP="00BC4C0C">
            <w:pPr>
              <w:pStyle w:val="Heading1"/>
              <w:spacing w:line="240" w:lineRule="auto"/>
              <w:rPr>
                <w:u w:val="single"/>
              </w:rPr>
            </w:pPr>
            <w:r w:rsidRPr="00BC4C0C">
              <w:rPr>
                <w:u w:val="single"/>
              </w:rPr>
              <w:t>Date Issued</w:t>
            </w:r>
          </w:p>
        </w:tc>
        <w:tc>
          <w:tcPr>
            <w:tcW w:w="1728" w:type="dxa"/>
          </w:tcPr>
          <w:p w:rsidR="003321FA" w:rsidRPr="00BC4C0C" w:rsidRDefault="003321FA" w:rsidP="00BC4C0C">
            <w:pPr>
              <w:pStyle w:val="Heading1"/>
              <w:spacing w:line="240" w:lineRule="auto"/>
              <w:rPr>
                <w:u w:val="single"/>
              </w:rPr>
            </w:pPr>
            <w:r w:rsidRPr="00BC4C0C">
              <w:rPr>
                <w:u w:val="single"/>
              </w:rPr>
              <w:t>Check no.</w:t>
            </w:r>
          </w:p>
        </w:tc>
        <w:tc>
          <w:tcPr>
            <w:tcW w:w="1728" w:type="dxa"/>
          </w:tcPr>
          <w:p w:rsidR="003321FA" w:rsidRPr="00BC4C0C" w:rsidRDefault="003321FA" w:rsidP="00BC4C0C">
            <w:pPr>
              <w:pStyle w:val="Heading1"/>
              <w:spacing w:line="240" w:lineRule="auto"/>
              <w:rPr>
                <w:u w:val="single"/>
              </w:rPr>
            </w:pPr>
            <w:r w:rsidRPr="00BC4C0C">
              <w:rPr>
                <w:u w:val="single"/>
              </w:rPr>
              <w:t>Amount</w:t>
            </w:r>
          </w:p>
        </w:tc>
        <w:tc>
          <w:tcPr>
            <w:tcW w:w="2880" w:type="dxa"/>
          </w:tcPr>
          <w:p w:rsidR="003321FA" w:rsidRPr="00BC4C0C" w:rsidRDefault="003321FA" w:rsidP="00BC4C0C">
            <w:pPr>
              <w:pStyle w:val="Heading1"/>
              <w:spacing w:line="240" w:lineRule="auto"/>
              <w:rPr>
                <w:u w:val="single"/>
              </w:rPr>
            </w:pPr>
            <w:r w:rsidRPr="00BC4C0C">
              <w:rPr>
                <w:u w:val="single"/>
              </w:rPr>
              <w:t>Payee</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10/01/08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3781</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$2,500.00</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IRS</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10/06/08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1002</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$53.16</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Staples</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10/10/08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1006</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$23.79</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Wheel World</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10/10/08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1011</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$15.14</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Wheel World</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10/11/08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1010</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$322.59</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Marathon Car Rental</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10/22/08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1032</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$175.61</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Verizon Wireless</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10/24/08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1009</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$281.71</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Marathon Car Rental</w:t>
            </w:r>
          </w:p>
        </w:tc>
      </w:tr>
      <w:tr w:rsidR="003321FA" w:rsidRPr="00B425C3" w:rsidTr="00BC4C0C">
        <w:trPr>
          <w:jc w:val="center"/>
        </w:trPr>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10/27/08</w:t>
            </w:r>
          </w:p>
        </w:tc>
        <w:tc>
          <w:tcPr>
            <w:tcW w:w="1728" w:type="dxa"/>
          </w:tcPr>
          <w:p w:rsidR="003321FA" w:rsidRPr="00B425C3" w:rsidRDefault="003321FA" w:rsidP="00335A6E">
            <w:pPr>
              <w:pStyle w:val="BodyText2"/>
              <w:widowControl w:val="0"/>
              <w:tabs>
                <w:tab w:val="left" w:pos="810"/>
              </w:tabs>
              <w:jc w:val="center"/>
              <w:rPr>
                <w:lang w:val="en-US"/>
              </w:rPr>
            </w:pPr>
            <w:r w:rsidRPr="00B425C3">
              <w:rPr>
                <w:lang w:val="en-US"/>
              </w:rPr>
              <w:t>1028</w:t>
            </w:r>
          </w:p>
        </w:tc>
        <w:tc>
          <w:tcPr>
            <w:tcW w:w="1728"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$7.51</w:t>
            </w:r>
          </w:p>
        </w:tc>
        <w:tc>
          <w:tcPr>
            <w:tcW w:w="2880" w:type="dxa"/>
            <w:vAlign w:val="center"/>
          </w:tcPr>
          <w:p w:rsidR="003321FA" w:rsidRPr="00B425C3" w:rsidRDefault="003321FA" w:rsidP="00335A6E">
            <w:pPr>
              <w:pStyle w:val="BodyText2"/>
              <w:widowControl w:val="0"/>
              <w:tabs>
                <w:tab w:val="left" w:pos="810"/>
              </w:tabs>
              <w:jc w:val="center"/>
              <w:rPr>
                <w:lang w:val="en-US"/>
              </w:rPr>
            </w:pPr>
            <w:r w:rsidRPr="00B425C3">
              <w:rPr>
                <w:lang w:val="en-US"/>
              </w:rPr>
              <w:t>The Cleaning Club</w:t>
            </w:r>
          </w:p>
        </w:tc>
      </w:tr>
      <w:tr w:rsidR="00441CD9" w:rsidRPr="00B425C3" w:rsidTr="00BC4C0C">
        <w:trPr>
          <w:jc w:val="center"/>
        </w:trPr>
        <w:tc>
          <w:tcPr>
            <w:tcW w:w="1728" w:type="dxa"/>
          </w:tcPr>
          <w:p w:rsidR="00441CD9" w:rsidRPr="00B425C3" w:rsidRDefault="00441CD9" w:rsidP="00335A6E">
            <w:pPr>
              <w:pStyle w:val="BodyText2"/>
              <w:widowControl w:val="0"/>
              <w:tabs>
                <w:tab w:val="left" w:pos="810"/>
              </w:tabs>
              <w:jc w:val="center"/>
              <w:rPr>
                <w:lang w:val="en-US"/>
              </w:rPr>
            </w:pPr>
          </w:p>
        </w:tc>
        <w:tc>
          <w:tcPr>
            <w:tcW w:w="1728" w:type="dxa"/>
          </w:tcPr>
          <w:p w:rsidR="00441CD9" w:rsidRPr="00B425C3" w:rsidRDefault="00441CD9" w:rsidP="00335A6E">
            <w:pPr>
              <w:pStyle w:val="BodyText2"/>
              <w:widowControl w:val="0"/>
              <w:tabs>
                <w:tab w:val="left" w:pos="810"/>
              </w:tabs>
              <w:jc w:val="center"/>
              <w:rPr>
                <w:lang w:val="en-US"/>
              </w:rPr>
            </w:pPr>
          </w:p>
        </w:tc>
        <w:tc>
          <w:tcPr>
            <w:tcW w:w="1728" w:type="dxa"/>
            <w:vAlign w:val="center"/>
          </w:tcPr>
          <w:p w:rsidR="00441CD9" w:rsidRPr="00B425C3" w:rsidRDefault="00441CD9" w:rsidP="00335A6E">
            <w:pPr>
              <w:pStyle w:val="BodyText2"/>
              <w:widowControl w:val="0"/>
              <w:tabs>
                <w:tab w:val="left" w:pos="810"/>
              </w:tabs>
              <w:jc w:val="center"/>
              <w:rPr>
                <w:lang w:val="en-US"/>
              </w:rPr>
            </w:pPr>
          </w:p>
        </w:tc>
        <w:tc>
          <w:tcPr>
            <w:tcW w:w="2880" w:type="dxa"/>
            <w:vAlign w:val="center"/>
          </w:tcPr>
          <w:p w:rsidR="00441CD9" w:rsidRPr="00B425C3" w:rsidRDefault="00441CD9" w:rsidP="00335A6E">
            <w:pPr>
              <w:pStyle w:val="BodyText2"/>
              <w:widowControl w:val="0"/>
              <w:tabs>
                <w:tab w:val="left" w:pos="810"/>
              </w:tabs>
              <w:jc w:val="center"/>
              <w:rPr>
                <w:lang w:val="en-US"/>
              </w:rPr>
            </w:pPr>
          </w:p>
        </w:tc>
      </w:tr>
    </w:tbl>
    <w:p w:rsidR="007C38D4" w:rsidRDefault="007C38D4" w:rsidP="00A0453B">
      <w:pPr>
        <w:pStyle w:val="DoubleSpacing"/>
        <w:tabs>
          <w:tab w:val="left" w:pos="1260"/>
        </w:tabs>
        <w:spacing w:line="480" w:lineRule="auto"/>
        <w:ind w:firstLine="720"/>
      </w:pPr>
      <w:r>
        <w:t xml:space="preserve">Respondent made deposits to, and withdrawals from, the </w:t>
      </w:r>
      <w:r w:rsidR="005A6B3E">
        <w:rPr>
          <w:szCs w:val="24"/>
        </w:rPr>
        <w:t xml:space="preserve">Citibank </w:t>
      </w:r>
      <w:r w:rsidR="005A6B3E" w:rsidRPr="003C1F3B">
        <w:rPr>
          <w:szCs w:val="24"/>
        </w:rPr>
        <w:t>CTA</w:t>
      </w:r>
      <w:r>
        <w:t xml:space="preserve">, as set forth above, for the purpose of preventing creditors from discovering the location of the funds.  </w:t>
      </w:r>
    </w:p>
    <w:p w:rsidR="00E90D1B" w:rsidRPr="00641453" w:rsidRDefault="008460D0" w:rsidP="003E29D9">
      <w:pPr>
        <w:spacing w:line="480" w:lineRule="auto"/>
        <w:ind w:firstLine="1080"/>
        <w:rPr>
          <w:b/>
        </w:rPr>
      </w:pPr>
      <w:r w:rsidRPr="00641453">
        <w:rPr>
          <w:b/>
        </w:rPr>
        <w:t>Conclusions of Law</w:t>
      </w:r>
    </w:p>
    <w:p w:rsidR="00115958" w:rsidRPr="00A37572" w:rsidRDefault="00E90D1B" w:rsidP="007C38D4">
      <w:pPr>
        <w:spacing w:line="480" w:lineRule="auto"/>
      </w:pPr>
      <w:r>
        <w:rPr>
          <w:b/>
        </w:rPr>
        <w:tab/>
      </w:r>
      <w:r>
        <w:rPr>
          <w:b/>
        </w:rPr>
        <w:tab/>
      </w:r>
      <w:r w:rsidR="00115958">
        <w:rPr>
          <w:b/>
        </w:rPr>
        <w:t>Count 18.</w:t>
      </w:r>
      <w:r w:rsidR="00A37572">
        <w:rPr>
          <w:b/>
        </w:rPr>
        <w:t xml:space="preserve">  </w:t>
      </w:r>
      <w:r w:rsidR="00A37572">
        <w:t xml:space="preserve">By repeatedly issuing checks drawn upon his </w:t>
      </w:r>
      <w:r w:rsidR="005A6B3E">
        <w:t xml:space="preserve">Citibank </w:t>
      </w:r>
      <w:r w:rsidR="005A6B3E" w:rsidRPr="003C1F3B">
        <w:t>CTA</w:t>
      </w:r>
      <w:r w:rsidR="00A37572">
        <w:t xml:space="preserve"> when he knew or should have known that there were insufficient funds, respondent committed acts involving moral turpitude, dishonesty or corruption, willfully violating </w:t>
      </w:r>
      <w:r w:rsidR="00A37572" w:rsidRPr="00340999">
        <w:t xml:space="preserve">Business and </w:t>
      </w:r>
      <w:r w:rsidR="000D4CB3">
        <w:t>Professions Code section</w:t>
      </w:r>
      <w:r w:rsidR="00A37572">
        <w:t xml:space="preserve"> 6106.</w:t>
      </w:r>
    </w:p>
    <w:p w:rsidR="00E90D1B" w:rsidRDefault="00115958" w:rsidP="00510CB6">
      <w:pPr>
        <w:spacing w:line="480" w:lineRule="auto"/>
      </w:pPr>
      <w:r>
        <w:tab/>
      </w:r>
      <w:r>
        <w:tab/>
      </w:r>
      <w:r w:rsidR="00E90D1B">
        <w:rPr>
          <w:b/>
        </w:rPr>
        <w:t xml:space="preserve">Count 19.  </w:t>
      </w:r>
      <w:r w:rsidR="00E90D1B">
        <w:t xml:space="preserve">By leaving his fees in </w:t>
      </w:r>
      <w:r w:rsidR="003E29D9">
        <w:t>the</w:t>
      </w:r>
      <w:r w:rsidR="00E90D1B">
        <w:t xml:space="preserve"> </w:t>
      </w:r>
      <w:r w:rsidR="005A6B3E">
        <w:t xml:space="preserve">Citibank </w:t>
      </w:r>
      <w:r w:rsidR="005A6B3E" w:rsidRPr="003C1F3B">
        <w:t>CTA</w:t>
      </w:r>
      <w:r w:rsidR="00E90D1B">
        <w:t xml:space="preserve"> for withdrawal as needed to pay personal expenses, respondent com</w:t>
      </w:r>
      <w:r w:rsidR="00D4512E">
        <w:t>m</w:t>
      </w:r>
      <w:r w:rsidR="00E90D1B">
        <w:t>ingled personal funds in a client trust account, willfully violating Rules of Professional Conduct, rule 4-100(A).</w:t>
      </w:r>
    </w:p>
    <w:p w:rsidR="007C38D4" w:rsidRDefault="00DC5E1E" w:rsidP="007C38D4">
      <w:pPr>
        <w:spacing w:line="480" w:lineRule="auto"/>
      </w:pPr>
      <w:r>
        <w:tab/>
      </w:r>
      <w:r>
        <w:tab/>
      </w:r>
      <w:r>
        <w:rPr>
          <w:b/>
        </w:rPr>
        <w:t xml:space="preserve">Count 20.  </w:t>
      </w:r>
      <w:r>
        <w:t xml:space="preserve">By </w:t>
      </w:r>
      <w:r w:rsidR="007C38D4">
        <w:t>depositing funds into</w:t>
      </w:r>
      <w:r>
        <w:t xml:space="preserve"> his </w:t>
      </w:r>
      <w:r w:rsidR="005A6B3E">
        <w:t xml:space="preserve">Citibank </w:t>
      </w:r>
      <w:r w:rsidR="005A6B3E" w:rsidRPr="003C1F3B">
        <w:t>CTA</w:t>
      </w:r>
      <w:r w:rsidR="007C38D4">
        <w:t xml:space="preserve">, instead of into a business account, for the purpose of secreting those funds from creditors, respondent committed acts involving moral turpitude, dishonesty or corruption, willfully violating </w:t>
      </w:r>
      <w:r w:rsidR="007C38D4" w:rsidRPr="00340999">
        <w:t xml:space="preserve">Business and </w:t>
      </w:r>
      <w:r w:rsidR="000D4CB3">
        <w:t>Professions Code section</w:t>
      </w:r>
      <w:r w:rsidR="007C38D4">
        <w:t xml:space="preserve"> 6106.</w:t>
      </w:r>
    </w:p>
    <w:p w:rsidR="001E074A" w:rsidRPr="001576E6" w:rsidRDefault="001E074A" w:rsidP="00510CB6">
      <w:pPr>
        <w:spacing w:line="480" w:lineRule="auto"/>
        <w:rPr>
          <w:b/>
        </w:rPr>
      </w:pPr>
      <w:r>
        <w:rPr>
          <w:b/>
        </w:rPr>
        <w:t>3</w:t>
      </w:r>
      <w:r w:rsidRPr="001576E6">
        <w:rPr>
          <w:b/>
        </w:rPr>
        <w:t xml:space="preserve">.  </w:t>
      </w:r>
      <w:r w:rsidRPr="001576E6">
        <w:rPr>
          <w:b/>
          <w:u w:val="single"/>
        </w:rPr>
        <w:t>LEVEL OF DISCIPLINE</w:t>
      </w:r>
    </w:p>
    <w:p w:rsidR="001E074A" w:rsidRDefault="001E074A" w:rsidP="00510CB6">
      <w:pPr>
        <w:spacing w:line="480" w:lineRule="auto"/>
        <w:ind w:firstLine="720"/>
        <w:rPr>
          <w:b/>
          <w:bCs/>
          <w:u w:val="single"/>
        </w:rPr>
      </w:pPr>
      <w:r>
        <w:rPr>
          <w:b/>
          <w:bCs/>
        </w:rPr>
        <w:t xml:space="preserve">A.  </w:t>
      </w:r>
      <w:r>
        <w:rPr>
          <w:b/>
          <w:bCs/>
          <w:u w:val="single"/>
        </w:rPr>
        <w:t>Factors in Aggravation</w:t>
      </w:r>
    </w:p>
    <w:p w:rsidR="001E074A" w:rsidRDefault="001E074A" w:rsidP="00510CB6">
      <w:pPr>
        <w:spacing w:line="480" w:lineRule="auto"/>
        <w:ind w:firstLine="720"/>
      </w:pPr>
      <w:r>
        <w:t>It is the prosecution</w:t>
      </w:r>
      <w:r w:rsidR="00EE784E">
        <w:t>’</w:t>
      </w:r>
      <w:r>
        <w:t xml:space="preserve">s burden to establish aggravating circumstances by clear and convincing evidence.  </w:t>
      </w:r>
      <w:r w:rsidR="00B27BA8">
        <w:rPr>
          <w:color w:val="000000"/>
        </w:rPr>
        <w:t xml:space="preserve">(Rules Proc. of State Bar, tit.  IV, </w:t>
      </w:r>
      <w:proofErr w:type="spellStart"/>
      <w:r w:rsidR="00B27BA8">
        <w:rPr>
          <w:color w:val="000000"/>
        </w:rPr>
        <w:t>Stds</w:t>
      </w:r>
      <w:proofErr w:type="spellEnd"/>
      <w:r w:rsidR="00B27BA8">
        <w:rPr>
          <w:color w:val="000000"/>
        </w:rPr>
        <w:t>. for Atty. Sanctions for Prof. Misconduct, std. 1.2(b).)</w:t>
      </w:r>
      <w:r w:rsidR="00B27BA8">
        <w:rPr>
          <w:rStyle w:val="FootnoteReference"/>
          <w:color w:val="000000"/>
        </w:rPr>
        <w:footnoteReference w:id="1"/>
      </w:r>
      <w:r w:rsidR="00B27BA8">
        <w:t xml:space="preserve"> </w:t>
      </w:r>
    </w:p>
    <w:p w:rsidR="00B27BA8" w:rsidRPr="00273DA6" w:rsidRDefault="00B27BA8" w:rsidP="00641453">
      <w:pPr>
        <w:spacing w:line="480" w:lineRule="auto"/>
        <w:ind w:firstLine="1080"/>
        <w:rPr>
          <w:b/>
          <w:color w:val="000000"/>
        </w:rPr>
      </w:pPr>
      <w:r w:rsidRPr="00273DA6">
        <w:rPr>
          <w:b/>
          <w:color w:val="000000"/>
        </w:rPr>
        <w:t xml:space="preserve">Prior Record of Discipline </w:t>
      </w:r>
      <w:r w:rsidR="00F57918">
        <w:rPr>
          <w:b/>
        </w:rPr>
        <w:t>(Std. 1.2(b)(</w:t>
      </w:r>
      <w:proofErr w:type="spellStart"/>
      <w:r w:rsidR="00F57918">
        <w:rPr>
          <w:b/>
        </w:rPr>
        <w:t>i</w:t>
      </w:r>
      <w:proofErr w:type="spellEnd"/>
      <w:r w:rsidR="00F57918">
        <w:rPr>
          <w:b/>
        </w:rPr>
        <w:t>)</w:t>
      </w:r>
      <w:r w:rsidRPr="00273DA6">
        <w:rPr>
          <w:b/>
        </w:rPr>
        <w:t xml:space="preserve">)  </w:t>
      </w:r>
    </w:p>
    <w:p w:rsidR="00B27BA8" w:rsidRDefault="00B27BA8" w:rsidP="00B27BA8">
      <w:pPr>
        <w:spacing w:line="480" w:lineRule="auto"/>
        <w:ind w:firstLine="720"/>
      </w:pPr>
      <w:r>
        <w:t>Respondent’s prior record of discipline is an aggravating circumstance.  Respondent has been previously disciplined on three separate occasions.</w:t>
      </w:r>
    </w:p>
    <w:p w:rsidR="00B27BA8" w:rsidRDefault="00B27BA8" w:rsidP="00B27BA8">
      <w:pPr>
        <w:spacing w:line="480" w:lineRule="auto"/>
        <w:ind w:firstLine="720"/>
      </w:pPr>
      <w:r>
        <w:lastRenderedPageBreak/>
        <w:t xml:space="preserve">Effective </w:t>
      </w:r>
      <w:r w:rsidR="00A649F2">
        <w:t>March 2005</w:t>
      </w:r>
      <w:r>
        <w:t>, respondent was p</w:t>
      </w:r>
      <w:r w:rsidR="00A649F2">
        <w:t>rivately</w:t>
      </w:r>
      <w:r>
        <w:t xml:space="preserve"> reproved with conditions in State Bar Court </w:t>
      </w:r>
      <w:r w:rsidR="00A649F2">
        <w:t>C</w:t>
      </w:r>
      <w:r>
        <w:t xml:space="preserve">ase </w:t>
      </w:r>
      <w:r w:rsidR="00A649F2">
        <w:t>N</w:t>
      </w:r>
      <w:r>
        <w:t xml:space="preserve">o. </w:t>
      </w:r>
      <w:r w:rsidR="00A649F2">
        <w:t>04-O-14954</w:t>
      </w:r>
      <w:r>
        <w:t xml:space="preserve"> for failing to perform and failing to </w:t>
      </w:r>
      <w:r w:rsidR="0074226A">
        <w:t>promptly refund unearned fees</w:t>
      </w:r>
      <w:r>
        <w:t>.  In mitigation, respondent had no prior record of discipline.  In aggravation, respondent</w:t>
      </w:r>
      <w:r w:rsidR="00F8793A">
        <w:t xml:space="preserve"> committed multiple acts of misconduct</w:t>
      </w:r>
      <w:r>
        <w:t>.</w:t>
      </w:r>
    </w:p>
    <w:p w:rsidR="00B27BA8" w:rsidRDefault="00B27BA8" w:rsidP="00B27BA8">
      <w:pPr>
        <w:spacing w:line="480" w:lineRule="auto"/>
        <w:ind w:firstLine="720"/>
      </w:pPr>
      <w:r>
        <w:t xml:space="preserve">On </w:t>
      </w:r>
      <w:r w:rsidR="00B77FA5">
        <w:t>September 16, 2008</w:t>
      </w:r>
      <w:r>
        <w:t>, the California</w:t>
      </w:r>
      <w:r w:rsidR="00597581">
        <w:t xml:space="preserve"> Supreme Court issued an order in Case No. </w:t>
      </w:r>
      <w:proofErr w:type="spellStart"/>
      <w:r>
        <w:t>S</w:t>
      </w:r>
      <w:r w:rsidR="00B77FA5">
        <w:t>165318</w:t>
      </w:r>
      <w:proofErr w:type="spellEnd"/>
      <w:r w:rsidR="00597581">
        <w:t xml:space="preserve"> (06-O</w:t>
      </w:r>
      <w:r w:rsidR="00BC1A71">
        <w:t>-</w:t>
      </w:r>
      <w:r w:rsidR="00597581">
        <w:t>14001)</w:t>
      </w:r>
      <w:r>
        <w:t xml:space="preserve"> suspending respondent from the practice of law for </w:t>
      </w:r>
      <w:r w:rsidR="005D4335">
        <w:t>one year</w:t>
      </w:r>
      <w:r>
        <w:t xml:space="preserve">, stayed, </w:t>
      </w:r>
      <w:r w:rsidR="005D4335">
        <w:t>with two years’ probation and</w:t>
      </w:r>
      <w:r>
        <w:t xml:space="preserve"> a period of actual suspension of </w:t>
      </w:r>
      <w:r w:rsidR="005D4335">
        <w:t xml:space="preserve">30 </w:t>
      </w:r>
      <w:r>
        <w:t>days.  This discipline involved</w:t>
      </w:r>
      <w:r w:rsidR="007C3CE6">
        <w:t xml:space="preserve"> a single-client matter in which respondent improperly withdrew from representation and violated a court order</w:t>
      </w:r>
      <w:r>
        <w:t xml:space="preserve">.  In aggravation, respondent: (1) had a prior record of discipline; (2) </w:t>
      </w:r>
      <w:r w:rsidR="00763369">
        <w:t>demonstrated indifference toward rectification of or atonement for the consequences of his misconduct</w:t>
      </w:r>
      <w:r>
        <w:t xml:space="preserve">; and (3) </w:t>
      </w:r>
      <w:r w:rsidR="00763369">
        <w:t>caused significant harm</w:t>
      </w:r>
      <w:r>
        <w:t xml:space="preserve">. </w:t>
      </w:r>
      <w:r w:rsidR="00763369">
        <w:t xml:space="preserve"> No mitigating factors were identified</w:t>
      </w:r>
      <w:r>
        <w:t>.</w:t>
      </w:r>
    </w:p>
    <w:p w:rsidR="00B27BA8" w:rsidRDefault="00B27BA8" w:rsidP="00510CB6">
      <w:pPr>
        <w:spacing w:line="480" w:lineRule="auto"/>
        <w:ind w:firstLine="720"/>
      </w:pPr>
      <w:r>
        <w:t xml:space="preserve">On September </w:t>
      </w:r>
      <w:r w:rsidR="004F06AF">
        <w:t>3, 2010</w:t>
      </w:r>
      <w:r>
        <w:t>, the California Supreme Court</w:t>
      </w:r>
      <w:r w:rsidR="00CE277B">
        <w:t xml:space="preserve"> </w:t>
      </w:r>
      <w:r>
        <w:t xml:space="preserve">issued an order </w:t>
      </w:r>
      <w:r w:rsidR="00342391">
        <w:t xml:space="preserve">in Case No. </w:t>
      </w:r>
      <w:proofErr w:type="spellStart"/>
      <w:r w:rsidR="00342391" w:rsidRPr="00C400E4">
        <w:t>S1</w:t>
      </w:r>
      <w:r w:rsidR="00342391">
        <w:t>65318</w:t>
      </w:r>
      <w:proofErr w:type="spellEnd"/>
      <w:r w:rsidR="00342391">
        <w:t xml:space="preserve"> (10-PM-04605)</w:t>
      </w:r>
      <w:r>
        <w:t xml:space="preserve"> suspending respondent from the practice of law for one year, stayed, with a </w:t>
      </w:r>
      <w:r w:rsidR="004F06AF">
        <w:t>two</w:t>
      </w:r>
      <w:r>
        <w:t xml:space="preserve">-year probationary period, and an actual suspension of </w:t>
      </w:r>
      <w:r w:rsidR="004F06AF">
        <w:t>one year and until respondent submitted three outstand</w:t>
      </w:r>
      <w:r w:rsidR="00311FC5">
        <w:t>ing</w:t>
      </w:r>
      <w:r w:rsidR="004F06AF">
        <w:t xml:space="preserve"> probation reports</w:t>
      </w:r>
      <w:r>
        <w:t>.</w:t>
      </w:r>
      <w:r w:rsidR="00FD392A">
        <w:rPr>
          <w:rStyle w:val="FootnoteReference"/>
        </w:rPr>
        <w:footnoteReference w:id="2"/>
      </w:r>
      <w:r>
        <w:t xml:space="preserve">  This matter involved respondent’s failure to </w:t>
      </w:r>
      <w:r w:rsidR="004F06AF">
        <w:t>comply with the condition</w:t>
      </w:r>
      <w:r w:rsidR="00157C05">
        <w:t>s</w:t>
      </w:r>
      <w:r w:rsidR="004F06AF">
        <w:t xml:space="preserve"> of </w:t>
      </w:r>
      <w:r w:rsidR="003101D1">
        <w:t xml:space="preserve">his </w:t>
      </w:r>
      <w:r w:rsidR="00B13D53">
        <w:t>previous discipline</w:t>
      </w:r>
      <w:r w:rsidR="003101D1">
        <w:t>.  Respondent probation violations included failing to timely meet with his probation officer, failing to file three quarterly reports, and failing to timely file another three quarterly reports</w:t>
      </w:r>
      <w:r>
        <w:t xml:space="preserve">.  In aggravation, respondent </w:t>
      </w:r>
      <w:r w:rsidR="007E72D9">
        <w:t xml:space="preserve">committed multiple acts of misconduct, demonstrated indifference toward rectification, and </w:t>
      </w:r>
      <w:r>
        <w:t xml:space="preserve">had a prior record of discipline.  </w:t>
      </w:r>
      <w:r w:rsidR="00430BC5">
        <w:t>No</w:t>
      </w:r>
      <w:r>
        <w:t xml:space="preserve"> mitigation</w:t>
      </w:r>
      <w:r w:rsidR="007E72D9">
        <w:t xml:space="preserve"> was found</w:t>
      </w:r>
      <w:r>
        <w:t>.</w:t>
      </w:r>
      <w:r w:rsidR="004A4ED2" w:rsidRPr="009A5205">
        <w:t xml:space="preserve">  </w:t>
      </w:r>
    </w:p>
    <w:p w:rsidR="004A6298" w:rsidRPr="00273DA6" w:rsidRDefault="004A6298" w:rsidP="004A6298">
      <w:pPr>
        <w:spacing w:line="480" w:lineRule="auto"/>
        <w:ind w:firstLine="1080"/>
        <w:rPr>
          <w:b/>
          <w:color w:val="000000"/>
        </w:rPr>
      </w:pPr>
      <w:r>
        <w:rPr>
          <w:b/>
          <w:color w:val="000000"/>
        </w:rPr>
        <w:lastRenderedPageBreak/>
        <w:t>Multiple Acts</w:t>
      </w:r>
      <w:r w:rsidRPr="00273DA6">
        <w:rPr>
          <w:b/>
          <w:color w:val="000000"/>
        </w:rPr>
        <w:t xml:space="preserve"> </w:t>
      </w:r>
      <w:r w:rsidRPr="00273DA6">
        <w:rPr>
          <w:b/>
        </w:rPr>
        <w:t>(Std. 1.2(b)(i</w:t>
      </w:r>
      <w:r w:rsidR="00AC72E6">
        <w:rPr>
          <w:b/>
        </w:rPr>
        <w:t>i</w:t>
      </w:r>
      <w:r w:rsidR="00D60C5F">
        <w:rPr>
          <w:b/>
        </w:rPr>
        <w:t>)</w:t>
      </w:r>
      <w:r w:rsidRPr="00273DA6">
        <w:rPr>
          <w:b/>
        </w:rPr>
        <w:t xml:space="preserve">)  </w:t>
      </w:r>
    </w:p>
    <w:p w:rsidR="004A6298" w:rsidRDefault="00246D60" w:rsidP="00510CB6">
      <w:pPr>
        <w:spacing w:line="480" w:lineRule="auto"/>
        <w:ind w:firstLine="720"/>
      </w:pPr>
      <w:r>
        <w:t>Respondent’s misconduct evidences multiple acts of wrongdoing.  Respondent is culpable of twenty counts of misconduct in seven different matters.</w:t>
      </w:r>
    </w:p>
    <w:p w:rsidR="00D012C6" w:rsidRPr="00273DA6" w:rsidRDefault="00D012C6" w:rsidP="00D012C6">
      <w:pPr>
        <w:spacing w:line="480" w:lineRule="auto"/>
        <w:ind w:firstLine="1080"/>
        <w:rPr>
          <w:b/>
          <w:color w:val="000000"/>
        </w:rPr>
      </w:pPr>
      <w:r>
        <w:rPr>
          <w:b/>
          <w:color w:val="000000"/>
        </w:rPr>
        <w:t>Significant Harm</w:t>
      </w:r>
      <w:r w:rsidRPr="00273DA6">
        <w:rPr>
          <w:b/>
          <w:color w:val="000000"/>
        </w:rPr>
        <w:t xml:space="preserve"> </w:t>
      </w:r>
      <w:r w:rsidRPr="00273DA6">
        <w:rPr>
          <w:b/>
        </w:rPr>
        <w:t>(Std. 1.2(b)(i</w:t>
      </w:r>
      <w:r>
        <w:rPr>
          <w:b/>
        </w:rPr>
        <w:t>v)</w:t>
      </w:r>
      <w:r w:rsidRPr="00273DA6">
        <w:rPr>
          <w:b/>
        </w:rPr>
        <w:t xml:space="preserve">)  </w:t>
      </w:r>
    </w:p>
    <w:p w:rsidR="00D012C6" w:rsidRDefault="007A680F" w:rsidP="00510CB6">
      <w:pPr>
        <w:spacing w:line="480" w:lineRule="auto"/>
        <w:ind w:firstLine="720"/>
      </w:pPr>
      <w:r>
        <w:t xml:space="preserve">Respondent’s misconduct </w:t>
      </w:r>
      <w:r w:rsidR="00137722">
        <w:t xml:space="preserve">caused </w:t>
      </w:r>
      <w:r>
        <w:t>significant</w:t>
      </w:r>
      <w:r w:rsidR="00137722">
        <w:t xml:space="preserve"> </w:t>
      </w:r>
      <w:r w:rsidR="00E42BB4">
        <w:t xml:space="preserve">harm to the administration of justice and significant </w:t>
      </w:r>
      <w:r w:rsidR="00137722">
        <w:t>financial harm</w:t>
      </w:r>
      <w:r w:rsidR="007D191A">
        <w:t xml:space="preserve"> to</w:t>
      </w:r>
      <w:r>
        <w:t xml:space="preserve"> his</w:t>
      </w:r>
      <w:r w:rsidR="00137722">
        <w:t xml:space="preserve"> </w:t>
      </w:r>
      <w:r>
        <w:t xml:space="preserve">clients.  </w:t>
      </w:r>
    </w:p>
    <w:p w:rsidR="001E074A" w:rsidRDefault="001E074A" w:rsidP="001E074A">
      <w:pPr>
        <w:spacing w:line="480" w:lineRule="auto"/>
        <w:ind w:firstLine="720"/>
        <w:rPr>
          <w:b/>
          <w:bCs/>
          <w:u w:val="single"/>
        </w:rPr>
      </w:pPr>
      <w:r>
        <w:rPr>
          <w:b/>
          <w:bCs/>
        </w:rPr>
        <w:t xml:space="preserve">B.  </w:t>
      </w:r>
      <w:r>
        <w:rPr>
          <w:b/>
          <w:bCs/>
          <w:u w:val="single"/>
        </w:rPr>
        <w:t>Factors in Mitigation</w:t>
      </w:r>
    </w:p>
    <w:p w:rsidR="002D3492" w:rsidRDefault="00FA11AD" w:rsidP="001E074A">
      <w:pPr>
        <w:spacing w:line="480" w:lineRule="auto"/>
        <w:ind w:firstLine="720"/>
      </w:pPr>
      <w:r>
        <w:t xml:space="preserve">Respondent bears the burden of establishing mitigation by clear and convincing evidence.  (Std. 1.2(e).)  </w:t>
      </w:r>
      <w:r w:rsidR="004D6FE2">
        <w:t>The court makes the following findings in mitigation</w:t>
      </w:r>
      <w:r>
        <w:t>.</w:t>
      </w:r>
    </w:p>
    <w:p w:rsidR="004D6FE2" w:rsidRPr="00A31EF2" w:rsidRDefault="004D6FE2" w:rsidP="004D6FE2">
      <w:pPr>
        <w:spacing w:line="480" w:lineRule="auto"/>
        <w:ind w:firstLine="1080"/>
        <w:rPr>
          <w:b/>
          <w:bCs/>
        </w:rPr>
      </w:pPr>
      <w:r w:rsidRPr="00A31EF2">
        <w:rPr>
          <w:b/>
          <w:bCs/>
        </w:rPr>
        <w:t xml:space="preserve">Emotional Difficulties </w:t>
      </w:r>
      <w:r>
        <w:rPr>
          <w:b/>
        </w:rPr>
        <w:t xml:space="preserve">(Std. 1.2(e)(iv)) </w:t>
      </w:r>
    </w:p>
    <w:p w:rsidR="004D6FE2" w:rsidRDefault="004D6FE2" w:rsidP="004D6FE2">
      <w:pPr>
        <w:spacing w:line="480" w:lineRule="auto"/>
        <w:ind w:firstLine="720"/>
      </w:pPr>
      <w:r>
        <w:rPr>
          <w:bCs/>
        </w:rPr>
        <w:t xml:space="preserve">Respondent presented the testimony of Dr. M. Brandon French in support of his contention that he suffered from extreme emotional difficulties.  </w:t>
      </w:r>
      <w:r>
        <w:t xml:space="preserve">Dr. French has a Bachelors degree in English from UCLA, a Ph.D. in English from </w:t>
      </w:r>
      <w:proofErr w:type="spellStart"/>
      <w:r>
        <w:t>UC</w:t>
      </w:r>
      <w:proofErr w:type="spellEnd"/>
      <w:r>
        <w:t xml:space="preserve"> Berkeley, and a Master of Arts degree in Counseling Psychology from Pacifica Graduate Institute.</w:t>
      </w:r>
      <w:r>
        <w:rPr>
          <w:rStyle w:val="FootnoteReference"/>
        </w:rPr>
        <w:footnoteReference w:id="3"/>
      </w:r>
      <w:r>
        <w:t xml:space="preserve">  Dr. French testified that respondent suffered from bipolar mood disorder.  Her diagnosis concluded that he suffered from illusions of grandiosity, flight of thought, explosive speech, and disorganization.  She noted that respondent is now beginning to understand his condition, but that he is not yet completely stable.  In fact, she disagrees with respondent’s current medical regimen, although there was no testimony indicating she was qualified to offer such an opinion.  </w:t>
      </w:r>
    </w:p>
    <w:p w:rsidR="004D6FE2" w:rsidRPr="000B144C" w:rsidRDefault="004D6FE2" w:rsidP="004D6FE2">
      <w:pPr>
        <w:spacing w:line="480" w:lineRule="auto"/>
        <w:ind w:firstLine="720"/>
        <w:rPr>
          <w:bCs/>
        </w:rPr>
      </w:pPr>
      <w:r>
        <w:lastRenderedPageBreak/>
        <w:t xml:space="preserve">The court ascribes limited weight in mitigation to the testimony of Dr. French.  In addition to the problems with credibility described above, there was no clear and convincing evidence provided that respondent no longer suffers from his emotional or mental difficulties.  </w:t>
      </w:r>
    </w:p>
    <w:p w:rsidR="00FA11AD" w:rsidRPr="00FA11AD" w:rsidRDefault="00FA11AD" w:rsidP="00FA11AD">
      <w:pPr>
        <w:spacing w:line="480" w:lineRule="auto"/>
        <w:ind w:firstLine="1080"/>
        <w:jc w:val="both"/>
        <w:rPr>
          <w:b/>
          <w:bCs/>
        </w:rPr>
      </w:pPr>
      <w:r w:rsidRPr="00FA11AD">
        <w:rPr>
          <w:b/>
          <w:bCs/>
        </w:rPr>
        <w:t xml:space="preserve">Cooperation with the Office of the Chief Trial Counsel </w:t>
      </w:r>
      <w:r w:rsidRPr="00FA11AD">
        <w:rPr>
          <w:b/>
        </w:rPr>
        <w:t>(Std. 1.2(e)(v))</w:t>
      </w:r>
    </w:p>
    <w:p w:rsidR="00FA11AD" w:rsidRDefault="00FA11AD" w:rsidP="00FA11AD">
      <w:pPr>
        <w:spacing w:line="480" w:lineRule="auto"/>
        <w:ind w:firstLine="720"/>
        <w:rPr>
          <w:bCs/>
        </w:rPr>
      </w:pPr>
      <w:r>
        <w:rPr>
          <w:bCs/>
        </w:rPr>
        <w:t xml:space="preserve">Respondent cooperated with the Office of the Chief Trial Counsel of the State Bar by entering into an extensive stipulation of facts.  This dramatically reduced the time necessary for trial of the matter.  Therefore, respondent is entitled to credit in mitigation for such conduct.  </w:t>
      </w:r>
    </w:p>
    <w:p w:rsidR="001E074A" w:rsidRDefault="001E074A" w:rsidP="001E074A">
      <w:pPr>
        <w:spacing w:line="480" w:lineRule="auto"/>
        <w:jc w:val="both"/>
        <w:rPr>
          <w:b/>
        </w:rPr>
      </w:pPr>
      <w:r>
        <w:rPr>
          <w:b/>
        </w:rPr>
        <w:t xml:space="preserve">4.  </w:t>
      </w:r>
      <w:r w:rsidRPr="00FD2B66">
        <w:rPr>
          <w:b/>
          <w:u w:val="single"/>
        </w:rPr>
        <w:t>DISCUSSION</w:t>
      </w:r>
    </w:p>
    <w:p w:rsidR="001E074A" w:rsidRDefault="001E074A" w:rsidP="001E074A">
      <w:pPr>
        <w:spacing w:line="480" w:lineRule="auto"/>
        <w:rPr>
          <w:b/>
        </w:rPr>
      </w:pPr>
      <w:r>
        <w:rPr>
          <w:b/>
        </w:rPr>
        <w:tab/>
      </w:r>
      <w:r>
        <w:t>Standard 1.3 provides that the primary purposes of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w:t>
      </w:r>
      <w:proofErr w:type="spellStart"/>
      <w:r>
        <w:t>Cal.3d</w:t>
      </w:r>
      <w:proofErr w:type="spellEnd"/>
      <w:r>
        <w:t xml:space="preserve"> 103, 111.)</w:t>
      </w:r>
    </w:p>
    <w:p w:rsidR="001E074A" w:rsidRDefault="001E074A" w:rsidP="001E074A">
      <w:pPr>
        <w:spacing w:line="480" w:lineRule="auto"/>
      </w:pPr>
      <w:r>
        <w:rPr>
          <w:b/>
        </w:rPr>
        <w:tab/>
      </w:r>
      <w:r>
        <w:t>In determining the appropriate level of discipline, this court looks first to the standards for guidance.  (</w:t>
      </w:r>
      <w:proofErr w:type="spellStart"/>
      <w:r>
        <w:rPr>
          <w:i/>
          <w:iCs/>
        </w:rPr>
        <w:t>Drociak</w:t>
      </w:r>
      <w:proofErr w:type="spellEnd"/>
      <w:r>
        <w:rPr>
          <w:i/>
          <w:iCs/>
        </w:rPr>
        <w:t xml:space="preserve"> v. State Bar</w:t>
      </w:r>
      <w:r>
        <w:t xml:space="preserve"> (1991) 52 </w:t>
      </w:r>
      <w:proofErr w:type="spellStart"/>
      <w:r>
        <w:t>Cal.3d</w:t>
      </w:r>
      <w:proofErr w:type="spellEnd"/>
      <w:r>
        <w:t xml:space="preserve"> 10</w:t>
      </w:r>
      <w:r w:rsidR="00CA7D44">
        <w:t>8</w:t>
      </w:r>
      <w:r>
        <w:t xml:space="preserve">5, 1090; </w:t>
      </w:r>
      <w:r>
        <w:rPr>
          <w:i/>
          <w:iCs/>
        </w:rPr>
        <w:t>In the Matter of Koehler</w:t>
      </w:r>
      <w:r>
        <w:t xml:space="preserve"> (Review Dept. 1991) 1 Cal. State Bar Ct. </w:t>
      </w:r>
      <w:proofErr w:type="spellStart"/>
      <w:r>
        <w:t>Rptr</w:t>
      </w:r>
      <w:proofErr w:type="spellEnd"/>
      <w:r>
        <w:t>. 615, 628.)  Second, the court looks to decisional law.  (</w:t>
      </w:r>
      <w:r>
        <w:rPr>
          <w:i/>
          <w:iCs/>
        </w:rPr>
        <w:t>Snyder v. State Bar</w:t>
      </w:r>
      <w:r w:rsidR="00921C51">
        <w:t xml:space="preserve"> (1990) 49 </w:t>
      </w:r>
      <w:proofErr w:type="spellStart"/>
      <w:r w:rsidR="00921C51">
        <w:t>Cal.3d</w:t>
      </w:r>
      <w:proofErr w:type="spellEnd"/>
      <w:r w:rsidR="00921C51">
        <w:t xml:space="preserve"> 1302, 1310-</w:t>
      </w:r>
      <w:r>
        <w:t xml:space="preserve">1311; </w:t>
      </w:r>
      <w:r w:rsidRPr="00031E0B">
        <w:rPr>
          <w:i/>
        </w:rPr>
        <w:t>In the Matter of Taylor</w:t>
      </w:r>
      <w:r>
        <w:t xml:space="preserve"> (Review Dept. 1991) 1 Cal. State Bar Ct. </w:t>
      </w:r>
      <w:proofErr w:type="spellStart"/>
      <w:r>
        <w:t>Rptr</w:t>
      </w:r>
      <w:proofErr w:type="spellEnd"/>
      <w:r>
        <w:t>. 563, 580.)</w:t>
      </w:r>
      <w:r w:rsidRPr="00B926CE">
        <w:t xml:space="preserve"> </w:t>
      </w:r>
      <w:r w:rsidR="003569E6">
        <w:t xml:space="preserve"> </w:t>
      </w:r>
    </w:p>
    <w:p w:rsidR="001E074A" w:rsidRDefault="001E074A" w:rsidP="001E074A">
      <w:pPr>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rsidR="000679FC" w:rsidRDefault="001E074A" w:rsidP="004967A5">
      <w:pPr>
        <w:spacing w:line="480" w:lineRule="auto"/>
        <w:ind w:firstLine="720"/>
      </w:pPr>
      <w:r w:rsidRPr="004967A5">
        <w:t>Standards</w:t>
      </w:r>
      <w:r w:rsidR="000679FC" w:rsidRPr="004967A5">
        <w:t xml:space="preserve"> 2.2(a),</w:t>
      </w:r>
      <w:r w:rsidRPr="004967A5">
        <w:t xml:space="preserve"> </w:t>
      </w:r>
      <w:r w:rsidR="00A13359">
        <w:t xml:space="preserve">2.2(b), </w:t>
      </w:r>
      <w:r w:rsidR="000679FC" w:rsidRPr="004967A5">
        <w:t>2.3,</w:t>
      </w:r>
      <w:r w:rsidR="00A13359">
        <w:t xml:space="preserve"> 2.4(b),</w:t>
      </w:r>
      <w:r w:rsidR="000679FC" w:rsidRPr="004967A5">
        <w:t xml:space="preserve"> </w:t>
      </w:r>
      <w:r w:rsidRPr="004967A5">
        <w:t xml:space="preserve">and </w:t>
      </w:r>
      <w:r w:rsidR="00A13359">
        <w:t>2.</w:t>
      </w:r>
      <w:r w:rsidR="00B540B7">
        <w:t>6</w:t>
      </w:r>
      <w:r w:rsidR="00A13359">
        <w:t xml:space="preserve"> </w:t>
      </w:r>
      <w:r>
        <w:t xml:space="preserve">apply in this matter.  The </w:t>
      </w:r>
      <w:r w:rsidR="000679FC">
        <w:t xml:space="preserve">most severe sanction is standard 2.2(a).  Standard 2.2(a) sets forth that the sanction for misappropriation is </w:t>
      </w:r>
      <w:r w:rsidR="000679FC">
        <w:lastRenderedPageBreak/>
        <w:t>disbarment, unless the amount misappropriated is insignificant or the most compelling mitigating circumstances predominate, in which case, the discipline imposed must not be less than one year irrespective of mitigating circumstances.</w:t>
      </w:r>
    </w:p>
    <w:p w:rsidR="001E074A" w:rsidRDefault="001E074A" w:rsidP="000679FC">
      <w:pPr>
        <w:spacing w:line="480" w:lineRule="auto"/>
        <w:ind w:firstLine="720"/>
      </w:pPr>
      <w:r>
        <w:t xml:space="preserve">Standard 1.7(b) also applies.  It provides that, if an attorney has two prior records of discipline, the degree of discipline in the current proceeding shall be disbarment unless the most compelling mitigating circumstances clearly predominate.  </w:t>
      </w:r>
    </w:p>
    <w:p w:rsidR="001E074A" w:rsidRDefault="001E074A" w:rsidP="001E074A">
      <w:pPr>
        <w:spacing w:line="480" w:lineRule="auto"/>
        <w:ind w:firstLine="720"/>
      </w:pPr>
      <w:r>
        <w:t xml:space="preserve">The Supreme Court gives the standards </w:t>
      </w:r>
      <w:r w:rsidR="00EE784E">
        <w:t>“</w:t>
      </w:r>
      <w:r>
        <w:t>great weight</w:t>
      </w:r>
      <w:r w:rsidR="00EE784E">
        <w:t>”</w:t>
      </w:r>
      <w:r>
        <w:t xml:space="preserve"> and will reject a recommendation consistent with the standards only where the court entertains </w:t>
      </w:r>
      <w:r w:rsidR="00EE784E">
        <w:t>“</w:t>
      </w:r>
      <w:r>
        <w:t>grave doubts</w:t>
      </w:r>
      <w:r w:rsidR="00EE784E">
        <w:t>”</w:t>
      </w:r>
      <w:r>
        <w:t xml:space="preserve"> as to its propriety.  (</w:t>
      </w:r>
      <w:r>
        <w:rPr>
          <w:i/>
          <w:iCs/>
        </w:rPr>
        <w:t>In re Silverton</w:t>
      </w:r>
      <w:r>
        <w:t xml:space="preserve"> (2005) 36 </w:t>
      </w:r>
      <w:proofErr w:type="spellStart"/>
      <w:r>
        <w:t>Cal.4th</w:t>
      </w:r>
      <w:proofErr w:type="spellEnd"/>
      <w:r>
        <w:t xml:space="preserve"> 81, 91</w:t>
      </w:r>
      <w:r w:rsidR="000611A8">
        <w:t>-</w:t>
      </w:r>
      <w:r>
        <w:t xml:space="preserve">92; </w:t>
      </w:r>
      <w:r>
        <w:rPr>
          <w:i/>
          <w:iCs/>
        </w:rPr>
        <w:t xml:space="preserve">In re </w:t>
      </w:r>
      <w:proofErr w:type="spellStart"/>
      <w:r>
        <w:rPr>
          <w:i/>
          <w:iCs/>
        </w:rPr>
        <w:t>Naney</w:t>
      </w:r>
      <w:proofErr w:type="spellEnd"/>
      <w:r>
        <w:t xml:space="preserve"> (1990) 51 </w:t>
      </w:r>
      <w:proofErr w:type="spellStart"/>
      <w:r>
        <w:t>Cal.3d</w:t>
      </w:r>
      <w:proofErr w:type="spellEnd"/>
      <w:r>
        <w:t xml:space="preserve"> 186, 190.)  Although the standards are not mandatory, they may be deviated from when there is a compelling, well-defined reason to do so.  (</w:t>
      </w:r>
      <w:r>
        <w:rPr>
          <w:i/>
          <w:iCs/>
        </w:rPr>
        <w:t>Bates v. State Bar</w:t>
      </w:r>
      <w:r>
        <w:t xml:space="preserve"> (1990) 51 </w:t>
      </w:r>
      <w:proofErr w:type="spellStart"/>
      <w:r>
        <w:t>Cal.3d</w:t>
      </w:r>
      <w:proofErr w:type="spellEnd"/>
      <w:r>
        <w:t xml:space="preserve"> 1056, 1061, fn. 2; </w:t>
      </w:r>
      <w:proofErr w:type="spellStart"/>
      <w:r>
        <w:rPr>
          <w:i/>
          <w:iCs/>
        </w:rPr>
        <w:t>Aronin</w:t>
      </w:r>
      <w:proofErr w:type="spellEnd"/>
      <w:r>
        <w:rPr>
          <w:i/>
          <w:iCs/>
        </w:rPr>
        <w:t xml:space="preserve"> v. State Bar</w:t>
      </w:r>
      <w:r>
        <w:t xml:space="preserve"> (1990) 52 </w:t>
      </w:r>
      <w:proofErr w:type="spellStart"/>
      <w:r>
        <w:t>Cal.3d</w:t>
      </w:r>
      <w:proofErr w:type="spellEnd"/>
      <w:r>
        <w:t xml:space="preserve"> 276, 291.)  There is no reason to deviate from the standard</w:t>
      </w:r>
      <w:r w:rsidR="0044207A">
        <w:t>s</w:t>
      </w:r>
      <w:r>
        <w:t xml:space="preserve"> in this case.</w:t>
      </w:r>
    </w:p>
    <w:p w:rsidR="001E074A" w:rsidRDefault="001E074A" w:rsidP="001E074A">
      <w:pPr>
        <w:spacing w:line="480" w:lineRule="auto"/>
      </w:pPr>
      <w:r>
        <w:tab/>
        <w:t xml:space="preserve">Respondent has been found culpable of </w:t>
      </w:r>
      <w:r w:rsidR="00EA7F49">
        <w:t xml:space="preserve">multiple acts of moral turpitude, as well as other misconduct.  </w:t>
      </w:r>
      <w:r>
        <w:t>Aggravating factors include prio</w:t>
      </w:r>
      <w:r w:rsidR="00395D26">
        <w:t>r discipline</w:t>
      </w:r>
      <w:r w:rsidR="00900DD8">
        <w:t xml:space="preserve"> and harm to his clients and to the administration of justice.</w:t>
      </w:r>
      <w:r>
        <w:t xml:space="preserve">  Mitigating factors include some evidence of a mental health condition</w:t>
      </w:r>
      <w:r w:rsidR="00900DD8">
        <w:t>.  But he still suffers from this condition.</w:t>
      </w:r>
      <w:r>
        <w:t xml:space="preserve">  </w:t>
      </w:r>
    </w:p>
    <w:p w:rsidR="001E074A" w:rsidRPr="00021D6D" w:rsidRDefault="001E074A" w:rsidP="001E074A">
      <w:pPr>
        <w:spacing w:line="480" w:lineRule="auto"/>
        <w:ind w:firstLine="720"/>
      </w:pPr>
      <w:r>
        <w:t xml:space="preserve">The </w:t>
      </w:r>
      <w:r w:rsidR="00D338C4">
        <w:t>Office of the Chief Trial Counsel</w:t>
      </w:r>
      <w:r>
        <w:t xml:space="preserve"> recommends </w:t>
      </w:r>
      <w:r w:rsidR="0044207A">
        <w:t>that respondent be disbarred</w:t>
      </w:r>
      <w:r w:rsidR="00EA7F49">
        <w:t>.</w:t>
      </w:r>
      <w:r w:rsidR="0044207A">
        <w:t xml:space="preserve">  </w:t>
      </w:r>
      <w:r w:rsidRPr="00021D6D">
        <w:t xml:space="preserve">Lesser discipline than disbarment is not warranted because there are no extenuating circumstances that clearly predominate in this case.  (Std. 1.7(b).)  Moreover, it is evident that </w:t>
      </w:r>
      <w:r w:rsidR="0044207A">
        <w:t xml:space="preserve">respondent’s </w:t>
      </w:r>
      <w:r w:rsidRPr="00021D6D">
        <w:t xml:space="preserve">prior discipline, coupled with his prior probation, has not served to rehabilitate or </w:t>
      </w:r>
      <w:r w:rsidR="0044207A">
        <w:t xml:space="preserve">to </w:t>
      </w:r>
      <w:r w:rsidRPr="00021D6D">
        <w:t>deter him from further misconduct.  In such circumstances, disbarment is appropriate.  (</w:t>
      </w:r>
      <w:r w:rsidRPr="0044207A">
        <w:rPr>
          <w:i/>
        </w:rPr>
        <w:t>In the Matter of Rose</w:t>
      </w:r>
      <w:r w:rsidRPr="00021D6D">
        <w:t xml:space="preserve"> (Review Dept. 1997) 3 Cal. State Bar Ct. </w:t>
      </w:r>
      <w:proofErr w:type="spellStart"/>
      <w:r w:rsidRPr="00021D6D">
        <w:t>Rptr</w:t>
      </w:r>
      <w:proofErr w:type="spellEnd"/>
      <w:r w:rsidRPr="00021D6D">
        <w:t xml:space="preserve">. 646.) </w:t>
      </w:r>
    </w:p>
    <w:p w:rsidR="001E074A" w:rsidRPr="00021D6D" w:rsidRDefault="001E074A" w:rsidP="001E074A">
      <w:pPr>
        <w:spacing w:line="480" w:lineRule="auto"/>
        <w:ind w:firstLine="720"/>
      </w:pPr>
      <w:r w:rsidRPr="00021D6D">
        <w:lastRenderedPageBreak/>
        <w:t>Having considered the evidence, the standards and other relevant law, the court believes that disbarment is the only adequate means of protecting the public from further wrongdoing by respondent.  Accordingly, the court so recommends.</w:t>
      </w:r>
    </w:p>
    <w:p w:rsidR="001E074A" w:rsidRDefault="001E074A" w:rsidP="001E074A">
      <w:pPr>
        <w:spacing w:line="480" w:lineRule="auto"/>
        <w:rPr>
          <w:b/>
        </w:rPr>
      </w:pPr>
      <w:r>
        <w:rPr>
          <w:b/>
        </w:rPr>
        <w:t xml:space="preserve">5.  </w:t>
      </w:r>
      <w:r w:rsidRPr="00FD2B66">
        <w:rPr>
          <w:b/>
          <w:u w:val="single"/>
        </w:rPr>
        <w:t>RECOMMENDED DISCIPLINE</w:t>
      </w:r>
    </w:p>
    <w:p w:rsidR="001E074A" w:rsidRPr="00F039F8" w:rsidRDefault="001E074A" w:rsidP="001E074A">
      <w:pPr>
        <w:spacing w:line="480" w:lineRule="auto"/>
        <w:rPr>
          <w:b/>
        </w:rPr>
      </w:pPr>
      <w:r>
        <w:rPr>
          <w:b/>
        </w:rPr>
        <w:tab/>
      </w:r>
      <w:r>
        <w:t xml:space="preserve">This court recommends that respondent </w:t>
      </w:r>
      <w:r w:rsidR="0025778F">
        <w:t xml:space="preserve">David </w:t>
      </w:r>
      <w:proofErr w:type="spellStart"/>
      <w:r w:rsidR="0025778F">
        <w:t>Burkenroad</w:t>
      </w:r>
      <w:proofErr w:type="spellEnd"/>
      <w:r>
        <w:t xml:space="preserve"> be disbarred from the practice of law in the State of California and that his name be stricken from the roll of attorneys in this state.</w:t>
      </w:r>
    </w:p>
    <w:p w:rsidR="001E074A" w:rsidRPr="0034659A" w:rsidRDefault="001E074A" w:rsidP="001E074A">
      <w:pPr>
        <w:spacing w:line="480" w:lineRule="auto"/>
        <w:rPr>
          <w:bCs/>
        </w:rPr>
      </w:pPr>
      <w:r>
        <w:rPr>
          <w:bCs/>
        </w:rPr>
        <w:tab/>
      </w:r>
      <w:r w:rsidR="00FF6752">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sidR="00FF6752">
        <w:rPr>
          <w:rStyle w:val="FootnoteReference"/>
        </w:rPr>
        <w:footnoteReference w:id="4"/>
      </w:r>
    </w:p>
    <w:p w:rsidR="001E074A" w:rsidRDefault="00FF6752" w:rsidP="001E074A">
      <w:pPr>
        <w:spacing w:line="480" w:lineRule="auto"/>
      </w:pPr>
      <w:r>
        <w:rPr>
          <w:b/>
          <w:bCs/>
        </w:rPr>
        <w:t>6</w:t>
      </w:r>
      <w:r w:rsidR="001E074A">
        <w:rPr>
          <w:b/>
          <w:bCs/>
        </w:rPr>
        <w:t xml:space="preserve">.  </w:t>
      </w:r>
      <w:r w:rsidR="001E074A">
        <w:rPr>
          <w:b/>
          <w:bCs/>
          <w:u w:val="single"/>
        </w:rPr>
        <w:t>COSTS</w:t>
      </w:r>
    </w:p>
    <w:p w:rsidR="001E074A" w:rsidRDefault="001E074A" w:rsidP="001E074A">
      <w:pPr>
        <w:spacing w:line="480" w:lineRule="auto"/>
      </w:pPr>
      <w:r>
        <w:tab/>
      </w:r>
      <w:r w:rsidR="00FF6752">
        <w:t>It is recommended that costs be awarded to the State Bar in accordance with Business and Professions Code section 6086.10 and are enforceable both as provided in Business and Professions Code section 6140.7 and as a money judgment.</w:t>
      </w:r>
    </w:p>
    <w:p w:rsidR="001E074A" w:rsidRDefault="00FF6752" w:rsidP="001E074A">
      <w:pPr>
        <w:spacing w:line="480" w:lineRule="auto"/>
      </w:pPr>
      <w:r>
        <w:rPr>
          <w:b/>
          <w:bCs/>
        </w:rPr>
        <w:t>7</w:t>
      </w:r>
      <w:r w:rsidR="001E074A">
        <w:rPr>
          <w:b/>
          <w:bCs/>
        </w:rPr>
        <w:t xml:space="preserve">.  </w:t>
      </w:r>
      <w:r w:rsidR="001E074A">
        <w:rPr>
          <w:b/>
          <w:bCs/>
          <w:u w:val="single"/>
        </w:rPr>
        <w:t>ORDER OF INACTIVE ENROLLMENT</w:t>
      </w:r>
    </w:p>
    <w:p w:rsidR="00295BED" w:rsidRDefault="001E074A" w:rsidP="001E074A">
      <w:pPr>
        <w:spacing w:line="480" w:lineRule="auto"/>
      </w:pPr>
      <w:r>
        <w:tab/>
      </w:r>
      <w:r w:rsidR="00FF6752">
        <w:t xml:space="preserve">In accordance with Business and Professions Code section 6007, subdivision (c)(4), it is ordered that respondent be involuntarily enrolled as an inactive member of the State Bar of </w:t>
      </w:r>
    </w:p>
    <w:p w:rsidR="00295BED" w:rsidRDefault="00295BED" w:rsidP="001E074A">
      <w:pPr>
        <w:spacing w:line="480" w:lineRule="auto"/>
      </w:pPr>
      <w:r>
        <w:t>/ / /</w:t>
      </w:r>
    </w:p>
    <w:p w:rsidR="00295BED" w:rsidRDefault="00295BED" w:rsidP="001E074A">
      <w:pPr>
        <w:spacing w:line="480" w:lineRule="auto"/>
      </w:pPr>
      <w:r>
        <w:t>/ / /</w:t>
      </w:r>
    </w:p>
    <w:p w:rsidR="00295BED" w:rsidRDefault="00295BED" w:rsidP="001E074A">
      <w:pPr>
        <w:spacing w:line="480" w:lineRule="auto"/>
      </w:pPr>
    </w:p>
    <w:p w:rsidR="001E074A" w:rsidRDefault="00FF6752" w:rsidP="001E074A">
      <w:pPr>
        <w:spacing w:line="480" w:lineRule="auto"/>
      </w:pPr>
      <w:r>
        <w:lastRenderedPageBreak/>
        <w:t>California effective three days after service of this decision and order by mail.  (Rules Proc. of State Bar, rule 220(c).)</w:t>
      </w:r>
    </w:p>
    <w:p w:rsidR="00AC2924" w:rsidRDefault="00AC2924" w:rsidP="00AC2924">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883D02">
                <w:rPr>
                  <w:noProof/>
                </w:rPr>
                <w:t>February _____, 2011</w:t>
              </w:r>
            </w:fldSimple>
          </w:p>
        </w:tc>
        <w:tc>
          <w:tcPr>
            <w:tcW w:w="4565" w:type="dxa"/>
            <w:tcBorders>
              <w:top w:val="single" w:sz="4" w:space="0" w:color="auto"/>
              <w:bottom w:val="nil"/>
              <w:right w:val="nil"/>
            </w:tcBorders>
          </w:tcPr>
          <w:p w:rsidR="003D3B12" w:rsidRDefault="00AC2924">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E44304">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364" w:rsidRDefault="00275364">
      <w:r>
        <w:separator/>
      </w:r>
    </w:p>
  </w:endnote>
  <w:endnote w:type="continuationSeparator" w:id="0">
    <w:p w:rsidR="00275364" w:rsidRDefault="00275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0B" w:rsidRDefault="00953C93" w:rsidP="003B44D5">
    <w:pPr>
      <w:pStyle w:val="Footer"/>
      <w:framePr w:wrap="around" w:vAnchor="text" w:hAnchor="margin" w:xAlign="center" w:y="1"/>
      <w:rPr>
        <w:rStyle w:val="PageNumber"/>
      </w:rPr>
    </w:pPr>
    <w:r>
      <w:rPr>
        <w:rStyle w:val="PageNumber"/>
      </w:rPr>
      <w:fldChar w:fldCharType="begin"/>
    </w:r>
    <w:r w:rsidR="00031E0B">
      <w:rPr>
        <w:rStyle w:val="PageNumber"/>
      </w:rPr>
      <w:instrText xml:space="preserve">PAGE  </w:instrText>
    </w:r>
    <w:r>
      <w:rPr>
        <w:rStyle w:val="PageNumber"/>
      </w:rPr>
      <w:fldChar w:fldCharType="end"/>
    </w:r>
  </w:p>
  <w:p w:rsidR="00031E0B" w:rsidRDefault="00031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0B" w:rsidRDefault="00953C93" w:rsidP="00200B09">
    <w:pPr>
      <w:pStyle w:val="Footer"/>
      <w:framePr w:wrap="around" w:vAnchor="text" w:hAnchor="margin" w:xAlign="center" w:y="1"/>
      <w:rPr>
        <w:rStyle w:val="PageNumber"/>
      </w:rPr>
    </w:pPr>
    <w:r>
      <w:rPr>
        <w:rStyle w:val="PageNumber"/>
      </w:rPr>
      <w:fldChar w:fldCharType="begin"/>
    </w:r>
    <w:r w:rsidR="00031E0B">
      <w:rPr>
        <w:rStyle w:val="PageNumber"/>
      </w:rPr>
      <w:instrText xml:space="preserve">PAGE  </w:instrText>
    </w:r>
    <w:r>
      <w:rPr>
        <w:rStyle w:val="PageNumber"/>
      </w:rPr>
      <w:fldChar w:fldCharType="separate"/>
    </w:r>
    <w:r w:rsidR="00883D02">
      <w:rPr>
        <w:rStyle w:val="PageNumber"/>
        <w:noProof/>
      </w:rPr>
      <w:t>- 19 -</w:t>
    </w:r>
    <w:r>
      <w:rPr>
        <w:rStyle w:val="PageNumber"/>
      </w:rPr>
      <w:fldChar w:fldCharType="end"/>
    </w:r>
  </w:p>
  <w:p w:rsidR="00031E0B" w:rsidRDefault="00031E0B">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0B" w:rsidRDefault="00031E0B">
    <w:pPr>
      <w:pStyle w:val="Footer"/>
      <w:framePr w:wrap="around" w:vAnchor="text" w:hAnchor="margin" w:xAlign="center" w:y="1"/>
      <w:rPr>
        <w:rStyle w:val="PageNumber"/>
      </w:rPr>
    </w:pPr>
  </w:p>
  <w:p w:rsidR="00031E0B" w:rsidRDefault="00031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364" w:rsidRDefault="00275364">
      <w:r>
        <w:separator/>
      </w:r>
    </w:p>
  </w:footnote>
  <w:footnote w:type="continuationSeparator" w:id="0">
    <w:p w:rsidR="00275364" w:rsidRDefault="00275364">
      <w:r>
        <w:continuationSeparator/>
      </w:r>
    </w:p>
  </w:footnote>
  <w:footnote w:id="1">
    <w:p w:rsidR="00031E0B" w:rsidRPr="007E61DA" w:rsidRDefault="00031E0B" w:rsidP="00B27BA8">
      <w:pPr>
        <w:pStyle w:val="FootnoteText"/>
        <w:rPr>
          <w:szCs w:val="24"/>
        </w:rPr>
      </w:pPr>
      <w:r w:rsidRPr="007E61DA">
        <w:rPr>
          <w:rStyle w:val="FootnoteReference"/>
          <w:szCs w:val="24"/>
        </w:rPr>
        <w:footnoteRef/>
      </w:r>
      <w:r w:rsidRPr="007E61DA">
        <w:rPr>
          <w:szCs w:val="24"/>
        </w:rPr>
        <w:t xml:space="preserve"> </w:t>
      </w:r>
      <w:r w:rsidRPr="007E61DA">
        <w:rPr>
          <w:color w:val="000000"/>
          <w:szCs w:val="24"/>
        </w:rPr>
        <w:t>All furth</w:t>
      </w:r>
      <w:r>
        <w:rPr>
          <w:color w:val="000000"/>
          <w:szCs w:val="24"/>
        </w:rPr>
        <w:t>er references to standard(s) are</w:t>
      </w:r>
      <w:r w:rsidRPr="007E61DA">
        <w:rPr>
          <w:color w:val="000000"/>
          <w:szCs w:val="24"/>
        </w:rPr>
        <w:t xml:space="preserve"> to this source.</w:t>
      </w:r>
    </w:p>
  </w:footnote>
  <w:footnote w:id="2">
    <w:p w:rsidR="00031E0B" w:rsidRDefault="00031E0B">
      <w:pPr>
        <w:pStyle w:val="FootnoteText"/>
      </w:pPr>
      <w:r>
        <w:rPr>
          <w:rStyle w:val="FootnoteReference"/>
        </w:rPr>
        <w:footnoteRef/>
      </w:r>
      <w:r>
        <w:t xml:space="preserve"> </w:t>
      </w:r>
      <w:r w:rsidRPr="00CF5BD1">
        <w:t xml:space="preserve">The </w:t>
      </w:r>
      <w:r w:rsidRPr="00C400E4">
        <w:t xml:space="preserve">Supreme Court’s order in case number </w:t>
      </w:r>
      <w:proofErr w:type="spellStart"/>
      <w:r w:rsidRPr="00C400E4">
        <w:t>S1</w:t>
      </w:r>
      <w:r>
        <w:t>65318</w:t>
      </w:r>
      <w:proofErr w:type="spellEnd"/>
      <w:r>
        <w:t xml:space="preserve"> (10-PM-04605)</w:t>
      </w:r>
      <w:r w:rsidRPr="00CF5BD1">
        <w:t xml:space="preserve"> was filed after the State Bar </w:t>
      </w:r>
      <w:r>
        <w:t>submitted its exhibits</w:t>
      </w:r>
      <w:r w:rsidRPr="00CF5BD1">
        <w:t xml:space="preserve"> in this proceeding.  Therefore, the State Bar was </w:t>
      </w:r>
      <w:r>
        <w:t>precluded from introducing</w:t>
      </w:r>
      <w:r w:rsidRPr="00CF5BD1">
        <w:t xml:space="preserve"> a copy of </w:t>
      </w:r>
      <w:r>
        <w:t>this order</w:t>
      </w:r>
      <w:r w:rsidRPr="00CF5BD1">
        <w:t xml:space="preserve">.  Due to these unusual circumstances, the court takes judicial notice of the Supreme Court’s order in case number </w:t>
      </w:r>
      <w:proofErr w:type="spellStart"/>
      <w:r w:rsidRPr="00C400E4">
        <w:t>S1</w:t>
      </w:r>
      <w:r>
        <w:t>65318</w:t>
      </w:r>
      <w:proofErr w:type="spellEnd"/>
      <w:r>
        <w:t xml:space="preserve"> (10-PM-04605)</w:t>
      </w:r>
      <w:r w:rsidRPr="00CF5BD1">
        <w:t xml:space="preserve">.  The court has independently obtained a copy of the Supreme Court’s order in case number </w:t>
      </w:r>
      <w:proofErr w:type="spellStart"/>
      <w:r w:rsidRPr="00C400E4">
        <w:t>S1</w:t>
      </w:r>
      <w:r>
        <w:t>65318</w:t>
      </w:r>
      <w:proofErr w:type="spellEnd"/>
      <w:r>
        <w:t xml:space="preserve"> (10-PM-04605)</w:t>
      </w:r>
      <w:r w:rsidRPr="00CF5BD1">
        <w:t xml:space="preserve">.  The court hereby directs the Clerk to mark the Supreme Court’s order in case number </w:t>
      </w:r>
      <w:proofErr w:type="spellStart"/>
      <w:r w:rsidRPr="00C400E4">
        <w:t>S1</w:t>
      </w:r>
      <w:r>
        <w:t>65318</w:t>
      </w:r>
      <w:proofErr w:type="spellEnd"/>
      <w:r>
        <w:t xml:space="preserve"> (10-PM-04605)</w:t>
      </w:r>
      <w:r w:rsidRPr="00CF5BD1">
        <w:t xml:space="preserve"> as a </w:t>
      </w:r>
      <w:r w:rsidR="00323245">
        <w:t>C</w:t>
      </w:r>
      <w:r w:rsidRPr="00CF5BD1">
        <w:t xml:space="preserve">ourt </w:t>
      </w:r>
      <w:r w:rsidR="00323245">
        <w:t>E</w:t>
      </w:r>
      <w:r w:rsidRPr="00CF5BD1">
        <w:t xml:space="preserve">xhibit </w:t>
      </w:r>
      <w:r w:rsidR="00323245">
        <w:t>A, and to attach Court Exhibit A to this decision.</w:t>
      </w:r>
      <w:r>
        <w:t xml:space="preserve">  </w:t>
      </w:r>
    </w:p>
  </w:footnote>
  <w:footnote w:id="3">
    <w:p w:rsidR="00031E0B" w:rsidRDefault="00031E0B" w:rsidP="004D6FE2">
      <w:pPr>
        <w:pStyle w:val="FootnoteText"/>
      </w:pPr>
      <w:r>
        <w:rPr>
          <w:rStyle w:val="FootnoteReference"/>
        </w:rPr>
        <w:footnoteRef/>
      </w:r>
      <w:r>
        <w:t xml:space="preserve"> Dr. French also claimed in her testimony that she held a </w:t>
      </w:r>
      <w:proofErr w:type="spellStart"/>
      <w:r>
        <w:t>Psy.D</w:t>
      </w:r>
      <w:proofErr w:type="spellEnd"/>
      <w:r>
        <w:t xml:space="preserve">. degree from the New Center for Psychoanalysis.  Her vita noted that she had a “Doctorate in Psychoanalysis.”  However, upon cross-examination, she acknowledged that, in fact, she had not completed her dissertation and was only a candidate for the </w:t>
      </w:r>
      <w:proofErr w:type="spellStart"/>
      <w:r>
        <w:t>Psy.D</w:t>
      </w:r>
      <w:proofErr w:type="spellEnd"/>
      <w:r>
        <w:t>. degree.  This misrepresentation of her record, especially on such a relevant point as her training in psychology, is of serious concern to the court.  Further, Dr. French is a close friend of respondent.  Both of these factors call into question the credibility of her testimony.</w:t>
      </w:r>
    </w:p>
  </w:footnote>
  <w:footnote w:id="4">
    <w:p w:rsidR="00031E0B" w:rsidRDefault="00031E0B" w:rsidP="00FF6752">
      <w:pPr>
        <w:pStyle w:val="FootnoteText"/>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w:t>
      </w:r>
      <w:proofErr w:type="spellStart"/>
      <w:r>
        <w:t>Cal.3d</w:t>
      </w:r>
      <w:proofErr w:type="spellEnd"/>
      <w:r>
        <w:t xml:space="preserve"> 337, 341.)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0607E0"/>
    <w:multiLevelType w:val="hybridMultilevel"/>
    <w:tmpl w:val="9004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A34CC"/>
    <w:multiLevelType w:val="hybridMultilevel"/>
    <w:tmpl w:val="85B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C2914"/>
    <w:multiLevelType w:val="hybridMultilevel"/>
    <w:tmpl w:val="39D4037E"/>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67976385"/>
    <w:multiLevelType w:val="hybridMultilevel"/>
    <w:tmpl w:val="59E88FA2"/>
    <w:lvl w:ilvl="0" w:tplc="FD568F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1E074A"/>
    <w:rsid w:val="00007301"/>
    <w:rsid w:val="00014558"/>
    <w:rsid w:val="000200FC"/>
    <w:rsid w:val="00021D6D"/>
    <w:rsid w:val="00030875"/>
    <w:rsid w:val="00031E0B"/>
    <w:rsid w:val="000611A8"/>
    <w:rsid w:val="000679FC"/>
    <w:rsid w:val="00093202"/>
    <w:rsid w:val="000B144C"/>
    <w:rsid w:val="000D4CB3"/>
    <w:rsid w:val="000F031D"/>
    <w:rsid w:val="000F3B03"/>
    <w:rsid w:val="000F49C6"/>
    <w:rsid w:val="00112058"/>
    <w:rsid w:val="00115958"/>
    <w:rsid w:val="00137722"/>
    <w:rsid w:val="00153FB5"/>
    <w:rsid w:val="00157C05"/>
    <w:rsid w:val="00192622"/>
    <w:rsid w:val="001A2C55"/>
    <w:rsid w:val="001E074A"/>
    <w:rsid w:val="001E54BE"/>
    <w:rsid w:val="001E5CC7"/>
    <w:rsid w:val="00200B09"/>
    <w:rsid w:val="0020265D"/>
    <w:rsid w:val="0020748B"/>
    <w:rsid w:val="00240F41"/>
    <w:rsid w:val="00244A64"/>
    <w:rsid w:val="00246D60"/>
    <w:rsid w:val="0025778F"/>
    <w:rsid w:val="00266758"/>
    <w:rsid w:val="002706F2"/>
    <w:rsid w:val="00273DA6"/>
    <w:rsid w:val="00275364"/>
    <w:rsid w:val="002849DE"/>
    <w:rsid w:val="00291092"/>
    <w:rsid w:val="0029579C"/>
    <w:rsid w:val="00295BED"/>
    <w:rsid w:val="002A4967"/>
    <w:rsid w:val="002D3492"/>
    <w:rsid w:val="002D7A18"/>
    <w:rsid w:val="002E4E87"/>
    <w:rsid w:val="002F3BA4"/>
    <w:rsid w:val="003101D1"/>
    <w:rsid w:val="00311FC5"/>
    <w:rsid w:val="00323245"/>
    <w:rsid w:val="003321FA"/>
    <w:rsid w:val="00335A6E"/>
    <w:rsid w:val="00342391"/>
    <w:rsid w:val="003569E6"/>
    <w:rsid w:val="003571E3"/>
    <w:rsid w:val="0036621F"/>
    <w:rsid w:val="00386508"/>
    <w:rsid w:val="00390BB5"/>
    <w:rsid w:val="00393DB9"/>
    <w:rsid w:val="00394892"/>
    <w:rsid w:val="00395D26"/>
    <w:rsid w:val="003B44D5"/>
    <w:rsid w:val="003C64A9"/>
    <w:rsid w:val="003C751B"/>
    <w:rsid w:val="003D3B12"/>
    <w:rsid w:val="003E29D9"/>
    <w:rsid w:val="003F4231"/>
    <w:rsid w:val="004134D0"/>
    <w:rsid w:val="00430BC5"/>
    <w:rsid w:val="004335B0"/>
    <w:rsid w:val="00441CD9"/>
    <w:rsid w:val="0044207A"/>
    <w:rsid w:val="00472C4B"/>
    <w:rsid w:val="00476BCC"/>
    <w:rsid w:val="00480B32"/>
    <w:rsid w:val="00480F41"/>
    <w:rsid w:val="004967A5"/>
    <w:rsid w:val="004A4ED2"/>
    <w:rsid w:val="004A6298"/>
    <w:rsid w:val="004B6810"/>
    <w:rsid w:val="004D6E52"/>
    <w:rsid w:val="004D6FE2"/>
    <w:rsid w:val="004F06AF"/>
    <w:rsid w:val="004F37EC"/>
    <w:rsid w:val="0050078D"/>
    <w:rsid w:val="00510CB6"/>
    <w:rsid w:val="00517B6D"/>
    <w:rsid w:val="005269A5"/>
    <w:rsid w:val="0054311F"/>
    <w:rsid w:val="00552594"/>
    <w:rsid w:val="0056713F"/>
    <w:rsid w:val="0057291F"/>
    <w:rsid w:val="00576B3B"/>
    <w:rsid w:val="00592200"/>
    <w:rsid w:val="00597581"/>
    <w:rsid w:val="005A2D42"/>
    <w:rsid w:val="005A6ABA"/>
    <w:rsid w:val="005A6B3E"/>
    <w:rsid w:val="005D0FEF"/>
    <w:rsid w:val="005D4335"/>
    <w:rsid w:val="005D7ECB"/>
    <w:rsid w:val="006019F3"/>
    <w:rsid w:val="00607A36"/>
    <w:rsid w:val="00625EFE"/>
    <w:rsid w:val="00636D2F"/>
    <w:rsid w:val="00640981"/>
    <w:rsid w:val="00641453"/>
    <w:rsid w:val="00672EDE"/>
    <w:rsid w:val="00673AD9"/>
    <w:rsid w:val="00677A70"/>
    <w:rsid w:val="00682581"/>
    <w:rsid w:val="00691844"/>
    <w:rsid w:val="00695347"/>
    <w:rsid w:val="00696C23"/>
    <w:rsid w:val="006B2DD1"/>
    <w:rsid w:val="006C6D9A"/>
    <w:rsid w:val="006D6547"/>
    <w:rsid w:val="006E75C6"/>
    <w:rsid w:val="00722FBA"/>
    <w:rsid w:val="00735099"/>
    <w:rsid w:val="00740F02"/>
    <w:rsid w:val="0074226A"/>
    <w:rsid w:val="00763369"/>
    <w:rsid w:val="007643E0"/>
    <w:rsid w:val="00765301"/>
    <w:rsid w:val="0077428A"/>
    <w:rsid w:val="00775D15"/>
    <w:rsid w:val="00780228"/>
    <w:rsid w:val="007A680F"/>
    <w:rsid w:val="007C38D4"/>
    <w:rsid w:val="007C3CE6"/>
    <w:rsid w:val="007C73AA"/>
    <w:rsid w:val="007D191A"/>
    <w:rsid w:val="007E0B53"/>
    <w:rsid w:val="007E52A4"/>
    <w:rsid w:val="007E5901"/>
    <w:rsid w:val="007E72D9"/>
    <w:rsid w:val="0081571A"/>
    <w:rsid w:val="008302BA"/>
    <w:rsid w:val="00845A27"/>
    <w:rsid w:val="008460D0"/>
    <w:rsid w:val="00857338"/>
    <w:rsid w:val="008628DD"/>
    <w:rsid w:val="00871C02"/>
    <w:rsid w:val="008733A2"/>
    <w:rsid w:val="00883D02"/>
    <w:rsid w:val="008D5D86"/>
    <w:rsid w:val="00900DD8"/>
    <w:rsid w:val="00921C51"/>
    <w:rsid w:val="00953C93"/>
    <w:rsid w:val="00954037"/>
    <w:rsid w:val="00957AA6"/>
    <w:rsid w:val="009A5205"/>
    <w:rsid w:val="009D4CD5"/>
    <w:rsid w:val="009E5656"/>
    <w:rsid w:val="009F77CF"/>
    <w:rsid w:val="00A0453B"/>
    <w:rsid w:val="00A13359"/>
    <w:rsid w:val="00A31EF2"/>
    <w:rsid w:val="00A33613"/>
    <w:rsid w:val="00A34B30"/>
    <w:rsid w:val="00A37572"/>
    <w:rsid w:val="00A477CE"/>
    <w:rsid w:val="00A649F2"/>
    <w:rsid w:val="00A811EE"/>
    <w:rsid w:val="00AA4F16"/>
    <w:rsid w:val="00AC2924"/>
    <w:rsid w:val="00AC72E6"/>
    <w:rsid w:val="00B05A7F"/>
    <w:rsid w:val="00B13D53"/>
    <w:rsid w:val="00B27BA8"/>
    <w:rsid w:val="00B369AF"/>
    <w:rsid w:val="00B540B7"/>
    <w:rsid w:val="00B56981"/>
    <w:rsid w:val="00B61B9D"/>
    <w:rsid w:val="00B77FA5"/>
    <w:rsid w:val="00B975D3"/>
    <w:rsid w:val="00BC1A71"/>
    <w:rsid w:val="00BC4C0C"/>
    <w:rsid w:val="00BD0DEE"/>
    <w:rsid w:val="00BD1FA6"/>
    <w:rsid w:val="00BF60F4"/>
    <w:rsid w:val="00C0502A"/>
    <w:rsid w:val="00C22E1C"/>
    <w:rsid w:val="00C400E4"/>
    <w:rsid w:val="00C7648A"/>
    <w:rsid w:val="00C76530"/>
    <w:rsid w:val="00C940DE"/>
    <w:rsid w:val="00CA7D44"/>
    <w:rsid w:val="00CB730D"/>
    <w:rsid w:val="00CD5778"/>
    <w:rsid w:val="00CE1DE9"/>
    <w:rsid w:val="00CE22DE"/>
    <w:rsid w:val="00CE277B"/>
    <w:rsid w:val="00CF5BD1"/>
    <w:rsid w:val="00CF6BEB"/>
    <w:rsid w:val="00D012C6"/>
    <w:rsid w:val="00D338C4"/>
    <w:rsid w:val="00D4512E"/>
    <w:rsid w:val="00D5636A"/>
    <w:rsid w:val="00D60C5F"/>
    <w:rsid w:val="00D6219C"/>
    <w:rsid w:val="00D86D00"/>
    <w:rsid w:val="00DB7F79"/>
    <w:rsid w:val="00DC5E1E"/>
    <w:rsid w:val="00DD48DC"/>
    <w:rsid w:val="00DE45B9"/>
    <w:rsid w:val="00DE6CE9"/>
    <w:rsid w:val="00DF0F18"/>
    <w:rsid w:val="00DF49A8"/>
    <w:rsid w:val="00E004D2"/>
    <w:rsid w:val="00E07B0E"/>
    <w:rsid w:val="00E311DD"/>
    <w:rsid w:val="00E32AEB"/>
    <w:rsid w:val="00E370E4"/>
    <w:rsid w:val="00E42BB4"/>
    <w:rsid w:val="00E44304"/>
    <w:rsid w:val="00E455E2"/>
    <w:rsid w:val="00E53F2A"/>
    <w:rsid w:val="00E632A2"/>
    <w:rsid w:val="00E64974"/>
    <w:rsid w:val="00E90D1B"/>
    <w:rsid w:val="00EA7F49"/>
    <w:rsid w:val="00EC5DE1"/>
    <w:rsid w:val="00EC76FB"/>
    <w:rsid w:val="00ED6F4A"/>
    <w:rsid w:val="00EE3AFC"/>
    <w:rsid w:val="00EE4654"/>
    <w:rsid w:val="00EE784E"/>
    <w:rsid w:val="00EF14F4"/>
    <w:rsid w:val="00EF79ED"/>
    <w:rsid w:val="00F0034E"/>
    <w:rsid w:val="00F005D4"/>
    <w:rsid w:val="00F17F27"/>
    <w:rsid w:val="00F32987"/>
    <w:rsid w:val="00F34C98"/>
    <w:rsid w:val="00F45252"/>
    <w:rsid w:val="00F51377"/>
    <w:rsid w:val="00F57918"/>
    <w:rsid w:val="00F72C9A"/>
    <w:rsid w:val="00F739C0"/>
    <w:rsid w:val="00F8793A"/>
    <w:rsid w:val="00F95115"/>
    <w:rsid w:val="00FA11AD"/>
    <w:rsid w:val="00FA3607"/>
    <w:rsid w:val="00FB411E"/>
    <w:rsid w:val="00FC3004"/>
    <w:rsid w:val="00FD366D"/>
    <w:rsid w:val="00FD392A"/>
    <w:rsid w:val="00FF6752"/>
    <w:rsid w:val="00FF7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54"/>
    <w:rPr>
      <w:sz w:val="24"/>
      <w:szCs w:val="24"/>
    </w:rPr>
  </w:style>
  <w:style w:type="paragraph" w:styleId="Heading1">
    <w:name w:val="heading 1"/>
    <w:basedOn w:val="Normal"/>
    <w:next w:val="Normal"/>
    <w:qFormat/>
    <w:rsid w:val="00EE465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E4654"/>
    <w:pPr>
      <w:spacing w:before="28"/>
      <w:ind w:right="90"/>
    </w:pPr>
    <w:rPr>
      <w:sz w:val="19"/>
      <w:szCs w:val="19"/>
    </w:rPr>
  </w:style>
  <w:style w:type="paragraph" w:styleId="Header">
    <w:name w:val="header"/>
    <w:basedOn w:val="Normal"/>
    <w:semiHidden/>
    <w:rsid w:val="00EE4654"/>
    <w:pPr>
      <w:tabs>
        <w:tab w:val="center" w:pos="4320"/>
        <w:tab w:val="right" w:pos="8640"/>
      </w:tabs>
    </w:pPr>
  </w:style>
  <w:style w:type="paragraph" w:styleId="Footer">
    <w:name w:val="footer"/>
    <w:basedOn w:val="Normal"/>
    <w:semiHidden/>
    <w:rsid w:val="00EE4654"/>
    <w:pPr>
      <w:tabs>
        <w:tab w:val="center" w:pos="4320"/>
        <w:tab w:val="right" w:pos="8640"/>
      </w:tabs>
    </w:pPr>
  </w:style>
  <w:style w:type="character" w:styleId="PageNumber">
    <w:name w:val="page number"/>
    <w:basedOn w:val="DefaultParagraphFont"/>
    <w:semiHidden/>
    <w:rsid w:val="00EE4654"/>
  </w:style>
  <w:style w:type="paragraph" w:styleId="FootnoteText">
    <w:name w:val="footnote text"/>
    <w:basedOn w:val="Normal"/>
    <w:link w:val="FootnoteTextChar"/>
    <w:rsid w:val="00EE4654"/>
    <w:pPr>
      <w:ind w:firstLine="720"/>
    </w:pPr>
    <w:rPr>
      <w:szCs w:val="20"/>
    </w:rPr>
  </w:style>
  <w:style w:type="character" w:styleId="FootnoteReference">
    <w:name w:val="footnote reference"/>
    <w:basedOn w:val="DefaultParagraphFont"/>
    <w:rsid w:val="00EE465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Level1">
    <w:name w:val="Level 1"/>
    <w:basedOn w:val="Normal"/>
    <w:uiPriority w:val="99"/>
    <w:rsid w:val="00AC2924"/>
    <w:pPr>
      <w:widowControl w:val="0"/>
      <w:numPr>
        <w:numId w:val="1"/>
      </w:numPr>
      <w:autoSpaceDE w:val="0"/>
      <w:autoSpaceDN w:val="0"/>
      <w:adjustRightInd w:val="0"/>
      <w:ind w:left="720" w:hanging="720"/>
      <w:outlineLvl w:val="0"/>
    </w:pPr>
  </w:style>
  <w:style w:type="character" w:customStyle="1" w:styleId="FootnoteTextChar">
    <w:name w:val="Footnote Text Char"/>
    <w:basedOn w:val="DefaultParagraphFont"/>
    <w:link w:val="FootnoteText"/>
    <w:rsid w:val="001E074A"/>
    <w:rPr>
      <w:sz w:val="24"/>
    </w:rPr>
  </w:style>
  <w:style w:type="paragraph" w:customStyle="1" w:styleId="DoubleSpacing">
    <w:name w:val="Double Spacing"/>
    <w:basedOn w:val="Normal"/>
    <w:rsid w:val="003321FA"/>
    <w:pPr>
      <w:spacing w:line="480" w:lineRule="exact"/>
    </w:pPr>
    <w:rPr>
      <w:szCs w:val="20"/>
    </w:rPr>
  </w:style>
  <w:style w:type="paragraph" w:styleId="ListParagraph">
    <w:name w:val="List Paragraph"/>
    <w:basedOn w:val="Normal"/>
    <w:uiPriority w:val="34"/>
    <w:qFormat/>
    <w:rsid w:val="003321FA"/>
    <w:pPr>
      <w:spacing w:line="240" w:lineRule="exact"/>
      <w:ind w:left="720"/>
      <w:contextualSpacing/>
    </w:pPr>
    <w:rPr>
      <w:szCs w:val="20"/>
    </w:rPr>
  </w:style>
  <w:style w:type="paragraph" w:styleId="BodyText2">
    <w:name w:val="Body Text 2"/>
    <w:basedOn w:val="Normal"/>
    <w:link w:val="BodyText2Char"/>
    <w:rsid w:val="003321FA"/>
    <w:pPr>
      <w:autoSpaceDE w:val="0"/>
      <w:autoSpaceDN w:val="0"/>
      <w:adjustRightInd w:val="0"/>
    </w:pPr>
    <w:rPr>
      <w:lang w:val="en-CA"/>
    </w:rPr>
  </w:style>
  <w:style w:type="character" w:customStyle="1" w:styleId="BodyText2Char">
    <w:name w:val="Body Text 2 Char"/>
    <w:basedOn w:val="DefaultParagraphFont"/>
    <w:link w:val="BodyText2"/>
    <w:rsid w:val="003321FA"/>
    <w:rPr>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nnr\Desktop\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37C5-2094-442D-9A93-BA78F2C0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19</Pages>
  <Words>5122</Words>
  <Characters>27762</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Mina Ruiz</cp:lastModifiedBy>
  <cp:revision>2</cp:revision>
  <cp:lastPrinted>2010-10-29T18:43:00Z</cp:lastPrinted>
  <dcterms:created xsi:type="dcterms:W3CDTF">2011-02-28T22:45:00Z</dcterms:created>
  <dcterms:modified xsi:type="dcterms:W3CDTF">2011-02-28T22:45:00Z</dcterms:modified>
</cp:coreProperties>
</file>