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DA" w:rsidRPr="00E94AE7" w:rsidRDefault="00E94AE7" w:rsidP="00E94AE7">
      <w:pPr>
        <w:jc w:val="right"/>
        <w:rPr>
          <w:b/>
          <w:sz w:val="36"/>
        </w:rPr>
      </w:pPr>
      <w:r w:rsidRPr="00E94AE7">
        <w:rPr>
          <w:b/>
        </w:rPr>
        <w:t>FILED SEPTEMBER 24, 2009</w:t>
      </w:r>
    </w:p>
    <w:p w:rsidR="003259DA" w:rsidRDefault="003259DA"/>
    <w:p w:rsidR="003259DA" w:rsidRDefault="003259DA"/>
    <w:p w:rsidR="003259DA" w:rsidRDefault="003259DA"/>
    <w:p w:rsidR="003259DA" w:rsidRDefault="003259DA"/>
    <w:p w:rsidR="003259DA" w:rsidRDefault="003259DA"/>
    <w:p w:rsidR="003259DA" w:rsidRDefault="003259DA">
      <w:pPr>
        <w:pStyle w:val="Heading1"/>
      </w:pPr>
      <w:r>
        <w:t>STATE BAR COURT OF CALIFORNIA</w:t>
      </w:r>
    </w:p>
    <w:p w:rsidR="003259DA" w:rsidRDefault="003259DA">
      <w:pPr>
        <w:spacing w:line="480" w:lineRule="auto"/>
        <w:jc w:val="center"/>
        <w:rPr>
          <w:b/>
          <w:bCs/>
        </w:rPr>
      </w:pPr>
      <w:r>
        <w:rPr>
          <w:b/>
          <w:bCs/>
        </w:rPr>
        <w:t xml:space="preserve">HEARING DEPARTMENT – </w:t>
      </w:r>
      <w:bookmarkStart w:id="0" w:name="venue"/>
      <w:bookmarkEnd w:id="0"/>
      <w:r w:rsidR="007B3AEE">
        <w:rPr>
          <w:b/>
          <w:bCs/>
        </w:rPr>
        <w:t>LOS ANGELES</w:t>
      </w:r>
    </w:p>
    <w:p w:rsidR="003259DA" w:rsidRDefault="003259DA">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259DA">
        <w:tblPrEx>
          <w:tblCellMar>
            <w:top w:w="0" w:type="dxa"/>
            <w:bottom w:w="0" w:type="dxa"/>
          </w:tblCellMar>
        </w:tblPrEx>
        <w:trPr>
          <w:cantSplit/>
          <w:trHeight w:val="462"/>
        </w:trPr>
        <w:tc>
          <w:tcPr>
            <w:tcW w:w="4378" w:type="dxa"/>
            <w:vMerge w:val="restart"/>
          </w:tcPr>
          <w:p w:rsidR="003259DA" w:rsidRDefault="003259DA">
            <w:r>
              <w:t>In the Matter of</w:t>
            </w:r>
          </w:p>
          <w:p w:rsidR="003259DA" w:rsidRDefault="003259DA">
            <w:pPr>
              <w:rPr>
                <w:b/>
                <w:bCs/>
              </w:rPr>
            </w:pPr>
          </w:p>
          <w:p w:rsidR="003259DA" w:rsidRDefault="007603CC">
            <w:pPr>
              <w:rPr>
                <w:b/>
                <w:bCs/>
              </w:rPr>
            </w:pPr>
            <w:bookmarkStart w:id="1" w:name="resp"/>
            <w:bookmarkEnd w:id="1"/>
            <w:r>
              <w:rPr>
                <w:b/>
                <w:bCs/>
              </w:rPr>
              <w:t>ERIN H. HUMP</w:t>
            </w:r>
            <w:r w:rsidR="00EE0D81">
              <w:rPr>
                <w:b/>
                <w:bCs/>
              </w:rPr>
              <w:t>H</w:t>
            </w:r>
            <w:r>
              <w:rPr>
                <w:b/>
                <w:bCs/>
              </w:rPr>
              <w:t>RIES</w:t>
            </w:r>
            <w:r w:rsidR="003259DA">
              <w:rPr>
                <w:b/>
                <w:bCs/>
              </w:rPr>
              <w:t>,</w:t>
            </w:r>
          </w:p>
          <w:p w:rsidR="003259DA" w:rsidRDefault="003259DA">
            <w:pPr>
              <w:rPr>
                <w:b/>
                <w:bCs/>
              </w:rPr>
            </w:pPr>
          </w:p>
          <w:p w:rsidR="003259DA" w:rsidRDefault="003259DA">
            <w:pPr>
              <w:rPr>
                <w:b/>
                <w:bCs/>
              </w:rPr>
            </w:pPr>
            <w:r>
              <w:rPr>
                <w:b/>
                <w:bCs/>
              </w:rPr>
              <w:t xml:space="preserve">Member No.  </w:t>
            </w:r>
            <w:bookmarkStart w:id="2" w:name="member"/>
            <w:bookmarkEnd w:id="2"/>
            <w:r w:rsidR="007603CC">
              <w:rPr>
                <w:b/>
                <w:bCs/>
              </w:rPr>
              <w:t>110669</w:t>
            </w:r>
            <w:r>
              <w:rPr>
                <w:b/>
                <w:bCs/>
              </w:rPr>
              <w:t>,</w:t>
            </w:r>
          </w:p>
          <w:p w:rsidR="003259DA" w:rsidRDefault="003259DA">
            <w:pPr>
              <w:rPr>
                <w:b/>
                <w:bCs/>
              </w:rPr>
            </w:pPr>
          </w:p>
          <w:p w:rsidR="003259DA" w:rsidRDefault="003259DA">
            <w:bookmarkStart w:id="3" w:name="type"/>
            <w:bookmarkEnd w:id="3"/>
            <w:r>
              <w:t>A Member of the State Bar.</w:t>
            </w:r>
          </w:p>
        </w:tc>
        <w:tc>
          <w:tcPr>
            <w:tcW w:w="182" w:type="dxa"/>
            <w:vMerge w:val="restart"/>
            <w:tcBorders>
              <w:bottom w:val="nil"/>
            </w:tcBorders>
          </w:tcPr>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tc>
        <w:tc>
          <w:tcPr>
            <w:tcW w:w="240" w:type="dxa"/>
            <w:vMerge w:val="restart"/>
            <w:tcBorders>
              <w:bottom w:val="nil"/>
            </w:tcBorders>
          </w:tcPr>
          <w:p w:rsidR="003259DA" w:rsidRDefault="003259DA">
            <w:pPr>
              <w:rPr>
                <w:b/>
                <w:bCs/>
              </w:rPr>
            </w:pPr>
          </w:p>
        </w:tc>
        <w:tc>
          <w:tcPr>
            <w:tcW w:w="1097" w:type="dxa"/>
            <w:tcBorders>
              <w:bottom w:val="nil"/>
            </w:tcBorders>
          </w:tcPr>
          <w:p w:rsidR="003259DA" w:rsidRDefault="003259DA">
            <w:r>
              <w:t>Case No.:</w:t>
            </w:r>
          </w:p>
        </w:tc>
        <w:tc>
          <w:tcPr>
            <w:tcW w:w="3468" w:type="dxa"/>
          </w:tcPr>
          <w:p w:rsidR="003259DA" w:rsidRDefault="003259DA" w:rsidP="007603CC">
            <w:pPr>
              <w:rPr>
                <w:b/>
                <w:bCs/>
              </w:rPr>
            </w:pPr>
            <w:bookmarkStart w:id="4" w:name="caseno"/>
            <w:bookmarkEnd w:id="4"/>
            <w:r>
              <w:rPr>
                <w:b/>
                <w:bCs/>
              </w:rPr>
              <w:t>0</w:t>
            </w:r>
            <w:r w:rsidR="007603CC">
              <w:rPr>
                <w:b/>
                <w:bCs/>
              </w:rPr>
              <w:t>7</w:t>
            </w:r>
            <w:r>
              <w:rPr>
                <w:b/>
                <w:bCs/>
              </w:rPr>
              <w:t>-</w:t>
            </w:r>
            <w:r w:rsidR="007603CC">
              <w:rPr>
                <w:b/>
                <w:bCs/>
              </w:rPr>
              <w:t>O</w:t>
            </w:r>
            <w:r>
              <w:rPr>
                <w:b/>
                <w:bCs/>
              </w:rPr>
              <w:t>-</w:t>
            </w:r>
            <w:r w:rsidR="00874B8B">
              <w:rPr>
                <w:b/>
                <w:bCs/>
              </w:rPr>
              <w:t>1</w:t>
            </w:r>
            <w:r w:rsidR="001513F3">
              <w:rPr>
                <w:b/>
                <w:bCs/>
              </w:rPr>
              <w:t>4</w:t>
            </w:r>
            <w:r w:rsidR="007603CC">
              <w:rPr>
                <w:b/>
                <w:bCs/>
              </w:rPr>
              <w:t>589</w:t>
            </w:r>
            <w:r w:rsidR="001513F3">
              <w:rPr>
                <w:b/>
                <w:bCs/>
              </w:rPr>
              <w:t>-DFM</w:t>
            </w:r>
          </w:p>
        </w:tc>
      </w:tr>
      <w:tr w:rsidR="003259DA">
        <w:tblPrEx>
          <w:tblCellMar>
            <w:top w:w="0" w:type="dxa"/>
            <w:bottom w:w="0" w:type="dxa"/>
          </w:tblCellMar>
        </w:tblPrEx>
        <w:trPr>
          <w:cantSplit/>
          <w:trHeight w:val="1480"/>
        </w:trPr>
        <w:tc>
          <w:tcPr>
            <w:tcW w:w="4378" w:type="dxa"/>
            <w:vMerge/>
          </w:tcPr>
          <w:p w:rsidR="003259DA" w:rsidRDefault="003259DA"/>
        </w:tc>
        <w:tc>
          <w:tcPr>
            <w:tcW w:w="182" w:type="dxa"/>
            <w:vMerge/>
            <w:tcBorders>
              <w:bottom w:val="nil"/>
            </w:tcBorders>
          </w:tcPr>
          <w:p w:rsidR="003259DA" w:rsidRDefault="003259DA">
            <w:pPr>
              <w:rPr>
                <w:b/>
                <w:bCs/>
              </w:rPr>
            </w:pPr>
          </w:p>
        </w:tc>
        <w:tc>
          <w:tcPr>
            <w:tcW w:w="240" w:type="dxa"/>
            <w:vMerge/>
            <w:tcBorders>
              <w:bottom w:val="nil"/>
            </w:tcBorders>
          </w:tcPr>
          <w:p w:rsidR="003259DA" w:rsidRDefault="003259DA">
            <w:pPr>
              <w:rPr>
                <w:b/>
                <w:bCs/>
              </w:rPr>
            </w:pPr>
          </w:p>
        </w:tc>
        <w:tc>
          <w:tcPr>
            <w:tcW w:w="4565" w:type="dxa"/>
            <w:gridSpan w:val="2"/>
            <w:tcBorders>
              <w:bottom w:val="nil"/>
            </w:tcBorders>
          </w:tcPr>
          <w:p w:rsidR="003259DA" w:rsidRDefault="003259DA">
            <w:pPr>
              <w:rPr>
                <w:b/>
                <w:bCs/>
              </w:rPr>
            </w:pPr>
            <w:bookmarkStart w:id="5" w:name="title"/>
            <w:bookmarkEnd w:id="5"/>
          </w:p>
          <w:p w:rsidR="007603CC" w:rsidRDefault="003259DA" w:rsidP="007603CC">
            <w:pPr>
              <w:rPr>
                <w:b/>
                <w:bCs/>
              </w:rPr>
            </w:pPr>
            <w:r>
              <w:rPr>
                <w:b/>
                <w:bCs/>
              </w:rPr>
              <w:t xml:space="preserve">DECISION </w:t>
            </w:r>
          </w:p>
          <w:p w:rsidR="003259DA" w:rsidRDefault="003259DA">
            <w:pPr>
              <w:rPr>
                <w:b/>
                <w:bCs/>
              </w:rPr>
            </w:pPr>
          </w:p>
        </w:tc>
      </w:tr>
    </w:tbl>
    <w:p w:rsidR="00FC710D" w:rsidRDefault="00FC710D" w:rsidP="00FC710D">
      <w:pPr>
        <w:pStyle w:val="Heading1"/>
        <w:spacing w:line="240" w:lineRule="auto"/>
      </w:pPr>
    </w:p>
    <w:p w:rsidR="003259DA" w:rsidRDefault="00692143" w:rsidP="00FC710D">
      <w:pPr>
        <w:pStyle w:val="Heading1"/>
        <w:spacing w:line="240" w:lineRule="auto"/>
      </w:pPr>
      <w:r w:rsidRPr="001513F3">
        <w:t>INTRODUCTION</w:t>
      </w:r>
    </w:p>
    <w:p w:rsidR="00FC710D" w:rsidRPr="00FC710D" w:rsidRDefault="00FC710D" w:rsidP="00FC710D"/>
    <w:p w:rsidR="003259DA" w:rsidRDefault="003259DA">
      <w:pPr>
        <w:spacing w:line="480" w:lineRule="auto"/>
      </w:pPr>
      <w:r>
        <w:tab/>
        <w:t xml:space="preserve">In this </w:t>
      </w:r>
      <w:r w:rsidR="007603CC">
        <w:t xml:space="preserve">original disciplinary </w:t>
      </w:r>
      <w:r>
        <w:t xml:space="preserve">proceeding, which proceeded by default, </w:t>
      </w:r>
      <w:r w:rsidR="003B6DDD">
        <w:t xml:space="preserve">Deputy </w:t>
      </w:r>
      <w:r>
        <w:t xml:space="preserve">Trial Counsel </w:t>
      </w:r>
      <w:r w:rsidR="007603CC">
        <w:t>Brandon K. Tady</w:t>
      </w:r>
      <w:r w:rsidR="003B6DDD">
        <w:t xml:space="preserve"> </w:t>
      </w:r>
      <w:r w:rsidR="007E6FC5">
        <w:t>(</w:t>
      </w:r>
      <w:r w:rsidR="003B6DDD">
        <w:t>D</w:t>
      </w:r>
      <w:r w:rsidR="00874B8B">
        <w:t xml:space="preserve">TC </w:t>
      </w:r>
      <w:r w:rsidR="007603CC">
        <w:t>Tady</w:t>
      </w:r>
      <w:r w:rsidR="007E6FC5">
        <w:t xml:space="preserve">) </w:t>
      </w:r>
      <w:r>
        <w:t xml:space="preserve">appeared for the Office of the Chief Trial Counsel of the State Bar of California (State Bar).  Respondent </w:t>
      </w:r>
      <w:r w:rsidR="007603CC">
        <w:rPr>
          <w:b/>
        </w:rPr>
        <w:t>ERIN H. HUMP</w:t>
      </w:r>
      <w:r w:rsidR="00EE0D81">
        <w:rPr>
          <w:b/>
        </w:rPr>
        <w:t>H</w:t>
      </w:r>
      <w:r w:rsidR="007603CC">
        <w:rPr>
          <w:b/>
        </w:rPr>
        <w:t>RIES</w:t>
      </w:r>
      <w:r w:rsidR="00D906A6">
        <w:rPr>
          <w:b/>
        </w:rPr>
        <w:t xml:space="preserve"> </w:t>
      </w:r>
      <w:r>
        <w:t>did not appear in person or by coun</w:t>
      </w:r>
      <w:r w:rsidR="0058234C">
        <w:t>sel even though she has actual knowledge of this proceeding.</w:t>
      </w:r>
      <w:r w:rsidR="001959D1">
        <w:t xml:space="preserve"> </w:t>
      </w:r>
    </w:p>
    <w:p w:rsidR="001914B0" w:rsidRDefault="003259DA" w:rsidP="001E0426">
      <w:pPr>
        <w:spacing w:line="480" w:lineRule="auto"/>
      </w:pPr>
      <w:r>
        <w:tab/>
      </w:r>
      <w:r w:rsidR="001513F3">
        <w:t xml:space="preserve">In </w:t>
      </w:r>
      <w:r w:rsidR="0026339A">
        <w:t xml:space="preserve">the </w:t>
      </w:r>
      <w:r w:rsidR="007C745C">
        <w:t>notice of disciplinary charges (</w:t>
      </w:r>
      <w:r w:rsidR="001513F3">
        <w:t>NDC</w:t>
      </w:r>
      <w:r w:rsidR="007C745C">
        <w:t>)</w:t>
      </w:r>
      <w:r w:rsidR="001513F3">
        <w:t xml:space="preserve">, the State Bar charges respondent </w:t>
      </w:r>
      <w:r w:rsidR="007603CC">
        <w:t xml:space="preserve">with three counts of professional misconduct in a single client matter. </w:t>
      </w:r>
      <w:r w:rsidR="001C2158">
        <w:tab/>
      </w:r>
      <w:r w:rsidR="00740BD3">
        <w:t xml:space="preserve">As set forth </w:t>
      </w:r>
      <w:r w:rsidR="001513F3" w:rsidRPr="000E494A">
        <w:rPr>
          <w:i/>
        </w:rPr>
        <w:t>post</w:t>
      </w:r>
      <w:r w:rsidR="001513F3">
        <w:t>,</w:t>
      </w:r>
      <w:r w:rsidR="00740BD3">
        <w:t xml:space="preserve"> the </w:t>
      </w:r>
      <w:r w:rsidR="001E0426" w:rsidRPr="001E0426">
        <w:t>court finds</w:t>
      </w:r>
      <w:r w:rsidR="00FC710D">
        <w:t xml:space="preserve"> </w:t>
      </w:r>
      <w:r w:rsidR="001E0426" w:rsidRPr="001E0426">
        <w:t xml:space="preserve">that respondent </w:t>
      </w:r>
      <w:r w:rsidR="00EB236E">
        <w:t xml:space="preserve">is culpable on </w:t>
      </w:r>
      <w:r w:rsidR="0058234C">
        <w:t>only two of the three c</w:t>
      </w:r>
      <w:r w:rsidR="00EB236E">
        <w:t xml:space="preserve">ounts and </w:t>
      </w:r>
      <w:r w:rsidR="001E0426" w:rsidRPr="001E0426">
        <w:t xml:space="preserve">concludes that the appropriate </w:t>
      </w:r>
      <w:r w:rsidR="001E0426">
        <w:t xml:space="preserve">level of </w:t>
      </w:r>
      <w:r w:rsidR="001E0426" w:rsidRPr="001E0426">
        <w:t xml:space="preserve">discipline is </w:t>
      </w:r>
      <w:r w:rsidR="009B444A">
        <w:t xml:space="preserve">a </w:t>
      </w:r>
      <w:r w:rsidR="00EB236E">
        <w:t>one</w:t>
      </w:r>
      <w:r w:rsidR="009B444A">
        <w:t>-</w:t>
      </w:r>
      <w:r w:rsidR="00EB236E">
        <w:t xml:space="preserve">year stayed suspension and </w:t>
      </w:r>
      <w:r w:rsidR="009B444A">
        <w:t xml:space="preserve">a </w:t>
      </w:r>
      <w:r w:rsidR="00EB236E">
        <w:t>thirty</w:t>
      </w:r>
      <w:r w:rsidR="009B444A">
        <w:t>-</w:t>
      </w:r>
      <w:r w:rsidR="00EB236E">
        <w:t>day</w:t>
      </w:r>
      <w:r w:rsidR="00B548B6">
        <w:t xml:space="preserve"> </w:t>
      </w:r>
      <w:r w:rsidR="00EB236E">
        <w:t>suspension that will continue until</w:t>
      </w:r>
    </w:p>
    <w:p w:rsidR="001E0426" w:rsidRPr="001E0426" w:rsidRDefault="00EB236E" w:rsidP="001E0426">
      <w:pPr>
        <w:spacing w:line="480" w:lineRule="auto"/>
      </w:pPr>
      <w:proofErr w:type="gramStart"/>
      <w:r>
        <w:t>respondent</w:t>
      </w:r>
      <w:proofErr w:type="gramEnd"/>
      <w:r>
        <w:t xml:space="preserve"> makes and the State Bar Court grants a motion to terminate h</w:t>
      </w:r>
      <w:r w:rsidR="009B444A">
        <w:t xml:space="preserve">er </w:t>
      </w:r>
      <w:r>
        <w:t>suspension (Rules Proc. of State Bar, rule 205).</w:t>
      </w:r>
      <w:r w:rsidR="0059360A">
        <w:rPr>
          <w:rStyle w:val="FootnoteReference"/>
        </w:rPr>
        <w:footnoteReference w:id="1"/>
      </w:r>
    </w:p>
    <w:p w:rsidR="003259DA" w:rsidRDefault="00692143" w:rsidP="001C2158">
      <w:pPr>
        <w:pStyle w:val="Heading1"/>
      </w:pPr>
      <w:r>
        <w:lastRenderedPageBreak/>
        <w:t>PERTINENT</w:t>
      </w:r>
      <w:r w:rsidRPr="001C2158">
        <w:t xml:space="preserve"> PROCEDURAL HISTORY</w:t>
      </w:r>
    </w:p>
    <w:p w:rsidR="001914B0" w:rsidRDefault="001914B0" w:rsidP="001914B0">
      <w:pPr>
        <w:spacing w:line="480" w:lineRule="auto"/>
        <w:ind w:firstLine="720"/>
      </w:pPr>
      <w:r>
        <w:t xml:space="preserve">On January 27, 2009, the State Bar filed the NDC in this proceeding and properly served a copy of it on respondent by certified mail, return receipt requested, at her latest address shown on the official membership records of the State Bar </w:t>
      </w:r>
      <w:r w:rsidR="009B444A">
        <w:t xml:space="preserve">of California </w:t>
      </w:r>
      <w:r>
        <w:t xml:space="preserve">(official address).  (Bus. </w:t>
      </w:r>
      <w:proofErr w:type="gramStart"/>
      <w:r>
        <w:t>&amp; Prof. Code, § 6002.1, subd.</w:t>
      </w:r>
      <w:proofErr w:type="gramEnd"/>
      <w:r>
        <w:t xml:space="preserve"> </w:t>
      </w:r>
      <w:proofErr w:type="gramStart"/>
      <w:r>
        <w:t>(c);</w:t>
      </w:r>
      <w:r w:rsidR="004763B1">
        <w:rPr>
          <w:rStyle w:val="FootnoteReference"/>
        </w:rPr>
        <w:footnoteReference w:id="2"/>
      </w:r>
      <w:r>
        <w:t xml:space="preserve">  Rules Proc. of State Bar, rule 60(b).)</w:t>
      </w:r>
      <w:proofErr w:type="gramEnd"/>
    </w:p>
    <w:p w:rsidR="001914B0" w:rsidRDefault="001914B0" w:rsidP="001914B0">
      <w:pPr>
        <w:spacing w:line="480" w:lineRule="auto"/>
        <w:ind w:firstLine="720"/>
      </w:pPr>
      <w:r>
        <w:t xml:space="preserve">On </w:t>
      </w:r>
      <w:r w:rsidR="00457E6B">
        <w:t>January 29</w:t>
      </w:r>
      <w:r>
        <w:t xml:space="preserve">, 2009, the State Bar received, from the United States Postal Service (Postal Service), a return receipt (i.e., a green card) for the copy of </w:t>
      </w:r>
      <w:r w:rsidR="00E23C82">
        <w:t xml:space="preserve">the </w:t>
      </w:r>
      <w:r>
        <w:t xml:space="preserve">NDC that was served on respondent.  That return receipt establishes that the copy of the NDC that was </w:t>
      </w:r>
      <w:r w:rsidR="00457E6B">
        <w:t xml:space="preserve">served on </w:t>
      </w:r>
      <w:r>
        <w:t xml:space="preserve">respondent was actually delivered </w:t>
      </w:r>
      <w:r w:rsidR="00457E6B">
        <w:t>to respondent’s official address where it was signed for by B. Kardani</w:t>
      </w:r>
      <w:r>
        <w:t>.</w:t>
      </w:r>
    </w:p>
    <w:p w:rsidR="001914B0" w:rsidRDefault="001914B0" w:rsidP="001914B0">
      <w:pPr>
        <w:spacing w:line="480" w:lineRule="auto"/>
        <w:ind w:firstLine="720"/>
      </w:pPr>
      <w:r>
        <w:t xml:space="preserve">Respondent’s response to the NDC was due no later than </w:t>
      </w:r>
      <w:r w:rsidR="00457E6B">
        <w:t>February 23</w:t>
      </w:r>
      <w:r>
        <w:t>, 2009.  (Rules Proc. of State Bar, rule 103(a); see also Rules Proc. of State Bar, rule 63 [computation of time].)  Respondent failed to file a response.  Accordingly, on April 13, 2009, the State Bar filed a motion for the entry of respondent's default and properly served a copy of that motion on respondent at h</w:t>
      </w:r>
      <w:r w:rsidR="00457E6B">
        <w:t xml:space="preserve">er </w:t>
      </w:r>
      <w:r>
        <w:t>official address by certified mail, return receipt requested.  Respondent, however, never filed a response to that motion or to the NDC.</w:t>
      </w:r>
    </w:p>
    <w:p w:rsidR="001914B0" w:rsidRDefault="001914B0" w:rsidP="001914B0">
      <w:pPr>
        <w:spacing w:line="480" w:lineRule="auto"/>
        <w:ind w:firstLine="720"/>
      </w:pPr>
      <w:r>
        <w:t>The declaration</w:t>
      </w:r>
      <w:r w:rsidR="00457E6B">
        <w:t>s</w:t>
      </w:r>
      <w:r>
        <w:t xml:space="preserve"> of DTC </w:t>
      </w:r>
      <w:r w:rsidR="00457E6B">
        <w:t>Tady and State Bar paralegal Robert Melone</w:t>
      </w:r>
      <w:r w:rsidR="009B444A">
        <w:t xml:space="preserve"> (</w:t>
      </w:r>
      <w:r>
        <w:t xml:space="preserve">which </w:t>
      </w:r>
      <w:r w:rsidR="00457E6B">
        <w:t xml:space="preserve">are </w:t>
      </w:r>
      <w:r w:rsidR="009B444A">
        <w:t xml:space="preserve">both </w:t>
      </w:r>
      <w:r>
        <w:t>exhibit</w:t>
      </w:r>
      <w:r w:rsidR="00457E6B">
        <w:t>s</w:t>
      </w:r>
      <w:r>
        <w:t xml:space="preserve"> to the State Bar's April 13, 2009, motion </w:t>
      </w:r>
      <w:r w:rsidR="00457E6B">
        <w:t>for entry of default</w:t>
      </w:r>
      <w:r w:rsidR="009B444A">
        <w:t>)</w:t>
      </w:r>
      <w:r w:rsidR="00457E6B">
        <w:t xml:space="preserve"> establish</w:t>
      </w:r>
      <w:r>
        <w:t xml:space="preserve"> that, in addition to performing its </w:t>
      </w:r>
      <w:r w:rsidR="00457E6B">
        <w:t xml:space="preserve">minimum </w:t>
      </w:r>
      <w:r>
        <w:t xml:space="preserve">statutory duty to serve a copy of the NDC on respondent </w:t>
      </w:r>
      <w:r w:rsidR="009B444A">
        <w:t xml:space="preserve">by mail to </w:t>
      </w:r>
      <w:r>
        <w:t>h</w:t>
      </w:r>
      <w:r w:rsidR="00457E6B">
        <w:t xml:space="preserve">er </w:t>
      </w:r>
      <w:r>
        <w:t>official address</w:t>
      </w:r>
      <w:r w:rsidR="00457E6B">
        <w:t>, the State Bar undertook additional measures to insure that respondent has actual knowledge of this</w:t>
      </w:r>
      <w:r w:rsidR="009F26F0">
        <w:t xml:space="preserve"> proceeding.  Moreover, </w:t>
      </w:r>
      <w:r w:rsidR="009B444A">
        <w:t xml:space="preserve">the </w:t>
      </w:r>
      <w:r w:rsidR="009F26F0">
        <w:t xml:space="preserve">second declaration </w:t>
      </w:r>
      <w:r w:rsidR="009B444A">
        <w:t xml:space="preserve">of </w:t>
      </w:r>
      <w:r w:rsidR="009F26F0">
        <w:t>DTC Tady</w:t>
      </w:r>
      <w:r w:rsidR="009B444A">
        <w:t xml:space="preserve"> (</w:t>
      </w:r>
      <w:r w:rsidR="009F26F0">
        <w:t>which was filed on April 30, 2009</w:t>
      </w:r>
      <w:r w:rsidR="009B444A">
        <w:t>)</w:t>
      </w:r>
      <w:r w:rsidR="009F26F0">
        <w:t xml:space="preserve"> establishes that respondent has actual knowledge of this disciplinary proceeding and that she consciously chose not </w:t>
      </w:r>
      <w:r w:rsidR="009B444A">
        <w:t xml:space="preserve">to appear and participate in the proceeding.  In </w:t>
      </w:r>
      <w:r w:rsidR="009B444A">
        <w:lastRenderedPageBreak/>
        <w:t xml:space="preserve">sum, the court finds that </w:t>
      </w:r>
      <w:r w:rsidR="009F26F0">
        <w:t xml:space="preserve">respondent </w:t>
      </w:r>
      <w:r w:rsidR="009B444A">
        <w:t xml:space="preserve">was </w:t>
      </w:r>
      <w:r>
        <w:t xml:space="preserve">given adequate notice of this proceeding.  </w:t>
      </w:r>
      <w:proofErr w:type="gramStart"/>
      <w:r>
        <w:t>(§</w:t>
      </w:r>
      <w:r w:rsidR="009B444A">
        <w:t> </w:t>
      </w:r>
      <w:r>
        <w:t>6002.1, subd.</w:t>
      </w:r>
      <w:proofErr w:type="gramEnd"/>
      <w:r>
        <w:t xml:space="preserve"> (</w:t>
      </w:r>
      <w:proofErr w:type="gramStart"/>
      <w:r>
        <w:t>c</w:t>
      </w:r>
      <w:proofErr w:type="gramEnd"/>
      <w:r>
        <w:t xml:space="preserve">); </w:t>
      </w:r>
      <w:r w:rsidRPr="009F26F0">
        <w:rPr>
          <w:i/>
        </w:rPr>
        <w:t>Bowles v. State Bar</w:t>
      </w:r>
      <w:r>
        <w:t xml:space="preserve"> (1989) 48 Cal.3d 100, 107-108; see also </w:t>
      </w:r>
      <w:r w:rsidRPr="009F26F0">
        <w:rPr>
          <w:i/>
        </w:rPr>
        <w:t>Jones v. Flowers</w:t>
      </w:r>
      <w:r>
        <w:t xml:space="preserve"> (2006) 547 U.S. 220, 224-227, 234.)</w:t>
      </w:r>
    </w:p>
    <w:p w:rsidR="001914B0" w:rsidRDefault="001914B0" w:rsidP="001914B0">
      <w:pPr>
        <w:spacing w:line="480" w:lineRule="auto"/>
        <w:ind w:firstLine="720"/>
      </w:pPr>
      <w:r>
        <w:t xml:space="preserve">Because all of the statutory and rule prerequisites were met and because respondent was given adequate notice of this proceeding, this court filed an order on </w:t>
      </w:r>
      <w:r w:rsidR="009F26F0">
        <w:t>May 4</w:t>
      </w:r>
      <w:r>
        <w:t>, 2009, in which it entered respondent's default and, as mandated by section 6007, subdivision (e</w:t>
      </w:r>
      <w:proofErr w:type="gramStart"/>
      <w:r>
        <w:t>)(</w:t>
      </w:r>
      <w:proofErr w:type="gramEnd"/>
      <w:r>
        <w:t xml:space="preserve">1), ordered that </w:t>
      </w:r>
      <w:r w:rsidR="009F26F0">
        <w:t>s</w:t>
      </w:r>
      <w:r>
        <w:t xml:space="preserve">he be involuntarily enrolled as an inactive member of the State Bar of California effective three days after service of the order by mail (i.e., May </w:t>
      </w:r>
      <w:r w:rsidR="004D692A">
        <w:t>7</w:t>
      </w:r>
      <w:r>
        <w:t>, 2009</w:t>
      </w:r>
      <w:r w:rsidR="004D692A">
        <w:t>)</w:t>
      </w:r>
      <w:r>
        <w:t>.</w:t>
      </w:r>
    </w:p>
    <w:p w:rsidR="003259DA" w:rsidRDefault="003259DA">
      <w:pPr>
        <w:spacing w:line="480" w:lineRule="auto"/>
        <w:ind w:firstLine="720"/>
      </w:pPr>
      <w:r>
        <w:t xml:space="preserve">On </w:t>
      </w:r>
      <w:r w:rsidR="004D692A">
        <w:t xml:space="preserve">June </w:t>
      </w:r>
      <w:r w:rsidR="00D245B0">
        <w:t>23</w:t>
      </w:r>
      <w:r>
        <w:t>, 200</w:t>
      </w:r>
      <w:r w:rsidR="00DD0752">
        <w:t>9</w:t>
      </w:r>
      <w:r>
        <w:t xml:space="preserve">, the State Bar filed a waiver of default hearing and brief </w:t>
      </w:r>
      <w:r w:rsidR="004D692A">
        <w:t xml:space="preserve">regarding </w:t>
      </w:r>
      <w:r>
        <w:t>culpability and discipline</w:t>
      </w:r>
      <w:r w:rsidR="00E8676D">
        <w:t xml:space="preserve">.  </w:t>
      </w:r>
      <w:r w:rsidR="004D692A">
        <w:t xml:space="preserve">And, on June 26, 2009, </w:t>
      </w:r>
      <w:r w:rsidR="0075630D">
        <w:t>t</w:t>
      </w:r>
      <w:r w:rsidR="00DD0752">
        <w:t xml:space="preserve">he </w:t>
      </w:r>
      <w:r>
        <w:t>court took the case under submission for decision wi</w:t>
      </w:r>
      <w:r w:rsidR="0075630D">
        <w:t>thout a hearing</w:t>
      </w:r>
      <w:r>
        <w:t>.</w:t>
      </w:r>
    </w:p>
    <w:p w:rsidR="003259DA" w:rsidRPr="00920DC3" w:rsidRDefault="00692143" w:rsidP="003B6DDD">
      <w:pPr>
        <w:pStyle w:val="Heading1"/>
        <w:rPr>
          <w:u w:val="single"/>
        </w:rPr>
      </w:pPr>
      <w:r w:rsidRPr="003B6DDD">
        <w:t xml:space="preserve">FINDINGS </w:t>
      </w:r>
      <w:r>
        <w:t>O</w:t>
      </w:r>
      <w:r w:rsidRPr="003B6DDD">
        <w:t xml:space="preserve">F FACT </w:t>
      </w:r>
      <w:r>
        <w:t>A</w:t>
      </w:r>
      <w:r w:rsidRPr="003B6DDD">
        <w:t xml:space="preserve">ND CONCLUSIONS </w:t>
      </w:r>
      <w:r>
        <w:t>O</w:t>
      </w:r>
      <w:r w:rsidRPr="003B6DDD">
        <w:t>F LAW</w:t>
      </w:r>
    </w:p>
    <w:p w:rsidR="00FC468D" w:rsidRDefault="003259DA" w:rsidP="00FC468D">
      <w:pPr>
        <w:spacing w:line="480" w:lineRule="auto"/>
      </w:pPr>
      <w:r>
        <w:tab/>
        <w:t xml:space="preserve">The court's findings are based on (1) the allegations contained in the NDC, which </w:t>
      </w:r>
      <w:r w:rsidR="0034457E">
        <w:t xml:space="preserve">have been </w:t>
      </w:r>
      <w:r>
        <w:t xml:space="preserve">deemed admitted by the entry of respondent's default (§ 6088; Rules Proc. of State Bar, rule 200(d)(1)(A)) and </w:t>
      </w:r>
      <w:r w:rsidR="003D49DE">
        <w:t xml:space="preserve">(2) </w:t>
      </w:r>
      <w:r>
        <w:t>the facts in this court's official file in this matter</w:t>
      </w:r>
      <w:r w:rsidR="00FC468D">
        <w:t xml:space="preserve"> (Rules Proc. of State Bar, rule 585)</w:t>
      </w:r>
      <w:r>
        <w:t>.</w:t>
      </w:r>
    </w:p>
    <w:p w:rsidR="009B444A" w:rsidRDefault="009B444A" w:rsidP="00FC468D">
      <w:pPr>
        <w:spacing w:line="480" w:lineRule="auto"/>
      </w:pPr>
      <w:r w:rsidRPr="009B444A">
        <w:rPr>
          <w:b/>
        </w:rPr>
        <w:t>Jurisdiction</w:t>
      </w:r>
    </w:p>
    <w:p w:rsidR="009B444A" w:rsidRDefault="009B444A" w:rsidP="00FC468D">
      <w:pPr>
        <w:spacing w:line="480" w:lineRule="auto"/>
      </w:pPr>
      <w:r>
        <w:tab/>
        <w:t xml:space="preserve">The State Bar's official membership records, </w:t>
      </w:r>
      <w:r w:rsidR="005B2535">
        <w:t xml:space="preserve">of which the court takes judicial notice, </w:t>
      </w:r>
      <w:r>
        <w:t xml:space="preserve">establish that respondent was admitted </w:t>
      </w:r>
      <w:r w:rsidR="005B2535">
        <w:t xml:space="preserve">to the practice of law </w:t>
      </w:r>
      <w:r>
        <w:t xml:space="preserve">on December 12, 1983, </w:t>
      </w:r>
      <w:r w:rsidRPr="00B355F0">
        <w:t xml:space="preserve">and </w:t>
      </w:r>
      <w:r>
        <w:t xml:space="preserve">that she </w:t>
      </w:r>
      <w:r w:rsidRPr="00B355F0">
        <w:t>has been a member of the State Bar</w:t>
      </w:r>
      <w:r>
        <w:t xml:space="preserve"> of California since that time</w:t>
      </w:r>
      <w:r w:rsidR="005B2535">
        <w:t>.</w:t>
      </w:r>
      <w:r w:rsidR="005B2535">
        <w:rPr>
          <w:rStyle w:val="FootnoteReference"/>
        </w:rPr>
        <w:footnoteReference w:id="3"/>
      </w:r>
    </w:p>
    <w:p w:rsidR="005B2535" w:rsidRDefault="005B2535" w:rsidP="00FC468D">
      <w:pPr>
        <w:spacing w:line="480" w:lineRule="auto"/>
      </w:pPr>
    </w:p>
    <w:p w:rsidR="005B2535" w:rsidRDefault="005B2535" w:rsidP="00FC468D">
      <w:pPr>
        <w:spacing w:line="480" w:lineRule="auto"/>
      </w:pPr>
    </w:p>
    <w:p w:rsidR="005B2535" w:rsidRPr="005B2535" w:rsidRDefault="005B2535" w:rsidP="00FC468D">
      <w:pPr>
        <w:spacing w:line="480" w:lineRule="auto"/>
        <w:rPr>
          <w:b/>
        </w:rPr>
      </w:pPr>
      <w:r w:rsidRPr="005B2535">
        <w:rPr>
          <w:b/>
        </w:rPr>
        <w:lastRenderedPageBreak/>
        <w:t>Respondent’s Suspension from the Practice of Law</w:t>
      </w:r>
    </w:p>
    <w:p w:rsidR="003D49DE" w:rsidRDefault="004D692A" w:rsidP="00FC468D">
      <w:pPr>
        <w:spacing w:line="480" w:lineRule="auto"/>
      </w:pPr>
      <w:r>
        <w:tab/>
        <w:t xml:space="preserve">Respondent failed to pay her annual State Bar membership fees for the year 2000.  </w:t>
      </w:r>
      <w:r w:rsidR="00023999">
        <w:t xml:space="preserve">Thus, </w:t>
      </w:r>
      <w:r>
        <w:t xml:space="preserve">on August 17, 2001, the Supreme Court filed an order </w:t>
      </w:r>
      <w:r w:rsidR="000A56C2">
        <w:t xml:space="preserve">suspending respondent from the practice of law effective September 1, 2001, and until she pays all accrued fees, penalties, and costs.  A copy of the Supreme Court's August 17, 2001, suspension order was properly served on respondent by mail.  Respondent actually received that copy of the order.  </w:t>
      </w:r>
      <w:r w:rsidR="008726E3">
        <w:t>To date, r</w:t>
      </w:r>
      <w:r w:rsidR="000A56C2">
        <w:t xml:space="preserve">espondent has </w:t>
      </w:r>
      <w:r w:rsidR="008726E3">
        <w:t xml:space="preserve">not </w:t>
      </w:r>
      <w:r w:rsidR="000A56C2">
        <w:t xml:space="preserve">paid her </w:t>
      </w:r>
      <w:r w:rsidR="008726E3">
        <w:t xml:space="preserve">annual </w:t>
      </w:r>
      <w:r w:rsidR="000A56C2">
        <w:t>membership fees</w:t>
      </w:r>
      <w:r w:rsidR="008726E3">
        <w:t xml:space="preserve"> for the year 2000</w:t>
      </w:r>
      <w:r w:rsidR="000A56C2">
        <w:t xml:space="preserve">.  </w:t>
      </w:r>
      <w:r w:rsidR="00023999">
        <w:t>R</w:t>
      </w:r>
      <w:r w:rsidR="000A56C2">
        <w:t xml:space="preserve">espondent has </w:t>
      </w:r>
      <w:r w:rsidR="00023999">
        <w:t xml:space="preserve">been </w:t>
      </w:r>
      <w:r w:rsidR="000A56C2">
        <w:t>continuously suspended from pr</w:t>
      </w:r>
      <w:r w:rsidR="005B2535">
        <w:t>actice since September 1, 2001.</w:t>
      </w:r>
    </w:p>
    <w:p w:rsidR="005B2535" w:rsidRPr="005B2535" w:rsidRDefault="005B2535" w:rsidP="00FC468D">
      <w:pPr>
        <w:spacing w:line="480" w:lineRule="auto"/>
        <w:rPr>
          <w:b/>
        </w:rPr>
      </w:pPr>
      <w:r w:rsidRPr="005B2535">
        <w:rPr>
          <w:b/>
        </w:rPr>
        <w:t>Keller Client Matter</w:t>
      </w:r>
    </w:p>
    <w:p w:rsidR="008726E3" w:rsidRDefault="000A56C2" w:rsidP="00FC468D">
      <w:pPr>
        <w:spacing w:line="480" w:lineRule="auto"/>
      </w:pPr>
      <w:r>
        <w:tab/>
        <w:t xml:space="preserve">In about October 2007, Steven Keller contacted respondent to prepare and send to his wife, Doris, a letter asking her to </w:t>
      </w:r>
      <w:r w:rsidR="00E85CFA">
        <w:t xml:space="preserve">sign certain documents regarding his pension plan.  Steven’s pension plan was one of the </w:t>
      </w:r>
      <w:r w:rsidR="0055170D">
        <w:t>subject</w:t>
      </w:r>
      <w:r w:rsidR="00E85CFA">
        <w:t xml:space="preserve">s </w:t>
      </w:r>
      <w:r w:rsidR="004920AA">
        <w:t xml:space="preserve">in the </w:t>
      </w:r>
      <w:r w:rsidR="00E85CFA" w:rsidRPr="00E85CFA">
        <w:rPr>
          <w:i/>
        </w:rPr>
        <w:t>Marriage of Keller</w:t>
      </w:r>
      <w:r w:rsidR="00E85CFA">
        <w:t xml:space="preserve">, </w:t>
      </w:r>
      <w:r w:rsidR="0055170D">
        <w:t xml:space="preserve">a civil proceeding </w:t>
      </w:r>
      <w:r w:rsidR="008726E3">
        <w:t xml:space="preserve">then pending in the Orange County Superior </w:t>
      </w:r>
      <w:r w:rsidR="008726E3" w:rsidRPr="00E85CFA">
        <w:t>Court.</w:t>
      </w:r>
      <w:r w:rsidR="00E85CFA" w:rsidRPr="00E85CFA">
        <w:t xml:space="preserve">  </w:t>
      </w:r>
      <w:r w:rsidR="00E85CFA">
        <w:t xml:space="preserve">Doris was represented in that proceeding by </w:t>
      </w:r>
      <w:r w:rsidR="0055170D" w:rsidRPr="00E85CFA">
        <w:t>Attorney</w:t>
      </w:r>
      <w:r w:rsidR="0055170D">
        <w:t xml:space="preserve"> Donald Bebereia</w:t>
      </w:r>
      <w:r w:rsidR="00E85CFA">
        <w:t>.</w:t>
      </w:r>
    </w:p>
    <w:p w:rsidR="008D2ED1" w:rsidRDefault="008726E3" w:rsidP="008D2ED1">
      <w:pPr>
        <w:spacing w:line="480" w:lineRule="auto"/>
      </w:pPr>
      <w:r>
        <w:tab/>
      </w:r>
      <w:r w:rsidR="00D90E63">
        <w:t>Even though r</w:t>
      </w:r>
      <w:r w:rsidR="0055170D">
        <w:t>espondent told Steven that she no longer practiced law and that she worked as a register</w:t>
      </w:r>
      <w:r w:rsidR="004920AA">
        <w:t>ed</w:t>
      </w:r>
      <w:r w:rsidR="0055170D">
        <w:t xml:space="preserve"> nurse</w:t>
      </w:r>
      <w:r w:rsidR="00D90E63">
        <w:t xml:space="preserve">, </w:t>
      </w:r>
      <w:r w:rsidR="0055170D">
        <w:t xml:space="preserve">respondent agreed to prepare and send the requested letter </w:t>
      </w:r>
      <w:r w:rsidR="004920AA">
        <w:t xml:space="preserve">to Doris </w:t>
      </w:r>
      <w:r w:rsidR="0055170D">
        <w:t>for a $50 fee.  Steven paid respondent</w:t>
      </w:r>
      <w:r w:rsidR="00023999">
        <w:t>’s</w:t>
      </w:r>
      <w:r w:rsidR="0055170D">
        <w:t xml:space="preserve"> $50 fee.</w:t>
      </w:r>
      <w:r w:rsidR="00E85CFA">
        <w:t xml:space="preserve">  And, i</w:t>
      </w:r>
      <w:r w:rsidR="0055170D">
        <w:t xml:space="preserve">n </w:t>
      </w:r>
      <w:r w:rsidR="00D90E63">
        <w:t xml:space="preserve">October 2007, respondent sent Doris a letter </w:t>
      </w:r>
      <w:r w:rsidR="00E85CFA">
        <w:t xml:space="preserve">stating that </w:t>
      </w:r>
      <w:r w:rsidR="00D90E63">
        <w:t>she represented Steven</w:t>
      </w:r>
      <w:r w:rsidR="00E85CFA">
        <w:t xml:space="preserve">; </w:t>
      </w:r>
      <w:r w:rsidR="00D90E63">
        <w:t>ask</w:t>
      </w:r>
      <w:r w:rsidR="00E85CFA">
        <w:t xml:space="preserve">ing </w:t>
      </w:r>
      <w:r w:rsidR="00D90E63">
        <w:t xml:space="preserve">Doris to sign </w:t>
      </w:r>
      <w:r w:rsidR="00E85CFA">
        <w:t xml:space="preserve">certain </w:t>
      </w:r>
      <w:r w:rsidR="00D90E63">
        <w:t>documents re</w:t>
      </w:r>
      <w:r w:rsidR="00E85CFA">
        <w:t xml:space="preserve">garding </w:t>
      </w:r>
      <w:r w:rsidR="00D90E63">
        <w:t>Steven’s pension plan</w:t>
      </w:r>
      <w:r w:rsidR="00E85CFA">
        <w:t>; and</w:t>
      </w:r>
      <w:r w:rsidR="00D90E63">
        <w:t xml:space="preserve"> warn</w:t>
      </w:r>
      <w:r w:rsidR="00E85CFA">
        <w:t xml:space="preserve">ing </w:t>
      </w:r>
      <w:r w:rsidR="00D90E63">
        <w:t xml:space="preserve">Doris that Steven had instructed </w:t>
      </w:r>
      <w:r w:rsidR="00692143">
        <w:t xml:space="preserve">respondent </w:t>
      </w:r>
      <w:r w:rsidR="00D90E63">
        <w:t>to commence legal action against Doris if Doris did not sign the documents.</w:t>
      </w:r>
      <w:r w:rsidR="008D2ED1">
        <w:t xml:space="preserve">  In October 2007, when respondent sent the letter</w:t>
      </w:r>
      <w:r w:rsidR="00E031B3">
        <w:t xml:space="preserve"> to Doris</w:t>
      </w:r>
      <w:r w:rsidR="008D2ED1">
        <w:t xml:space="preserve">, respondent was grossly negligent in not knowing that Doris </w:t>
      </w:r>
      <w:r w:rsidR="00E031B3">
        <w:t>was r</w:t>
      </w:r>
      <w:r w:rsidR="004920AA">
        <w:t>epresented by Attorney Bebereia</w:t>
      </w:r>
      <w:r w:rsidR="008D2ED1">
        <w:t>.</w:t>
      </w:r>
      <w:r w:rsidR="008D2ED1">
        <w:rPr>
          <w:rStyle w:val="FootnoteReference"/>
        </w:rPr>
        <w:footnoteReference w:id="4"/>
      </w:r>
    </w:p>
    <w:p w:rsidR="00E22478" w:rsidRDefault="00D90E63" w:rsidP="00FC468D">
      <w:pPr>
        <w:spacing w:line="480" w:lineRule="auto"/>
      </w:pPr>
      <w:r>
        <w:lastRenderedPageBreak/>
        <w:tab/>
        <w:t xml:space="preserve">On October 31, 2007, Attorney Bebereia wrote respondent a letter demanding that </w:t>
      </w:r>
      <w:r w:rsidR="00BA51F2">
        <w:t xml:space="preserve">she stop </w:t>
      </w:r>
      <w:r>
        <w:t xml:space="preserve">communicating with his client </w:t>
      </w:r>
      <w:r w:rsidR="00E85CFA">
        <w:t xml:space="preserve">Doris </w:t>
      </w:r>
      <w:r>
        <w:t>and advising respondent that she was practicing law while suspended.</w:t>
      </w:r>
    </w:p>
    <w:p w:rsidR="003D49DE" w:rsidRPr="00BD2A6E" w:rsidRDefault="00BD2A6E" w:rsidP="00E22478">
      <w:pPr>
        <w:spacing w:line="480" w:lineRule="auto"/>
        <w:rPr>
          <w:b/>
          <w:i/>
        </w:rPr>
      </w:pPr>
      <w:r>
        <w:tab/>
      </w:r>
      <w:proofErr w:type="gramStart"/>
      <w:r w:rsidRPr="00BD2A6E">
        <w:rPr>
          <w:b/>
          <w:i/>
        </w:rPr>
        <w:t>Count 1 – Unauthorized Practice of Law (§§ 6068, subd.</w:t>
      </w:r>
      <w:proofErr w:type="gramEnd"/>
      <w:r w:rsidRPr="00BD2A6E">
        <w:rPr>
          <w:b/>
          <w:i/>
        </w:rPr>
        <w:t xml:space="preserve"> (</w:t>
      </w:r>
      <w:proofErr w:type="gramStart"/>
      <w:r w:rsidRPr="00BD2A6E">
        <w:rPr>
          <w:b/>
          <w:i/>
        </w:rPr>
        <w:t>a</w:t>
      </w:r>
      <w:proofErr w:type="gramEnd"/>
      <w:r w:rsidRPr="00BD2A6E">
        <w:rPr>
          <w:b/>
          <w:i/>
        </w:rPr>
        <w:t>)</w:t>
      </w:r>
      <w:r w:rsidR="00BA51F2">
        <w:rPr>
          <w:b/>
          <w:i/>
        </w:rPr>
        <w:t xml:space="preserve">, </w:t>
      </w:r>
      <w:r w:rsidRPr="00BD2A6E">
        <w:rPr>
          <w:b/>
          <w:i/>
        </w:rPr>
        <w:t>6125</w:t>
      </w:r>
      <w:r w:rsidR="00BA51F2">
        <w:rPr>
          <w:b/>
          <w:i/>
        </w:rPr>
        <w:t xml:space="preserve">, </w:t>
      </w:r>
      <w:r w:rsidRPr="00BD2A6E">
        <w:rPr>
          <w:b/>
          <w:i/>
        </w:rPr>
        <w:t>6126)</w:t>
      </w:r>
    </w:p>
    <w:p w:rsidR="00BD2A6E" w:rsidRDefault="00BD2A6E" w:rsidP="00E22478">
      <w:pPr>
        <w:spacing w:line="480" w:lineRule="auto"/>
      </w:pPr>
      <w:r>
        <w:tab/>
        <w:t>In count 1, the State Bar charges that respondent willfully violated her duty, under section 6068, subdivision (a), to obey the laws of this state by violating sections 6125 and 6126, which proscribe the unauthorized practice of law in California.</w:t>
      </w:r>
    </w:p>
    <w:p w:rsidR="00BD2A6E" w:rsidRDefault="00BD2A6E" w:rsidP="00E22478">
      <w:pPr>
        <w:spacing w:line="480" w:lineRule="auto"/>
      </w:pPr>
      <w:r>
        <w:tab/>
        <w:t xml:space="preserve">In this state, it is well established that a suspended attorney engages in the unauthorized practice of law merely by holding himself or herself out as practicing or as entitled to practice law.  </w:t>
      </w:r>
      <w:proofErr w:type="gramStart"/>
      <w:r>
        <w:t>(§ 6126, subd.</w:t>
      </w:r>
      <w:proofErr w:type="gramEnd"/>
      <w:r>
        <w:t xml:space="preserve"> (b); </w:t>
      </w:r>
      <w:r>
        <w:rPr>
          <w:i/>
          <w:iCs/>
        </w:rPr>
        <w:t xml:space="preserve">Crawford </w:t>
      </w:r>
      <w:proofErr w:type="gramStart"/>
      <w:r>
        <w:rPr>
          <w:i/>
          <w:iCs/>
        </w:rPr>
        <w:t>v. State Bar</w:t>
      </w:r>
      <w:r>
        <w:t xml:space="preserve"> (1960) 54 Cal.2d 659, 666</w:t>
      </w:r>
      <w:proofErr w:type="gramEnd"/>
      <w:r>
        <w:t xml:space="preserve">.)  In fact, even an implied representation (as opposed to an express representation) of the entitlement to practice by a suspended attorney constitutes the unauthorized practice of law.  </w:t>
      </w:r>
      <w:proofErr w:type="gramStart"/>
      <w:r>
        <w:t>(</w:t>
      </w:r>
      <w:r>
        <w:rPr>
          <w:i/>
          <w:iCs/>
        </w:rPr>
        <w:t>In re Cadwell</w:t>
      </w:r>
      <w:r>
        <w:t xml:space="preserve"> (1975) 15 Cal.3d 762, 771, fn. 3.)</w:t>
      </w:r>
      <w:proofErr w:type="gramEnd"/>
    </w:p>
    <w:p w:rsidR="00C27892" w:rsidRPr="004920AA" w:rsidRDefault="00BD2A6E" w:rsidP="00E22478">
      <w:pPr>
        <w:spacing w:line="480" w:lineRule="auto"/>
      </w:pPr>
      <w:r>
        <w:tab/>
        <w:t xml:space="preserve">The record clearly establishes that respondent willfully violated her duty, under section 6068, subdivision (a), to obey the laws of this state because she engaged in the unauthorized practice of law in </w:t>
      </w:r>
      <w:r w:rsidR="00BA51F2">
        <w:t xml:space="preserve">willful </w:t>
      </w:r>
      <w:r>
        <w:t xml:space="preserve">violation of sections 6125 and 6126, subdivision (b) </w:t>
      </w:r>
      <w:r w:rsidR="00BA51F2">
        <w:t xml:space="preserve">by sending </w:t>
      </w:r>
      <w:r w:rsidR="00854C8F">
        <w:t xml:space="preserve">the October 2007 letter to Doris </w:t>
      </w:r>
      <w:r w:rsidR="00BA51F2">
        <w:t xml:space="preserve">for </w:t>
      </w:r>
      <w:r w:rsidR="00854C8F">
        <w:t xml:space="preserve">Steven.  When respondent sent that letter </w:t>
      </w:r>
      <w:r w:rsidR="00A3574D">
        <w:t xml:space="preserve">to Doris, respondent </w:t>
      </w:r>
      <w:r w:rsidR="00854C8F">
        <w:t xml:space="preserve">improperly </w:t>
      </w:r>
      <w:r w:rsidR="00BA51F2">
        <w:t xml:space="preserve">(1) </w:t>
      </w:r>
      <w:r w:rsidR="00854C8F">
        <w:t xml:space="preserve">held herself </w:t>
      </w:r>
      <w:r w:rsidR="00A3574D">
        <w:t xml:space="preserve">out as practicing </w:t>
      </w:r>
      <w:r w:rsidR="00BA51F2">
        <w:t xml:space="preserve">and as entitled to practice </w:t>
      </w:r>
      <w:r w:rsidR="00A3574D">
        <w:t xml:space="preserve">law and </w:t>
      </w:r>
      <w:r w:rsidR="00BA51F2">
        <w:t xml:space="preserve">(2) </w:t>
      </w:r>
      <w:r w:rsidR="00A3574D">
        <w:t>practiced law.</w:t>
      </w:r>
    </w:p>
    <w:p w:rsidR="00C27892" w:rsidRPr="004920AA" w:rsidRDefault="00C27892" w:rsidP="00E22478">
      <w:pPr>
        <w:spacing w:line="480" w:lineRule="auto"/>
      </w:pPr>
    </w:p>
    <w:p w:rsidR="00023999" w:rsidRPr="004920AA" w:rsidRDefault="00023999" w:rsidP="00E22478">
      <w:pPr>
        <w:spacing w:line="480" w:lineRule="auto"/>
      </w:pPr>
    </w:p>
    <w:p w:rsidR="00E22478" w:rsidRPr="00E22478" w:rsidRDefault="00E22478" w:rsidP="00E22478">
      <w:pPr>
        <w:spacing w:line="480" w:lineRule="auto"/>
      </w:pPr>
      <w:r>
        <w:rPr>
          <w:b/>
          <w:i/>
        </w:rPr>
        <w:lastRenderedPageBreak/>
        <w:tab/>
      </w:r>
      <w:r w:rsidRPr="00BD2A6E">
        <w:rPr>
          <w:b/>
          <w:i/>
        </w:rPr>
        <w:t xml:space="preserve">Count </w:t>
      </w:r>
      <w:r>
        <w:rPr>
          <w:b/>
          <w:i/>
        </w:rPr>
        <w:t>2</w:t>
      </w:r>
      <w:r w:rsidRPr="00BD2A6E">
        <w:rPr>
          <w:b/>
          <w:i/>
        </w:rPr>
        <w:t xml:space="preserve"> – </w:t>
      </w:r>
      <w:r>
        <w:rPr>
          <w:b/>
          <w:i/>
        </w:rPr>
        <w:t xml:space="preserve">Communicating with </w:t>
      </w:r>
      <w:r w:rsidR="00BA51F2">
        <w:rPr>
          <w:b/>
          <w:i/>
        </w:rPr>
        <w:t xml:space="preserve">a </w:t>
      </w:r>
      <w:r>
        <w:rPr>
          <w:b/>
          <w:i/>
        </w:rPr>
        <w:t xml:space="preserve">Represented Party </w:t>
      </w:r>
      <w:r w:rsidRPr="00B4184F">
        <w:rPr>
          <w:b/>
          <w:i/>
        </w:rPr>
        <w:t xml:space="preserve">(Rule </w:t>
      </w:r>
      <w:r>
        <w:rPr>
          <w:b/>
          <w:i/>
        </w:rPr>
        <w:t>2</w:t>
      </w:r>
      <w:r w:rsidRPr="00B4184F">
        <w:rPr>
          <w:b/>
          <w:i/>
        </w:rPr>
        <w:t>-1</w:t>
      </w:r>
      <w:r>
        <w:rPr>
          <w:b/>
          <w:i/>
        </w:rPr>
        <w:t>0</w:t>
      </w:r>
      <w:r w:rsidRPr="00B4184F">
        <w:rPr>
          <w:b/>
          <w:i/>
        </w:rPr>
        <w:t>0(A)</w:t>
      </w:r>
      <w:r>
        <w:rPr>
          <w:b/>
          <w:i/>
        </w:rPr>
        <w:t>)</w:t>
      </w:r>
    </w:p>
    <w:p w:rsidR="00CD0C1E" w:rsidRDefault="00E22478" w:rsidP="00FC468D">
      <w:pPr>
        <w:spacing w:line="480" w:lineRule="auto"/>
      </w:pPr>
      <w:r>
        <w:tab/>
        <w:t>In count 2, the State Bar charges that respondent willfully violated rule 2</w:t>
      </w:r>
      <w:r>
        <w:noBreakHyphen/>
      </w:r>
      <w:proofErr w:type="gramStart"/>
      <w:r>
        <w:t>100(</w:t>
      </w:r>
      <w:proofErr w:type="gramEnd"/>
      <w:r>
        <w:t xml:space="preserve">A) of the Rules of Professional Conduct of the State Bar of California.  </w:t>
      </w:r>
      <w:r w:rsidR="00233C6C">
        <w:t>Rule 2</w:t>
      </w:r>
      <w:r w:rsidR="00233C6C">
        <w:noBreakHyphen/>
      </w:r>
      <w:proofErr w:type="gramStart"/>
      <w:r w:rsidR="00233C6C">
        <w:t>100(</w:t>
      </w:r>
      <w:proofErr w:type="gramEnd"/>
      <w:r w:rsidR="00233C6C">
        <w:t>A) provides:  “</w:t>
      </w:r>
      <w:r w:rsidR="00233C6C" w:rsidRPr="00233C6C">
        <w:t>While representing a client, a member shall not communicate directly or indirectly about the subject of the representation with a party the member</w:t>
      </w:r>
      <w:r w:rsidR="00233C6C" w:rsidRPr="00233C6C">
        <w:rPr>
          <w:i/>
        </w:rPr>
        <w:t xml:space="preserve"> knows to be represented </w:t>
      </w:r>
      <w:r w:rsidR="00233C6C" w:rsidRPr="00233C6C">
        <w:t>by another lawyer in the matter, unless the member has the consent of the other lawyer.</w:t>
      </w:r>
      <w:r w:rsidR="00233C6C">
        <w:t>”  (Italics added.)</w:t>
      </w:r>
    </w:p>
    <w:p w:rsidR="00FD3EA5" w:rsidRDefault="00E031B3" w:rsidP="00C51AF7">
      <w:pPr>
        <w:spacing w:line="480" w:lineRule="auto"/>
      </w:pPr>
      <w:r>
        <w:tab/>
      </w:r>
      <w:r w:rsidR="00E22963">
        <w:t>S</w:t>
      </w:r>
      <w:r>
        <w:t>pecifically, the State Bar charges that respondent willfully violated rule 2</w:t>
      </w:r>
      <w:r>
        <w:noBreakHyphen/>
        <w:t xml:space="preserve">100(A) </w:t>
      </w:r>
      <w:r w:rsidR="00E22963">
        <w:t>b</w:t>
      </w:r>
      <w:r w:rsidR="00BA51F2">
        <w:t xml:space="preserve">y sending the </w:t>
      </w:r>
      <w:r>
        <w:t>October 2007 letter to Doris</w:t>
      </w:r>
      <w:r w:rsidR="006E5CA3">
        <w:t xml:space="preserve"> when </w:t>
      </w:r>
      <w:r w:rsidR="00E22963">
        <w:t xml:space="preserve">respondent </w:t>
      </w:r>
      <w:r>
        <w:t xml:space="preserve">either knew or was grossly negligent in not knowing that </w:t>
      </w:r>
      <w:r w:rsidR="00E22963">
        <w:t xml:space="preserve">Doris </w:t>
      </w:r>
      <w:r>
        <w:t>was represented by Attorney Bebereia.</w:t>
      </w:r>
      <w:r w:rsidR="006E5CA3">
        <w:t xml:space="preserve">  The State Bar cites no authority for its novel contention that an attorney violates rule 2</w:t>
      </w:r>
      <w:r w:rsidR="006E5CA3">
        <w:noBreakHyphen/>
      </w:r>
      <w:proofErr w:type="gramStart"/>
      <w:r w:rsidR="006E5CA3">
        <w:t>100(</w:t>
      </w:r>
      <w:proofErr w:type="gramEnd"/>
      <w:r w:rsidR="006E5CA3">
        <w:t xml:space="preserve">A) by communicating with a represented party when the attorney knew or was grossly negligent in not knowing that the party was represented.  Such </w:t>
      </w:r>
      <w:proofErr w:type="gramStart"/>
      <w:r w:rsidR="006E5CA3">
        <w:t>a knew</w:t>
      </w:r>
      <w:proofErr w:type="gramEnd"/>
      <w:r w:rsidR="006E5CA3">
        <w:t xml:space="preserve"> or should have known “standard” is clearly inconsistent with rule 2</w:t>
      </w:r>
      <w:r w:rsidR="006E5CA3">
        <w:noBreakHyphen/>
        <w:t xml:space="preserve">100’s </w:t>
      </w:r>
      <w:r>
        <w:t>plain language</w:t>
      </w:r>
      <w:r w:rsidR="006E5CA3">
        <w:t xml:space="preserve">.  Under </w:t>
      </w:r>
      <w:r w:rsidR="0000420D">
        <w:t>rule 2</w:t>
      </w:r>
      <w:r w:rsidR="0000420D">
        <w:noBreakHyphen/>
        <w:t>100’s plain language</w:t>
      </w:r>
      <w:r>
        <w:t xml:space="preserve">, an attorney is culpable of violating </w:t>
      </w:r>
      <w:r w:rsidR="0000420D">
        <w:t xml:space="preserve">the </w:t>
      </w:r>
      <w:r>
        <w:t xml:space="preserve">rule </w:t>
      </w:r>
      <w:r w:rsidRPr="00C51AF7">
        <w:rPr>
          <w:i/>
        </w:rPr>
        <w:t>only</w:t>
      </w:r>
      <w:r>
        <w:t xml:space="preserve"> if </w:t>
      </w:r>
      <w:r w:rsidR="0000420D">
        <w:t xml:space="preserve">the attorney </w:t>
      </w:r>
      <w:r w:rsidR="006E5CA3">
        <w:t xml:space="preserve">contacts a represented party with </w:t>
      </w:r>
      <w:r w:rsidR="00FD3EA5" w:rsidRPr="00C51AF7">
        <w:rPr>
          <w:i/>
        </w:rPr>
        <w:t>actual know</w:t>
      </w:r>
      <w:r w:rsidR="00C51AF7" w:rsidRPr="00C51AF7">
        <w:rPr>
          <w:i/>
        </w:rPr>
        <w:t>ledge</w:t>
      </w:r>
      <w:r w:rsidR="00FD3EA5" w:rsidRPr="00FD3EA5">
        <w:t xml:space="preserve"> </w:t>
      </w:r>
      <w:r>
        <w:t xml:space="preserve">that </w:t>
      </w:r>
      <w:r w:rsidR="00FD3EA5" w:rsidRPr="00FD3EA5">
        <w:t xml:space="preserve">the </w:t>
      </w:r>
      <w:r w:rsidR="00C51AF7">
        <w:t xml:space="preserve">party </w:t>
      </w:r>
      <w:r w:rsidR="006E5CA3">
        <w:t>is r</w:t>
      </w:r>
      <w:r w:rsidR="00FD3EA5" w:rsidRPr="00FD3EA5">
        <w:t>epresented by counsel.</w:t>
      </w:r>
      <w:r>
        <w:t xml:space="preserve">  </w:t>
      </w:r>
      <w:proofErr w:type="gramStart"/>
      <w:r w:rsidR="0000420D">
        <w:t xml:space="preserve">(Accord, </w:t>
      </w:r>
      <w:r w:rsidR="00FD3EA5" w:rsidRPr="00C51AF7">
        <w:rPr>
          <w:i/>
        </w:rPr>
        <w:t>Snider v. Sup</w:t>
      </w:r>
      <w:r w:rsidR="00C51AF7" w:rsidRPr="00C51AF7">
        <w:rPr>
          <w:i/>
        </w:rPr>
        <w:t>erior Court</w:t>
      </w:r>
      <w:r w:rsidR="00C51AF7">
        <w:t xml:space="preserve"> (</w:t>
      </w:r>
      <w:r w:rsidR="00FD3EA5" w:rsidRPr="00FD3EA5">
        <w:t>Quantum Productions, Inc.</w:t>
      </w:r>
      <w:r w:rsidR="00C51AF7">
        <w:t>)</w:t>
      </w:r>
      <w:proofErr w:type="gramEnd"/>
      <w:r w:rsidR="00FD3EA5" w:rsidRPr="00FD3EA5">
        <w:t xml:space="preserve"> (2003) 113 C</w:t>
      </w:r>
      <w:r w:rsidR="0047733A">
        <w:t>al.</w:t>
      </w:r>
      <w:r w:rsidR="00FD3EA5" w:rsidRPr="00FD3EA5">
        <w:t>A</w:t>
      </w:r>
      <w:r w:rsidR="0047733A">
        <w:t>pp.</w:t>
      </w:r>
      <w:r w:rsidR="00FD3EA5" w:rsidRPr="00FD3EA5">
        <w:t>4th 1187, 12</w:t>
      </w:r>
      <w:r w:rsidR="00C51AF7">
        <w:t>15-1216.)</w:t>
      </w:r>
      <w:r w:rsidR="006E5CA3">
        <w:t xml:space="preserve">  In that regard, there </w:t>
      </w:r>
      <w:r w:rsidR="00C51AF7">
        <w:t xml:space="preserve">is no direct or circumstantial evidence </w:t>
      </w:r>
      <w:r w:rsidR="006E5CA3">
        <w:t xml:space="preserve">in the record </w:t>
      </w:r>
      <w:r w:rsidR="00C51AF7">
        <w:t>that establishes that</w:t>
      </w:r>
      <w:r w:rsidR="006E5CA3">
        <w:t xml:space="preserve"> </w:t>
      </w:r>
      <w:r w:rsidR="00E22963">
        <w:t xml:space="preserve">respondent sent the </w:t>
      </w:r>
      <w:r w:rsidR="006E5CA3">
        <w:t xml:space="preserve">October 2007 </w:t>
      </w:r>
      <w:r w:rsidR="00E22963">
        <w:t>letter to Doris</w:t>
      </w:r>
      <w:r w:rsidR="006E5CA3">
        <w:t xml:space="preserve"> with a</w:t>
      </w:r>
      <w:r w:rsidR="00E22963">
        <w:t>ctual knowledge that Doris was represented</w:t>
      </w:r>
      <w:r w:rsidR="006E5CA3">
        <w:t xml:space="preserve"> by Attorney Bebereia</w:t>
      </w:r>
      <w:r w:rsidR="00E22963">
        <w:t>.</w:t>
      </w:r>
      <w:r w:rsidR="005F2307">
        <w:t xml:space="preserve">  In fact, as noted </w:t>
      </w:r>
      <w:r w:rsidR="005F2307" w:rsidRPr="00F0652C">
        <w:rPr>
          <w:i/>
        </w:rPr>
        <w:t>ante</w:t>
      </w:r>
      <w:r w:rsidR="005F2307">
        <w:t>, the record establishes only that respondent was grossly negligent in not knowing that Doris was represented.  Such a “</w:t>
      </w:r>
      <w:r w:rsidR="0000420D">
        <w:t xml:space="preserve">grossly negligent in not knowing” </w:t>
      </w:r>
      <w:r w:rsidR="005F2307">
        <w:t xml:space="preserve">level of knowledge </w:t>
      </w:r>
      <w:r w:rsidR="006E5CA3">
        <w:t xml:space="preserve">simply </w:t>
      </w:r>
      <w:r w:rsidR="0000420D">
        <w:t xml:space="preserve">will not and </w:t>
      </w:r>
      <w:r w:rsidR="006E5CA3">
        <w:t xml:space="preserve">does </w:t>
      </w:r>
      <w:r w:rsidR="005F2307">
        <w:t>not support a rule 2</w:t>
      </w:r>
      <w:r w:rsidR="005F2307">
        <w:noBreakHyphen/>
        <w:t xml:space="preserve">100 violation.  </w:t>
      </w:r>
      <w:proofErr w:type="gramStart"/>
      <w:r w:rsidR="005F2307" w:rsidRPr="001223DD">
        <w:t>(</w:t>
      </w:r>
      <w:r w:rsidR="005F2307" w:rsidRPr="001223DD">
        <w:rPr>
          <w:i/>
        </w:rPr>
        <w:t>Id</w:t>
      </w:r>
      <w:r w:rsidR="005F2307" w:rsidRPr="001223DD">
        <w:t>. at p.</w:t>
      </w:r>
      <w:r w:rsidR="005F2307">
        <w:t xml:space="preserve"> 1214.</w:t>
      </w:r>
      <w:r w:rsidR="005F2307" w:rsidRPr="001223DD">
        <w:t>)</w:t>
      </w:r>
      <w:proofErr w:type="gramEnd"/>
      <w:r w:rsidR="005F2307">
        <w:t xml:space="preserve">  </w:t>
      </w:r>
      <w:r w:rsidR="00E22963">
        <w:t xml:space="preserve">Accordingly, count 2 is </w:t>
      </w:r>
      <w:r w:rsidR="00692143">
        <w:t>dismissed with prejudice</w:t>
      </w:r>
      <w:r w:rsidR="00E22963">
        <w:t>.</w:t>
      </w:r>
    </w:p>
    <w:p w:rsidR="00067C8F" w:rsidRDefault="00067C8F" w:rsidP="00C51AF7">
      <w:pPr>
        <w:spacing w:line="480" w:lineRule="auto"/>
      </w:pPr>
    </w:p>
    <w:p w:rsidR="00067C8F" w:rsidRDefault="00067C8F" w:rsidP="00C51AF7">
      <w:pPr>
        <w:spacing w:line="480" w:lineRule="auto"/>
      </w:pPr>
    </w:p>
    <w:p w:rsidR="005F2307" w:rsidRDefault="005F2307" w:rsidP="00C51AF7">
      <w:pPr>
        <w:spacing w:line="480" w:lineRule="auto"/>
      </w:pPr>
      <w:r>
        <w:rPr>
          <w:b/>
          <w:i/>
        </w:rPr>
        <w:lastRenderedPageBreak/>
        <w:tab/>
      </w:r>
      <w:r w:rsidRPr="00BD2A6E">
        <w:rPr>
          <w:b/>
          <w:i/>
        </w:rPr>
        <w:t xml:space="preserve">Count </w:t>
      </w:r>
      <w:r>
        <w:rPr>
          <w:b/>
          <w:i/>
        </w:rPr>
        <w:t>3</w:t>
      </w:r>
      <w:r w:rsidRPr="00BD2A6E">
        <w:rPr>
          <w:b/>
          <w:i/>
        </w:rPr>
        <w:t xml:space="preserve"> – </w:t>
      </w:r>
      <w:r>
        <w:rPr>
          <w:b/>
          <w:i/>
        </w:rPr>
        <w:t xml:space="preserve">Moral Turpitude </w:t>
      </w:r>
      <w:r w:rsidRPr="00BD2A6E">
        <w:rPr>
          <w:b/>
          <w:i/>
        </w:rPr>
        <w:t>(§ 6</w:t>
      </w:r>
      <w:r>
        <w:rPr>
          <w:b/>
          <w:i/>
        </w:rPr>
        <w:t>106)</w:t>
      </w:r>
    </w:p>
    <w:p w:rsidR="001548CC" w:rsidRDefault="005F2307" w:rsidP="00070C4D">
      <w:pPr>
        <w:spacing w:line="480" w:lineRule="auto"/>
      </w:pPr>
      <w:r>
        <w:tab/>
        <w:t xml:space="preserve">In count 3, the State Bar charges that respondent willfully violated section 6106, which proscribes acts involving moral turpitude, dishonesty, or corruption.  </w:t>
      </w:r>
      <w:r w:rsidR="00067C8F">
        <w:t xml:space="preserve">In effect, in count 3, the </w:t>
      </w:r>
      <w:r>
        <w:t>State Bar charges that respondent</w:t>
      </w:r>
      <w:r w:rsidR="00067C8F">
        <w:t xml:space="preserve">’s unauthorized practice of law, as found under count 1 </w:t>
      </w:r>
      <w:r w:rsidR="00067C8F" w:rsidRPr="00F0652C">
        <w:rPr>
          <w:i/>
        </w:rPr>
        <w:t>ante</w:t>
      </w:r>
      <w:r w:rsidR="00067C8F">
        <w:t xml:space="preserve">, involved </w:t>
      </w:r>
      <w:r>
        <w:t>moral turpitude</w:t>
      </w:r>
      <w:r w:rsidR="00067C8F">
        <w:t xml:space="preserve"> in violation of section 6106.  The record clearly establishes </w:t>
      </w:r>
      <w:r w:rsidR="001548CC">
        <w:t>such a charge.</w:t>
      </w:r>
      <w:r>
        <w:t xml:space="preserve"> </w:t>
      </w:r>
      <w:r w:rsidR="001548CC">
        <w:t xml:space="preserve"> </w:t>
      </w:r>
      <w:proofErr w:type="gramStart"/>
      <w:r w:rsidR="001548CC">
        <w:t>(</w:t>
      </w:r>
      <w:r w:rsidR="001548CC">
        <w:rPr>
          <w:i/>
          <w:iCs/>
        </w:rPr>
        <w:t>In re Cadwell, supra</w:t>
      </w:r>
      <w:r w:rsidR="001548CC">
        <w:t>, 15 Cal.3d at pp. 771-772.)</w:t>
      </w:r>
      <w:proofErr w:type="gramEnd"/>
      <w:r w:rsidR="001548CC">
        <w:t xml:space="preserve">  </w:t>
      </w:r>
      <w:proofErr w:type="gramStart"/>
      <w:r w:rsidR="001548CC">
        <w:t>lf</w:t>
      </w:r>
      <w:proofErr w:type="gramEnd"/>
      <w:r w:rsidR="001548CC">
        <w:t xml:space="preserve"> respondent did not know that her conduct in sending the October 2007 letter to Doris constituted the unauthorized practice of law and thus violated the Supreme Court's August 17, 2001, suspension order, then respondent, at the very least, displayed an indifferent disregard of her duty to comply with the Supreme Court's suspension order.  </w:t>
      </w:r>
      <w:r w:rsidR="001548CC" w:rsidRPr="001223DD">
        <w:t>(</w:t>
      </w:r>
      <w:r w:rsidR="001548CC" w:rsidRPr="001223DD">
        <w:rPr>
          <w:i/>
        </w:rPr>
        <w:t>Id</w:t>
      </w:r>
      <w:r w:rsidR="001548CC" w:rsidRPr="001223DD">
        <w:t xml:space="preserve">. at p. </w:t>
      </w:r>
      <w:r w:rsidR="001548CC">
        <w:t>772</w:t>
      </w:r>
      <w:r w:rsidR="001548CC" w:rsidRPr="001223DD">
        <w:t>)</w:t>
      </w:r>
      <w:r w:rsidR="001548CC">
        <w:t xml:space="preserve">  Furthermore, respondent must have know</w:t>
      </w:r>
      <w:r w:rsidR="00E23C82">
        <w:t>n</w:t>
      </w:r>
      <w:r w:rsidR="001548CC">
        <w:t xml:space="preserve"> that her October 2007 letter was misleading </w:t>
      </w:r>
      <w:r w:rsidR="00295CDC">
        <w:t xml:space="preserve">to </w:t>
      </w:r>
      <w:r w:rsidR="001548CC">
        <w:t xml:space="preserve">Doris with respect to </w:t>
      </w:r>
      <w:r w:rsidR="00295CDC">
        <w:t xml:space="preserve">respondent’s </w:t>
      </w:r>
      <w:r w:rsidR="001548CC">
        <w:t>lack of entitlement to practice law.</w:t>
      </w:r>
      <w:r w:rsidR="00644C89">
        <w:t xml:space="preserve">  </w:t>
      </w:r>
      <w:proofErr w:type="gramStart"/>
      <w:r w:rsidR="00644C89" w:rsidRPr="00064504">
        <w:t>(</w:t>
      </w:r>
      <w:r w:rsidR="00644C89" w:rsidRPr="00064504">
        <w:rPr>
          <w:i/>
        </w:rPr>
        <w:t>Ibid</w:t>
      </w:r>
      <w:r w:rsidR="00644C89" w:rsidRPr="00064504">
        <w:t>.)</w:t>
      </w:r>
      <w:proofErr w:type="gramEnd"/>
    </w:p>
    <w:p w:rsidR="00070C4D" w:rsidRDefault="00295CDC" w:rsidP="00070C4D">
      <w:pPr>
        <w:spacing w:line="480" w:lineRule="auto"/>
      </w:pPr>
      <w:r>
        <w:tab/>
        <w:t>Finally, i</w:t>
      </w:r>
      <w:r w:rsidR="00070C4D">
        <w:t>t is not duplicative to find that respondent</w:t>
      </w:r>
      <w:r w:rsidR="00644C89">
        <w:t xml:space="preserve">’s unauthorized practice of law </w:t>
      </w:r>
      <w:r w:rsidR="00070C4D">
        <w:t xml:space="preserve">violated </w:t>
      </w:r>
      <w:proofErr w:type="gramStart"/>
      <w:r w:rsidR="00070C4D">
        <w:t>both section</w:t>
      </w:r>
      <w:proofErr w:type="gramEnd"/>
      <w:r w:rsidR="00070C4D">
        <w:t xml:space="preserve"> 6068, subdivision (a) and section 6106</w:t>
      </w:r>
      <w:r w:rsidR="00644C89">
        <w:t xml:space="preserve">.  </w:t>
      </w:r>
      <w:r w:rsidR="00070C4D">
        <w:t>(</w:t>
      </w:r>
      <w:r w:rsidR="00070C4D">
        <w:rPr>
          <w:i/>
          <w:iCs/>
        </w:rPr>
        <w:t>In the Matter of Valinoti</w:t>
      </w:r>
      <w:r w:rsidR="00070C4D">
        <w:t xml:space="preserve"> (Review Dept. 2002) 4 Cal. State Bar Ct. Rptr. 498, 520; </w:t>
      </w:r>
      <w:r w:rsidR="00070C4D">
        <w:rPr>
          <w:i/>
          <w:iCs/>
        </w:rPr>
        <w:t>In the Matter of Hagen</w:t>
      </w:r>
      <w:r w:rsidR="00070C4D">
        <w:t xml:space="preserve"> (Review Dept. 1992) 2 Cal. State Bar Ct. Rptr. 153, 169.) </w:t>
      </w:r>
    </w:p>
    <w:p w:rsidR="00EA2D8F" w:rsidRPr="00070C4D" w:rsidRDefault="00692143" w:rsidP="00070C4D">
      <w:pPr>
        <w:spacing w:line="480" w:lineRule="auto"/>
        <w:jc w:val="center"/>
        <w:rPr>
          <w:b/>
        </w:rPr>
      </w:pPr>
      <w:r w:rsidRPr="00070C4D">
        <w:rPr>
          <w:b/>
        </w:rPr>
        <w:t xml:space="preserve">AGGRAVATING </w:t>
      </w:r>
      <w:r>
        <w:rPr>
          <w:b/>
        </w:rPr>
        <w:t xml:space="preserve">AND </w:t>
      </w:r>
      <w:r w:rsidRPr="00070C4D">
        <w:rPr>
          <w:b/>
        </w:rPr>
        <w:t>MITIGATING CIRCUMSTANCES</w:t>
      </w:r>
    </w:p>
    <w:p w:rsidR="00B94C6F" w:rsidRPr="00840038" w:rsidRDefault="00B94C6F" w:rsidP="00B94C6F">
      <w:pPr>
        <w:spacing w:line="480" w:lineRule="auto"/>
        <w:rPr>
          <w:b/>
        </w:rPr>
      </w:pPr>
      <w:r w:rsidRPr="00840038">
        <w:rPr>
          <w:b/>
        </w:rPr>
        <w:t>Aggravation</w:t>
      </w:r>
    </w:p>
    <w:p w:rsidR="00BE5FB2" w:rsidRDefault="00B94C6F" w:rsidP="00B94C6F">
      <w:pPr>
        <w:spacing w:line="480" w:lineRule="auto"/>
        <w:rPr>
          <w:vertAlign w:val="superscript"/>
        </w:rPr>
      </w:pPr>
      <w:r>
        <w:tab/>
      </w:r>
      <w:r w:rsidRPr="00B94C6F">
        <w:t xml:space="preserve">The State Bar bears the burden of proving aggravating circumstances by clear and convincing evidence. </w:t>
      </w:r>
      <w:r>
        <w:t xml:space="preserve"> </w:t>
      </w:r>
      <w:r w:rsidRPr="00B94C6F">
        <w:t>(Rules Proc. of State Bar, tit. IV, Stds. for Atty. Sanctions for Prof. Misconduct, std. 1.2(b).)</w:t>
      </w:r>
      <w:r w:rsidRPr="00B94C6F">
        <w:rPr>
          <w:vertAlign w:val="superscript"/>
        </w:rPr>
        <w:t xml:space="preserve"> </w:t>
      </w:r>
      <w:r w:rsidRPr="00B94C6F">
        <w:rPr>
          <w:vertAlign w:val="superscript"/>
        </w:rPr>
        <w:footnoteReference w:id="5"/>
      </w:r>
    </w:p>
    <w:p w:rsidR="00BE5FB2" w:rsidRDefault="00BE5FB2" w:rsidP="00B94C6F">
      <w:pPr>
        <w:spacing w:line="480" w:lineRule="auto"/>
        <w:rPr>
          <w:vertAlign w:val="superscript"/>
        </w:rPr>
      </w:pPr>
    </w:p>
    <w:p w:rsidR="00B94C6F" w:rsidRPr="00B94C6F" w:rsidRDefault="00B94C6F" w:rsidP="00B94C6F">
      <w:pPr>
        <w:spacing w:line="480" w:lineRule="auto"/>
      </w:pPr>
    </w:p>
    <w:p w:rsidR="003259DA" w:rsidRPr="00B94C6F" w:rsidRDefault="00B94C6F">
      <w:pPr>
        <w:spacing w:line="480" w:lineRule="auto"/>
        <w:rPr>
          <w:b/>
          <w:bCs/>
        </w:rPr>
      </w:pPr>
      <w:r>
        <w:lastRenderedPageBreak/>
        <w:tab/>
      </w:r>
      <w:r w:rsidR="003259DA" w:rsidRPr="00B94C6F">
        <w:rPr>
          <w:b/>
          <w:bCs/>
        </w:rPr>
        <w:t>Failure to File a Response to the NDC</w:t>
      </w:r>
    </w:p>
    <w:p w:rsidR="009530E9" w:rsidRDefault="003259DA">
      <w:pPr>
        <w:spacing w:line="480" w:lineRule="auto"/>
      </w:pPr>
      <w:r>
        <w:tab/>
        <w:t>Respondent's failure to file a response to the NDC in the present proceeding, which allowed h</w:t>
      </w:r>
      <w:r w:rsidR="009530E9">
        <w:t xml:space="preserve">er </w:t>
      </w:r>
      <w:r>
        <w:t xml:space="preserve">default to be entered, is an aggravating circumstance.  </w:t>
      </w:r>
      <w:proofErr w:type="gramStart"/>
      <w:r>
        <w:t xml:space="preserve">(See </w:t>
      </w:r>
      <w:r>
        <w:rPr>
          <w:i/>
          <w:iCs/>
        </w:rPr>
        <w:t>Conroy v. State Bar</w:t>
      </w:r>
      <w:r>
        <w:t xml:space="preserve"> (1990) 51 Cal.3d 799, 805.)</w:t>
      </w:r>
      <w:proofErr w:type="gramEnd"/>
      <w:r>
        <w:t xml:space="preserve">  First, it indicates that </w:t>
      </w:r>
      <w:r w:rsidR="00040D48">
        <w:t xml:space="preserve">respondent </w:t>
      </w:r>
      <w:r>
        <w:t>fails to appreciate the seriousness of the charges against h</w:t>
      </w:r>
      <w:r w:rsidR="009530E9">
        <w:t>er.</w:t>
      </w:r>
      <w:r>
        <w:t xml:space="preserve">  </w:t>
      </w:r>
      <w:proofErr w:type="gramStart"/>
      <w:r>
        <w:t>(</w:t>
      </w:r>
      <w:r>
        <w:rPr>
          <w:i/>
          <w:iCs/>
        </w:rPr>
        <w:t>Ibid</w:t>
      </w:r>
      <w:r>
        <w:t>.)</w:t>
      </w:r>
      <w:proofErr w:type="gramEnd"/>
      <w:r>
        <w:t xml:space="preserve">  Second, it indicates that</w:t>
      </w:r>
      <w:r w:rsidR="00AA7147">
        <w:t xml:space="preserve"> </w:t>
      </w:r>
      <w:r w:rsidR="009530E9">
        <w:t>s</w:t>
      </w:r>
      <w:r>
        <w:t xml:space="preserve">he </w:t>
      </w:r>
      <w:r w:rsidR="00B94C6F">
        <w:t>“</w:t>
      </w:r>
      <w:r>
        <w:t xml:space="preserve">does not comprehend the duty as an officer of the court to participate in disciplinary proceedings.  </w:t>
      </w:r>
      <w:proofErr w:type="gramStart"/>
      <w:r>
        <w:t>[Citation.]"</w:t>
      </w:r>
      <w:proofErr w:type="gramEnd"/>
      <w:r>
        <w:t xml:space="preserve">  </w:t>
      </w:r>
      <w:proofErr w:type="gramStart"/>
      <w:r>
        <w:t>(</w:t>
      </w:r>
      <w:r>
        <w:rPr>
          <w:i/>
          <w:iCs/>
        </w:rPr>
        <w:t>In the Matter of Stansbury</w:t>
      </w:r>
      <w:r w:rsidR="00F1607D">
        <w:rPr>
          <w:i/>
          <w:iCs/>
        </w:rPr>
        <w:t>, supra</w:t>
      </w:r>
      <w:r w:rsidR="00F1607D">
        <w:t xml:space="preserve">, </w:t>
      </w:r>
      <w:r>
        <w:t xml:space="preserve">4 Cal. State Bar Ct. Rptr. </w:t>
      </w:r>
      <w:r w:rsidR="00F1607D">
        <w:t xml:space="preserve">at p. </w:t>
      </w:r>
      <w:r>
        <w:t>109</w:t>
      </w:r>
      <w:r w:rsidR="00840038">
        <w:t>.)</w:t>
      </w:r>
      <w:proofErr w:type="gramEnd"/>
    </w:p>
    <w:p w:rsidR="009530E9" w:rsidRPr="009530E9" w:rsidRDefault="009530E9">
      <w:pPr>
        <w:spacing w:line="480" w:lineRule="auto"/>
        <w:rPr>
          <w:b/>
        </w:rPr>
      </w:pPr>
      <w:r>
        <w:tab/>
      </w:r>
      <w:r w:rsidRPr="009530E9">
        <w:rPr>
          <w:b/>
        </w:rPr>
        <w:t xml:space="preserve">Harm to </w:t>
      </w:r>
      <w:r>
        <w:rPr>
          <w:b/>
        </w:rPr>
        <w:t xml:space="preserve">Public and </w:t>
      </w:r>
      <w:r w:rsidR="00540A13" w:rsidRPr="009530E9">
        <w:rPr>
          <w:b/>
        </w:rPr>
        <w:t>Administration</w:t>
      </w:r>
      <w:r w:rsidRPr="009530E9">
        <w:rPr>
          <w:b/>
        </w:rPr>
        <w:t xml:space="preserve"> of Justice</w:t>
      </w:r>
    </w:p>
    <w:p w:rsidR="009530E9" w:rsidRDefault="009530E9" w:rsidP="00B94C6F">
      <w:pPr>
        <w:spacing w:line="480" w:lineRule="auto"/>
        <w:rPr>
          <w:b/>
        </w:rPr>
      </w:pPr>
      <w:r>
        <w:tab/>
        <w:t>There is no evidence of any significant harm to the public or the administration of justice that is separate and apart from the harm to the public and administration of justice that is inherent in</w:t>
      </w:r>
      <w:r w:rsidR="00E23C82">
        <w:t xml:space="preserve"> the </w:t>
      </w:r>
      <w:r>
        <w:t xml:space="preserve">unauthorized practice of law.  Accordingly, no finding </w:t>
      </w:r>
      <w:r w:rsidR="00840038">
        <w:t xml:space="preserve">of </w:t>
      </w:r>
      <w:r w:rsidR="00BE5FB2">
        <w:t xml:space="preserve">aggravation based on </w:t>
      </w:r>
      <w:r w:rsidR="00840038">
        <w:t xml:space="preserve">harm to the public or the administration of justice </w:t>
      </w:r>
      <w:r>
        <w:t xml:space="preserve">is appropriate.  (Cf. </w:t>
      </w:r>
      <w:r>
        <w:rPr>
          <w:i/>
        </w:rPr>
        <w:t>In the Matter of Laden</w:t>
      </w:r>
      <w:r>
        <w:t xml:space="preserve"> (Review Dept. 2004) 4 Cal. State Bar Ct. Rptr. 678, 684; </w:t>
      </w:r>
      <w:r>
        <w:rPr>
          <w:i/>
        </w:rPr>
        <w:t>In the Matter of Rose</w:t>
      </w:r>
      <w:r>
        <w:t xml:space="preserve"> (Review Dept. 1994) 3 Cal. State Bar Ct. Rptr. 192, 203; see also </w:t>
      </w:r>
      <w:r>
        <w:rPr>
          <w:i/>
        </w:rPr>
        <w:t>In the Matter of Trousil</w:t>
      </w:r>
      <w:r>
        <w:t xml:space="preserve"> (Review Dept. 1990) 1 Cal. State Bar Ct. Rptr. 229, 240 [the harm to the public and administration of justice that is inherent in the unauthorized practice of law limits lack of harm mitigation].)</w:t>
      </w:r>
    </w:p>
    <w:p w:rsidR="00B94C6F" w:rsidRDefault="00B94C6F" w:rsidP="00B94C6F">
      <w:pPr>
        <w:spacing w:line="480" w:lineRule="auto"/>
        <w:rPr>
          <w:b/>
        </w:rPr>
      </w:pPr>
      <w:r w:rsidRPr="00B94C6F">
        <w:rPr>
          <w:b/>
        </w:rPr>
        <w:t>Mitigation</w:t>
      </w:r>
    </w:p>
    <w:p w:rsidR="007D06AF" w:rsidRDefault="00B94C6F" w:rsidP="007D06AF">
      <w:pPr>
        <w:spacing w:line="480" w:lineRule="auto"/>
      </w:pPr>
      <w:r>
        <w:tab/>
      </w:r>
      <w:r w:rsidR="00BE5FB2">
        <w:t>T</w:t>
      </w:r>
      <w:r w:rsidR="007D06AF">
        <w:t>he State Bar</w:t>
      </w:r>
      <w:r w:rsidR="00BE5FB2">
        <w:t xml:space="preserve"> of California</w:t>
      </w:r>
      <w:r w:rsidR="007D06AF">
        <w:t>'s official membership records</w:t>
      </w:r>
      <w:r w:rsidR="00BE5FB2">
        <w:t>, of which this court takes judicial notice</w:t>
      </w:r>
      <w:r w:rsidR="00E17F15">
        <w:t>,</w:t>
      </w:r>
      <w:r w:rsidR="00BE5FB2">
        <w:t xml:space="preserve"> </w:t>
      </w:r>
      <w:r w:rsidR="007D06AF">
        <w:t xml:space="preserve">show that </w:t>
      </w:r>
      <w:r w:rsidR="007D06AF" w:rsidRPr="002712C8">
        <w:t xml:space="preserve">respondent </w:t>
      </w:r>
      <w:r w:rsidR="007D06AF">
        <w:t>has no prior record of discipline</w:t>
      </w:r>
      <w:r w:rsidR="00BE5FB2">
        <w:t xml:space="preserve"> and that </w:t>
      </w:r>
      <w:r w:rsidR="007D06AF">
        <w:t xml:space="preserve">respondent was </w:t>
      </w:r>
      <w:r w:rsidR="007D06AF" w:rsidRPr="002712C8">
        <w:t>continu</w:t>
      </w:r>
      <w:r w:rsidR="007D06AF">
        <w:t xml:space="preserve">ously </w:t>
      </w:r>
      <w:r w:rsidR="007D06AF" w:rsidRPr="002712C8">
        <w:t>an active member of the State Bar</w:t>
      </w:r>
      <w:r w:rsidR="007D06AF">
        <w:t xml:space="preserve"> from her admission in December 1983 through September 1, 2001, when she was suspended for not paying her </w:t>
      </w:r>
      <w:r w:rsidR="00BE5FB2">
        <w:t xml:space="preserve">2000 </w:t>
      </w:r>
      <w:r w:rsidR="007D06AF">
        <w:t>annual membership fees.</w:t>
      </w:r>
      <w:r w:rsidR="00E23C82" w:rsidRPr="008318D5">
        <w:rPr>
          <w:vertAlign w:val="superscript"/>
        </w:rPr>
        <w:footnoteReference w:id="6"/>
      </w:r>
      <w:r w:rsidR="00E23C82">
        <w:t xml:space="preserve"> </w:t>
      </w:r>
      <w:r w:rsidR="007D06AF">
        <w:t xml:space="preserve"> </w:t>
      </w:r>
      <w:r w:rsidR="00E23C82">
        <w:lastRenderedPageBreak/>
        <w:t>Accordingly</w:t>
      </w:r>
      <w:r w:rsidR="007D06AF">
        <w:t xml:space="preserve">, </w:t>
      </w:r>
      <w:r w:rsidR="00E23C82">
        <w:t xml:space="preserve">notwithstanding the State Bar’s representation to this court to the contrary,   </w:t>
      </w:r>
      <w:r w:rsidR="00BE5FB2">
        <w:t>respondent is entitled to significant mitigation for her almost 18 years</w:t>
      </w:r>
      <w:r w:rsidR="007D06AF">
        <w:t xml:space="preserve"> (from D</w:t>
      </w:r>
      <w:r w:rsidR="00BE5FB2">
        <w:t>ecember 1983 to September 2001) of discipline-free practice</w:t>
      </w:r>
      <w:r w:rsidR="00E17F15">
        <w:t>.</w:t>
      </w:r>
      <w:r w:rsidR="00E23C82">
        <w:t xml:space="preserve">  (S</w:t>
      </w:r>
      <w:r w:rsidR="00E23C82" w:rsidRPr="001F1A78">
        <w:t>td 1.2(</w:t>
      </w:r>
      <w:r w:rsidR="00E23C82">
        <w:t>e</w:t>
      </w:r>
      <w:proofErr w:type="gramStart"/>
      <w:r w:rsidR="00E23C82" w:rsidRPr="001F1A78">
        <w:t>)(</w:t>
      </w:r>
      <w:proofErr w:type="gramEnd"/>
      <w:r w:rsidR="00E23C82" w:rsidRPr="001F1A78">
        <w:t xml:space="preserve">i).)  </w:t>
      </w:r>
    </w:p>
    <w:p w:rsidR="003259DA" w:rsidRPr="00B94C6F" w:rsidRDefault="00692143" w:rsidP="00B94C6F">
      <w:pPr>
        <w:spacing w:line="480" w:lineRule="auto"/>
        <w:jc w:val="center"/>
        <w:rPr>
          <w:b/>
        </w:rPr>
      </w:pPr>
      <w:r w:rsidRPr="00B94C6F">
        <w:rPr>
          <w:b/>
        </w:rPr>
        <w:t>DISCUSSION</w:t>
      </w:r>
    </w:p>
    <w:p w:rsidR="004938D6" w:rsidRDefault="00040D48" w:rsidP="004938D6">
      <w:pPr>
        <w:spacing w:line="480" w:lineRule="auto"/>
        <w:rPr>
          <w:b/>
        </w:rPr>
      </w:pPr>
      <w:r>
        <w:tab/>
      </w:r>
      <w:r w:rsidR="004938D6">
        <w:t xml:space="preserve">Standard 1.3 provides that the primary purposes of discipline are to protect the public, the courts, and the legal profession; to maintain the highest possible professional standards for attorneys; and to preserve public confidence in the legal profession.  </w:t>
      </w:r>
      <w:proofErr w:type="gramStart"/>
      <w:r w:rsidR="004938D6">
        <w:t>(</w:t>
      </w:r>
      <w:r w:rsidR="004938D6">
        <w:rPr>
          <w:i/>
          <w:iCs/>
        </w:rPr>
        <w:t>Chadwick v. State Bar</w:t>
      </w:r>
      <w:r w:rsidR="004938D6">
        <w:t xml:space="preserve"> (1989) 49 Cal.3d 103, 111.)</w:t>
      </w:r>
      <w:proofErr w:type="gramEnd"/>
    </w:p>
    <w:p w:rsidR="004938D6" w:rsidRDefault="004938D6" w:rsidP="004938D6">
      <w:pPr>
        <w:spacing w:line="480" w:lineRule="auto"/>
      </w:pPr>
      <w:r>
        <w:rPr>
          <w:b/>
        </w:rPr>
        <w:tab/>
      </w:r>
      <w:r>
        <w:t>In determining the appropriate level of discipline, this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Second, the court looks to decisional law.  </w:t>
      </w:r>
      <w:proofErr w:type="gramStart"/>
      <w:r>
        <w:t>(</w:t>
      </w:r>
      <w:r>
        <w:rPr>
          <w:i/>
          <w:iCs/>
        </w:rPr>
        <w:t>Snyder v. State Bar</w:t>
      </w:r>
      <w:r>
        <w:t xml:space="preserve"> (1990) 49 Cal.3d 1302, 1310</w:t>
      </w:r>
      <w:r>
        <w:noBreakHyphen/>
        <w:t xml:space="preserve">1311; </w:t>
      </w:r>
      <w:r w:rsidRPr="00CF574E">
        <w:rPr>
          <w:i/>
        </w:rPr>
        <w:t>In the Matter of Taylor</w:t>
      </w:r>
      <w:r>
        <w:t xml:space="preserve"> (Review Dept. 1991) 1 Cal. State Bar Ct. Rptr. 563, 580.)</w:t>
      </w:r>
      <w:proofErr w:type="gramEnd"/>
      <w:r>
        <w:t xml:space="preserve">   </w:t>
      </w:r>
    </w:p>
    <w:p w:rsidR="00F1607D" w:rsidRDefault="004938D6" w:rsidP="004938D6">
      <w:pPr>
        <w:spacing w:line="480" w:lineRule="auto"/>
      </w:pPr>
      <w:r>
        <w:tab/>
        <w:t>Standard 1.6</w:t>
      </w:r>
      <w:r w:rsidR="007727D9">
        <w:t xml:space="preserve">(a) </w:t>
      </w:r>
      <w:r>
        <w:t>provides that</w:t>
      </w:r>
      <w:r w:rsidR="007727D9">
        <w:t>, i</w:t>
      </w:r>
      <w:r>
        <w:t xml:space="preserve">f two or more acts of professional misconduct are found in a single disciplinary proceeding, the sanction imposed shall be the most severe of the applicable sanctions.  </w:t>
      </w:r>
      <w:proofErr w:type="gramStart"/>
      <w:r>
        <w:t>(Std. 1.6(a).)</w:t>
      </w:r>
      <w:proofErr w:type="gramEnd"/>
      <w:r>
        <w:t xml:space="preserve"> </w:t>
      </w:r>
      <w:r w:rsidR="007727D9">
        <w:t xml:space="preserve"> The most severe of the applicable sanctions in the present proceeding is found in s</w:t>
      </w:r>
      <w:r>
        <w:t>tandard 2.3</w:t>
      </w:r>
      <w:r w:rsidR="00F1607D">
        <w:t>, which applies to respondent’s section 6106 violation</w:t>
      </w:r>
      <w:r w:rsidR="007727D9">
        <w:t>.  S</w:t>
      </w:r>
      <w:r>
        <w:t>tandard 2.3</w:t>
      </w:r>
      <w:r w:rsidR="007727D9">
        <w:t xml:space="preserve"> </w:t>
      </w:r>
      <w:r>
        <w:t xml:space="preserve">provides:  </w:t>
      </w:r>
    </w:p>
    <w:p w:rsidR="00F1607D" w:rsidRDefault="004938D6" w:rsidP="00F1607D">
      <w:pPr>
        <w:ind w:left="1080" w:right="720"/>
      </w:pPr>
      <w:r>
        <w:t>Culpability of a member of an act of moral turpitude, fraud, or intentional dishonesty toward a court, client or another person or of concealment of a material fact to a court, client or another person shall result in actual suspension or disbarment depending upon the extent to which the victim of the misconduct is harmed or misled and depending upon the magnitude of the act of misconduct and the degree to which it relates to the member's a</w:t>
      </w:r>
      <w:r w:rsidR="00F1607D">
        <w:t>cts within the practice of law.</w:t>
      </w:r>
    </w:p>
    <w:p w:rsidR="00055A97" w:rsidRPr="00A9372E" w:rsidRDefault="00055A97" w:rsidP="00F1607D">
      <w:pPr>
        <w:ind w:left="1080" w:right="720"/>
      </w:pPr>
    </w:p>
    <w:p w:rsidR="004F4F00" w:rsidRPr="004277F3" w:rsidRDefault="00F1607D" w:rsidP="00F1607D">
      <w:pPr>
        <w:pStyle w:val="BodyTextIndent2"/>
        <w:spacing w:after="0"/>
        <w:ind w:left="0"/>
        <w:rPr>
          <w:b/>
        </w:rPr>
      </w:pPr>
      <w:r>
        <w:tab/>
      </w:r>
      <w:r w:rsidR="004F4F00" w:rsidRPr="004F4F00">
        <w:t xml:space="preserve">The case of </w:t>
      </w:r>
      <w:r w:rsidR="004F4F00" w:rsidRPr="004F4F00">
        <w:rPr>
          <w:i/>
        </w:rPr>
        <w:t>In the Matter of Trousil, supra</w:t>
      </w:r>
      <w:r w:rsidR="004F4F00" w:rsidRPr="004F4F00">
        <w:t xml:space="preserve">, 1 Cal. State Bar Ct. Rptr. 229 is instructive on the </w:t>
      </w:r>
      <w:r>
        <w:t xml:space="preserve">issue of </w:t>
      </w:r>
      <w:r w:rsidR="004F4F00" w:rsidRPr="004F4F00">
        <w:t xml:space="preserve">discipline in this proceeding.  In </w:t>
      </w:r>
      <w:r w:rsidR="004F4F00" w:rsidRPr="004F4F00">
        <w:rPr>
          <w:i/>
        </w:rPr>
        <w:t>Trousil</w:t>
      </w:r>
      <w:r w:rsidR="004F4F00" w:rsidRPr="004F4F00">
        <w:t xml:space="preserve">, the attorney was placed on two years’ </w:t>
      </w:r>
      <w:r w:rsidR="004F4F00" w:rsidRPr="004F4F00">
        <w:lastRenderedPageBreak/>
        <w:t xml:space="preserve">stayed suspension and two years’ probation on conditions, including a </w:t>
      </w:r>
      <w:r w:rsidR="004277F3">
        <w:t>thirty</w:t>
      </w:r>
      <w:r w:rsidR="004F4F00" w:rsidRPr="004F4F00">
        <w:t xml:space="preserve">-day suspension for accepting employment from a client and appearing in bankruptcy court while suspended for nonpayment of his Bar dues.  Moral turpitude was not found, but </w:t>
      </w:r>
      <w:r w:rsidR="004277F3">
        <w:t>t</w:t>
      </w:r>
      <w:r w:rsidR="004F4F00" w:rsidRPr="004F4F00">
        <w:t xml:space="preserve">he </w:t>
      </w:r>
      <w:r w:rsidR="004277F3">
        <w:t xml:space="preserve">attorney </w:t>
      </w:r>
      <w:r w:rsidR="004F4F00" w:rsidRPr="004F4F00">
        <w:t xml:space="preserve">had </w:t>
      </w:r>
      <w:r w:rsidR="004F4F00" w:rsidRPr="004F4F00">
        <w:rPr>
          <w:i/>
        </w:rPr>
        <w:t>three</w:t>
      </w:r>
      <w:r w:rsidR="004F4F00" w:rsidRPr="004F4F00">
        <w:t xml:space="preserve"> prior records of discipline.  In addition, there was compelling mitigati</w:t>
      </w:r>
      <w:r w:rsidR="004277F3">
        <w:t xml:space="preserve">on, including mental impairment, </w:t>
      </w:r>
      <w:r w:rsidR="004277F3" w:rsidRPr="004F4F00">
        <w:t xml:space="preserve">in </w:t>
      </w:r>
      <w:r w:rsidR="004277F3" w:rsidRPr="004F4F00">
        <w:rPr>
          <w:i/>
        </w:rPr>
        <w:t>Trousil</w:t>
      </w:r>
      <w:r w:rsidR="004277F3">
        <w:t>.</w:t>
      </w:r>
    </w:p>
    <w:p w:rsidR="00F843D4" w:rsidRPr="00F843D4" w:rsidRDefault="004F4F00" w:rsidP="00F1607D">
      <w:pPr>
        <w:spacing w:line="480" w:lineRule="auto"/>
      </w:pPr>
      <w:r>
        <w:tab/>
        <w:t xml:space="preserve">After carefully considering the </w:t>
      </w:r>
      <w:r w:rsidR="004277F3">
        <w:t xml:space="preserve">found </w:t>
      </w:r>
      <w:r>
        <w:t xml:space="preserve">misconduct, the aggravating and mitigating circumstances, the standards, and case law, the court concludes that the appropriate level of discipline to recommend in this proceeding is a one-year stayed suspension and a </w:t>
      </w:r>
      <w:r w:rsidR="004277F3">
        <w:t>thirty</w:t>
      </w:r>
      <w:r>
        <w:t xml:space="preserve">-day suspension </w:t>
      </w:r>
      <w:r w:rsidR="00F843D4" w:rsidRPr="00F843D4">
        <w:t>that will continue until respondent makes and the State Bar Court grants a motion to terminate h</w:t>
      </w:r>
      <w:r w:rsidR="004277F3">
        <w:t>er</w:t>
      </w:r>
      <w:r w:rsidR="00F843D4" w:rsidRPr="00F843D4">
        <w:t xml:space="preserve"> suspension (Rules Proc. of State Bar, rule 205).</w:t>
      </w:r>
    </w:p>
    <w:p w:rsidR="003259DA" w:rsidRPr="00EB236E" w:rsidRDefault="00692143" w:rsidP="009D2A57">
      <w:pPr>
        <w:pStyle w:val="Heading1"/>
        <w:rPr>
          <w:b w:val="0"/>
          <w:u w:val="single"/>
        </w:rPr>
      </w:pPr>
      <w:r w:rsidRPr="009D2A57">
        <w:t>DISCIPLINE RECOMMENDATION</w:t>
      </w:r>
    </w:p>
    <w:p w:rsidR="00692143" w:rsidRDefault="00692143" w:rsidP="00692143">
      <w:pPr>
        <w:tabs>
          <w:tab w:val="center" w:pos="4680"/>
        </w:tabs>
        <w:spacing w:line="480" w:lineRule="auto"/>
        <w:rPr>
          <w:b/>
          <w:bCs/>
        </w:rPr>
      </w:pPr>
      <w:r>
        <w:rPr>
          <w:b/>
          <w:bCs/>
          <w:u w:val="single"/>
        </w:rPr>
        <w:t>Suspension Recommended</w:t>
      </w:r>
    </w:p>
    <w:p w:rsidR="00EB236E" w:rsidRDefault="00692143" w:rsidP="00A941D9">
      <w:pPr>
        <w:spacing w:line="480" w:lineRule="auto"/>
        <w:ind w:firstLine="720"/>
      </w:pPr>
      <w:r>
        <w:t>It is hereby recommended</w:t>
      </w:r>
      <w:r w:rsidR="00EB236E" w:rsidRPr="007E71D6">
        <w:t xml:space="preserve"> that </w:t>
      </w:r>
      <w:bookmarkStart w:id="6" w:name="resp2"/>
      <w:bookmarkEnd w:id="6"/>
      <w:r w:rsidR="00EB236E">
        <w:t xml:space="preserve">respondent </w:t>
      </w:r>
      <w:r w:rsidR="00EB236E" w:rsidRPr="00EB236E">
        <w:rPr>
          <w:b/>
        </w:rPr>
        <w:t>ERIN H. HUMPHRIES</w:t>
      </w:r>
      <w:r w:rsidR="00EB236E" w:rsidRPr="007E71D6">
        <w:t xml:space="preserve">, State Bar </w:t>
      </w:r>
      <w:r w:rsidR="00EB236E">
        <w:t>n</w:t>
      </w:r>
      <w:r w:rsidR="00EB236E" w:rsidRPr="007E71D6">
        <w:t xml:space="preserve">umber </w:t>
      </w:r>
      <w:bookmarkStart w:id="7" w:name="barno"/>
      <w:bookmarkEnd w:id="7"/>
      <w:r w:rsidR="00EB236E">
        <w:t>110669,</w:t>
      </w:r>
      <w:r w:rsidR="00EB236E" w:rsidRPr="007E71D6">
        <w:t xml:space="preserve"> be suspended from the practice of law in California for </w:t>
      </w:r>
      <w:bookmarkStart w:id="8" w:name="susp"/>
      <w:bookmarkEnd w:id="8"/>
      <w:r w:rsidR="00EB236E">
        <w:t>one year</w:t>
      </w:r>
      <w:r w:rsidR="00C053C0">
        <w:t>;</w:t>
      </w:r>
      <w:r w:rsidR="00EB236E" w:rsidRPr="007E71D6">
        <w:t xml:space="preserve"> that execution of that period of suspension be stayed</w:t>
      </w:r>
      <w:r w:rsidR="00C053C0">
        <w:t xml:space="preserve"> subject to the following conditions; and that she be actually suspended from the practice of law for thirty days </w:t>
      </w:r>
      <w:r w:rsidR="00C053C0" w:rsidRPr="00675665">
        <w:rPr>
          <w:u w:val="single"/>
        </w:rPr>
        <w:t>and</w:t>
      </w:r>
      <w:r w:rsidR="00C053C0">
        <w:t xml:space="preserve"> until the following conditions are satisfied:</w:t>
      </w:r>
    </w:p>
    <w:p w:rsidR="00C053C0" w:rsidRPr="00C053C0" w:rsidRDefault="00C053C0" w:rsidP="00C053C0">
      <w:pPr>
        <w:pStyle w:val="ListParagraph"/>
        <w:numPr>
          <w:ilvl w:val="0"/>
          <w:numId w:val="2"/>
        </w:numPr>
        <w:tabs>
          <w:tab w:val="center" w:pos="1440"/>
        </w:tabs>
        <w:spacing w:line="480" w:lineRule="auto"/>
        <w:ind w:left="1440"/>
        <w:rPr>
          <w:b/>
          <w:bCs/>
        </w:rPr>
      </w:pPr>
      <w:r>
        <w:t xml:space="preserve">The State Bar Court has granted a motion to terminate respondent’s current actual suspension under rule 205 of the Rules of Procedure; </w:t>
      </w:r>
      <w:r w:rsidR="00E96BD3">
        <w:t>and</w:t>
      </w:r>
    </w:p>
    <w:p w:rsidR="00EB236E" w:rsidRDefault="00E96BD3" w:rsidP="00E96BD3">
      <w:pPr>
        <w:numPr>
          <w:ilvl w:val="0"/>
          <w:numId w:val="2"/>
        </w:numPr>
        <w:spacing w:line="480" w:lineRule="auto"/>
        <w:ind w:left="1440"/>
      </w:pPr>
      <w:r>
        <w:t>I</w:t>
      </w:r>
      <w:r w:rsidR="00EB236E" w:rsidRPr="007E71D6">
        <w:t xml:space="preserve">f </w:t>
      </w:r>
      <w:r w:rsidR="00C053C0">
        <w:t xml:space="preserve">respondent </w:t>
      </w:r>
      <w:r w:rsidR="00EB236E" w:rsidRPr="007E71D6">
        <w:t xml:space="preserve">remains suspended for two years or more as a result of not satisfying the preceding condition, </w:t>
      </w:r>
      <w:r>
        <w:t xml:space="preserve">she has shown </w:t>
      </w:r>
      <w:r w:rsidRPr="005603D6">
        <w:t>proof satisfacto</w:t>
      </w:r>
      <w:r>
        <w:t>ry to the State Bar Court of her</w:t>
      </w:r>
      <w:r w:rsidRPr="005603D6">
        <w:t xml:space="preserve"> rehabilitation, fitness to practice, and learning and ability in the general law </w:t>
      </w:r>
      <w:r>
        <w:t>pursuant to standard 1.4(c)(ii)</w:t>
      </w:r>
      <w:bookmarkStart w:id="9" w:name="gender3"/>
      <w:bookmarkEnd w:id="9"/>
    </w:p>
    <w:p w:rsidR="00BE2B18" w:rsidRDefault="00BE2B18" w:rsidP="00BE2B18">
      <w:pPr>
        <w:spacing w:line="480" w:lineRule="auto"/>
        <w:ind w:left="1440"/>
      </w:pPr>
    </w:p>
    <w:p w:rsidR="00E96BD3" w:rsidRPr="006B4030" w:rsidRDefault="00E96BD3" w:rsidP="00E96BD3">
      <w:pPr>
        <w:spacing w:line="480" w:lineRule="auto"/>
        <w:rPr>
          <w:b/>
          <w:u w:val="single"/>
        </w:rPr>
      </w:pPr>
      <w:r w:rsidRPr="006B4030">
        <w:rPr>
          <w:b/>
          <w:u w:val="single"/>
        </w:rPr>
        <w:lastRenderedPageBreak/>
        <w:t>Future Probation</w:t>
      </w:r>
    </w:p>
    <w:p w:rsidR="00E96BD3" w:rsidRDefault="00E96BD3" w:rsidP="00E96BD3">
      <w:pPr>
        <w:spacing w:line="480" w:lineRule="auto"/>
        <w:ind w:firstLine="720"/>
      </w:pPr>
      <w:r>
        <w:t xml:space="preserve">It is recommended that respondent be ordered to comply with any probation conditions hereinafter imposed by the State Bar Court as a condition for terminating her actual suspension.  </w:t>
      </w:r>
      <w:proofErr w:type="gramStart"/>
      <w:r>
        <w:t>(Rules Proc. of State Bar, rule 205(g).)</w:t>
      </w:r>
      <w:proofErr w:type="gramEnd"/>
    </w:p>
    <w:p w:rsidR="00E96BD3" w:rsidRPr="006B4030" w:rsidRDefault="00E96BD3" w:rsidP="00E96BD3">
      <w:pPr>
        <w:spacing w:line="480" w:lineRule="auto"/>
        <w:rPr>
          <w:b/>
          <w:u w:val="single"/>
        </w:rPr>
      </w:pPr>
      <w:proofErr w:type="spellStart"/>
      <w:r>
        <w:rPr>
          <w:b/>
          <w:u w:val="single"/>
        </w:rPr>
        <w:t>MPRE</w:t>
      </w:r>
      <w:proofErr w:type="spellEnd"/>
    </w:p>
    <w:p w:rsidR="00E96BD3" w:rsidRDefault="00E96BD3" w:rsidP="00E96BD3">
      <w:pPr>
        <w:spacing w:line="480" w:lineRule="auto"/>
        <w:ind w:firstLine="720"/>
      </w:pPr>
      <w:r>
        <w:t xml:space="preserve">It is further recommended that respondent take and pass the Multistate Professional Responsibility Examination </w:t>
      </w:r>
      <w:r w:rsidRPr="00B10DD4">
        <w:t xml:space="preserve">within one year after the effective date of the Supreme Court order in this matter </w:t>
      </w:r>
      <w:r>
        <w:t xml:space="preserve">or during the period of her suspension, whichever is longer, </w:t>
      </w:r>
      <w:r w:rsidRPr="00B10DD4">
        <w:t>and to provide satisfactory proof of h</w:t>
      </w:r>
      <w:r>
        <w:t>er</w:t>
      </w:r>
      <w:r w:rsidRPr="00B10DD4">
        <w:t xml:space="preserve"> passage to the State Bar's Office of Probation </w:t>
      </w:r>
      <w:r>
        <w:t xml:space="preserve">in Los Angeles </w:t>
      </w:r>
      <w:r w:rsidRPr="00B10DD4">
        <w:t>within that same time period.</w:t>
      </w:r>
      <w:r>
        <w:t xml:space="preserve">. </w:t>
      </w:r>
      <w:proofErr w:type="gramStart"/>
      <w:r>
        <w:t xml:space="preserve">(See </w:t>
      </w:r>
      <w:proofErr w:type="spellStart"/>
      <w:r>
        <w:rPr>
          <w:i/>
          <w:iCs/>
        </w:rPr>
        <w:t>Segretti</w:t>
      </w:r>
      <w:proofErr w:type="spellEnd"/>
      <w:r>
        <w:rPr>
          <w:i/>
          <w:iCs/>
        </w:rPr>
        <w:t xml:space="preserve"> v. State Bar</w:t>
      </w:r>
      <w:r>
        <w:t xml:space="preserve"> (1976) 15 Cal.3d 878, 891, fn. 8.)</w:t>
      </w:r>
      <w:proofErr w:type="gramEnd"/>
    </w:p>
    <w:p w:rsidR="00E96BD3" w:rsidRDefault="00055A97" w:rsidP="00E96BD3">
      <w:pPr>
        <w:spacing w:line="480" w:lineRule="auto"/>
      </w:pPr>
      <w:r>
        <w:rPr>
          <w:b/>
          <w:bCs/>
          <w:u w:val="single"/>
        </w:rPr>
        <w:t xml:space="preserve">Conditional </w:t>
      </w:r>
      <w:r w:rsidR="00E96BD3">
        <w:rPr>
          <w:b/>
          <w:bCs/>
          <w:u w:val="single"/>
        </w:rPr>
        <w:t>Rule 9.20</w:t>
      </w:r>
      <w:r>
        <w:rPr>
          <w:b/>
          <w:bCs/>
          <w:u w:val="single"/>
        </w:rPr>
        <w:t xml:space="preserve"> Obligation</w:t>
      </w:r>
    </w:p>
    <w:p w:rsidR="005A3177" w:rsidRDefault="00EB236E" w:rsidP="00055A97">
      <w:pPr>
        <w:pStyle w:val="BodyTextIndent2"/>
        <w:spacing w:after="0"/>
        <w:ind w:left="0" w:firstLine="720"/>
      </w:pPr>
      <w:r w:rsidRPr="00055A97">
        <w:t>The court further recommends that</w:t>
      </w:r>
      <w:r w:rsidR="005A3177" w:rsidRPr="00055A97">
        <w:t xml:space="preserve"> </w:t>
      </w:r>
      <w:bookmarkStart w:id="10" w:name="g8"/>
      <w:bookmarkEnd w:id="10"/>
      <w:r w:rsidR="00055A97" w:rsidRPr="00055A97">
        <w:t>respondent</w:t>
      </w:r>
      <w:r w:rsidR="005A3177" w:rsidRPr="00055A97">
        <w:t xml:space="preserve"> be </w:t>
      </w:r>
      <w:r w:rsidR="00055A97" w:rsidRPr="00055A97">
        <w:t>required</w:t>
      </w:r>
      <w:r w:rsidR="005A3177" w:rsidRPr="00055A97">
        <w:t xml:space="preserve"> </w:t>
      </w:r>
      <w:r w:rsidR="00055A97" w:rsidRPr="00055A97">
        <w:t xml:space="preserve">to </w:t>
      </w:r>
      <w:r w:rsidR="005A3177" w:rsidRPr="00055A97">
        <w:t>comply with California Rules of Court, rule 9.20</w:t>
      </w:r>
      <w:r w:rsidR="00055A97" w:rsidRPr="00055A97">
        <w:t>,</w:t>
      </w:r>
      <w:r w:rsidR="005A3177" w:rsidRPr="00055A97">
        <w:t xml:space="preserve"> and to perform the acts specified in subdivisions (a) and (c) of that rule</w:t>
      </w:r>
      <w:r w:rsidR="00055A97" w:rsidRPr="00055A97">
        <w:t>,</w:t>
      </w:r>
      <w:r w:rsidR="005A3177" w:rsidRPr="00055A97">
        <w:t xml:space="preserve"> within 120 and 130 calendar days, respectively, after the effective date of the Supreme Court order in this proceeding</w:t>
      </w:r>
      <w:r w:rsidR="00055A97" w:rsidRPr="00055A97">
        <w:t xml:space="preserve"> in the event </w:t>
      </w:r>
      <w:bookmarkStart w:id="11" w:name="resp6"/>
      <w:bookmarkEnd w:id="11"/>
      <w:r w:rsidR="00055A97" w:rsidRPr="00055A97">
        <w:t xml:space="preserve">respondent remains actually suspended for 90 days </w:t>
      </w:r>
      <w:r w:rsidR="00055A97">
        <w:t>after the effective date of that order.</w:t>
      </w:r>
      <w:r w:rsidR="00877CC0">
        <w:rPr>
          <w:rStyle w:val="FootnoteReference"/>
          <w:sz w:val="26"/>
          <w:szCs w:val="36"/>
        </w:rPr>
        <w:footnoteReference w:id="7"/>
      </w:r>
    </w:p>
    <w:p w:rsidR="00866A52" w:rsidRPr="009444B8" w:rsidRDefault="00866A52" w:rsidP="00866A52">
      <w:pPr>
        <w:numPr>
          <w:ilvl w:val="12"/>
          <w:numId w:val="0"/>
        </w:numPr>
        <w:spacing w:line="480" w:lineRule="auto"/>
        <w:rPr>
          <w:b/>
        </w:rPr>
      </w:pPr>
      <w:r w:rsidRPr="009444B8">
        <w:rPr>
          <w:b/>
          <w:u w:val="single"/>
        </w:rPr>
        <w:t>Costs</w:t>
      </w:r>
    </w:p>
    <w:p w:rsidR="00866A52" w:rsidRDefault="00866A52" w:rsidP="00866A52">
      <w:pPr>
        <w:spacing w:line="480" w:lineRule="auto"/>
        <w:ind w:firstLine="720"/>
      </w:pPr>
      <w:r>
        <w:t xml:space="preserve">It is further recommended that costs be awarded to the State Bar in accordance with </w:t>
      </w:r>
    </w:p>
    <w:p w:rsidR="00866A52" w:rsidRDefault="00866A52" w:rsidP="00866A52">
      <w:pPr>
        <w:spacing w:line="480" w:lineRule="auto"/>
      </w:pPr>
      <w:proofErr w:type="gramStart"/>
      <w:r>
        <w:lastRenderedPageBreak/>
        <w:t>section</w:t>
      </w:r>
      <w:proofErr w:type="gramEnd"/>
      <w:r>
        <w:t xml:space="preserve"> 6086.10 and that such costs be enforceable both as provided in section 6140.7 and as a money judgment.</w:t>
      </w:r>
    </w:p>
    <w:p w:rsidR="001E7154" w:rsidRDefault="001E7154">
      <w:pPr>
        <w:pStyle w:val="Header"/>
        <w:tabs>
          <w:tab w:val="clear" w:pos="4320"/>
          <w:tab w:val="clear" w:pos="8640"/>
        </w:tabs>
        <w:spacing w:line="480" w:lineRule="auto"/>
      </w:pPr>
    </w:p>
    <w:p w:rsidR="00866A52" w:rsidRDefault="00866A5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259DA">
        <w:tblPrEx>
          <w:tblCellMar>
            <w:top w:w="0" w:type="dxa"/>
            <w:bottom w:w="0" w:type="dxa"/>
          </w:tblCellMar>
        </w:tblPrEx>
        <w:tc>
          <w:tcPr>
            <w:tcW w:w="4800" w:type="dxa"/>
            <w:tcBorders>
              <w:left w:val="nil"/>
              <w:bottom w:val="nil"/>
            </w:tcBorders>
          </w:tcPr>
          <w:p w:rsidR="003259DA" w:rsidRDefault="003259DA" w:rsidP="00866A52">
            <w:pPr>
              <w:pStyle w:val="Header"/>
              <w:tabs>
                <w:tab w:val="clear" w:pos="4320"/>
                <w:tab w:val="clear" w:pos="8640"/>
              </w:tabs>
            </w:pPr>
            <w:r>
              <w:t xml:space="preserve">Dated:  </w:t>
            </w:r>
            <w:r w:rsidR="00EB236E">
              <w:t>Sept</w:t>
            </w:r>
            <w:r w:rsidR="00382949">
              <w:t>emb</w:t>
            </w:r>
            <w:r w:rsidR="00EB236E">
              <w:t xml:space="preserve">er </w:t>
            </w:r>
            <w:r w:rsidR="00866A52">
              <w:t>24</w:t>
            </w:r>
            <w:r>
              <w:t>, 200</w:t>
            </w:r>
            <w:r w:rsidR="009374F1">
              <w:t>9</w:t>
            </w:r>
            <w:r>
              <w:t>.</w:t>
            </w:r>
          </w:p>
        </w:tc>
        <w:tc>
          <w:tcPr>
            <w:tcW w:w="4565" w:type="dxa"/>
            <w:tcBorders>
              <w:top w:val="single" w:sz="4" w:space="0" w:color="auto"/>
              <w:bottom w:val="nil"/>
              <w:right w:val="nil"/>
            </w:tcBorders>
          </w:tcPr>
          <w:p w:rsidR="003259DA" w:rsidRDefault="00B92978" w:rsidP="009B0D14">
            <w:pPr>
              <w:pStyle w:val="Heading2"/>
              <w:spacing w:line="240" w:lineRule="auto"/>
            </w:pPr>
            <w:bookmarkStart w:id="12" w:name="judge"/>
            <w:bookmarkEnd w:id="12"/>
            <w:r w:rsidRPr="00B92978">
              <w:t>DONALD F. MILES</w:t>
            </w:r>
          </w:p>
        </w:tc>
      </w:tr>
      <w:tr w:rsidR="003259DA">
        <w:tblPrEx>
          <w:tblCellMar>
            <w:top w:w="0" w:type="dxa"/>
            <w:bottom w:w="0" w:type="dxa"/>
          </w:tblCellMar>
        </w:tblPrEx>
        <w:tc>
          <w:tcPr>
            <w:tcW w:w="4800" w:type="dxa"/>
            <w:tcBorders>
              <w:left w:val="nil"/>
              <w:bottom w:val="nil"/>
            </w:tcBorders>
          </w:tcPr>
          <w:p w:rsidR="003259DA" w:rsidRDefault="003259DA"/>
        </w:tc>
        <w:tc>
          <w:tcPr>
            <w:tcW w:w="4565" w:type="dxa"/>
            <w:tcBorders>
              <w:bottom w:val="nil"/>
              <w:right w:val="nil"/>
            </w:tcBorders>
          </w:tcPr>
          <w:p w:rsidR="003259DA" w:rsidRDefault="003259DA">
            <w:r>
              <w:t>Judge of the State Bar Court</w:t>
            </w:r>
          </w:p>
        </w:tc>
      </w:tr>
    </w:tbl>
    <w:p w:rsidR="003259DA" w:rsidRDefault="003259DA" w:rsidP="00866A52">
      <w:pPr>
        <w:spacing w:line="480" w:lineRule="auto"/>
        <w:rPr>
          <w:b/>
          <w:bCs/>
        </w:rPr>
      </w:pPr>
    </w:p>
    <w:sectPr w:rsidR="003259DA" w:rsidSect="00BC46D4">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2A" w:rsidRDefault="001F0F2A">
      <w:r>
        <w:separator/>
      </w:r>
    </w:p>
  </w:endnote>
  <w:endnote w:type="continuationSeparator" w:id="0">
    <w:p w:rsidR="001F0F2A" w:rsidRDefault="001F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52" w:rsidRDefault="00866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A52" w:rsidRDefault="00866A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52" w:rsidRDefault="00866A52">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94AE7">
      <w:rPr>
        <w:rStyle w:val="PageNumber"/>
        <w:noProof/>
      </w:rPr>
      <w:t>2</w:t>
    </w:r>
    <w:r>
      <w:rPr>
        <w:rStyle w:val="PageNumber"/>
      </w:rPr>
      <w:fldChar w:fldCharType="end"/>
    </w:r>
    <w:r>
      <w:rPr>
        <w:rStyle w:val="PageNumber"/>
      </w:rPr>
      <w:t>-</w:t>
    </w:r>
  </w:p>
  <w:p w:rsidR="00866A52" w:rsidRDefault="00866A5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52" w:rsidRDefault="00866A52">
    <w:pPr>
      <w:pStyle w:val="Footer"/>
      <w:framePr w:wrap="around" w:vAnchor="text" w:hAnchor="margin" w:xAlign="center" w:y="1"/>
      <w:rPr>
        <w:rStyle w:val="PageNumber"/>
      </w:rPr>
    </w:pPr>
  </w:p>
  <w:p w:rsidR="00866A52" w:rsidRDefault="00866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2A" w:rsidRDefault="001F0F2A">
      <w:r>
        <w:separator/>
      </w:r>
    </w:p>
  </w:footnote>
  <w:footnote w:type="continuationSeparator" w:id="0">
    <w:p w:rsidR="001F0F2A" w:rsidRDefault="001F0F2A">
      <w:r>
        <w:continuationSeparator/>
      </w:r>
    </w:p>
  </w:footnote>
  <w:footnote w:id="1">
    <w:p w:rsidR="00866A52" w:rsidRDefault="00866A52" w:rsidP="0059360A">
      <w:pPr>
        <w:ind w:firstLine="720"/>
      </w:pPr>
      <w:r>
        <w:rPr>
          <w:rStyle w:val="FootnoteReference"/>
        </w:rPr>
        <w:footnoteRef/>
      </w:r>
      <w:r>
        <w:t xml:space="preserve"> </w:t>
      </w:r>
      <w:r w:rsidRPr="00106843">
        <w:t>The court rejects the State Bar</w:t>
      </w:r>
      <w:r>
        <w:t>’s contention that respondent should also be placed on a one</w:t>
      </w:r>
      <w:r w:rsidRPr="00106843">
        <w:t>-year</w:t>
      </w:r>
      <w:r>
        <w:t xml:space="preserve"> </w:t>
      </w:r>
      <w:r w:rsidRPr="00106843">
        <w:t>period of probation.</w:t>
      </w:r>
      <w:r>
        <w:t xml:space="preserve">  In a default proceeding, it is inappropriate for the State Bar Court to recommend both a period of suspension </w:t>
      </w:r>
      <w:r w:rsidRPr="00A1403F">
        <w:rPr>
          <w:i/>
        </w:rPr>
        <w:t xml:space="preserve">and </w:t>
      </w:r>
      <w:r>
        <w:t xml:space="preserve">a period of probation.  (Rules Proc. of State </w:t>
      </w:r>
      <w:proofErr w:type="gramStart"/>
      <w:r>
        <w:t>Bar</w:t>
      </w:r>
      <w:proofErr w:type="gramEnd"/>
      <w:r>
        <w:t xml:space="preserve">, rule 205; </w:t>
      </w:r>
      <w:r w:rsidRPr="0094315E">
        <w:rPr>
          <w:i/>
          <w:iCs/>
        </w:rPr>
        <w:t>In the Matter of Stansbury</w:t>
      </w:r>
      <w:r w:rsidRPr="0094315E">
        <w:t xml:space="preserve"> (Review Dept. 2000) 4 Cal. State Bar Ct. Rptr. 103, 110</w:t>
      </w:r>
      <w:r>
        <w:t>.)</w:t>
      </w:r>
    </w:p>
    <w:p w:rsidR="00866A52" w:rsidRDefault="00866A52">
      <w:pPr>
        <w:pStyle w:val="FootnoteText"/>
      </w:pPr>
    </w:p>
  </w:footnote>
  <w:footnote w:id="2">
    <w:p w:rsidR="00866A52" w:rsidRDefault="00866A52">
      <w:pPr>
        <w:pStyle w:val="FootnoteText"/>
      </w:pPr>
      <w:r>
        <w:rPr>
          <w:rStyle w:val="FootnoteReference"/>
        </w:rPr>
        <w:footnoteRef/>
      </w:r>
      <w:r>
        <w:t xml:space="preserve"> Unless otherwise noted, all further statutory references are to the Business and Professions Code.</w:t>
      </w:r>
    </w:p>
  </w:footnote>
  <w:footnote w:id="3">
    <w:p w:rsidR="00866A52" w:rsidRDefault="00866A52">
      <w:pPr>
        <w:pStyle w:val="FootnoteText"/>
      </w:pPr>
      <w:r>
        <w:rPr>
          <w:rStyle w:val="FootnoteReference"/>
        </w:rPr>
        <w:footnoteRef/>
      </w:r>
      <w:r>
        <w:t xml:space="preserve"> In the NDC, the State Bar incorrectly alleges that respondent was admitted to the practice of law on December 13, 1983.</w:t>
      </w:r>
    </w:p>
    <w:p w:rsidR="00866A52" w:rsidRDefault="00866A52">
      <w:pPr>
        <w:pStyle w:val="FootnoteText"/>
      </w:pPr>
    </w:p>
  </w:footnote>
  <w:footnote w:id="4">
    <w:p w:rsidR="00866A52" w:rsidRDefault="00866A52" w:rsidP="00E031B3">
      <w:pPr>
        <w:pStyle w:val="Header"/>
        <w:tabs>
          <w:tab w:val="left" w:pos="720"/>
        </w:tabs>
        <w:ind w:firstLine="720"/>
        <w:rPr>
          <w:sz w:val="25"/>
          <w:szCs w:val="25"/>
        </w:rPr>
      </w:pPr>
      <w:r>
        <w:rPr>
          <w:rStyle w:val="FootnoteReference"/>
        </w:rPr>
        <w:footnoteRef/>
      </w:r>
      <w:r>
        <w:t xml:space="preserve"> In the NDC, the State Bar alleges that “Respondent knew, or was grossly negligent in not knowing, that [Doris] Keller was represented by attorney Bebereia.”   Even though that factual allegation is deemed admitted by the entry of respondent's default (§ 6088; Rules Proc. of State Bar, rule 200(d</w:t>
      </w:r>
      <w:proofErr w:type="gramStart"/>
      <w:r>
        <w:t>)(</w:t>
      </w:r>
      <w:proofErr w:type="gramEnd"/>
      <w:r>
        <w:t xml:space="preserve">1)(A)), it </w:t>
      </w:r>
      <w:r w:rsidRPr="004920AA">
        <w:rPr>
          <w:i/>
        </w:rPr>
        <w:t>establishes</w:t>
      </w:r>
      <w:r>
        <w:t xml:space="preserve"> only the lesser of the allegations (i.e., that respondent was grossly negligent).  (Cf. </w:t>
      </w:r>
      <w:r>
        <w:rPr>
          <w:i/>
          <w:iCs/>
          <w:sz w:val="25"/>
          <w:szCs w:val="25"/>
        </w:rPr>
        <w:t>Young v. State Bar</w:t>
      </w:r>
      <w:r>
        <w:rPr>
          <w:sz w:val="25"/>
          <w:szCs w:val="25"/>
        </w:rPr>
        <w:t xml:space="preserve"> (1990) 50 Cal.3d 1204, 1216 [court </w:t>
      </w:r>
      <w:r>
        <w:t xml:space="preserve">must resolve all reasonable doubts in respondent’s favor]; </w:t>
      </w:r>
      <w:r>
        <w:rPr>
          <w:i/>
          <w:iCs/>
          <w:sz w:val="25"/>
          <w:szCs w:val="25"/>
        </w:rPr>
        <w:t>In re Aquino</w:t>
      </w:r>
      <w:r>
        <w:rPr>
          <w:sz w:val="25"/>
          <w:szCs w:val="25"/>
        </w:rPr>
        <w:t xml:space="preserve"> (1989) 49 Cal.3d 1122, 1130 [when equally reasonable inferences may be drawn from the facts, court must accept the inference that leads to a conclusion of innocence]; see also</w:t>
      </w:r>
      <w:r w:rsidRPr="004920AA">
        <w:rPr>
          <w:sz w:val="25"/>
          <w:szCs w:val="25"/>
        </w:rPr>
        <w:t xml:space="preserve"> </w:t>
      </w:r>
      <w:r w:rsidRPr="004920AA">
        <w:rPr>
          <w:i/>
          <w:sz w:val="25"/>
          <w:szCs w:val="25"/>
        </w:rPr>
        <w:t>In the Matter of Freydl</w:t>
      </w:r>
      <w:r w:rsidRPr="004920AA">
        <w:rPr>
          <w:sz w:val="25"/>
          <w:szCs w:val="25"/>
        </w:rPr>
        <w:t xml:space="preserve"> (Review Dept. 2001) 4 Cal. State Bar Ct. Rptr. 349, 359</w:t>
      </w:r>
      <w:r>
        <w:rPr>
          <w:sz w:val="25"/>
          <w:szCs w:val="25"/>
        </w:rPr>
        <w:t xml:space="preserve"> [t</w:t>
      </w:r>
      <w:r w:rsidRPr="004920AA">
        <w:rPr>
          <w:sz w:val="25"/>
          <w:szCs w:val="25"/>
        </w:rPr>
        <w:t>ak</w:t>
      </w:r>
      <w:r>
        <w:rPr>
          <w:sz w:val="25"/>
          <w:szCs w:val="25"/>
        </w:rPr>
        <w:t xml:space="preserve">ing as established only </w:t>
      </w:r>
      <w:r w:rsidRPr="004920AA">
        <w:rPr>
          <w:sz w:val="25"/>
          <w:szCs w:val="25"/>
        </w:rPr>
        <w:t>the lesser of the charges in each count</w:t>
      </w:r>
      <w:r>
        <w:rPr>
          <w:sz w:val="25"/>
          <w:szCs w:val="25"/>
        </w:rPr>
        <w:t>].)</w:t>
      </w:r>
    </w:p>
    <w:p w:rsidR="00866A52" w:rsidRDefault="00866A52" w:rsidP="008D2ED1">
      <w:pPr>
        <w:pStyle w:val="FootnoteText"/>
      </w:pPr>
    </w:p>
  </w:footnote>
  <w:footnote w:id="5">
    <w:p w:rsidR="00866A52" w:rsidRDefault="00866A52" w:rsidP="00B94C6F">
      <w:pPr>
        <w:pStyle w:val="FootnoteText"/>
      </w:pPr>
      <w:r>
        <w:rPr>
          <w:rStyle w:val="FootnoteReference"/>
        </w:rPr>
        <w:footnoteRef/>
      </w:r>
      <w:r>
        <w:t xml:space="preserve"> All further references to standards are to this source.</w:t>
      </w:r>
    </w:p>
    <w:p w:rsidR="00866A52" w:rsidRDefault="00866A52" w:rsidP="00B94C6F">
      <w:pPr>
        <w:pStyle w:val="FootnoteText"/>
      </w:pPr>
    </w:p>
  </w:footnote>
  <w:footnote w:id="6">
    <w:p w:rsidR="00866A52" w:rsidRDefault="00866A52" w:rsidP="00E23C82">
      <w:pPr>
        <w:pStyle w:val="FootnoteText"/>
      </w:pPr>
      <w:r>
        <w:rPr>
          <w:rStyle w:val="FootnoteReference"/>
        </w:rPr>
        <w:footnoteRef/>
      </w:r>
      <w:r>
        <w:t xml:space="preserve"> Because of the importance that our Supreme Court places on the issue of whether or not an attorney has a prior record of discipline (e.g., </w:t>
      </w:r>
      <w:r w:rsidRPr="00F66750">
        <w:rPr>
          <w:i/>
        </w:rPr>
        <w:t>In re Mostman</w:t>
      </w:r>
      <w:r w:rsidRPr="00F66750">
        <w:t xml:space="preserve"> (1989) 47 Cal.3d 725, 741)</w:t>
      </w:r>
      <w:r>
        <w:t>, the State Bar Court has long judicially noticed the State Bar's official records in determining the presence or lack of a prior record of discipline.</w:t>
      </w:r>
    </w:p>
    <w:p w:rsidR="00866A52" w:rsidRDefault="00866A52" w:rsidP="00E23C82">
      <w:pPr>
        <w:pStyle w:val="FootnoteText"/>
      </w:pPr>
      <w:r>
        <w:t xml:space="preserve"> </w:t>
      </w:r>
    </w:p>
  </w:footnote>
  <w:footnote w:id="7">
    <w:p w:rsidR="00866A52" w:rsidRDefault="00866A52">
      <w:pPr>
        <w:pStyle w:val="FootnoteText"/>
      </w:pPr>
      <w:r>
        <w:rPr>
          <w:rStyle w:val="FootnoteReference"/>
        </w:rPr>
        <w:footnoteRef/>
      </w:r>
      <w:r>
        <w:t xml:space="preserve"> In the event respondent </w:t>
      </w:r>
      <w:r w:rsidRPr="00BE0038">
        <w:t xml:space="preserve">is </w:t>
      </w:r>
      <w:r w:rsidR="00055A97">
        <w:t xml:space="preserve">eventually </w:t>
      </w:r>
      <w:r w:rsidRPr="00BE0038">
        <w:t xml:space="preserve">required </w:t>
      </w:r>
      <w:r>
        <w:t>to comply with rule 9.20 because of the length of her actual suspension, she must</w:t>
      </w:r>
      <w:r w:rsidRPr="00BE0038">
        <w:t xml:space="preserve"> file a rule 9.20(c) affidavit even if </w:t>
      </w:r>
      <w:r>
        <w:t>s</w:t>
      </w:r>
      <w:r w:rsidRPr="00BE0038">
        <w:t>he has no clients</w:t>
      </w:r>
      <w:r>
        <w:t xml:space="preserve"> on the date of the Supreme Court order in this proceeding.</w:t>
      </w:r>
      <w:r w:rsidRPr="00BE0038">
        <w:t xml:space="preserve"> </w:t>
      </w:r>
      <w:r>
        <w:t xml:space="preserve"> </w:t>
      </w:r>
      <w:proofErr w:type="gramStart"/>
      <w:r w:rsidRPr="00BE0038">
        <w:t>(</w:t>
      </w:r>
      <w:r w:rsidRPr="00BE0038">
        <w:rPr>
          <w:i/>
          <w:iCs/>
        </w:rPr>
        <w:t>Powers v. State Bar</w:t>
      </w:r>
      <w:r w:rsidRPr="00BE0038">
        <w:t xml:space="preserve"> (1988) 44 Cal.3d 337, 341.)</w:t>
      </w:r>
      <w:proofErr w:type="gramEnd"/>
      <w:r>
        <w:t xml:space="preserve">  In addition to being punished as a crime or </w:t>
      </w:r>
      <w:proofErr w:type="gramStart"/>
      <w:r>
        <w:t>a contempt</w:t>
      </w:r>
      <w:proofErr w:type="gramEnd"/>
      <w:r>
        <w:t xml:space="preserve">, an attorney's failure to comply with rule 9.20 is also, </w:t>
      </w:r>
      <w:r w:rsidRPr="003464FD">
        <w:rPr>
          <w:i/>
        </w:rPr>
        <w:t>inter alia</w:t>
      </w:r>
      <w:r>
        <w:t xml:space="preserve">, cause for disbarment, suspension, revocation of any pending disciplinary probation, and denial of an application for reinstatement after disbarment.  (Cal. Rules of Court, rule 9.20(d); see also </w:t>
      </w:r>
      <w:proofErr w:type="spellStart"/>
      <w:r w:rsidRPr="0002038C">
        <w:rPr>
          <w:i/>
          <w:iCs/>
        </w:rPr>
        <w:t>Bercovich</w:t>
      </w:r>
      <w:proofErr w:type="spellEnd"/>
      <w:r w:rsidRPr="0002038C">
        <w:rPr>
          <w:i/>
          <w:iCs/>
        </w:rPr>
        <w:t xml:space="preserve"> v. State Bar</w:t>
      </w:r>
      <w:r w:rsidRPr="0002038C">
        <w:t xml:space="preserve"> (1990) 50 Cal.3d 116, 131; </w:t>
      </w:r>
      <w:r w:rsidRPr="0002038C">
        <w:rPr>
          <w:i/>
          <w:iCs/>
        </w:rPr>
        <w:t>In the Matter of Lynch</w:t>
      </w:r>
      <w:r w:rsidRPr="0002038C">
        <w:t xml:space="preserve"> (Review Dept. 1995) 3 Cal. State Bar Ct. Rptr. 287, 296.)</w:t>
      </w:r>
    </w:p>
    <w:p w:rsidR="00866A52" w:rsidRDefault="00866A52">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5687"/>
    <w:multiLevelType w:val="hybridMultilevel"/>
    <w:tmpl w:val="DA547A30"/>
    <w:lvl w:ilvl="0" w:tplc="050E611E">
      <w:start w:val="1"/>
      <w:numFmt w:val="upperLetter"/>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C81939"/>
    <w:multiLevelType w:val="hybridMultilevel"/>
    <w:tmpl w:val="0E484A5A"/>
    <w:lvl w:ilvl="0" w:tplc="EDCC3B44">
      <w:start w:val="1"/>
      <w:numFmt w:val="upp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3F64"/>
    <w:rsid w:val="00002397"/>
    <w:rsid w:val="0000420D"/>
    <w:rsid w:val="00007319"/>
    <w:rsid w:val="000164AE"/>
    <w:rsid w:val="00023999"/>
    <w:rsid w:val="00024364"/>
    <w:rsid w:val="00040D48"/>
    <w:rsid w:val="00041EF6"/>
    <w:rsid w:val="00055A97"/>
    <w:rsid w:val="00067C8F"/>
    <w:rsid w:val="00067EFD"/>
    <w:rsid w:val="00070C4D"/>
    <w:rsid w:val="00072649"/>
    <w:rsid w:val="00086632"/>
    <w:rsid w:val="000A388C"/>
    <w:rsid w:val="000A56C2"/>
    <w:rsid w:val="000B0120"/>
    <w:rsid w:val="000B6702"/>
    <w:rsid w:val="000D0460"/>
    <w:rsid w:val="000F75B3"/>
    <w:rsid w:val="001049BB"/>
    <w:rsid w:val="001223F8"/>
    <w:rsid w:val="00125650"/>
    <w:rsid w:val="00147009"/>
    <w:rsid w:val="001513F3"/>
    <w:rsid w:val="001548CC"/>
    <w:rsid w:val="00171EDE"/>
    <w:rsid w:val="00174E09"/>
    <w:rsid w:val="00181195"/>
    <w:rsid w:val="001914B0"/>
    <w:rsid w:val="001959D1"/>
    <w:rsid w:val="001A2BAC"/>
    <w:rsid w:val="001B0D9E"/>
    <w:rsid w:val="001C2158"/>
    <w:rsid w:val="001C7F32"/>
    <w:rsid w:val="001E0426"/>
    <w:rsid w:val="001E07E3"/>
    <w:rsid w:val="001E0A7A"/>
    <w:rsid w:val="001E7154"/>
    <w:rsid w:val="001F0F2A"/>
    <w:rsid w:val="001F1829"/>
    <w:rsid w:val="00215B15"/>
    <w:rsid w:val="00233C6C"/>
    <w:rsid w:val="00234443"/>
    <w:rsid w:val="00240ADC"/>
    <w:rsid w:val="00243938"/>
    <w:rsid w:val="00245BC4"/>
    <w:rsid w:val="0026339A"/>
    <w:rsid w:val="00295CDC"/>
    <w:rsid w:val="002B44F2"/>
    <w:rsid w:val="002B572C"/>
    <w:rsid w:val="002B64A6"/>
    <w:rsid w:val="002D4899"/>
    <w:rsid w:val="002E5D4E"/>
    <w:rsid w:val="00305CEB"/>
    <w:rsid w:val="0031194D"/>
    <w:rsid w:val="00321021"/>
    <w:rsid w:val="003259DA"/>
    <w:rsid w:val="00332E93"/>
    <w:rsid w:val="00335034"/>
    <w:rsid w:val="0034457E"/>
    <w:rsid w:val="0034799B"/>
    <w:rsid w:val="00361E43"/>
    <w:rsid w:val="00362FBF"/>
    <w:rsid w:val="0036320B"/>
    <w:rsid w:val="0036348F"/>
    <w:rsid w:val="00382949"/>
    <w:rsid w:val="00393F64"/>
    <w:rsid w:val="003A0C0D"/>
    <w:rsid w:val="003B6DDD"/>
    <w:rsid w:val="003D49DE"/>
    <w:rsid w:val="003E5C44"/>
    <w:rsid w:val="003E7574"/>
    <w:rsid w:val="003E7586"/>
    <w:rsid w:val="00401719"/>
    <w:rsid w:val="00414780"/>
    <w:rsid w:val="004266A5"/>
    <w:rsid w:val="004277F3"/>
    <w:rsid w:val="00432C26"/>
    <w:rsid w:val="00457E6B"/>
    <w:rsid w:val="004675CB"/>
    <w:rsid w:val="00470A56"/>
    <w:rsid w:val="004763B1"/>
    <w:rsid w:val="0047733A"/>
    <w:rsid w:val="004920AA"/>
    <w:rsid w:val="004938D6"/>
    <w:rsid w:val="004961F4"/>
    <w:rsid w:val="004A35D7"/>
    <w:rsid w:val="004B1A55"/>
    <w:rsid w:val="004C4E96"/>
    <w:rsid w:val="004D23FE"/>
    <w:rsid w:val="004D692A"/>
    <w:rsid w:val="004F4F00"/>
    <w:rsid w:val="004F62BF"/>
    <w:rsid w:val="004F7EEE"/>
    <w:rsid w:val="00503067"/>
    <w:rsid w:val="00504399"/>
    <w:rsid w:val="00514628"/>
    <w:rsid w:val="005163C8"/>
    <w:rsid w:val="005354C4"/>
    <w:rsid w:val="00540A13"/>
    <w:rsid w:val="005438A9"/>
    <w:rsid w:val="0055170D"/>
    <w:rsid w:val="0057136C"/>
    <w:rsid w:val="0058234C"/>
    <w:rsid w:val="0059101B"/>
    <w:rsid w:val="0059360A"/>
    <w:rsid w:val="00594DC9"/>
    <w:rsid w:val="005952D5"/>
    <w:rsid w:val="00596D6A"/>
    <w:rsid w:val="005A08DF"/>
    <w:rsid w:val="005A3177"/>
    <w:rsid w:val="005A7133"/>
    <w:rsid w:val="005A7140"/>
    <w:rsid w:val="005B2535"/>
    <w:rsid w:val="005F0113"/>
    <w:rsid w:val="005F2307"/>
    <w:rsid w:val="00644C89"/>
    <w:rsid w:val="00653A52"/>
    <w:rsid w:val="00662293"/>
    <w:rsid w:val="00692143"/>
    <w:rsid w:val="006B18E8"/>
    <w:rsid w:val="006B4116"/>
    <w:rsid w:val="006C52CD"/>
    <w:rsid w:val="006D3326"/>
    <w:rsid w:val="006E5CA3"/>
    <w:rsid w:val="00737FC2"/>
    <w:rsid w:val="00740BD3"/>
    <w:rsid w:val="0075630D"/>
    <w:rsid w:val="007603CC"/>
    <w:rsid w:val="00760512"/>
    <w:rsid w:val="00766D7E"/>
    <w:rsid w:val="007727D9"/>
    <w:rsid w:val="00780B5A"/>
    <w:rsid w:val="007951B6"/>
    <w:rsid w:val="007B3AEE"/>
    <w:rsid w:val="007C559B"/>
    <w:rsid w:val="007C5EEB"/>
    <w:rsid w:val="007C745C"/>
    <w:rsid w:val="007D06AF"/>
    <w:rsid w:val="007D3DF2"/>
    <w:rsid w:val="007E6FC5"/>
    <w:rsid w:val="00802AF5"/>
    <w:rsid w:val="00840038"/>
    <w:rsid w:val="00854C8F"/>
    <w:rsid w:val="00866A52"/>
    <w:rsid w:val="008726E3"/>
    <w:rsid w:val="00874B8B"/>
    <w:rsid w:val="00877CC0"/>
    <w:rsid w:val="008878E4"/>
    <w:rsid w:val="008A5A1A"/>
    <w:rsid w:val="008A7B15"/>
    <w:rsid w:val="008D2ED1"/>
    <w:rsid w:val="008D4224"/>
    <w:rsid w:val="008E47B0"/>
    <w:rsid w:val="0090209C"/>
    <w:rsid w:val="00904BAB"/>
    <w:rsid w:val="00910140"/>
    <w:rsid w:val="00920DC3"/>
    <w:rsid w:val="009374F1"/>
    <w:rsid w:val="009421D4"/>
    <w:rsid w:val="00943C57"/>
    <w:rsid w:val="0094679F"/>
    <w:rsid w:val="009530E9"/>
    <w:rsid w:val="00991B9C"/>
    <w:rsid w:val="009A04FC"/>
    <w:rsid w:val="009B0269"/>
    <w:rsid w:val="009B0D14"/>
    <w:rsid w:val="009B444A"/>
    <w:rsid w:val="009D2A57"/>
    <w:rsid w:val="009E24CE"/>
    <w:rsid w:val="009F26F0"/>
    <w:rsid w:val="009F412C"/>
    <w:rsid w:val="009F60CB"/>
    <w:rsid w:val="00A05F86"/>
    <w:rsid w:val="00A06D17"/>
    <w:rsid w:val="00A24289"/>
    <w:rsid w:val="00A3574D"/>
    <w:rsid w:val="00A375E2"/>
    <w:rsid w:val="00A44F47"/>
    <w:rsid w:val="00A51F58"/>
    <w:rsid w:val="00A74D82"/>
    <w:rsid w:val="00A941D9"/>
    <w:rsid w:val="00AA3A36"/>
    <w:rsid w:val="00AA7147"/>
    <w:rsid w:val="00AF4B2F"/>
    <w:rsid w:val="00AF6CF8"/>
    <w:rsid w:val="00B01E7F"/>
    <w:rsid w:val="00B1603F"/>
    <w:rsid w:val="00B548B6"/>
    <w:rsid w:val="00B6559F"/>
    <w:rsid w:val="00B73BF9"/>
    <w:rsid w:val="00B75553"/>
    <w:rsid w:val="00B76849"/>
    <w:rsid w:val="00B92978"/>
    <w:rsid w:val="00B94C6F"/>
    <w:rsid w:val="00BA51F2"/>
    <w:rsid w:val="00BC077E"/>
    <w:rsid w:val="00BC46D4"/>
    <w:rsid w:val="00BD09FF"/>
    <w:rsid w:val="00BD2A6E"/>
    <w:rsid w:val="00BE084C"/>
    <w:rsid w:val="00BE2B18"/>
    <w:rsid w:val="00BE5FB2"/>
    <w:rsid w:val="00BF2B5F"/>
    <w:rsid w:val="00C00856"/>
    <w:rsid w:val="00C053C0"/>
    <w:rsid w:val="00C0732A"/>
    <w:rsid w:val="00C27892"/>
    <w:rsid w:val="00C353EB"/>
    <w:rsid w:val="00C51AF7"/>
    <w:rsid w:val="00C51CCF"/>
    <w:rsid w:val="00C637C7"/>
    <w:rsid w:val="00C71FA7"/>
    <w:rsid w:val="00C72F5B"/>
    <w:rsid w:val="00C90D8F"/>
    <w:rsid w:val="00C92F7D"/>
    <w:rsid w:val="00CC12BA"/>
    <w:rsid w:val="00CD0C1E"/>
    <w:rsid w:val="00CD40D6"/>
    <w:rsid w:val="00CE1D7A"/>
    <w:rsid w:val="00CF4C0F"/>
    <w:rsid w:val="00D02B7B"/>
    <w:rsid w:val="00D07013"/>
    <w:rsid w:val="00D245B0"/>
    <w:rsid w:val="00D47BA7"/>
    <w:rsid w:val="00D67CE7"/>
    <w:rsid w:val="00D84E19"/>
    <w:rsid w:val="00D906A6"/>
    <w:rsid w:val="00D90E63"/>
    <w:rsid w:val="00D973E7"/>
    <w:rsid w:val="00DA1453"/>
    <w:rsid w:val="00DD0752"/>
    <w:rsid w:val="00DF0793"/>
    <w:rsid w:val="00E031B3"/>
    <w:rsid w:val="00E17F15"/>
    <w:rsid w:val="00E22478"/>
    <w:rsid w:val="00E22963"/>
    <w:rsid w:val="00E23C82"/>
    <w:rsid w:val="00E328A7"/>
    <w:rsid w:val="00E33EF4"/>
    <w:rsid w:val="00E34144"/>
    <w:rsid w:val="00E37CBD"/>
    <w:rsid w:val="00E431A0"/>
    <w:rsid w:val="00E465C7"/>
    <w:rsid w:val="00E47622"/>
    <w:rsid w:val="00E62F9C"/>
    <w:rsid w:val="00E64EA3"/>
    <w:rsid w:val="00E832A7"/>
    <w:rsid w:val="00E85CFA"/>
    <w:rsid w:val="00E8676D"/>
    <w:rsid w:val="00E94AE7"/>
    <w:rsid w:val="00E96BD3"/>
    <w:rsid w:val="00EA2D8F"/>
    <w:rsid w:val="00EB236E"/>
    <w:rsid w:val="00EE0D81"/>
    <w:rsid w:val="00F074FE"/>
    <w:rsid w:val="00F14635"/>
    <w:rsid w:val="00F1607D"/>
    <w:rsid w:val="00F525CA"/>
    <w:rsid w:val="00F61F1B"/>
    <w:rsid w:val="00F810A0"/>
    <w:rsid w:val="00F843D4"/>
    <w:rsid w:val="00FC31D0"/>
    <w:rsid w:val="00FC468D"/>
    <w:rsid w:val="00FC6EF3"/>
    <w:rsid w:val="00FC710D"/>
    <w:rsid w:val="00FD3EA5"/>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rPr>
      <w:vertAlign w:val="superscript"/>
    </w:rPr>
  </w:style>
  <w:style w:type="paragraph" w:styleId="Title">
    <w:name w:val="Title"/>
    <w:basedOn w:val="Normal"/>
    <w:qFormat/>
    <w:pPr>
      <w:spacing w:line="480" w:lineRule="auto"/>
      <w:jc w:val="center"/>
    </w:pPr>
    <w:rPr>
      <w:b/>
      <w:bCs/>
    </w:rPr>
  </w:style>
  <w:style w:type="paragraph" w:styleId="BodyTextIndent2">
    <w:name w:val="Body Text Indent 2"/>
    <w:basedOn w:val="Normal"/>
    <w:link w:val="BodyTextIndent2Char"/>
    <w:uiPriority w:val="99"/>
    <w:unhideWhenUsed/>
    <w:rsid w:val="00040D48"/>
    <w:pPr>
      <w:spacing w:after="120" w:line="480" w:lineRule="auto"/>
      <w:ind w:left="360"/>
    </w:pPr>
  </w:style>
  <w:style w:type="character" w:customStyle="1" w:styleId="BodyTextIndent2Char">
    <w:name w:val="Body Text Indent 2 Char"/>
    <w:basedOn w:val="DefaultParagraphFont"/>
    <w:link w:val="BodyTextIndent2"/>
    <w:uiPriority w:val="99"/>
    <w:rsid w:val="00040D48"/>
    <w:rPr>
      <w:sz w:val="24"/>
      <w:szCs w:val="24"/>
    </w:rPr>
  </w:style>
  <w:style w:type="paragraph" w:styleId="BalloonText">
    <w:name w:val="Balloon Text"/>
    <w:basedOn w:val="Normal"/>
    <w:link w:val="BalloonTextChar"/>
    <w:uiPriority w:val="99"/>
    <w:semiHidden/>
    <w:unhideWhenUsed/>
    <w:rsid w:val="00174E09"/>
    <w:rPr>
      <w:rFonts w:ascii="Tahoma" w:hAnsi="Tahoma" w:cs="Tahoma"/>
      <w:sz w:val="16"/>
      <w:szCs w:val="16"/>
    </w:rPr>
  </w:style>
  <w:style w:type="character" w:customStyle="1" w:styleId="BalloonTextChar">
    <w:name w:val="Balloon Text Char"/>
    <w:basedOn w:val="DefaultParagraphFont"/>
    <w:link w:val="BalloonText"/>
    <w:uiPriority w:val="99"/>
    <w:semiHidden/>
    <w:rsid w:val="00174E09"/>
    <w:rPr>
      <w:rFonts w:ascii="Tahoma" w:hAnsi="Tahoma" w:cs="Tahoma"/>
      <w:sz w:val="16"/>
      <w:szCs w:val="16"/>
    </w:rPr>
  </w:style>
  <w:style w:type="character" w:customStyle="1" w:styleId="FootnoteTextChar">
    <w:name w:val="Footnote Text Char"/>
    <w:basedOn w:val="DefaultParagraphFont"/>
    <w:link w:val="FootnoteText"/>
    <w:semiHidden/>
    <w:rsid w:val="00E22478"/>
    <w:rPr>
      <w:sz w:val="24"/>
    </w:rPr>
  </w:style>
  <w:style w:type="character" w:customStyle="1" w:styleId="HeaderChar">
    <w:name w:val="Header Char"/>
    <w:basedOn w:val="DefaultParagraphFont"/>
    <w:link w:val="Header"/>
    <w:semiHidden/>
    <w:rsid w:val="00E031B3"/>
    <w:rPr>
      <w:sz w:val="24"/>
      <w:szCs w:val="24"/>
    </w:rPr>
  </w:style>
  <w:style w:type="paragraph" w:styleId="ListParagraph">
    <w:name w:val="List Paragraph"/>
    <w:basedOn w:val="Normal"/>
    <w:uiPriority w:val="34"/>
    <w:qFormat/>
    <w:rsid w:val="00692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nsl_wkgp\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263B-8E12-42E1-869B-7B8DFC30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1</TotalTime>
  <Pages>12</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Tammy Cleaver</cp:lastModifiedBy>
  <cp:revision>2</cp:revision>
  <cp:lastPrinted>2009-09-22T22:30:00Z</cp:lastPrinted>
  <dcterms:created xsi:type="dcterms:W3CDTF">2009-09-24T16:09:00Z</dcterms:created>
  <dcterms:modified xsi:type="dcterms:W3CDTF">2009-09-24T16:09:00Z</dcterms:modified>
</cp:coreProperties>
</file>