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2C" w:rsidRDefault="001A2488" w:rsidP="001A2488">
      <w:pPr>
        <w:jc w:val="right"/>
        <w:rPr>
          <w:b/>
          <w:sz w:val="25"/>
        </w:rPr>
      </w:pPr>
      <w:r>
        <w:rPr>
          <w:b/>
          <w:sz w:val="25"/>
        </w:rPr>
        <w:t>FILED MAY 24, 2010</w:t>
      </w:r>
    </w:p>
    <w:p w:rsidR="00F4412C" w:rsidRDefault="00F4412C" w:rsidP="000A2492">
      <w:pPr>
        <w:jc w:val="center"/>
        <w:rPr>
          <w:b/>
          <w:sz w:val="25"/>
        </w:rPr>
      </w:pPr>
    </w:p>
    <w:p w:rsidR="00F4412C" w:rsidRDefault="00F4412C" w:rsidP="000A2492">
      <w:pPr>
        <w:jc w:val="center"/>
        <w:rPr>
          <w:b/>
          <w:sz w:val="25"/>
        </w:rPr>
      </w:pPr>
    </w:p>
    <w:p w:rsidR="00F4412C" w:rsidRDefault="00F4412C" w:rsidP="000A2492">
      <w:pPr>
        <w:jc w:val="center"/>
        <w:rPr>
          <w:b/>
          <w:sz w:val="25"/>
        </w:rPr>
      </w:pPr>
    </w:p>
    <w:p w:rsidR="00F4412C" w:rsidRDefault="00F4412C" w:rsidP="000A2492">
      <w:pPr>
        <w:jc w:val="center"/>
        <w:rPr>
          <w:b/>
          <w:sz w:val="25"/>
        </w:rPr>
      </w:pPr>
    </w:p>
    <w:p w:rsidR="00F4412C" w:rsidRDefault="00F4412C" w:rsidP="000A2492">
      <w:pPr>
        <w:jc w:val="center"/>
        <w:rPr>
          <w:b/>
          <w:sz w:val="25"/>
        </w:rPr>
      </w:pPr>
    </w:p>
    <w:p w:rsidR="003313E4" w:rsidRDefault="000A2492" w:rsidP="000A2492">
      <w:pPr>
        <w:jc w:val="center"/>
        <w:rPr>
          <w:b/>
          <w:sz w:val="25"/>
        </w:rPr>
      </w:pPr>
      <w:r w:rsidRPr="000A2492">
        <w:rPr>
          <w:b/>
          <w:sz w:val="25"/>
        </w:rPr>
        <w:t>REVIEW DEPARTMENT OF THE STATE BAR COURT</w:t>
      </w:r>
    </w:p>
    <w:p w:rsidR="001A02B7" w:rsidRPr="000A2492" w:rsidRDefault="001A02B7" w:rsidP="000A2492">
      <w:pPr>
        <w:jc w:val="center"/>
        <w:rPr>
          <w:b/>
          <w:sz w:val="25"/>
        </w:rPr>
      </w:pPr>
      <w:r>
        <w:rPr>
          <w:b/>
          <w:sz w:val="25"/>
        </w:rPr>
        <w:t>IN BANK</w:t>
      </w:r>
    </w:p>
    <w:p w:rsidR="000A2492" w:rsidRDefault="000A2492" w:rsidP="000A2492">
      <w:pPr>
        <w:rPr>
          <w:sz w:val="25"/>
        </w:rPr>
      </w:pPr>
    </w:p>
    <w:p w:rsidR="000A2492" w:rsidRDefault="000A2492" w:rsidP="000A2492">
      <w:pPr>
        <w:rPr>
          <w:sz w:val="25"/>
        </w:rPr>
      </w:pPr>
    </w:p>
    <w:p w:rsidR="000A2492" w:rsidRDefault="000A2492" w:rsidP="000A2492">
      <w:pPr>
        <w:rPr>
          <w:sz w:val="25"/>
        </w:rPr>
      </w:pPr>
    </w:p>
    <w:tbl>
      <w:tblPr>
        <w:tblW w:w="0" w:type="auto"/>
        <w:tblBorders>
          <w:bottom w:val="single" w:sz="4" w:space="0" w:color="000000" w:themeColor="text1"/>
          <w:insideH w:val="single" w:sz="4" w:space="0" w:color="000000" w:themeColor="text1"/>
        </w:tblBorders>
        <w:tblCellMar>
          <w:left w:w="0" w:type="dxa"/>
          <w:right w:w="0" w:type="dxa"/>
        </w:tblCellMar>
        <w:tblLook w:val="04A0"/>
      </w:tblPr>
      <w:tblGrid>
        <w:gridCol w:w="4230"/>
        <w:gridCol w:w="810"/>
        <w:gridCol w:w="4320"/>
      </w:tblGrid>
      <w:tr w:rsidR="007B785D" w:rsidRPr="007B785D" w:rsidTr="007B785D">
        <w:tc>
          <w:tcPr>
            <w:tcW w:w="4230" w:type="dxa"/>
          </w:tcPr>
          <w:p w:rsidR="000A2492" w:rsidRPr="007B785D" w:rsidRDefault="000A2492" w:rsidP="000A2492">
            <w:pPr>
              <w:rPr>
                <w:rFonts w:eastAsiaTheme="minorHAnsi" w:cstheme="minorBidi"/>
                <w:sz w:val="25"/>
              </w:rPr>
            </w:pPr>
            <w:r w:rsidRPr="007B785D">
              <w:rPr>
                <w:rFonts w:eastAsiaTheme="minorHAnsi" w:cstheme="minorBidi"/>
                <w:sz w:val="25"/>
              </w:rPr>
              <w:t>In the Matter of</w:t>
            </w:r>
          </w:p>
          <w:p w:rsidR="000A2492" w:rsidRPr="007B785D" w:rsidRDefault="000A2492" w:rsidP="000A2492">
            <w:pPr>
              <w:rPr>
                <w:rFonts w:eastAsiaTheme="minorHAnsi" w:cstheme="minorBidi"/>
                <w:sz w:val="25"/>
              </w:rPr>
            </w:pPr>
          </w:p>
          <w:p w:rsidR="000A2492" w:rsidRPr="007B785D" w:rsidRDefault="000A2492" w:rsidP="000A2492">
            <w:pPr>
              <w:rPr>
                <w:rFonts w:eastAsiaTheme="minorHAnsi" w:cstheme="minorBidi"/>
                <w:sz w:val="25"/>
              </w:rPr>
            </w:pPr>
          </w:p>
          <w:p w:rsidR="000A2492" w:rsidRPr="007B785D" w:rsidRDefault="00E23603" w:rsidP="000A2492">
            <w:pPr>
              <w:rPr>
                <w:rFonts w:eastAsiaTheme="minorHAnsi" w:cstheme="minorBidi"/>
                <w:b/>
                <w:sz w:val="25"/>
              </w:rPr>
            </w:pPr>
            <w:bookmarkStart w:id="0" w:name="resp"/>
            <w:bookmarkEnd w:id="0"/>
            <w:r>
              <w:rPr>
                <w:rFonts w:eastAsiaTheme="minorHAnsi" w:cstheme="minorBidi"/>
                <w:b/>
                <w:sz w:val="25"/>
              </w:rPr>
              <w:t xml:space="preserve">Gary M. </w:t>
            </w:r>
            <w:proofErr w:type="spellStart"/>
            <w:r>
              <w:rPr>
                <w:rFonts w:eastAsiaTheme="minorHAnsi" w:cstheme="minorBidi"/>
                <w:b/>
                <w:sz w:val="25"/>
              </w:rPr>
              <w:t>Appelblatt</w:t>
            </w:r>
            <w:proofErr w:type="spellEnd"/>
          </w:p>
          <w:p w:rsidR="000A2492" w:rsidRPr="007B785D" w:rsidRDefault="000A2492" w:rsidP="000A2492">
            <w:pPr>
              <w:rPr>
                <w:rFonts w:eastAsiaTheme="minorHAnsi" w:cstheme="minorBidi"/>
                <w:sz w:val="25"/>
              </w:rPr>
            </w:pPr>
          </w:p>
          <w:p w:rsidR="000A2492" w:rsidRPr="007B785D" w:rsidRDefault="000A2492" w:rsidP="000A2492">
            <w:pPr>
              <w:rPr>
                <w:rFonts w:eastAsiaTheme="minorHAnsi" w:cstheme="minorBidi"/>
                <w:sz w:val="25"/>
              </w:rPr>
            </w:pPr>
          </w:p>
          <w:p w:rsidR="000A2492" w:rsidRPr="007B785D" w:rsidRDefault="000A2492" w:rsidP="000A2492">
            <w:pPr>
              <w:rPr>
                <w:rFonts w:eastAsiaTheme="minorHAnsi" w:cstheme="minorBidi"/>
                <w:sz w:val="25"/>
              </w:rPr>
            </w:pPr>
            <w:r w:rsidRPr="007B785D">
              <w:rPr>
                <w:rFonts w:eastAsiaTheme="minorHAnsi" w:cstheme="minorBidi"/>
                <w:sz w:val="25"/>
              </w:rPr>
              <w:t>A Member of the State Bar.</w:t>
            </w:r>
          </w:p>
        </w:tc>
        <w:tc>
          <w:tcPr>
            <w:tcW w:w="810" w:type="dxa"/>
            <w:tcBorders>
              <w:top w:val="nil"/>
              <w:bottom w:val="nil"/>
            </w:tcBorders>
          </w:tcPr>
          <w:p w:rsidR="000A2492" w:rsidRPr="007B785D" w:rsidRDefault="000A2492" w:rsidP="000A2492">
            <w:pPr>
              <w:rPr>
                <w:rFonts w:eastAsiaTheme="minorHAnsi" w:cstheme="minorBidi"/>
                <w:sz w:val="25"/>
              </w:rPr>
            </w:pPr>
            <w:r w:rsidRPr="007B785D">
              <w:rPr>
                <w:rFonts w:eastAsiaTheme="minorHAnsi" w:cstheme="minorBidi"/>
                <w:sz w:val="25"/>
              </w:rPr>
              <w:t>)</w:t>
            </w:r>
          </w:p>
          <w:p w:rsidR="000A2492" w:rsidRPr="007B785D" w:rsidRDefault="000A2492" w:rsidP="000A2492">
            <w:pPr>
              <w:rPr>
                <w:rFonts w:eastAsiaTheme="minorHAnsi" w:cstheme="minorBidi"/>
                <w:sz w:val="25"/>
              </w:rPr>
            </w:pPr>
            <w:r w:rsidRPr="007B785D">
              <w:rPr>
                <w:rFonts w:eastAsiaTheme="minorHAnsi" w:cstheme="minorBidi"/>
                <w:sz w:val="25"/>
              </w:rPr>
              <w:t>)</w:t>
            </w:r>
          </w:p>
          <w:p w:rsidR="000A2492" w:rsidRPr="007B785D" w:rsidRDefault="000A2492" w:rsidP="000A2492">
            <w:pPr>
              <w:rPr>
                <w:rFonts w:eastAsiaTheme="minorHAnsi" w:cstheme="minorBidi"/>
                <w:sz w:val="25"/>
              </w:rPr>
            </w:pPr>
            <w:r w:rsidRPr="007B785D">
              <w:rPr>
                <w:rFonts w:eastAsiaTheme="minorHAnsi" w:cstheme="minorBidi"/>
                <w:sz w:val="25"/>
              </w:rPr>
              <w:t>)</w:t>
            </w:r>
          </w:p>
          <w:p w:rsidR="000A2492" w:rsidRPr="007B785D" w:rsidRDefault="000A2492" w:rsidP="000A2492">
            <w:pPr>
              <w:rPr>
                <w:rFonts w:eastAsiaTheme="minorHAnsi" w:cstheme="minorBidi"/>
                <w:sz w:val="25"/>
              </w:rPr>
            </w:pPr>
            <w:r w:rsidRPr="007B785D">
              <w:rPr>
                <w:rFonts w:eastAsiaTheme="minorHAnsi" w:cstheme="minorBidi"/>
                <w:sz w:val="25"/>
              </w:rPr>
              <w:t>)</w:t>
            </w:r>
          </w:p>
          <w:p w:rsidR="000A2492" w:rsidRPr="007B785D" w:rsidRDefault="000A2492" w:rsidP="000A2492">
            <w:pPr>
              <w:rPr>
                <w:rFonts w:eastAsiaTheme="minorHAnsi" w:cstheme="minorBidi"/>
                <w:sz w:val="25"/>
              </w:rPr>
            </w:pPr>
            <w:r w:rsidRPr="007B785D">
              <w:rPr>
                <w:rFonts w:eastAsiaTheme="minorHAnsi" w:cstheme="minorBidi"/>
                <w:sz w:val="25"/>
              </w:rPr>
              <w:t>)</w:t>
            </w:r>
          </w:p>
          <w:p w:rsidR="000A2492" w:rsidRPr="007B785D" w:rsidRDefault="000A2492" w:rsidP="000A2492">
            <w:pPr>
              <w:rPr>
                <w:rFonts w:eastAsiaTheme="minorHAnsi" w:cstheme="minorBidi"/>
                <w:sz w:val="25"/>
              </w:rPr>
            </w:pPr>
            <w:r w:rsidRPr="007B785D">
              <w:rPr>
                <w:rFonts w:eastAsiaTheme="minorHAnsi" w:cstheme="minorBidi"/>
                <w:sz w:val="25"/>
              </w:rPr>
              <w:t>)</w:t>
            </w:r>
          </w:p>
          <w:p w:rsidR="000A2492" w:rsidRPr="007B785D" w:rsidRDefault="000A2492" w:rsidP="000A2492">
            <w:pPr>
              <w:rPr>
                <w:rFonts w:eastAsiaTheme="minorHAnsi" w:cstheme="minorBidi"/>
                <w:sz w:val="25"/>
              </w:rPr>
            </w:pPr>
            <w:r w:rsidRPr="007B785D">
              <w:rPr>
                <w:rFonts w:eastAsiaTheme="minorHAnsi" w:cstheme="minorBidi"/>
                <w:sz w:val="25"/>
              </w:rPr>
              <w:t>)</w:t>
            </w:r>
          </w:p>
        </w:tc>
        <w:tc>
          <w:tcPr>
            <w:tcW w:w="4320" w:type="dxa"/>
            <w:tcBorders>
              <w:top w:val="nil"/>
              <w:bottom w:val="nil"/>
            </w:tcBorders>
          </w:tcPr>
          <w:p w:rsidR="000A2492" w:rsidRPr="007B785D" w:rsidRDefault="00E23603" w:rsidP="000A2492">
            <w:pPr>
              <w:rPr>
                <w:rFonts w:eastAsiaTheme="minorHAnsi" w:cstheme="minorBidi"/>
                <w:b/>
                <w:sz w:val="25"/>
              </w:rPr>
            </w:pPr>
            <w:bookmarkStart w:id="1" w:name="caseno"/>
            <w:bookmarkEnd w:id="1"/>
            <w:r>
              <w:rPr>
                <w:rFonts w:eastAsiaTheme="minorHAnsi" w:cstheme="minorBidi"/>
                <w:b/>
                <w:sz w:val="25"/>
              </w:rPr>
              <w:t>08-C-12797</w:t>
            </w:r>
          </w:p>
          <w:p w:rsidR="007B785D" w:rsidRPr="007B785D" w:rsidRDefault="007B785D" w:rsidP="000A2492">
            <w:pPr>
              <w:rPr>
                <w:rFonts w:eastAsiaTheme="minorHAnsi" w:cstheme="minorBidi"/>
                <w:b/>
                <w:sz w:val="25"/>
              </w:rPr>
            </w:pPr>
          </w:p>
          <w:p w:rsidR="007B785D" w:rsidRPr="007B785D" w:rsidRDefault="007B785D" w:rsidP="000A2492">
            <w:pPr>
              <w:rPr>
                <w:rFonts w:eastAsiaTheme="minorHAnsi" w:cstheme="minorBidi"/>
                <w:b/>
                <w:sz w:val="25"/>
              </w:rPr>
            </w:pPr>
          </w:p>
          <w:p w:rsidR="007B785D" w:rsidRPr="007B785D" w:rsidRDefault="00E23603" w:rsidP="001A02B7">
            <w:pPr>
              <w:rPr>
                <w:rFonts w:eastAsiaTheme="minorHAnsi" w:cstheme="minorBidi"/>
                <w:sz w:val="25"/>
              </w:rPr>
            </w:pPr>
            <w:r>
              <w:rPr>
                <w:rFonts w:eastAsiaTheme="minorHAnsi" w:cstheme="minorBidi"/>
                <w:b/>
                <w:sz w:val="25"/>
              </w:rPr>
              <w:t>RECOMMENDATION OF SUMMARY DISBARMENT</w:t>
            </w:r>
          </w:p>
        </w:tc>
      </w:tr>
    </w:tbl>
    <w:p w:rsidR="000A2492" w:rsidRDefault="000A2492" w:rsidP="000A2492">
      <w:pPr>
        <w:rPr>
          <w:sz w:val="25"/>
        </w:rPr>
      </w:pPr>
    </w:p>
    <w:p w:rsidR="00F9341A" w:rsidRDefault="00F9341A" w:rsidP="00E23603">
      <w:pPr>
        <w:spacing w:line="480" w:lineRule="auto"/>
        <w:ind w:firstLine="720"/>
      </w:pPr>
    </w:p>
    <w:p w:rsidR="00E23603" w:rsidRDefault="00E23603" w:rsidP="00E23603">
      <w:pPr>
        <w:spacing w:line="480" w:lineRule="auto"/>
        <w:ind w:firstLine="720"/>
      </w:pPr>
      <w:r>
        <w:t>On January 29, 2010, the State Bar filed a request for summary disbarment</w:t>
      </w:r>
      <w:r w:rsidR="001041DA">
        <w:t xml:space="preserve"> based on</w:t>
      </w:r>
      <w:r w:rsidR="0003451F">
        <w:t xml:space="preserve"> </w:t>
      </w:r>
      <w:r w:rsidR="001041DA">
        <w:t>r</w:t>
      </w:r>
      <w:r>
        <w:t xml:space="preserve">espondent Gary M. </w:t>
      </w:r>
      <w:proofErr w:type="spellStart"/>
      <w:r>
        <w:t>Appelblatt</w:t>
      </w:r>
      <w:r w:rsidR="001041DA">
        <w:t>’s</w:t>
      </w:r>
      <w:proofErr w:type="spellEnd"/>
      <w:r w:rsidR="001041DA">
        <w:t xml:space="preserve"> felony conviction</w:t>
      </w:r>
      <w:r w:rsidR="00F4412C">
        <w:t xml:space="preserve"> of a crime involving moral turpitude per se</w:t>
      </w:r>
      <w:r w:rsidR="001041DA">
        <w:t xml:space="preserve">.  </w:t>
      </w:r>
      <w:proofErr w:type="spellStart"/>
      <w:r w:rsidR="001041DA">
        <w:t>Appelblatt</w:t>
      </w:r>
      <w:proofErr w:type="spellEnd"/>
      <w:r w:rsidR="001041DA">
        <w:t xml:space="preserve"> failed to file a response.  </w:t>
      </w:r>
      <w:r w:rsidR="00F4412C">
        <w:t>T</w:t>
      </w:r>
      <w:r>
        <w:t>he State Bar’s request is granted</w:t>
      </w:r>
      <w:r w:rsidR="001041DA">
        <w:t xml:space="preserve"> and we recommend that </w:t>
      </w:r>
      <w:proofErr w:type="spellStart"/>
      <w:r w:rsidR="001041DA">
        <w:t>Appelblatt</w:t>
      </w:r>
      <w:proofErr w:type="spellEnd"/>
      <w:r w:rsidR="001041DA">
        <w:t xml:space="preserve"> b</w:t>
      </w:r>
      <w:r w:rsidR="00F4412C">
        <w:t>e</w:t>
      </w:r>
      <w:r w:rsidR="001041DA">
        <w:t xml:space="preserve"> summarily disbarred.</w:t>
      </w:r>
    </w:p>
    <w:p w:rsidR="00027CC1" w:rsidRDefault="00027CC1" w:rsidP="00027CC1">
      <w:pPr>
        <w:spacing w:line="480" w:lineRule="auto"/>
        <w:ind w:right="-144" w:firstLine="720"/>
      </w:pPr>
      <w:r>
        <w:t xml:space="preserve">On </w:t>
      </w:r>
      <w:r w:rsidR="00F24E66" w:rsidRPr="00F24E66">
        <w:t>August 17,</w:t>
      </w:r>
      <w:r w:rsidRPr="00F24E66">
        <w:t xml:space="preserve"> 2009,</w:t>
      </w:r>
      <w:r>
        <w:rPr>
          <w:color w:val="00B0F0"/>
        </w:rPr>
        <w:t xml:space="preserve"> </w:t>
      </w:r>
      <w:proofErr w:type="spellStart"/>
      <w:r w:rsidR="00F9341A">
        <w:t>Appelblatt</w:t>
      </w:r>
      <w:proofErr w:type="spellEnd"/>
      <w:r>
        <w:t xml:space="preserve"> pled</w:t>
      </w:r>
      <w:r w:rsidR="005435D0">
        <w:t xml:space="preserve"> </w:t>
      </w:r>
      <w:proofErr w:type="spellStart"/>
      <w:r w:rsidR="005435D0">
        <w:t>nolo</w:t>
      </w:r>
      <w:proofErr w:type="spellEnd"/>
      <w:r w:rsidR="005435D0">
        <w:t xml:space="preserve"> </w:t>
      </w:r>
      <w:proofErr w:type="spellStart"/>
      <w:r w:rsidR="005435D0">
        <w:t>contendere</w:t>
      </w:r>
      <w:proofErr w:type="spellEnd"/>
      <w:r>
        <w:t xml:space="preserve"> to four counts of sexual battery</w:t>
      </w:r>
      <w:r w:rsidR="00946D82">
        <w:t xml:space="preserve"> by fraudulent representation</w:t>
      </w:r>
      <w:r>
        <w:t xml:space="preserve"> </w:t>
      </w:r>
      <w:r w:rsidR="005435D0">
        <w:t>in violation of Penal C</w:t>
      </w:r>
      <w:r>
        <w:t xml:space="preserve">ode section 243.4, subdivision (c), and one count of attempted sexual battery </w:t>
      </w:r>
      <w:r w:rsidR="00946D82">
        <w:t xml:space="preserve">by fraudulent representation </w:t>
      </w:r>
      <w:r>
        <w:t>in viol</w:t>
      </w:r>
      <w:r w:rsidR="0003756B">
        <w:t>ation of Penal Code sections 664/</w:t>
      </w:r>
      <w:r w:rsidR="00F9341A">
        <w:t>243.4, subdivision (c).</w:t>
      </w:r>
      <w:r w:rsidR="00DB5353">
        <w:t xml:space="preserve">  </w:t>
      </w:r>
      <w:r w:rsidR="009A416C">
        <w:t>As a result of the felony conviction, w</w:t>
      </w:r>
      <w:r>
        <w:t>e placed him on interim suspension effective November 23, 2009, and he has remained on inter</w:t>
      </w:r>
      <w:r w:rsidR="005435D0">
        <w:t xml:space="preserve">im suspension since that time.  </w:t>
      </w:r>
      <w:r w:rsidR="00F9341A">
        <w:t>Since t</w:t>
      </w:r>
      <w:r w:rsidR="005435D0" w:rsidRPr="005435D0">
        <w:t xml:space="preserve">he time period for seeking direct review has expired and </w:t>
      </w:r>
      <w:r w:rsidR="00F9341A">
        <w:t>he</w:t>
      </w:r>
      <w:r w:rsidR="005435D0" w:rsidRPr="005435D0">
        <w:t xml:space="preserve"> </w:t>
      </w:r>
      <w:r w:rsidR="00F9341A">
        <w:t xml:space="preserve">has </w:t>
      </w:r>
      <w:r w:rsidR="005435D0" w:rsidRPr="005435D0">
        <w:t xml:space="preserve">not sought review, </w:t>
      </w:r>
      <w:r w:rsidR="00F9341A">
        <w:t>the</w:t>
      </w:r>
      <w:r w:rsidR="005435D0" w:rsidRPr="005435D0">
        <w:t xml:space="preserve"> conviction is now final</w:t>
      </w:r>
      <w:r w:rsidR="005435D0">
        <w:t>.  (Cal.</w:t>
      </w:r>
      <w:r>
        <w:t xml:space="preserve"> Rules of Court, rule 9.10(a).)</w:t>
      </w:r>
    </w:p>
    <w:p w:rsidR="009A416C" w:rsidRDefault="00B979A3" w:rsidP="00027CC1">
      <w:pPr>
        <w:spacing w:line="480" w:lineRule="auto"/>
        <w:ind w:right="-144" w:firstLine="720"/>
      </w:pPr>
      <w:r>
        <w:lastRenderedPageBreak/>
        <w:t xml:space="preserve">The record establishes that </w:t>
      </w:r>
      <w:proofErr w:type="spellStart"/>
      <w:r w:rsidR="00F9341A">
        <w:t>Appelblatt</w:t>
      </w:r>
      <w:r w:rsidR="00F9341A" w:rsidRPr="002F1767">
        <w:t>’s</w:t>
      </w:r>
      <w:proofErr w:type="spellEnd"/>
      <w:r>
        <w:t xml:space="preserve"> conviction meets the criteria for summary disbarment under Business and Professions Code section 6102, subdivision (c).  First </w:t>
      </w:r>
      <w:proofErr w:type="spellStart"/>
      <w:r w:rsidR="00946D82">
        <w:t>Appelblatt</w:t>
      </w:r>
      <w:r>
        <w:t>’s</w:t>
      </w:r>
      <w:proofErr w:type="spellEnd"/>
      <w:r>
        <w:t xml:space="preserve"> offe</w:t>
      </w:r>
      <w:r w:rsidR="00FE7D49">
        <w:t>nses constitute felonies.  (</w:t>
      </w:r>
      <w:r>
        <w:t xml:space="preserve">Pen. Code, §§ 243.4, </w:t>
      </w:r>
      <w:proofErr w:type="spellStart"/>
      <w:r>
        <w:t>subd</w:t>
      </w:r>
      <w:proofErr w:type="spellEnd"/>
      <w:r>
        <w:t>. (c) and 664.)</w:t>
      </w:r>
      <w:r w:rsidR="009A416C">
        <w:t xml:space="preserve"> </w:t>
      </w:r>
    </w:p>
    <w:p w:rsidR="002D2705" w:rsidRDefault="00B979A3" w:rsidP="00027CC1">
      <w:pPr>
        <w:spacing w:line="480" w:lineRule="auto"/>
        <w:ind w:right="-144" w:firstLine="720"/>
      </w:pPr>
      <w:r>
        <w:t>Second,</w:t>
      </w:r>
      <w:r w:rsidR="00FE7D49">
        <w:t xml:space="preserve"> we find that</w:t>
      </w:r>
      <w:r>
        <w:t xml:space="preserve"> sexual battery by fraudulent </w:t>
      </w:r>
      <w:r w:rsidR="002D2705">
        <w:t>representation</w:t>
      </w:r>
      <w:r w:rsidR="00F027A2">
        <w:t xml:space="preserve"> is a crime that </w:t>
      </w:r>
      <w:r w:rsidR="00F4412C">
        <w:t xml:space="preserve">inherently </w:t>
      </w:r>
      <w:r w:rsidR="00F027A2">
        <w:t>involves moral turpitude</w:t>
      </w:r>
      <w:r>
        <w:t>.</w:t>
      </w:r>
      <w:r w:rsidR="00F027A2">
        <w:t xml:space="preserve">  </w:t>
      </w:r>
      <w:r w:rsidR="00F027A2" w:rsidRPr="00F027A2">
        <w:t>Section 243.4, subdivision (c)</w:t>
      </w:r>
      <w:r w:rsidR="00F4412C">
        <w:t>,</w:t>
      </w:r>
      <w:r w:rsidR="00F027A2" w:rsidRPr="00F027A2">
        <w:t xml:space="preserve"> provides, in relevant part: “Any person who touches an intimate part of another person for the purpose of sexual arousal, sexual gratification, or sexual abuse, and the victim is at the time unconscious of the nature of the act because the perpetrator fraudulently represented that the touching served a professional purpose, is guilty of sexual battery.”  Under this statute, the defendant must fraudulently represent that the specific intimate touching he actually commits serves a professional purpose.  (</w:t>
      </w:r>
      <w:r w:rsidR="00F027A2" w:rsidRPr="00F027A2">
        <w:rPr>
          <w:i/>
        </w:rPr>
        <w:t xml:space="preserve">People v. </w:t>
      </w:r>
      <w:proofErr w:type="spellStart"/>
      <w:r w:rsidR="00F027A2" w:rsidRPr="00F027A2">
        <w:rPr>
          <w:i/>
        </w:rPr>
        <w:t>Babaali</w:t>
      </w:r>
      <w:proofErr w:type="spellEnd"/>
      <w:r w:rsidR="00F027A2" w:rsidRPr="00F027A2">
        <w:t xml:space="preserve"> (20</w:t>
      </w:r>
      <w:r w:rsidR="00F027A2">
        <w:t xml:space="preserve">09) 171 </w:t>
      </w:r>
      <w:proofErr w:type="spellStart"/>
      <w:r w:rsidR="00F027A2">
        <w:t>Cal.App.4th</w:t>
      </w:r>
      <w:proofErr w:type="spellEnd"/>
      <w:r w:rsidR="00F027A2">
        <w:t xml:space="preserve"> 982, 988.)  </w:t>
      </w:r>
      <w:r w:rsidR="00F027A2" w:rsidRPr="00F027A2">
        <w:t>“In the context of section 243.4, subdivision (c), unconscious does not have its ordinary or co</w:t>
      </w:r>
      <w:r w:rsidR="00F027A2">
        <w:t xml:space="preserve">lloquial meaning.  [Citation.]  </w:t>
      </w:r>
      <w:r w:rsidR="00F027A2" w:rsidRPr="00F027A2">
        <w:t xml:space="preserve">Instead, it means that the defendant tricks the victim into submitting to the touching based upon the fraudulent representation that ‘the touching served a professional </w:t>
      </w:r>
      <w:r w:rsidR="00F027A2">
        <w:t xml:space="preserve">purpose.’ </w:t>
      </w:r>
      <w:r w:rsidR="00946D82">
        <w:t xml:space="preserve"> </w:t>
      </w:r>
      <w:r w:rsidR="00F027A2">
        <w:t xml:space="preserve">(§ 243.4, </w:t>
      </w:r>
      <w:proofErr w:type="spellStart"/>
      <w:r w:rsidR="00F027A2">
        <w:t>subd</w:t>
      </w:r>
      <w:proofErr w:type="spellEnd"/>
      <w:r w:rsidR="00F027A2">
        <w:t xml:space="preserve">. (c).)  </w:t>
      </w:r>
      <w:r w:rsidR="00F027A2" w:rsidRPr="00F027A2">
        <w:t>This fraud renders the victim ‘unconscious of the (true) nature of the act (the intimate touching)’ even tho</w:t>
      </w:r>
      <w:r w:rsidR="00F027A2">
        <w:t xml:space="preserve">ugh she agreed to the touching.  </w:t>
      </w:r>
      <w:r w:rsidR="00F027A2" w:rsidRPr="00F027A2">
        <w:t>[Citation.]”  (</w:t>
      </w:r>
      <w:r w:rsidR="00F027A2" w:rsidRPr="00F027A2">
        <w:rPr>
          <w:i/>
        </w:rPr>
        <w:t>Id</w:t>
      </w:r>
      <w:r w:rsidR="00F027A2" w:rsidRPr="00F027A2">
        <w:t xml:space="preserve">. at p. 996.)  </w:t>
      </w:r>
      <w:r w:rsidR="00873909">
        <w:t xml:space="preserve">We find that making a fraudulent representation in a professional capacity to trick a person into submitting to intimate touching is </w:t>
      </w:r>
      <w:r w:rsidR="00F027A2" w:rsidRPr="00F027A2">
        <w:t xml:space="preserve">not in accordance with good morals. </w:t>
      </w:r>
      <w:r w:rsidR="00873909">
        <w:t xml:space="preserve"> </w:t>
      </w:r>
      <w:r w:rsidR="00F027A2" w:rsidRPr="00F027A2">
        <w:t>(</w:t>
      </w:r>
      <w:r w:rsidR="006D63A9">
        <w:t xml:space="preserve">See </w:t>
      </w:r>
      <w:r w:rsidR="00F027A2" w:rsidRPr="00F027A2">
        <w:rPr>
          <w:i/>
        </w:rPr>
        <w:t>In the Matter of Loftus</w:t>
      </w:r>
      <w:r w:rsidR="0003756B">
        <w:t xml:space="preserve"> (Review Dept. 2007</w:t>
      </w:r>
      <w:r w:rsidR="00F027A2" w:rsidRPr="00F027A2">
        <w:t xml:space="preserve">) 5 Cal. State Bar Ct. </w:t>
      </w:r>
      <w:proofErr w:type="spellStart"/>
      <w:r w:rsidR="00F027A2" w:rsidRPr="00F027A2">
        <w:t>Rptr</w:t>
      </w:r>
      <w:proofErr w:type="spellEnd"/>
      <w:r w:rsidR="00F027A2" w:rsidRPr="00F027A2">
        <w:t>. 80, 86.)</w:t>
      </w:r>
      <w:r w:rsidR="00F4412C">
        <w:t xml:space="preserve">  </w:t>
      </w:r>
      <w:r w:rsidR="00F027A2" w:rsidRPr="00F027A2">
        <w:t>We need only rel</w:t>
      </w:r>
      <w:r w:rsidR="00F027A2">
        <w:t xml:space="preserve">y on respondent’s conviction of sexual battery by fraudulent </w:t>
      </w:r>
      <w:r w:rsidR="002D2705">
        <w:t>representation</w:t>
      </w:r>
      <w:r w:rsidR="00F027A2">
        <w:t xml:space="preserve"> </w:t>
      </w:r>
      <w:r w:rsidR="00F027A2" w:rsidRPr="00F027A2">
        <w:t>in making this recommendation for summary disbarment.</w:t>
      </w:r>
    </w:p>
    <w:p w:rsidR="002D2705" w:rsidRDefault="002D2705" w:rsidP="002D2705">
      <w:pPr>
        <w:spacing w:line="480" w:lineRule="auto"/>
      </w:pPr>
      <w:r>
        <w:tab/>
        <w:t>When an attorney’s conviction meets the requirements of Business and Professions Code, section 6102, subdivision (c), “the attorney is not entitled to a State Bar Court hearing to determine whether lesser discipline is called for</w:t>
      </w:r>
      <w:r w:rsidRPr="00823726">
        <w:t>.”  (</w:t>
      </w:r>
      <w:r w:rsidRPr="00823726">
        <w:rPr>
          <w:i/>
          <w:iCs/>
        </w:rPr>
        <w:t xml:space="preserve">In re </w:t>
      </w:r>
      <w:proofErr w:type="spellStart"/>
      <w:r w:rsidRPr="00823726">
        <w:rPr>
          <w:i/>
          <w:iCs/>
        </w:rPr>
        <w:t>Paguirigan</w:t>
      </w:r>
      <w:proofErr w:type="spellEnd"/>
      <w:r w:rsidR="00B82C53">
        <w:t xml:space="preserve"> (2001) 25 </w:t>
      </w:r>
      <w:proofErr w:type="spellStart"/>
      <w:r w:rsidR="00B82C53">
        <w:t>Cal.4th</w:t>
      </w:r>
      <w:proofErr w:type="spellEnd"/>
      <w:r w:rsidR="00B82C53">
        <w:t xml:space="preserve"> 1, </w:t>
      </w:r>
      <w:r w:rsidRPr="00823726">
        <w:t>7.)  Disbarment is mandatory.  (</w:t>
      </w:r>
      <w:r w:rsidRPr="00823726">
        <w:rPr>
          <w:i/>
          <w:iCs/>
        </w:rPr>
        <w:t>Id</w:t>
      </w:r>
      <w:r w:rsidRPr="00823726">
        <w:t>. at p. 9.)</w:t>
      </w:r>
    </w:p>
    <w:p w:rsidR="00873909" w:rsidRDefault="002D2705" w:rsidP="00F4412C">
      <w:pPr>
        <w:spacing w:line="480" w:lineRule="auto"/>
        <w:ind w:right="-144" w:firstLine="720"/>
      </w:pPr>
      <w:r w:rsidRPr="008B2996">
        <w:lastRenderedPageBreak/>
        <w:t>We therefore recommend that respondent,</w:t>
      </w:r>
      <w:r>
        <w:t xml:space="preserve"> Gary M. </w:t>
      </w:r>
      <w:proofErr w:type="spellStart"/>
      <w:r>
        <w:t>Appelblatt</w:t>
      </w:r>
      <w:proofErr w:type="spellEnd"/>
      <w:r>
        <w:t>, State Bar No. 144158</w:t>
      </w:r>
      <w:r w:rsidRPr="008B2996">
        <w:t xml:space="preserve">, be summarily disbarred from the </w:t>
      </w:r>
      <w:r>
        <w:t xml:space="preserve">practice of law in this state.  </w:t>
      </w:r>
      <w:r w:rsidRPr="008B2996">
        <w:t xml:space="preserve">We also recommend that </w:t>
      </w:r>
      <w:proofErr w:type="spellStart"/>
      <w:r w:rsidR="009A416C">
        <w:t>Appelblatt</w:t>
      </w:r>
      <w:proofErr w:type="spellEnd"/>
      <w:r w:rsidRPr="008B2996">
        <w:t xml:space="preserve"> be ordered to comply with rule 9.20 of the California Rules of Court and to perform the acts specified in paragraphs (a) and (c) of that rule within 30 and 40 days, respectively, after the effective date of the Supreme Court’s order.  </w:t>
      </w:r>
    </w:p>
    <w:p w:rsidR="00027CC1" w:rsidRDefault="002D2705" w:rsidP="00F4412C">
      <w:pPr>
        <w:spacing w:line="480" w:lineRule="auto"/>
        <w:ind w:right="-144" w:firstLine="720"/>
      </w:pPr>
      <w:r w:rsidRPr="008B2996">
        <w:t>Finally, we recommend that costs be awarded to the State Bar in accordance with Business and Professions Code, section 6086.10, such costs being enforceable both as provided in Business and Professions Code, section 6140.7 and as a money judgment.</w:t>
      </w:r>
      <w:r>
        <w:t xml:space="preserve"> </w:t>
      </w:r>
      <w:r w:rsidR="00F027A2" w:rsidRPr="00F027A2">
        <w:t xml:space="preserve"> </w:t>
      </w:r>
    </w:p>
    <w:p w:rsidR="00F9341A" w:rsidRDefault="00F9341A" w:rsidP="002D2705">
      <w:pPr>
        <w:spacing w:line="480" w:lineRule="auto"/>
      </w:pPr>
    </w:p>
    <w:p w:rsidR="00F9341A" w:rsidRPr="009A416C" w:rsidRDefault="00F9341A" w:rsidP="002D2705">
      <w:pPr>
        <w:spacing w:line="480" w:lineRule="auto"/>
        <w:rPr>
          <w:szCs w:val="24"/>
        </w:rPr>
      </w:pPr>
    </w:p>
    <w:p w:rsidR="007B785D" w:rsidRPr="009A416C" w:rsidRDefault="007B785D" w:rsidP="009553E3">
      <w:pPr>
        <w:jc w:val="right"/>
        <w:rPr>
          <w:szCs w:val="24"/>
          <w:u w:val="single"/>
        </w:rPr>
      </w:pPr>
      <w:bookmarkStart w:id="2" w:name="start"/>
      <w:bookmarkEnd w:id="2"/>
      <w:r w:rsidRPr="009A416C">
        <w:rPr>
          <w:szCs w:val="24"/>
          <w:u w:val="single"/>
        </w:rPr>
        <w:tab/>
      </w:r>
      <w:r w:rsidRPr="009A416C">
        <w:rPr>
          <w:szCs w:val="24"/>
          <w:u w:val="single"/>
        </w:rPr>
        <w:tab/>
      </w:r>
      <w:r w:rsidRPr="009A416C">
        <w:rPr>
          <w:szCs w:val="24"/>
          <w:u w:val="single"/>
        </w:rPr>
        <w:tab/>
      </w:r>
      <w:r w:rsidRPr="009A416C">
        <w:rPr>
          <w:szCs w:val="24"/>
          <w:u w:val="single"/>
        </w:rPr>
        <w:tab/>
      </w:r>
      <w:r w:rsidRPr="009A416C">
        <w:rPr>
          <w:szCs w:val="24"/>
          <w:u w:val="single"/>
        </w:rPr>
        <w:tab/>
      </w:r>
      <w:r w:rsidRPr="009A416C">
        <w:rPr>
          <w:szCs w:val="24"/>
          <w:u w:val="single"/>
        </w:rPr>
        <w:tab/>
      </w:r>
    </w:p>
    <w:p w:rsidR="007B785D" w:rsidRPr="009A416C" w:rsidRDefault="007B785D" w:rsidP="009553E3">
      <w:pPr>
        <w:jc w:val="right"/>
        <w:rPr>
          <w:szCs w:val="24"/>
        </w:rPr>
      </w:pPr>
      <w:r w:rsidRPr="009A416C">
        <w:rPr>
          <w:szCs w:val="24"/>
        </w:rPr>
        <w:t>Presiding Judge</w:t>
      </w:r>
      <w:r w:rsidRPr="009A416C">
        <w:rPr>
          <w:szCs w:val="24"/>
        </w:rPr>
        <w:tab/>
      </w:r>
      <w:r w:rsidRPr="009A416C">
        <w:rPr>
          <w:szCs w:val="24"/>
        </w:rPr>
        <w:tab/>
      </w:r>
    </w:p>
    <w:sectPr w:rsidR="007B785D" w:rsidRPr="009A416C" w:rsidSect="00F4412C">
      <w:foot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0C4" w:rsidRDefault="004F70C4" w:rsidP="00F4412C">
      <w:r>
        <w:separator/>
      </w:r>
    </w:p>
  </w:endnote>
  <w:endnote w:type="continuationSeparator" w:id="0">
    <w:p w:rsidR="004F70C4" w:rsidRDefault="004F70C4" w:rsidP="00F441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0751"/>
      <w:docPartObj>
        <w:docPartGallery w:val="Page Numbers (Bottom of Page)"/>
        <w:docPartUnique/>
      </w:docPartObj>
    </w:sdtPr>
    <w:sdtContent>
      <w:p w:rsidR="00946D82" w:rsidRDefault="003A29F4">
        <w:pPr>
          <w:pStyle w:val="Footer"/>
          <w:jc w:val="center"/>
        </w:pPr>
        <w:fldSimple w:instr=" PAGE   \* MERGEFORMAT ">
          <w:r w:rsidR="00E220CA">
            <w:rPr>
              <w:noProof/>
            </w:rPr>
            <w:t>1</w:t>
          </w:r>
        </w:fldSimple>
      </w:p>
    </w:sdtContent>
  </w:sdt>
  <w:p w:rsidR="00946D82" w:rsidRDefault="00946D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0C4" w:rsidRDefault="004F70C4" w:rsidP="00F4412C">
      <w:r>
        <w:separator/>
      </w:r>
    </w:p>
  </w:footnote>
  <w:footnote w:type="continuationSeparator" w:id="0">
    <w:p w:rsidR="004F70C4" w:rsidRDefault="004F70C4" w:rsidP="00F441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23603"/>
    <w:rsid w:val="00027CC1"/>
    <w:rsid w:val="0003451F"/>
    <w:rsid w:val="0003756B"/>
    <w:rsid w:val="00054F9E"/>
    <w:rsid w:val="000A2492"/>
    <w:rsid w:val="000B1022"/>
    <w:rsid w:val="000C0E3A"/>
    <w:rsid w:val="001041DA"/>
    <w:rsid w:val="00115E35"/>
    <w:rsid w:val="001A02B7"/>
    <w:rsid w:val="001A2488"/>
    <w:rsid w:val="001B7D6C"/>
    <w:rsid w:val="002325AE"/>
    <w:rsid w:val="002D2705"/>
    <w:rsid w:val="00312E8B"/>
    <w:rsid w:val="003313E4"/>
    <w:rsid w:val="003A29F4"/>
    <w:rsid w:val="004D4AF5"/>
    <w:rsid w:val="004F70C4"/>
    <w:rsid w:val="005223CB"/>
    <w:rsid w:val="005435D0"/>
    <w:rsid w:val="005758A7"/>
    <w:rsid w:val="005A2B63"/>
    <w:rsid w:val="00635E79"/>
    <w:rsid w:val="006D63A9"/>
    <w:rsid w:val="006E52B5"/>
    <w:rsid w:val="00745287"/>
    <w:rsid w:val="007A6669"/>
    <w:rsid w:val="007B785D"/>
    <w:rsid w:val="00823726"/>
    <w:rsid w:val="008629F1"/>
    <w:rsid w:val="00873909"/>
    <w:rsid w:val="008954C4"/>
    <w:rsid w:val="00917EBA"/>
    <w:rsid w:val="00924018"/>
    <w:rsid w:val="00946D82"/>
    <w:rsid w:val="009553E3"/>
    <w:rsid w:val="00973869"/>
    <w:rsid w:val="00977181"/>
    <w:rsid w:val="00990EEC"/>
    <w:rsid w:val="009A2E18"/>
    <w:rsid w:val="009A416C"/>
    <w:rsid w:val="009B5ADD"/>
    <w:rsid w:val="009E2382"/>
    <w:rsid w:val="00A218A4"/>
    <w:rsid w:val="00B26063"/>
    <w:rsid w:val="00B82C53"/>
    <w:rsid w:val="00B920E4"/>
    <w:rsid w:val="00B979A3"/>
    <w:rsid w:val="00BC718F"/>
    <w:rsid w:val="00C06F77"/>
    <w:rsid w:val="00C47102"/>
    <w:rsid w:val="00C5698F"/>
    <w:rsid w:val="00CB7D2E"/>
    <w:rsid w:val="00D27BD6"/>
    <w:rsid w:val="00D62E97"/>
    <w:rsid w:val="00D859CE"/>
    <w:rsid w:val="00DB5353"/>
    <w:rsid w:val="00E06EB8"/>
    <w:rsid w:val="00E175E2"/>
    <w:rsid w:val="00E220CA"/>
    <w:rsid w:val="00E23603"/>
    <w:rsid w:val="00E763A1"/>
    <w:rsid w:val="00EF423F"/>
    <w:rsid w:val="00F014BA"/>
    <w:rsid w:val="00F027A2"/>
    <w:rsid w:val="00F04FD7"/>
    <w:rsid w:val="00F24E66"/>
    <w:rsid w:val="00F4412C"/>
    <w:rsid w:val="00F4492E"/>
    <w:rsid w:val="00F9341A"/>
    <w:rsid w:val="00FB5DD3"/>
    <w:rsid w:val="00FE7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2E"/>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4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4412C"/>
    <w:pPr>
      <w:tabs>
        <w:tab w:val="center" w:pos="4680"/>
        <w:tab w:val="right" w:pos="9360"/>
      </w:tabs>
    </w:pPr>
  </w:style>
  <w:style w:type="character" w:customStyle="1" w:styleId="HeaderChar">
    <w:name w:val="Header Char"/>
    <w:basedOn w:val="DefaultParagraphFont"/>
    <w:link w:val="Header"/>
    <w:uiPriority w:val="99"/>
    <w:semiHidden/>
    <w:rsid w:val="00F4412C"/>
    <w:rPr>
      <w:rFonts w:ascii="Times New Roman" w:hAnsi="Times New Roman"/>
      <w:sz w:val="24"/>
      <w:szCs w:val="22"/>
    </w:rPr>
  </w:style>
  <w:style w:type="paragraph" w:styleId="Footer">
    <w:name w:val="footer"/>
    <w:basedOn w:val="Normal"/>
    <w:link w:val="FooterChar"/>
    <w:uiPriority w:val="99"/>
    <w:unhideWhenUsed/>
    <w:rsid w:val="00F4412C"/>
    <w:pPr>
      <w:tabs>
        <w:tab w:val="center" w:pos="4680"/>
        <w:tab w:val="right" w:pos="9360"/>
      </w:tabs>
    </w:pPr>
  </w:style>
  <w:style w:type="character" w:customStyle="1" w:styleId="FooterChar">
    <w:name w:val="Footer Char"/>
    <w:basedOn w:val="DefaultParagraphFont"/>
    <w:link w:val="Footer"/>
    <w:uiPriority w:val="99"/>
    <w:rsid w:val="00F4412C"/>
    <w:rPr>
      <w:rFonts w:ascii="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RVW_Wrkgp\Rvw_Ords\In%20bank%20ord-ord%202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CDDD-D7D0-4C4F-853D-9A0148A7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 bank ord-ord 27.dotm</Template>
  <TotalTime>2</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Mina Ruiz</cp:lastModifiedBy>
  <cp:revision>2</cp:revision>
  <cp:lastPrinted>2010-02-18T18:00:00Z</cp:lastPrinted>
  <dcterms:created xsi:type="dcterms:W3CDTF">2010-05-24T19:58:00Z</dcterms:created>
  <dcterms:modified xsi:type="dcterms:W3CDTF">2010-05-24T19:58:00Z</dcterms:modified>
</cp:coreProperties>
</file>