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2160DE" w:rsidP="00497A94">
      <w:pPr>
        <w:pStyle w:val="Footnote"/>
      </w:pPr>
      <w:bookmarkStart w:id="0" w:name="designation"/>
      <w:bookmarkEnd w:id="0"/>
      <w:r>
        <w:t xml:space="preserve">PUBLIC MATTER </w:t>
      </w:r>
      <w:r w:rsidR="00FA6277">
        <w:t xml:space="preserve">– NOT </w:t>
      </w:r>
      <w:r>
        <w:t>DESIGNATED FOR PUBLICATION</w:t>
      </w:r>
    </w:p>
    <w:p w:rsidR="00835F54" w:rsidRPr="00C11CC8" w:rsidRDefault="00835F54" w:rsidP="00497A94">
      <w:pPr>
        <w:pStyle w:val="Footnote"/>
      </w:pPr>
    </w:p>
    <w:p w:rsidR="00C11CC8" w:rsidRPr="00E452FE" w:rsidRDefault="00DC60B5" w:rsidP="00DC60B5">
      <w:pPr>
        <w:jc w:val="right"/>
        <w:rPr>
          <w:b/>
        </w:rPr>
      </w:pPr>
      <w:r w:rsidRPr="00E452FE">
        <w:rPr>
          <w:b/>
        </w:rPr>
        <w:t>FILED MAY 5, 2010</w:t>
      </w:r>
    </w:p>
    <w:p w:rsidR="00C11CC8" w:rsidRPr="00C11CC8" w:rsidRDefault="00C11CC8"/>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371"/>
        <w:gridCol w:w="898"/>
        <w:gridCol w:w="4199"/>
      </w:tblGrid>
      <w:tr w:rsidR="00C11CC8" w:rsidRPr="00C11CC8" w:rsidTr="007F537A">
        <w:tc>
          <w:tcPr>
            <w:tcW w:w="4416"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790C7C" w:rsidP="009216E0">
            <w:pPr>
              <w:spacing w:line="240" w:lineRule="auto"/>
              <w:rPr>
                <w:b/>
              </w:rPr>
            </w:pPr>
            <w:bookmarkStart w:id="1" w:name="Respondent"/>
            <w:bookmarkEnd w:id="1"/>
            <w:r>
              <w:rPr>
                <w:b/>
              </w:rPr>
              <w:t>ANDREW J</w:t>
            </w:r>
            <w:r w:rsidR="007416F2">
              <w:rPr>
                <w:b/>
              </w:rPr>
              <w:t>AMES</w:t>
            </w:r>
            <w:r>
              <w:rPr>
                <w:b/>
              </w:rPr>
              <w:t xml:space="preserve"> </w:t>
            </w:r>
            <w:proofErr w:type="spellStart"/>
            <w:r>
              <w:rPr>
                <w:b/>
              </w:rPr>
              <w:t>PRENDIVILLE</w:t>
            </w:r>
            <w:proofErr w:type="spellEnd"/>
            <w:r w:rsidR="00C11CC8" w:rsidRPr="00497A94">
              <w:rPr>
                <w:b/>
              </w:rPr>
              <w:t>,</w:t>
            </w:r>
          </w:p>
          <w:p w:rsidR="009216E0" w:rsidRDefault="009216E0" w:rsidP="009216E0">
            <w:pPr>
              <w:spacing w:line="240" w:lineRule="auto"/>
            </w:pPr>
          </w:p>
          <w:p w:rsidR="009216E0" w:rsidRPr="009216E0" w:rsidRDefault="002160DE" w:rsidP="009216E0">
            <w:pPr>
              <w:spacing w:line="240" w:lineRule="auto"/>
            </w:pPr>
            <w:bookmarkStart w:id="2" w:name="type"/>
            <w:bookmarkEnd w:id="2"/>
            <w:r>
              <w:t>A Member of the State Bar.</w:t>
            </w:r>
          </w:p>
          <w:p w:rsidR="009216E0" w:rsidRPr="00C11CC8" w:rsidRDefault="009216E0" w:rsidP="009216E0">
            <w:pPr>
              <w:spacing w:line="240" w:lineRule="auto"/>
            </w:pPr>
          </w:p>
        </w:tc>
        <w:tc>
          <w:tcPr>
            <w:tcW w:w="912"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248" w:type="dxa"/>
            <w:tcBorders>
              <w:top w:val="nil"/>
              <w:left w:val="nil"/>
              <w:bottom w:val="nil"/>
              <w:right w:val="nil"/>
            </w:tcBorders>
          </w:tcPr>
          <w:p w:rsidR="00C11CC8" w:rsidRPr="00497A94" w:rsidRDefault="00C11CC8" w:rsidP="009216E0">
            <w:pPr>
              <w:spacing w:line="240" w:lineRule="auto"/>
              <w:rPr>
                <w:b/>
              </w:rPr>
            </w:pPr>
            <w:r>
              <w:t>No</w:t>
            </w:r>
            <w:r w:rsidRPr="00497A94">
              <w:rPr>
                <w:b/>
              </w:rPr>
              <w:t>.</w:t>
            </w:r>
            <w:r w:rsidR="009216E0" w:rsidRPr="00497A94">
              <w:rPr>
                <w:b/>
              </w:rPr>
              <w:t xml:space="preserve"> </w:t>
            </w:r>
            <w:bookmarkStart w:id="3" w:name="caseno"/>
            <w:bookmarkEnd w:id="3"/>
            <w:r w:rsidR="00790C7C">
              <w:rPr>
                <w:b/>
              </w:rPr>
              <w:t>08-H-10937</w:t>
            </w:r>
          </w:p>
          <w:p w:rsidR="009216E0" w:rsidRDefault="009216E0" w:rsidP="009216E0">
            <w:pPr>
              <w:spacing w:line="240" w:lineRule="auto"/>
            </w:pPr>
          </w:p>
          <w:p w:rsidR="007F537A" w:rsidRPr="009216E0" w:rsidRDefault="002160DE" w:rsidP="009216E0">
            <w:pPr>
              <w:spacing w:line="240" w:lineRule="auto"/>
              <w:rPr>
                <w:b/>
              </w:rPr>
            </w:pPr>
            <w:bookmarkStart w:id="4" w:name="title"/>
            <w:bookmarkEnd w:id="4"/>
            <w:r>
              <w:rPr>
                <w:b/>
              </w:rPr>
              <w:t>OPINION ON REVIEW</w:t>
            </w:r>
            <w:r w:rsidR="00012239">
              <w:rPr>
                <w:b/>
              </w:rPr>
              <w:t xml:space="preserve"> AND ORDER</w:t>
            </w:r>
          </w:p>
        </w:tc>
      </w:tr>
    </w:tbl>
    <w:p w:rsidR="00C11CC8" w:rsidRDefault="00C11CC8" w:rsidP="00C11CC8"/>
    <w:p w:rsidR="0045415F" w:rsidRDefault="00C770CE" w:rsidP="0045415F">
      <w:r>
        <w:tab/>
      </w:r>
      <w:r w:rsidR="00790C7C">
        <w:t>Andrew J</w:t>
      </w:r>
      <w:r w:rsidR="007416F2">
        <w:t>ames</w:t>
      </w:r>
      <w:r w:rsidR="00790C7C">
        <w:t xml:space="preserve"> </w:t>
      </w:r>
      <w:proofErr w:type="spellStart"/>
      <w:r w:rsidR="00790C7C">
        <w:t>Prendiville</w:t>
      </w:r>
      <w:proofErr w:type="spellEnd"/>
      <w:r>
        <w:t xml:space="preserve"> requests </w:t>
      </w:r>
      <w:r w:rsidR="002160DE">
        <w:t xml:space="preserve">review </w:t>
      </w:r>
      <w:r>
        <w:t xml:space="preserve">of </w:t>
      </w:r>
      <w:r w:rsidR="002160DE">
        <w:t xml:space="preserve">a hearing judge’s recommendation that </w:t>
      </w:r>
      <w:r w:rsidR="00790C7C">
        <w:t>he</w:t>
      </w:r>
      <w:r w:rsidR="002160DE">
        <w:t xml:space="preserve"> be suspended for </w:t>
      </w:r>
      <w:r w:rsidR="00790C7C">
        <w:t>two years and until he provides proof of his rehabilitation</w:t>
      </w:r>
      <w:r w:rsidR="002160DE">
        <w:t xml:space="preserve"> due to his </w:t>
      </w:r>
      <w:r w:rsidR="00FB38AE">
        <w:t>failure to comply with the condition</w:t>
      </w:r>
      <w:r w:rsidR="00851C09">
        <w:t>s of a</w:t>
      </w:r>
      <w:r w:rsidR="001A1B16">
        <w:t xml:space="preserve"> private </w:t>
      </w:r>
      <w:proofErr w:type="spellStart"/>
      <w:r w:rsidR="001A1B16">
        <w:t>reproval</w:t>
      </w:r>
      <w:proofErr w:type="spellEnd"/>
      <w:r w:rsidR="002160DE">
        <w:t>.</w:t>
      </w:r>
      <w:r w:rsidR="001A1B16">
        <w:t xml:space="preserve">  </w:t>
      </w:r>
      <w:proofErr w:type="spellStart"/>
      <w:r w:rsidR="001A1B16">
        <w:t>Prendiville</w:t>
      </w:r>
      <w:proofErr w:type="spellEnd"/>
      <w:r w:rsidR="001A1B16">
        <w:t xml:space="preserve"> </w:t>
      </w:r>
      <w:r w:rsidR="0080231F">
        <w:t xml:space="preserve">asserts his misconduct warrants no more than a 30-day suspension.  </w:t>
      </w:r>
      <w:r w:rsidR="007D7209">
        <w:t xml:space="preserve">The State Bar </w:t>
      </w:r>
      <w:r w:rsidR="00851C09">
        <w:t xml:space="preserve">requests </w:t>
      </w:r>
      <w:r w:rsidR="00C700DB">
        <w:t>that we</w:t>
      </w:r>
      <w:r w:rsidR="007F2D18">
        <w:t xml:space="preserve"> adopt</w:t>
      </w:r>
      <w:r w:rsidR="007D7209">
        <w:t xml:space="preserve"> the hearing judge’s recommendation.  </w:t>
      </w:r>
      <w:r w:rsidR="004B0941">
        <w:t xml:space="preserve">Before oral argument, we notified the parties that we were considering whether a </w:t>
      </w:r>
      <w:r w:rsidR="00E9335B" w:rsidRPr="00327D14">
        <w:t xml:space="preserve">disbarment </w:t>
      </w:r>
      <w:r w:rsidR="00E9335B">
        <w:t xml:space="preserve">recommendation </w:t>
      </w:r>
      <w:r w:rsidR="00E9335B" w:rsidRPr="00327D14">
        <w:t xml:space="preserve">is appropriate </w:t>
      </w:r>
      <w:r w:rsidR="00E9335B">
        <w:t>under</w:t>
      </w:r>
      <w:r w:rsidR="00E9335B" w:rsidRPr="00327D14">
        <w:t xml:space="preserve"> standard 1.7(b)</w:t>
      </w:r>
      <w:r w:rsidR="00B144FE">
        <w:t>,</w:t>
      </w:r>
      <w:r w:rsidR="00B047CF">
        <w:rPr>
          <w:rStyle w:val="FootnoteReference"/>
        </w:rPr>
        <w:footnoteReference w:id="2"/>
      </w:r>
      <w:r w:rsidR="00E9335B" w:rsidRPr="00327D14">
        <w:t xml:space="preserve"> </w:t>
      </w:r>
      <w:r w:rsidR="00B047CF">
        <w:t>which provides for “disbarment unless the most compelling mitigating circumstances clearly predominate” when an attorney has a record of two or more impositions of discipline.</w:t>
      </w:r>
    </w:p>
    <w:p w:rsidR="0045415F" w:rsidRDefault="0045415F" w:rsidP="0045415F">
      <w:pPr>
        <w:ind w:firstLine="720"/>
      </w:pPr>
      <w:r>
        <w:t xml:space="preserve">This is </w:t>
      </w:r>
      <w:proofErr w:type="spellStart"/>
      <w:r>
        <w:t>Prendiville’s</w:t>
      </w:r>
      <w:proofErr w:type="spellEnd"/>
      <w:r>
        <w:t xml:space="preserve"> fourth disciplinary proceeding.  For approximately a decade, he repeatedly committed ethical violations involving his client trust account</w:t>
      </w:r>
      <w:r w:rsidR="003C226F">
        <w:t xml:space="preserve"> (CTA)</w:t>
      </w:r>
      <w:r>
        <w:t>.  Despite receiving an actual suspension and completing the State Bar’s Client Trust Accounting School twice, his ethical transgressions continued</w:t>
      </w:r>
      <w:r w:rsidR="003761DC">
        <w:t xml:space="preserve">.  </w:t>
      </w:r>
      <w:r w:rsidR="004B0941">
        <w:t>In the present case, d</w:t>
      </w:r>
      <w:r>
        <w:t xml:space="preserve">uring a two-year period he disregarded a </w:t>
      </w:r>
      <w:proofErr w:type="spellStart"/>
      <w:r>
        <w:t>reproval</w:t>
      </w:r>
      <w:proofErr w:type="spellEnd"/>
      <w:r>
        <w:t xml:space="preserve"> condition imposed to rectify his recurring mishandling of his </w:t>
      </w:r>
      <w:r w:rsidR="003C226F">
        <w:t>CTA</w:t>
      </w:r>
      <w:r>
        <w:t xml:space="preserve">.  </w:t>
      </w:r>
      <w:proofErr w:type="spellStart"/>
      <w:r>
        <w:t>Prendiville’s</w:t>
      </w:r>
      <w:proofErr w:type="spellEnd"/>
      <w:r>
        <w:t xml:space="preserve"> repeated encounters with attorney discipline have neither rehabilitated him nor </w:t>
      </w:r>
      <w:r>
        <w:lastRenderedPageBreak/>
        <w:t xml:space="preserve">deterred him from committing further misconduct.  </w:t>
      </w:r>
      <w:r w:rsidR="009B1D83">
        <w:t>Based on our independent review of the record (Cal. Rules of Court, rule 9.12), we find that t</w:t>
      </w:r>
      <w:r>
        <w:t xml:space="preserve">he absence of compelling mitigation, the repetitive nature of </w:t>
      </w:r>
      <w:r w:rsidR="00070778">
        <w:t>his</w:t>
      </w:r>
      <w:r>
        <w:t xml:space="preserve"> wrongdoing and </w:t>
      </w:r>
      <w:proofErr w:type="spellStart"/>
      <w:r w:rsidR="00AB36E2">
        <w:t>Prendiville’s</w:t>
      </w:r>
      <w:proofErr w:type="spellEnd"/>
      <w:r w:rsidR="00E53392">
        <w:t xml:space="preserve"> </w:t>
      </w:r>
      <w:r w:rsidR="00AB36E2">
        <w:t xml:space="preserve">apparent </w:t>
      </w:r>
      <w:r w:rsidR="00E53392">
        <w:t xml:space="preserve">indifference to </w:t>
      </w:r>
      <w:r w:rsidR="00070778">
        <w:t>prior disciplinary order</w:t>
      </w:r>
      <w:r w:rsidR="001A7C20">
        <w:t xml:space="preserve">s </w:t>
      </w:r>
      <w:r w:rsidR="00070778">
        <w:t>compel</w:t>
      </w:r>
      <w:r>
        <w:t xml:space="preserve"> the conclusion that disbarment </w:t>
      </w:r>
      <w:r w:rsidR="003761DC">
        <w:t xml:space="preserve">is appropriate </w:t>
      </w:r>
      <w:r>
        <w:t>under standard 1.7(b).</w:t>
      </w:r>
    </w:p>
    <w:p w:rsidR="003761DC" w:rsidRDefault="003761DC" w:rsidP="00070617">
      <w:pPr>
        <w:jc w:val="center"/>
        <w:rPr>
          <w:b/>
        </w:rPr>
      </w:pPr>
      <w:r w:rsidRPr="003761DC">
        <w:rPr>
          <w:b/>
        </w:rPr>
        <w:t>I.</w:t>
      </w:r>
      <w:r>
        <w:rPr>
          <w:b/>
        </w:rPr>
        <w:t xml:space="preserve"> </w:t>
      </w:r>
      <w:r w:rsidR="00946B7E" w:rsidRPr="003761DC">
        <w:rPr>
          <w:b/>
        </w:rPr>
        <w:t xml:space="preserve"> </w:t>
      </w:r>
      <w:r w:rsidR="004B0941">
        <w:rPr>
          <w:b/>
        </w:rPr>
        <w:t xml:space="preserve">PROCEDURE ON </w:t>
      </w:r>
      <w:r>
        <w:rPr>
          <w:b/>
        </w:rPr>
        <w:t>REVIEW</w:t>
      </w:r>
    </w:p>
    <w:p w:rsidR="00ED7928" w:rsidRDefault="003761DC" w:rsidP="003761DC">
      <w:r>
        <w:rPr>
          <w:b/>
        </w:rPr>
        <w:tab/>
      </w:r>
      <w:proofErr w:type="spellStart"/>
      <w:r>
        <w:t>Prendiville</w:t>
      </w:r>
      <w:proofErr w:type="spellEnd"/>
      <w:r>
        <w:t xml:space="preserve"> filed his request for review of the hearing judge’s decision on July 17, 2009.  After the parties completed briefing and before oral argument, we issued an order </w:t>
      </w:r>
      <w:r w:rsidR="0024194E">
        <w:t xml:space="preserve">notifying the parties that we were considering a disbarment recommendation </w:t>
      </w:r>
      <w:r w:rsidR="004C30CD">
        <w:t xml:space="preserve">under standard 1.7(b).  We provided the parties the opportunity to </w:t>
      </w:r>
      <w:r>
        <w:t>file supplement</w:t>
      </w:r>
      <w:r w:rsidR="00070778">
        <w:t>al</w:t>
      </w:r>
      <w:r>
        <w:t xml:space="preserve"> briefs t</w:t>
      </w:r>
      <w:r w:rsidR="00070778">
        <w:t>o</w:t>
      </w:r>
      <w:r>
        <w:t xml:space="preserve"> address the </w:t>
      </w:r>
      <w:r w:rsidR="0024194E">
        <w:t>applicability of the standard</w:t>
      </w:r>
      <w:r w:rsidR="004C30CD">
        <w:t xml:space="preserve">, </w:t>
      </w:r>
      <w:r>
        <w:t xml:space="preserve">including whether in this case “the most compelling mitigating circumstances </w:t>
      </w:r>
      <w:r w:rsidR="004C30CD">
        <w:t>clearly predominate.”</w:t>
      </w:r>
      <w:r w:rsidR="0024194E">
        <w:t xml:space="preserve">  </w:t>
      </w:r>
      <w:r w:rsidR="00C47364">
        <w:t xml:space="preserve">(Std. 1.7(b).)  </w:t>
      </w:r>
      <w:r w:rsidR="0024194E">
        <w:t>Both parties filed supplemental briefs.</w:t>
      </w:r>
    </w:p>
    <w:p w:rsidR="004C30CD" w:rsidRPr="00ED7928" w:rsidRDefault="00ED7928" w:rsidP="003761DC">
      <w:r>
        <w:tab/>
      </w:r>
      <w:r>
        <w:rPr>
          <w:color w:val="000000"/>
        </w:rPr>
        <w:t xml:space="preserve">A disciplinary hearing before the State Bar Court is an adversarial proceeding where the State Bar has the burden of proving misconduct by “clear and convincing” </w:t>
      </w:r>
      <w:r w:rsidR="00870195">
        <w:rPr>
          <w:color w:val="000000"/>
        </w:rPr>
        <w:t>evidence</w:t>
      </w:r>
      <w:r>
        <w:rPr>
          <w:color w:val="000000"/>
        </w:rPr>
        <w:t>.</w:t>
      </w:r>
      <w:r>
        <w:t xml:space="preserve"> </w:t>
      </w:r>
      <w:r w:rsidR="00870195">
        <w:t xml:space="preserve"> </w:t>
      </w:r>
      <w:r>
        <w:t>(Rules Proc. of State Bar, rule 213.</w:t>
      </w:r>
      <w:r w:rsidR="00036CC0">
        <w:t>)</w:t>
      </w:r>
      <w:r w:rsidR="00070778">
        <w:t xml:space="preserve">  </w:t>
      </w:r>
      <w:r>
        <w:t>We have independently reviewed the record by this standard of proof.</w:t>
      </w:r>
      <w:r w:rsidR="00070778">
        <w:t xml:space="preserve"> </w:t>
      </w:r>
      <w:r>
        <w:t xml:space="preserve"> (</w:t>
      </w:r>
      <w:r>
        <w:rPr>
          <w:i/>
          <w:iCs/>
        </w:rPr>
        <w:t>In re Morse</w:t>
      </w:r>
      <w:r>
        <w:t xml:space="preserve"> (1995) 11 </w:t>
      </w:r>
      <w:proofErr w:type="spellStart"/>
      <w:r>
        <w:t>Cal.4</w:t>
      </w:r>
      <w:r w:rsidRPr="00C47364">
        <w:t>th</w:t>
      </w:r>
      <w:proofErr w:type="spellEnd"/>
      <w:r>
        <w:t xml:space="preserve"> 184, 207.)  Our duty to conduct independent review authorizes us to increase the recommended discipline if we deem it appropriate</w:t>
      </w:r>
      <w:r w:rsidR="00070778">
        <w:t>,</w:t>
      </w:r>
      <w:r>
        <w:t xml:space="preserve"> regardless of whether the State Bar appealed.  (</w:t>
      </w:r>
      <w:r w:rsidRPr="00ED7928">
        <w:rPr>
          <w:i/>
        </w:rPr>
        <w:t>I</w:t>
      </w:r>
      <w:r w:rsidR="0079747F">
        <w:rPr>
          <w:i/>
        </w:rPr>
        <w:t>bid.</w:t>
      </w:r>
      <w:r>
        <w:t>)</w:t>
      </w:r>
      <w:r w:rsidR="00AB36E2">
        <w:t xml:space="preserve">  We find it appropriate in this case.</w:t>
      </w:r>
    </w:p>
    <w:p w:rsidR="004317AD" w:rsidRDefault="00ED7928" w:rsidP="00070617">
      <w:pPr>
        <w:jc w:val="center"/>
        <w:rPr>
          <w:b/>
        </w:rPr>
      </w:pPr>
      <w:r>
        <w:rPr>
          <w:b/>
        </w:rPr>
        <w:t>I</w:t>
      </w:r>
      <w:r w:rsidR="003761DC">
        <w:rPr>
          <w:b/>
        </w:rPr>
        <w:t xml:space="preserve">I.  </w:t>
      </w:r>
      <w:r w:rsidR="00946B7E" w:rsidRPr="00C700DB">
        <w:rPr>
          <w:b/>
        </w:rPr>
        <w:t>FACTS</w:t>
      </w:r>
    </w:p>
    <w:p w:rsidR="00CF4B9E" w:rsidRDefault="00CF4B9E" w:rsidP="00CF4B9E">
      <w:pPr>
        <w:pStyle w:val="ListParagraph"/>
        <w:numPr>
          <w:ilvl w:val="0"/>
          <w:numId w:val="5"/>
        </w:numPr>
        <w:rPr>
          <w:b/>
        </w:rPr>
      </w:pPr>
      <w:r>
        <w:rPr>
          <w:b/>
        </w:rPr>
        <w:tab/>
      </w:r>
      <w:proofErr w:type="spellStart"/>
      <w:r>
        <w:rPr>
          <w:b/>
        </w:rPr>
        <w:t>Prendiville’s</w:t>
      </w:r>
      <w:proofErr w:type="spellEnd"/>
      <w:r>
        <w:rPr>
          <w:b/>
        </w:rPr>
        <w:t xml:space="preserve"> Prior Disciplinary Record</w:t>
      </w:r>
    </w:p>
    <w:p w:rsidR="00CF4B9E" w:rsidRPr="00CF4B9E" w:rsidRDefault="00CF4B9E" w:rsidP="00CF4B9E">
      <w:pPr>
        <w:pStyle w:val="ListParagraph"/>
        <w:rPr>
          <w:b/>
        </w:rPr>
      </w:pPr>
    </w:p>
    <w:p w:rsidR="00CF4B9E" w:rsidRDefault="004317AD" w:rsidP="00C11CC8">
      <w:r>
        <w:tab/>
      </w:r>
      <w:proofErr w:type="spellStart"/>
      <w:r w:rsidR="007D7209">
        <w:t>Prendiville</w:t>
      </w:r>
      <w:proofErr w:type="spellEnd"/>
      <w:r w:rsidR="007D7209">
        <w:t xml:space="preserve"> was admitted to practice </w:t>
      </w:r>
      <w:r w:rsidR="00E77A5F">
        <w:t xml:space="preserve">in California on May 30, 1980, and has been disciplined on three prior occasions.  </w:t>
      </w:r>
      <w:r w:rsidR="00CF4B9E">
        <w:t xml:space="preserve">In the first </w:t>
      </w:r>
      <w:r w:rsidR="00B64663">
        <w:t xml:space="preserve">disciplinary </w:t>
      </w:r>
      <w:r w:rsidR="00DD7153">
        <w:t>matter</w:t>
      </w:r>
      <w:r w:rsidR="00CF4B9E">
        <w:t>, in January 1996</w:t>
      </w:r>
      <w:r w:rsidR="003C226F">
        <w:t>,</w:t>
      </w:r>
      <w:r w:rsidR="00CF4B9E">
        <w:t xml:space="preserve"> </w:t>
      </w:r>
      <w:r w:rsidR="00E77A5F">
        <w:t xml:space="preserve">the Supreme Court placed </w:t>
      </w:r>
      <w:r w:rsidR="003C226F">
        <w:t>him</w:t>
      </w:r>
      <w:r w:rsidR="00E77A5F">
        <w:t xml:space="preserve"> on probation for one year with a one-year stayed suspension for misconduct </w:t>
      </w:r>
      <w:r w:rsidR="00C700DB">
        <w:t xml:space="preserve">in six </w:t>
      </w:r>
      <w:r w:rsidR="00DD7153">
        <w:t>cases</w:t>
      </w:r>
      <w:r w:rsidR="00C700DB">
        <w:t xml:space="preserve"> between</w:t>
      </w:r>
      <w:r w:rsidR="0080228A">
        <w:t xml:space="preserve"> 1993 and 1994</w:t>
      </w:r>
      <w:r w:rsidR="00E77A5F">
        <w:t xml:space="preserve">.  Four </w:t>
      </w:r>
      <w:r w:rsidR="00012239">
        <w:t xml:space="preserve">of those </w:t>
      </w:r>
      <w:r w:rsidR="00DD7153">
        <w:t>cases</w:t>
      </w:r>
      <w:r w:rsidR="00E77A5F">
        <w:t xml:space="preserve"> involved </w:t>
      </w:r>
      <w:proofErr w:type="spellStart"/>
      <w:r w:rsidR="00E77A5F">
        <w:t>Prendiville’s</w:t>
      </w:r>
      <w:proofErr w:type="spellEnd"/>
      <w:r w:rsidR="00E77A5F">
        <w:t xml:space="preserve"> </w:t>
      </w:r>
      <w:r w:rsidR="00CF4B9E">
        <w:t xml:space="preserve">misdemeanor </w:t>
      </w:r>
      <w:r w:rsidR="00E77A5F">
        <w:t xml:space="preserve">convictions for </w:t>
      </w:r>
      <w:r w:rsidR="00893BE8">
        <w:t>battery, abuse of a cohabitant</w:t>
      </w:r>
      <w:r w:rsidR="00CF4B9E">
        <w:t>, driving under the influence</w:t>
      </w:r>
      <w:r w:rsidR="00893BE8">
        <w:t xml:space="preserve"> and </w:t>
      </w:r>
      <w:r w:rsidR="00CF4B9E">
        <w:lastRenderedPageBreak/>
        <w:t xml:space="preserve">other </w:t>
      </w:r>
      <w:r w:rsidR="00893BE8">
        <w:t xml:space="preserve">traffic offenses.  The remaining </w:t>
      </w:r>
      <w:r w:rsidR="00DD7153">
        <w:t>cases</w:t>
      </w:r>
      <w:r w:rsidR="00893BE8">
        <w:t xml:space="preserve"> involved </w:t>
      </w:r>
      <w:r w:rsidR="00474A17">
        <w:t>his</w:t>
      </w:r>
      <w:r w:rsidR="00893BE8">
        <w:t xml:space="preserve"> repeated commingling of personal funds in his </w:t>
      </w:r>
      <w:r w:rsidR="00861302">
        <w:t>CTA</w:t>
      </w:r>
      <w:r w:rsidR="0076653D">
        <w:t xml:space="preserve">, </w:t>
      </w:r>
      <w:r w:rsidR="00893BE8">
        <w:t>misappropriati</w:t>
      </w:r>
      <w:r w:rsidR="00861302">
        <w:t>ng</w:t>
      </w:r>
      <w:r w:rsidR="00893BE8">
        <w:t xml:space="preserve"> client funds</w:t>
      </w:r>
      <w:r w:rsidR="0076653D">
        <w:t xml:space="preserve"> and issuing checks against insufficient funds</w:t>
      </w:r>
      <w:r w:rsidR="00893BE8">
        <w:t xml:space="preserve">.  </w:t>
      </w:r>
      <w:proofErr w:type="spellStart"/>
      <w:r w:rsidR="00893BE8">
        <w:t>Prendiville</w:t>
      </w:r>
      <w:proofErr w:type="spellEnd"/>
      <w:r w:rsidR="00893BE8">
        <w:t xml:space="preserve"> also failed to cooperate with the State Bar’s investigation </w:t>
      </w:r>
      <w:r w:rsidR="00CF4B9E">
        <w:t>in</w:t>
      </w:r>
      <w:r w:rsidR="00893BE8">
        <w:t xml:space="preserve"> one of the </w:t>
      </w:r>
      <w:r w:rsidR="00DD7153">
        <w:t>cases.</w:t>
      </w:r>
    </w:p>
    <w:p w:rsidR="00DD7153" w:rsidRDefault="00CF4B9E" w:rsidP="00C11CC8">
      <w:r>
        <w:tab/>
      </w:r>
      <w:r w:rsidR="00893BE8">
        <w:t xml:space="preserve">In </w:t>
      </w:r>
      <w:r>
        <w:t xml:space="preserve">his second disciplinary </w:t>
      </w:r>
      <w:r w:rsidR="00DD7153">
        <w:t>matter</w:t>
      </w:r>
      <w:r>
        <w:t xml:space="preserve">, in </w:t>
      </w:r>
      <w:r w:rsidR="00893BE8">
        <w:t>April 2000</w:t>
      </w:r>
      <w:r w:rsidR="003C226F">
        <w:t>,</w:t>
      </w:r>
      <w:r w:rsidR="00893BE8">
        <w:t xml:space="preserve"> the Supreme Court placed </w:t>
      </w:r>
      <w:proofErr w:type="spellStart"/>
      <w:r w:rsidR="00893BE8">
        <w:t>Prendiville</w:t>
      </w:r>
      <w:proofErr w:type="spellEnd"/>
      <w:r w:rsidR="00893BE8">
        <w:t xml:space="preserve"> on probation for three years and suspended him for six months </w:t>
      </w:r>
      <w:r w:rsidR="00012239">
        <w:t xml:space="preserve">after he committed </w:t>
      </w:r>
      <w:r w:rsidR="00893BE8">
        <w:t xml:space="preserve">misconduct </w:t>
      </w:r>
      <w:r w:rsidR="00012239">
        <w:t xml:space="preserve">in six additional </w:t>
      </w:r>
      <w:r w:rsidR="00DD7153">
        <w:t>cases</w:t>
      </w:r>
      <w:r w:rsidR="00012239">
        <w:t xml:space="preserve"> </w:t>
      </w:r>
      <w:r w:rsidR="0080228A">
        <w:t xml:space="preserve">between 1994 and 1996.  </w:t>
      </w:r>
      <w:r w:rsidR="00406CB4">
        <w:t xml:space="preserve">In one </w:t>
      </w:r>
      <w:r w:rsidR="00DD7153">
        <w:t>case</w:t>
      </w:r>
      <w:r w:rsidR="00474A17">
        <w:t>,</w:t>
      </w:r>
      <w:r w:rsidR="00406CB4">
        <w:t xml:space="preserve"> </w:t>
      </w:r>
      <w:proofErr w:type="spellStart"/>
      <w:r w:rsidR="00406CB4">
        <w:t>Prendiville</w:t>
      </w:r>
      <w:proofErr w:type="spellEnd"/>
      <w:r w:rsidR="00406CB4">
        <w:t xml:space="preserve"> failed to perform competently</w:t>
      </w:r>
      <w:r w:rsidR="00245E2B">
        <w:t>,</w:t>
      </w:r>
      <w:r w:rsidR="00406CB4">
        <w:t xml:space="preserve"> and in the remaining </w:t>
      </w:r>
      <w:r w:rsidR="00DD7153">
        <w:t>cases</w:t>
      </w:r>
      <w:r w:rsidR="00474A17">
        <w:t>,</w:t>
      </w:r>
      <w:r w:rsidR="00406CB4">
        <w:t xml:space="preserve"> he repeatedly commingled personal funds</w:t>
      </w:r>
      <w:r w:rsidR="00474A17">
        <w:t xml:space="preserve"> and/or failed to maintain client funds</w:t>
      </w:r>
      <w:r w:rsidR="00406CB4">
        <w:t xml:space="preserve"> in his </w:t>
      </w:r>
      <w:r w:rsidR="00861302">
        <w:t>CTA</w:t>
      </w:r>
      <w:r w:rsidR="00406CB4">
        <w:t xml:space="preserve">.  </w:t>
      </w:r>
      <w:proofErr w:type="spellStart"/>
      <w:r w:rsidR="0079747F">
        <w:t>Prendiville</w:t>
      </w:r>
      <w:proofErr w:type="spellEnd"/>
      <w:r w:rsidR="0079747F">
        <w:t xml:space="preserve"> was </w:t>
      </w:r>
      <w:r w:rsidR="00DD7153">
        <w:t xml:space="preserve">still </w:t>
      </w:r>
      <w:r w:rsidR="0079747F">
        <w:t xml:space="preserve">on probation </w:t>
      </w:r>
      <w:r w:rsidR="00DD7153">
        <w:t xml:space="preserve">from his first disciplinary case </w:t>
      </w:r>
      <w:r w:rsidR="0079747F">
        <w:t xml:space="preserve">when he committed </w:t>
      </w:r>
      <w:r w:rsidR="004A7232">
        <w:t xml:space="preserve">the misconduct relating to his </w:t>
      </w:r>
      <w:r w:rsidR="00861302">
        <w:t>CTA</w:t>
      </w:r>
      <w:r w:rsidR="0079747F">
        <w:t xml:space="preserve">.  </w:t>
      </w:r>
    </w:p>
    <w:p w:rsidR="003B06C2" w:rsidRDefault="00DD7153" w:rsidP="00C11CC8">
      <w:r>
        <w:tab/>
      </w:r>
      <w:r w:rsidR="00406CB4">
        <w:t xml:space="preserve">Despite </w:t>
      </w:r>
      <w:r>
        <w:t xml:space="preserve">two prior disciplinary cases and </w:t>
      </w:r>
      <w:r w:rsidR="0079747F">
        <w:t>completi</w:t>
      </w:r>
      <w:r>
        <w:t>on</w:t>
      </w:r>
      <w:r w:rsidR="0079747F">
        <w:t xml:space="preserve"> </w:t>
      </w:r>
      <w:r>
        <w:t xml:space="preserve">of </w:t>
      </w:r>
      <w:r w:rsidR="0079747F">
        <w:t xml:space="preserve">the </w:t>
      </w:r>
      <w:r>
        <w:t xml:space="preserve">State Bar’s </w:t>
      </w:r>
      <w:r w:rsidR="0079747F">
        <w:t>Client Trust Accounting School</w:t>
      </w:r>
      <w:r w:rsidR="00406CB4">
        <w:t xml:space="preserve">, </w:t>
      </w:r>
      <w:proofErr w:type="spellStart"/>
      <w:r w:rsidR="00406CB4">
        <w:t>Prendiville</w:t>
      </w:r>
      <w:proofErr w:type="spellEnd"/>
      <w:r w:rsidR="00406CB4">
        <w:t xml:space="preserve"> co</w:t>
      </w:r>
      <w:r w:rsidR="00A34950">
        <w:t>ntinued to co</w:t>
      </w:r>
      <w:r w:rsidR="00406CB4">
        <w:t xml:space="preserve">mmit </w:t>
      </w:r>
      <w:r w:rsidR="00861302">
        <w:t>CTA</w:t>
      </w:r>
      <w:r w:rsidR="00406CB4">
        <w:t xml:space="preserve"> violations</w:t>
      </w:r>
      <w:r w:rsidR="00474A17">
        <w:t>.  I</w:t>
      </w:r>
      <w:r w:rsidR="00406CB4">
        <w:t xml:space="preserve">n </w:t>
      </w:r>
      <w:r w:rsidR="0079747F">
        <w:t xml:space="preserve">his third disciplinary </w:t>
      </w:r>
      <w:r>
        <w:t>matter</w:t>
      </w:r>
      <w:r w:rsidR="0079747F">
        <w:t xml:space="preserve">, </w:t>
      </w:r>
      <w:r w:rsidR="00012239">
        <w:t xml:space="preserve">he stipulated </w:t>
      </w:r>
      <w:r w:rsidR="0079747F">
        <w:t xml:space="preserve">in June of 2004 </w:t>
      </w:r>
      <w:r w:rsidR="00012239">
        <w:t xml:space="preserve">to a private </w:t>
      </w:r>
      <w:proofErr w:type="spellStart"/>
      <w:r w:rsidR="00012239">
        <w:t>reproval</w:t>
      </w:r>
      <w:proofErr w:type="spellEnd"/>
      <w:r w:rsidR="003B06C2">
        <w:t xml:space="preserve"> for </w:t>
      </w:r>
      <w:r w:rsidR="00012239">
        <w:t xml:space="preserve">repeatedly </w:t>
      </w:r>
      <w:r w:rsidR="003B06C2">
        <w:t>commingling and failing to maintain client funds in trust between 2002 and 2003</w:t>
      </w:r>
      <w:r w:rsidR="00E542B7">
        <w:t xml:space="preserve">.  </w:t>
      </w:r>
      <w:r w:rsidR="0079747F">
        <w:t xml:space="preserve">Again, </w:t>
      </w:r>
      <w:r w:rsidR="004A7232">
        <w:t>t</w:t>
      </w:r>
      <w:r w:rsidR="0079747F">
        <w:t xml:space="preserve">his misconduct occurred while he was on probation from his second disciplinary matter.  </w:t>
      </w:r>
      <w:r w:rsidR="00E542B7">
        <w:t xml:space="preserve">As a condition of his private </w:t>
      </w:r>
      <w:proofErr w:type="spellStart"/>
      <w:r w:rsidR="00E542B7">
        <w:t>reproval</w:t>
      </w:r>
      <w:proofErr w:type="spellEnd"/>
      <w:r w:rsidR="00E542B7">
        <w:t xml:space="preserve">, </w:t>
      </w:r>
      <w:proofErr w:type="spellStart"/>
      <w:r w:rsidR="00E542B7">
        <w:t>Prendiville</w:t>
      </w:r>
      <w:proofErr w:type="spellEnd"/>
      <w:r w:rsidR="00815948">
        <w:t xml:space="preserve"> agreed to again complete the State Bar’s Client Trust Accounting School</w:t>
      </w:r>
      <w:r w:rsidR="003B06C2">
        <w:t xml:space="preserve">.  </w:t>
      </w:r>
    </w:p>
    <w:p w:rsidR="00CF4B9E" w:rsidRPr="00CF4B9E" w:rsidRDefault="00CF4B9E" w:rsidP="00CF4B9E">
      <w:pPr>
        <w:pStyle w:val="ListParagraph"/>
        <w:numPr>
          <w:ilvl w:val="0"/>
          <w:numId w:val="5"/>
        </w:numPr>
        <w:rPr>
          <w:b/>
        </w:rPr>
      </w:pPr>
      <w:r>
        <w:rPr>
          <w:b/>
        </w:rPr>
        <w:tab/>
      </w:r>
      <w:proofErr w:type="spellStart"/>
      <w:r w:rsidRPr="00CF4B9E">
        <w:rPr>
          <w:b/>
        </w:rPr>
        <w:t>Prendiville’s</w:t>
      </w:r>
      <w:proofErr w:type="spellEnd"/>
      <w:r w:rsidRPr="00CF4B9E">
        <w:rPr>
          <w:b/>
        </w:rPr>
        <w:t xml:space="preserve"> Current Misconduct</w:t>
      </w:r>
    </w:p>
    <w:p w:rsidR="00CF4B9E" w:rsidRDefault="00CF4B9E" w:rsidP="00CF4B9E">
      <w:pPr>
        <w:pStyle w:val="ListParagraph"/>
      </w:pPr>
    </w:p>
    <w:p w:rsidR="00D337CF" w:rsidRDefault="003B06C2" w:rsidP="00C11CC8">
      <w:r>
        <w:tab/>
      </w:r>
      <w:r w:rsidR="00474A17">
        <w:t>Th</w:t>
      </w:r>
      <w:r w:rsidR="00DD7153">
        <w:t>e</w:t>
      </w:r>
      <w:r w:rsidR="00474A17">
        <w:t xml:space="preserve"> </w:t>
      </w:r>
      <w:r w:rsidR="00DD7153">
        <w:t xml:space="preserve">present </w:t>
      </w:r>
      <w:r w:rsidR="00474A17">
        <w:t xml:space="preserve">disciplinary proceeding is based on </w:t>
      </w:r>
      <w:proofErr w:type="spellStart"/>
      <w:r>
        <w:t>Prendiville’s</w:t>
      </w:r>
      <w:proofErr w:type="spellEnd"/>
      <w:r>
        <w:t xml:space="preserve"> failure to comply with the terms of </w:t>
      </w:r>
      <w:r w:rsidR="0079747F">
        <w:t>h</w:t>
      </w:r>
      <w:r>
        <w:t xml:space="preserve">is private </w:t>
      </w:r>
      <w:proofErr w:type="spellStart"/>
      <w:r>
        <w:t>reproval</w:t>
      </w:r>
      <w:proofErr w:type="spellEnd"/>
      <w:r>
        <w:t xml:space="preserve">.  </w:t>
      </w:r>
      <w:r w:rsidR="008C5450">
        <w:t>He</w:t>
      </w:r>
      <w:r w:rsidR="00CD6F82">
        <w:t xml:space="preserve"> was required to comply with the </w:t>
      </w:r>
      <w:proofErr w:type="spellStart"/>
      <w:r w:rsidR="00DA4D2B">
        <w:t>reproval</w:t>
      </w:r>
      <w:proofErr w:type="spellEnd"/>
      <w:r w:rsidR="00DA4D2B">
        <w:t xml:space="preserve"> </w:t>
      </w:r>
      <w:r w:rsidR="00CD6F82">
        <w:t xml:space="preserve">conditions for a period of two years from </w:t>
      </w:r>
      <w:r w:rsidR="00346F8D">
        <w:t xml:space="preserve">July 21, 2004, </w:t>
      </w:r>
      <w:r w:rsidR="00DA4D2B">
        <w:t xml:space="preserve">the </w:t>
      </w:r>
      <w:r w:rsidR="00CD6F82">
        <w:t>effective date</w:t>
      </w:r>
      <w:r w:rsidR="00DA4D2B">
        <w:t xml:space="preserve"> of the </w:t>
      </w:r>
      <w:proofErr w:type="spellStart"/>
      <w:r w:rsidR="00DA4D2B">
        <w:t>reproval</w:t>
      </w:r>
      <w:proofErr w:type="spellEnd"/>
      <w:r w:rsidR="00DA4D2B">
        <w:t xml:space="preserve"> order</w:t>
      </w:r>
      <w:r w:rsidR="00CD6F82">
        <w:t>.</w:t>
      </w:r>
      <w:r w:rsidR="00346F8D">
        <w:rPr>
          <w:rStyle w:val="FootnoteReference"/>
        </w:rPr>
        <w:footnoteReference w:id="3"/>
      </w:r>
      <w:r w:rsidR="00F118A9">
        <w:t xml:space="preserve">  </w:t>
      </w:r>
      <w:r w:rsidR="00D337CF">
        <w:t xml:space="preserve">The relevant </w:t>
      </w:r>
      <w:r w:rsidR="005B74D7">
        <w:t>conditions</w:t>
      </w:r>
      <w:r w:rsidR="00D337CF">
        <w:t xml:space="preserve"> of </w:t>
      </w:r>
      <w:proofErr w:type="spellStart"/>
      <w:r w:rsidR="00D337CF">
        <w:t>Prendiville’s</w:t>
      </w:r>
      <w:proofErr w:type="spellEnd"/>
      <w:r w:rsidR="00D337CF">
        <w:t xml:space="preserve"> </w:t>
      </w:r>
      <w:proofErr w:type="spellStart"/>
      <w:r w:rsidR="00D337CF">
        <w:t>reproval</w:t>
      </w:r>
      <w:proofErr w:type="spellEnd"/>
      <w:r w:rsidR="00D337CF">
        <w:t xml:space="preserve"> </w:t>
      </w:r>
      <w:r w:rsidR="00DA4D2B">
        <w:t>we</w:t>
      </w:r>
      <w:r w:rsidR="00D337CF">
        <w:t xml:space="preserve">re as follows:  </w:t>
      </w:r>
    </w:p>
    <w:p w:rsidR="00D337CF" w:rsidRDefault="00D04149" w:rsidP="00C11CC8">
      <w:r>
        <w:lastRenderedPageBreak/>
        <w:tab/>
      </w:r>
      <w:r w:rsidR="00D337CF">
        <w:t>1) ”[S]</w:t>
      </w:r>
      <w:proofErr w:type="spellStart"/>
      <w:r w:rsidR="00D337CF">
        <w:t>ubmit</w:t>
      </w:r>
      <w:proofErr w:type="spellEnd"/>
      <w:r w:rsidR="00D337CF">
        <w:t xml:space="preserve"> written quarterly reports to the Probation Unit on each January 10, April 10, July 10, and October 10 of the condition period attached to the </w:t>
      </w:r>
      <w:proofErr w:type="spellStart"/>
      <w:r w:rsidR="00D337CF">
        <w:t>reproval</w:t>
      </w:r>
      <w:proofErr w:type="spellEnd"/>
      <w:r w:rsidR="00D337CF">
        <w:t>.”</w:t>
      </w:r>
    </w:p>
    <w:p w:rsidR="00D337CF" w:rsidRDefault="00D04149" w:rsidP="00C11CC8">
      <w:r>
        <w:tab/>
      </w:r>
      <w:r w:rsidR="00D337CF">
        <w:t>2) “[A] final report . . . is due . . . no later than the last day of the condition period.”</w:t>
      </w:r>
    </w:p>
    <w:p w:rsidR="00D337CF" w:rsidRDefault="00D04149" w:rsidP="00C11CC8">
      <w:r>
        <w:tab/>
      </w:r>
      <w:r w:rsidR="00D337CF">
        <w:t>3) “With each Quarterly Report, [</w:t>
      </w:r>
      <w:proofErr w:type="spellStart"/>
      <w:r w:rsidR="00D337CF">
        <w:t>Prendiville</w:t>
      </w:r>
      <w:proofErr w:type="spellEnd"/>
      <w:r w:rsidR="00D337CF">
        <w:t>] will provide a written statement by a Certified Public Accountant (CPA)</w:t>
      </w:r>
      <w:r w:rsidR="00D71BC2">
        <w:t xml:space="preserve"> </w:t>
      </w:r>
      <w:r w:rsidR="00D337CF">
        <w:t xml:space="preserve">which will certify that all of </w:t>
      </w:r>
      <w:r w:rsidR="00D71BC2">
        <w:t>[</w:t>
      </w:r>
      <w:proofErr w:type="spellStart"/>
      <w:r w:rsidR="00D71BC2">
        <w:t>Prendiville’s</w:t>
      </w:r>
      <w:proofErr w:type="spellEnd"/>
      <w:r w:rsidR="00D71BC2">
        <w:t>] client trust accounts have been analyzed by the CPA and that it has been determined that each of the accounts have [sic] been reconciled and properly maintained.”</w:t>
      </w:r>
    </w:p>
    <w:p w:rsidR="005D5F79" w:rsidRDefault="005D5F79" w:rsidP="00C11CC8">
      <w:r>
        <w:tab/>
        <w:t>In July 2004</w:t>
      </w:r>
      <w:r w:rsidR="0021622B">
        <w:t>,</w:t>
      </w:r>
      <w:r>
        <w:t xml:space="preserve"> the Office of Probation sent </w:t>
      </w:r>
      <w:proofErr w:type="spellStart"/>
      <w:r>
        <w:t>Prendiville</w:t>
      </w:r>
      <w:proofErr w:type="spellEnd"/>
      <w:r>
        <w:t xml:space="preserve"> a letter explaining the conditions of his private </w:t>
      </w:r>
      <w:proofErr w:type="spellStart"/>
      <w:r>
        <w:t>reproval</w:t>
      </w:r>
      <w:proofErr w:type="spellEnd"/>
      <w:r w:rsidR="008C5450">
        <w:t xml:space="preserve"> and reminding him</w:t>
      </w:r>
      <w:r w:rsidR="00687C14">
        <w:t xml:space="preserve"> </w:t>
      </w:r>
      <w:r w:rsidR="0021622B">
        <w:t xml:space="preserve">that he was required to </w:t>
      </w:r>
      <w:r w:rsidR="00687C14">
        <w:t>provide quarterly reports and CPA certifications</w:t>
      </w:r>
      <w:r w:rsidR="004A7232">
        <w:t xml:space="preserve">. </w:t>
      </w:r>
      <w:r w:rsidR="008C5450">
        <w:t xml:space="preserve"> </w:t>
      </w:r>
      <w:proofErr w:type="spellStart"/>
      <w:r w:rsidR="00687C14">
        <w:t>Prendiville</w:t>
      </w:r>
      <w:proofErr w:type="spellEnd"/>
      <w:r w:rsidR="00687C14">
        <w:t xml:space="preserve"> testified </w:t>
      </w:r>
      <w:r w:rsidR="0021622B">
        <w:t xml:space="preserve">that </w:t>
      </w:r>
      <w:r w:rsidR="00687C14">
        <w:t xml:space="preserve">he understood the </w:t>
      </w:r>
      <w:r w:rsidR="0021622B">
        <w:t xml:space="preserve">July 2004 </w:t>
      </w:r>
      <w:r w:rsidR="00687C14">
        <w:t>letter because “the language [</w:t>
      </w:r>
      <w:proofErr w:type="spellStart"/>
      <w:r w:rsidR="00687C14">
        <w:t>wa</w:t>
      </w:r>
      <w:proofErr w:type="spellEnd"/>
      <w:r w:rsidR="00687C14">
        <w:t>]s plain and understandable.”</w:t>
      </w:r>
    </w:p>
    <w:p w:rsidR="00BD3A80" w:rsidRDefault="00BD3A80" w:rsidP="00C11CC8">
      <w:r>
        <w:tab/>
        <w:t>In August 2006</w:t>
      </w:r>
      <w:r w:rsidR="0021622B">
        <w:t>,</w:t>
      </w:r>
      <w:r w:rsidR="009F7A42">
        <w:t xml:space="preserve"> the Office of Probation </w:t>
      </w:r>
      <w:r w:rsidR="0021622B">
        <w:t>called</w:t>
      </w:r>
      <w:r w:rsidR="009F7A42">
        <w:t xml:space="preserve"> </w:t>
      </w:r>
      <w:proofErr w:type="spellStart"/>
      <w:r w:rsidR="009F7A42">
        <w:t>Prendiville</w:t>
      </w:r>
      <w:proofErr w:type="spellEnd"/>
      <w:r w:rsidR="009F7A42">
        <w:t xml:space="preserve"> and instructed him to submit </w:t>
      </w:r>
      <w:r w:rsidR="001A3133">
        <w:t xml:space="preserve">his </w:t>
      </w:r>
      <w:r w:rsidR="009F7A42">
        <w:t>outstanding July 2006 quarterly report</w:t>
      </w:r>
      <w:r w:rsidR="001A3133">
        <w:t>, a final report</w:t>
      </w:r>
      <w:r w:rsidR="009F7A42">
        <w:t xml:space="preserve"> and </w:t>
      </w:r>
      <w:r w:rsidR="00DA4D2B">
        <w:t xml:space="preserve">the </w:t>
      </w:r>
      <w:r w:rsidR="009F7A42">
        <w:t>CPA certifications.</w:t>
      </w:r>
      <w:r w:rsidR="00AE262D">
        <w:t xml:space="preserve">  </w:t>
      </w:r>
      <w:r w:rsidR="0021622B">
        <w:t>Despite this request,</w:t>
      </w:r>
      <w:r w:rsidR="001A3133">
        <w:t xml:space="preserve"> </w:t>
      </w:r>
      <w:r w:rsidR="008C5450">
        <w:t>he</w:t>
      </w:r>
      <w:r w:rsidR="00AE262D">
        <w:t xml:space="preserve"> did not </w:t>
      </w:r>
      <w:r w:rsidR="008808E5">
        <w:t xml:space="preserve">submit any </w:t>
      </w:r>
      <w:r w:rsidR="001A3133">
        <w:t xml:space="preserve">additional </w:t>
      </w:r>
      <w:r w:rsidR="008808E5">
        <w:t>document</w:t>
      </w:r>
      <w:r w:rsidR="001A3133">
        <w:t>s</w:t>
      </w:r>
      <w:r w:rsidR="00AE262D">
        <w:t>.</w:t>
      </w:r>
    </w:p>
    <w:p w:rsidR="00213091" w:rsidRDefault="00CD6F82" w:rsidP="00C11CC8">
      <w:r>
        <w:tab/>
      </w:r>
      <w:proofErr w:type="spellStart"/>
      <w:r>
        <w:t>Prendiville</w:t>
      </w:r>
      <w:proofErr w:type="spellEnd"/>
      <w:r>
        <w:t xml:space="preserve"> admits</w:t>
      </w:r>
      <w:r w:rsidR="0021622B">
        <w:t xml:space="preserve"> that</w:t>
      </w:r>
      <w:r>
        <w:t xml:space="preserve"> he </w:t>
      </w:r>
      <w:r w:rsidR="005B2BCF">
        <w:t>submitt</w:t>
      </w:r>
      <w:r w:rsidR="009E3E72">
        <w:t>ed his October 2005</w:t>
      </w:r>
      <w:r w:rsidR="00F118A9">
        <w:t xml:space="preserve"> quarterly report late</w:t>
      </w:r>
      <w:r w:rsidR="00F9511B">
        <w:t>,</w:t>
      </w:r>
      <w:r w:rsidR="00E30233">
        <w:t xml:space="preserve"> he did not submit</w:t>
      </w:r>
      <w:r w:rsidR="009E3E72">
        <w:t xml:space="preserve"> a July 2006</w:t>
      </w:r>
      <w:r w:rsidR="00F118A9">
        <w:t xml:space="preserve"> quarterly report</w:t>
      </w:r>
      <w:r w:rsidR="005B74D7">
        <w:t xml:space="preserve">, </w:t>
      </w:r>
      <w:r w:rsidR="002D26E6">
        <w:t>he did not submit</w:t>
      </w:r>
      <w:r w:rsidR="00D04149">
        <w:t xml:space="preserve"> a final rep</w:t>
      </w:r>
      <w:r w:rsidR="00F118A9">
        <w:t>ort</w:t>
      </w:r>
      <w:r w:rsidR="005B74D7">
        <w:t xml:space="preserve">, and </w:t>
      </w:r>
      <w:r w:rsidR="00D04149">
        <w:t xml:space="preserve">he </w:t>
      </w:r>
      <w:r w:rsidR="003C0D6D">
        <w:t>did not provid</w:t>
      </w:r>
      <w:r w:rsidR="00F9511B">
        <w:t>e a single CPA certification.</w:t>
      </w:r>
      <w:r w:rsidR="00F118A9">
        <w:t xml:space="preserve">  </w:t>
      </w:r>
      <w:r w:rsidR="00245E2B">
        <w:t xml:space="preserve">Also, </w:t>
      </w:r>
      <w:proofErr w:type="spellStart"/>
      <w:r w:rsidR="00EB58C0">
        <w:t>Prendiville</w:t>
      </w:r>
      <w:proofErr w:type="spellEnd"/>
      <w:r w:rsidR="00EB58C0">
        <w:t xml:space="preserve"> did not timely submit his quarterly reports for</w:t>
      </w:r>
      <w:r w:rsidR="00F844A2">
        <w:t xml:space="preserve"> </w:t>
      </w:r>
      <w:r w:rsidR="00DA4D2B">
        <w:t xml:space="preserve">January 2005, </w:t>
      </w:r>
      <w:r w:rsidR="00F844A2">
        <w:t xml:space="preserve">July 2005, January 2006 and April 2006.  </w:t>
      </w:r>
    </w:p>
    <w:p w:rsidR="00213091" w:rsidRPr="0021622B" w:rsidRDefault="00DA4D2B" w:rsidP="00213091">
      <w:pPr>
        <w:jc w:val="center"/>
        <w:rPr>
          <w:b/>
        </w:rPr>
      </w:pPr>
      <w:r>
        <w:rPr>
          <w:b/>
        </w:rPr>
        <w:t>I</w:t>
      </w:r>
      <w:r w:rsidR="00213091" w:rsidRPr="0021622B">
        <w:rPr>
          <w:b/>
        </w:rPr>
        <w:t>II.  DISCUSSION</w:t>
      </w:r>
    </w:p>
    <w:p w:rsidR="00213091" w:rsidRPr="0021622B" w:rsidRDefault="00213091" w:rsidP="00C11CC8">
      <w:pPr>
        <w:rPr>
          <w:b/>
        </w:rPr>
      </w:pPr>
      <w:r w:rsidRPr="0021622B">
        <w:rPr>
          <w:b/>
        </w:rPr>
        <w:t>A.</w:t>
      </w:r>
      <w:r w:rsidR="0021622B">
        <w:rPr>
          <w:b/>
        </w:rPr>
        <w:tab/>
      </w:r>
      <w:r w:rsidRPr="0021622B">
        <w:rPr>
          <w:b/>
        </w:rPr>
        <w:t>Culpability</w:t>
      </w:r>
      <w:r w:rsidRPr="0021622B">
        <w:rPr>
          <w:b/>
        </w:rPr>
        <w:tab/>
      </w:r>
    </w:p>
    <w:p w:rsidR="00D71BC2" w:rsidRDefault="00213091" w:rsidP="00C11CC8">
      <w:r>
        <w:tab/>
      </w:r>
      <w:proofErr w:type="spellStart"/>
      <w:r w:rsidR="00AA3E4A">
        <w:t>Prendiville</w:t>
      </w:r>
      <w:proofErr w:type="spellEnd"/>
      <w:r w:rsidR="00AA3E4A">
        <w:t xml:space="preserve"> </w:t>
      </w:r>
      <w:r w:rsidR="00E2439D">
        <w:t>failed to</w:t>
      </w:r>
      <w:r w:rsidR="00AA3E4A">
        <w:t xml:space="preserve"> submit any </w:t>
      </w:r>
      <w:r w:rsidR="00DA4D2B">
        <w:t xml:space="preserve">of the required </w:t>
      </w:r>
      <w:r w:rsidR="00AA3E4A">
        <w:t>CPA certifications</w:t>
      </w:r>
      <w:r w:rsidR="004A7232">
        <w:t xml:space="preserve">, </w:t>
      </w:r>
      <w:r w:rsidR="00C833A0">
        <w:t>five</w:t>
      </w:r>
      <w:r w:rsidR="00E2439D">
        <w:t xml:space="preserve"> out of eight of </w:t>
      </w:r>
      <w:r w:rsidR="0021622B">
        <w:t>his</w:t>
      </w:r>
      <w:r w:rsidR="00AA3E4A">
        <w:t xml:space="preserve"> probation reports </w:t>
      </w:r>
      <w:r w:rsidR="0021622B">
        <w:t xml:space="preserve">were </w:t>
      </w:r>
      <w:r w:rsidR="00C833A0">
        <w:t xml:space="preserve">untimely, and he completely failed to submit one quarterly report and the </w:t>
      </w:r>
      <w:r w:rsidR="00C833A0">
        <w:lastRenderedPageBreak/>
        <w:t>final report.</w:t>
      </w:r>
      <w:r w:rsidR="00E2439D">
        <w:t xml:space="preserve">  Thus, we find that he </w:t>
      </w:r>
      <w:r w:rsidR="009E3E72">
        <w:t xml:space="preserve">willfully violated </w:t>
      </w:r>
      <w:r w:rsidR="000A68A1">
        <w:t xml:space="preserve">the </w:t>
      </w:r>
      <w:r w:rsidR="009E3E72">
        <w:t>Rules of Professional Conduct, rule 1-110</w:t>
      </w:r>
      <w:r w:rsidR="009E3E72">
        <w:rPr>
          <w:rStyle w:val="FootnoteReference"/>
        </w:rPr>
        <w:footnoteReference w:id="4"/>
      </w:r>
      <w:r w:rsidR="009E3E72">
        <w:t xml:space="preserve"> by not complying with the condi</w:t>
      </w:r>
      <w:r w:rsidR="00E2439D">
        <w:t xml:space="preserve">tions of his private </w:t>
      </w:r>
      <w:proofErr w:type="spellStart"/>
      <w:r w:rsidR="00E2439D">
        <w:t>reproval</w:t>
      </w:r>
      <w:proofErr w:type="spellEnd"/>
      <w:r w:rsidR="00E2439D">
        <w:t>.</w:t>
      </w:r>
    </w:p>
    <w:p w:rsidR="00213091" w:rsidRPr="0021622B" w:rsidRDefault="0021622B" w:rsidP="00C11CC8">
      <w:pPr>
        <w:rPr>
          <w:b/>
        </w:rPr>
      </w:pPr>
      <w:r>
        <w:rPr>
          <w:b/>
        </w:rPr>
        <w:t>B.</w:t>
      </w:r>
      <w:r>
        <w:rPr>
          <w:b/>
        </w:rPr>
        <w:tab/>
      </w:r>
      <w:r w:rsidR="00213091" w:rsidRPr="0021622B">
        <w:rPr>
          <w:b/>
        </w:rPr>
        <w:t>Aggravation</w:t>
      </w:r>
    </w:p>
    <w:p w:rsidR="009B1D83" w:rsidRDefault="005D5F79" w:rsidP="00C11CC8">
      <w:r>
        <w:tab/>
      </w:r>
      <w:proofErr w:type="spellStart"/>
      <w:r w:rsidR="00213091">
        <w:t>Prendiville’s</w:t>
      </w:r>
      <w:proofErr w:type="spellEnd"/>
      <w:r w:rsidR="00213091">
        <w:t xml:space="preserve"> rep</w:t>
      </w:r>
      <w:r w:rsidR="00BF349A">
        <w:t>e</w:t>
      </w:r>
      <w:r w:rsidR="00A00D38">
        <w:t xml:space="preserve">ated failure to comply with </w:t>
      </w:r>
      <w:r w:rsidR="009172E2">
        <w:t xml:space="preserve">several </w:t>
      </w:r>
      <w:proofErr w:type="spellStart"/>
      <w:r w:rsidR="00BF349A">
        <w:t>reproval</w:t>
      </w:r>
      <w:proofErr w:type="spellEnd"/>
      <w:r w:rsidR="00213091">
        <w:t xml:space="preserve"> condit</w:t>
      </w:r>
      <w:r w:rsidR="00BF349A">
        <w:t>ions</w:t>
      </w:r>
      <w:r w:rsidR="00213091">
        <w:t xml:space="preserve"> evidences multiple acts of mis</w:t>
      </w:r>
      <w:r w:rsidR="00141A42">
        <w:t>conduct.  (Std. 1.2(b)(ii);</w:t>
      </w:r>
      <w:r w:rsidR="00C47847">
        <w:t xml:space="preserve"> </w:t>
      </w:r>
      <w:r w:rsidR="009106FB">
        <w:t xml:space="preserve">see </w:t>
      </w:r>
      <w:r w:rsidR="00C47847" w:rsidRPr="00BE1999">
        <w:rPr>
          <w:i/>
        </w:rPr>
        <w:t>In the Matter of Hunter</w:t>
      </w:r>
      <w:r w:rsidR="00C47847">
        <w:t xml:space="preserve"> (Review Dept. 1994) 3 Cal. State Bar Ct. </w:t>
      </w:r>
      <w:proofErr w:type="spellStart"/>
      <w:r w:rsidR="00C47847">
        <w:t>Rptr</w:t>
      </w:r>
      <w:proofErr w:type="spellEnd"/>
      <w:r w:rsidR="00C47847">
        <w:t>. 63, 76 [violating three separate conditions of probation constituted multiple acts of wrongdoing].</w:t>
      </w:r>
      <w:r w:rsidR="00213091">
        <w:t>)</w:t>
      </w:r>
    </w:p>
    <w:p w:rsidR="00213091" w:rsidRDefault="009B1D83" w:rsidP="00C11CC8">
      <w:r>
        <w:tab/>
        <w:t xml:space="preserve">As discussed above, </w:t>
      </w:r>
      <w:proofErr w:type="spellStart"/>
      <w:r>
        <w:t>Prendiv</w:t>
      </w:r>
      <w:r w:rsidR="00DA4D2B">
        <w:t>il</w:t>
      </w:r>
      <w:r>
        <w:t>l</w:t>
      </w:r>
      <w:r w:rsidR="00DA4D2B">
        <w:t>e</w:t>
      </w:r>
      <w:proofErr w:type="spellEnd"/>
      <w:r>
        <w:t xml:space="preserve"> has three prior records of discipline.  This </w:t>
      </w:r>
      <w:r w:rsidR="00BF349A">
        <w:t xml:space="preserve">is </w:t>
      </w:r>
      <w:r>
        <w:t xml:space="preserve">a </w:t>
      </w:r>
      <w:r w:rsidR="00BF349A">
        <w:t>significant aggravatin</w:t>
      </w:r>
      <w:r>
        <w:t>g circumstance</w:t>
      </w:r>
      <w:r w:rsidR="00CF174E">
        <w:t xml:space="preserve"> that </w:t>
      </w:r>
      <w:r w:rsidR="00772F24">
        <w:t xml:space="preserve">weighs heavily on </w:t>
      </w:r>
      <w:r w:rsidR="00C63EAD">
        <w:t>the outcome of this case</w:t>
      </w:r>
      <w:r w:rsidR="00BF349A">
        <w:t>.  (Std. 1.2(b)(</w:t>
      </w:r>
      <w:proofErr w:type="spellStart"/>
      <w:r w:rsidR="00BF349A">
        <w:t>i</w:t>
      </w:r>
      <w:proofErr w:type="spellEnd"/>
      <w:r w:rsidR="00BF349A">
        <w:t>).)</w:t>
      </w:r>
      <w:r w:rsidR="00DA4D2B">
        <w:t xml:space="preserve">  </w:t>
      </w:r>
      <w:r w:rsidR="004A7232">
        <w:t xml:space="preserve">His misconduct has spanned from 1993 to 2006, and he has </w:t>
      </w:r>
      <w:r w:rsidR="00CF174E">
        <w:t xml:space="preserve">been on disciplinary probation for </w:t>
      </w:r>
      <w:r w:rsidR="00E2439D">
        <w:t>six out of the last fifteen years.</w:t>
      </w:r>
    </w:p>
    <w:p w:rsidR="00BF349A" w:rsidRPr="0021622B" w:rsidRDefault="0021622B" w:rsidP="00C11CC8">
      <w:pPr>
        <w:rPr>
          <w:b/>
        </w:rPr>
      </w:pPr>
      <w:r>
        <w:rPr>
          <w:b/>
        </w:rPr>
        <w:t>C.</w:t>
      </w:r>
      <w:r>
        <w:rPr>
          <w:b/>
        </w:rPr>
        <w:tab/>
      </w:r>
      <w:r w:rsidR="00BF349A" w:rsidRPr="0021622B">
        <w:rPr>
          <w:b/>
        </w:rPr>
        <w:t>Mitigation</w:t>
      </w:r>
    </w:p>
    <w:p w:rsidR="00772F42" w:rsidRDefault="00BF349A" w:rsidP="00772F42">
      <w:r>
        <w:tab/>
      </w:r>
      <w:r w:rsidR="00772F42">
        <w:t xml:space="preserve">We agree with the hearing judge that </w:t>
      </w:r>
      <w:proofErr w:type="spellStart"/>
      <w:r w:rsidR="00772F42">
        <w:t>Prendiville</w:t>
      </w:r>
      <w:proofErr w:type="spellEnd"/>
      <w:r w:rsidR="00772F42">
        <w:t xml:space="preserve"> cooperated with the State Bar by entering into a stipulation </w:t>
      </w:r>
      <w:r w:rsidR="000A68A1">
        <w:t xml:space="preserve">as to </w:t>
      </w:r>
      <w:r w:rsidR="00772F42">
        <w:t xml:space="preserve">facts material to culpability.  This entitles </w:t>
      </w:r>
      <w:proofErr w:type="spellStart"/>
      <w:r w:rsidR="00772F42">
        <w:t>Prendiville</w:t>
      </w:r>
      <w:proofErr w:type="spellEnd"/>
      <w:r w:rsidR="00772F42">
        <w:t xml:space="preserve"> to</w:t>
      </w:r>
      <w:r w:rsidR="004A7232">
        <w:t xml:space="preserve"> some</w:t>
      </w:r>
      <w:r w:rsidR="00772F42">
        <w:t xml:space="preserve"> mitigation credit.  (Std. 1.2(e)(v); </w:t>
      </w:r>
      <w:r w:rsidR="00772F42" w:rsidRPr="007D6AAB">
        <w:rPr>
          <w:i/>
        </w:rPr>
        <w:t xml:space="preserve">In the Matter of </w:t>
      </w:r>
      <w:proofErr w:type="spellStart"/>
      <w:r w:rsidR="00772F42" w:rsidRPr="007D6AAB">
        <w:rPr>
          <w:i/>
        </w:rPr>
        <w:t>Spaith</w:t>
      </w:r>
      <w:proofErr w:type="spellEnd"/>
      <w:r w:rsidR="00772F42">
        <w:t xml:space="preserve"> (Review Dept. 1996) 3 Cal. State Bar Ct. </w:t>
      </w:r>
      <w:proofErr w:type="spellStart"/>
      <w:r w:rsidR="00772F42">
        <w:t>Rptr</w:t>
      </w:r>
      <w:proofErr w:type="spellEnd"/>
      <w:r w:rsidR="00772F42">
        <w:t>. 511, 521 [stipulation to facts and culpability is mitigating].)</w:t>
      </w:r>
      <w:r w:rsidR="00E2439D">
        <w:t xml:space="preserve">  However, the stipulated facts were not difficult to prove and therefore we do not consider his cooperation to be “compelling.”</w:t>
      </w:r>
    </w:p>
    <w:p w:rsidR="00BF349A" w:rsidRDefault="0066240A" w:rsidP="00C11CC8">
      <w:r>
        <w:tab/>
      </w:r>
      <w:r w:rsidR="00E2439D">
        <w:t>W</w:t>
      </w:r>
      <w:r>
        <w:t xml:space="preserve">e depart from the hearing judge’s finding that </w:t>
      </w:r>
      <w:proofErr w:type="spellStart"/>
      <w:r>
        <w:t>Prendiville</w:t>
      </w:r>
      <w:proofErr w:type="spellEnd"/>
      <w:r>
        <w:t xml:space="preserve"> is entitled to significant mitigation because he attempted in good faith to comply with his </w:t>
      </w:r>
      <w:proofErr w:type="spellStart"/>
      <w:r>
        <w:t>reproval</w:t>
      </w:r>
      <w:proofErr w:type="spellEnd"/>
      <w:r>
        <w:t xml:space="preserve"> conditions.  (Std. 1.2(e)(ii).)  In order to establish good faith as a mitigating circumstance, </w:t>
      </w:r>
      <w:proofErr w:type="spellStart"/>
      <w:r>
        <w:t>Prendiville</w:t>
      </w:r>
      <w:proofErr w:type="spellEnd"/>
      <w:r>
        <w:t xml:space="preserve"> must clearly and convincingly prove that his beliefs were honestly held and reasonable.  (</w:t>
      </w:r>
      <w:r w:rsidRPr="0066240A">
        <w:rPr>
          <w:i/>
        </w:rPr>
        <w:t xml:space="preserve">In the Matter of </w:t>
      </w:r>
      <w:r w:rsidRPr="0066240A">
        <w:rPr>
          <w:i/>
        </w:rPr>
        <w:lastRenderedPageBreak/>
        <w:t>Thomson</w:t>
      </w:r>
      <w:r>
        <w:t xml:space="preserve"> (Review Dept. 2006) 4 Cal. State Bar Ct. </w:t>
      </w:r>
      <w:proofErr w:type="spellStart"/>
      <w:r>
        <w:t>Rptr</w:t>
      </w:r>
      <w:proofErr w:type="spellEnd"/>
      <w:r>
        <w:t>. 966, 976.)</w:t>
      </w:r>
      <w:r w:rsidR="00D8728D">
        <w:t xml:space="preserve">  </w:t>
      </w:r>
      <w:r w:rsidR="0021622B">
        <w:t>He</w:t>
      </w:r>
      <w:r w:rsidR="00062E56">
        <w:t xml:space="preserve"> testified he believed the </w:t>
      </w:r>
      <w:r w:rsidR="00A34950">
        <w:t>requirement</w:t>
      </w:r>
      <w:r w:rsidR="00062E56">
        <w:t xml:space="preserve"> to provide CPA certifications “</w:t>
      </w:r>
      <w:r w:rsidR="0079368A">
        <w:t>was only tri</w:t>
      </w:r>
      <w:r w:rsidR="00A00D38">
        <w:t xml:space="preserve">ggered if [he] had client funds.”  </w:t>
      </w:r>
      <w:proofErr w:type="spellStart"/>
      <w:r w:rsidR="00A00D38">
        <w:t>Prendiville</w:t>
      </w:r>
      <w:proofErr w:type="spellEnd"/>
      <w:r w:rsidR="00A00D38">
        <w:t xml:space="preserve"> asserts he </w:t>
      </w:r>
      <w:r w:rsidR="00D8728D">
        <w:t>did not possess any client funds dur</w:t>
      </w:r>
      <w:r w:rsidR="0079368A">
        <w:t xml:space="preserve">ing the entire </w:t>
      </w:r>
      <w:proofErr w:type="spellStart"/>
      <w:r w:rsidR="0079368A">
        <w:t>reproval</w:t>
      </w:r>
      <w:proofErr w:type="spellEnd"/>
      <w:r w:rsidR="0079368A">
        <w:t xml:space="preserve"> period</w:t>
      </w:r>
      <w:r w:rsidR="00A00D38">
        <w:t xml:space="preserve"> and thus was not required to provide </w:t>
      </w:r>
      <w:r w:rsidR="0021622B">
        <w:t>the</w:t>
      </w:r>
      <w:r w:rsidR="00A00D38">
        <w:t xml:space="preserve"> certifications</w:t>
      </w:r>
      <w:r w:rsidR="0079368A">
        <w:t xml:space="preserve">.  </w:t>
      </w:r>
      <w:r w:rsidR="0021622B">
        <w:t>His</w:t>
      </w:r>
      <w:r w:rsidR="0079368A">
        <w:t xml:space="preserve"> belief is unreasonable in light of the following facts:  1) </w:t>
      </w:r>
      <w:r w:rsidR="00EB27E6">
        <w:t xml:space="preserve">the </w:t>
      </w:r>
      <w:proofErr w:type="spellStart"/>
      <w:r w:rsidR="00EB27E6">
        <w:t>reproval</w:t>
      </w:r>
      <w:proofErr w:type="spellEnd"/>
      <w:r w:rsidR="00EB27E6">
        <w:t xml:space="preserve"> order provided</w:t>
      </w:r>
      <w:r w:rsidR="00FB05A9">
        <w:t xml:space="preserve"> no exception to the requirement to pr</w:t>
      </w:r>
      <w:r w:rsidR="00687C14">
        <w:t xml:space="preserve">ovide CPA certifications; 2) </w:t>
      </w:r>
      <w:proofErr w:type="spellStart"/>
      <w:r w:rsidR="00687C14">
        <w:t>Prendiville</w:t>
      </w:r>
      <w:proofErr w:type="spellEnd"/>
      <w:r w:rsidR="00687C14">
        <w:t xml:space="preserve"> received and understood the</w:t>
      </w:r>
      <w:r w:rsidR="00FB05A9">
        <w:t xml:space="preserve"> J</w:t>
      </w:r>
      <w:r w:rsidR="00687C14">
        <w:t xml:space="preserve">uly 2004 </w:t>
      </w:r>
      <w:r w:rsidR="00FB05A9">
        <w:t>letter from the Office of Probation</w:t>
      </w:r>
      <w:r w:rsidR="00D8728D">
        <w:t xml:space="preserve"> </w:t>
      </w:r>
      <w:r w:rsidR="00FB05A9">
        <w:t>instructing him to provide quarterly CPA certifications beginning October 2004</w:t>
      </w:r>
      <w:r w:rsidR="002626BD">
        <w:t>;</w:t>
      </w:r>
      <w:r w:rsidR="00687C14">
        <w:t xml:space="preserve"> and 3</w:t>
      </w:r>
      <w:r w:rsidR="00FB05A9">
        <w:t>) in August 2006</w:t>
      </w:r>
      <w:r w:rsidR="0021622B">
        <w:t>,</w:t>
      </w:r>
      <w:r w:rsidR="00FB05A9">
        <w:t xml:space="preserve"> a probation deputy instructed </w:t>
      </w:r>
      <w:proofErr w:type="spellStart"/>
      <w:r w:rsidR="00FB05A9">
        <w:t>Prendiville</w:t>
      </w:r>
      <w:proofErr w:type="spellEnd"/>
      <w:r w:rsidR="0021622B">
        <w:t xml:space="preserve"> by telephone</w:t>
      </w:r>
      <w:r w:rsidR="00FB05A9">
        <w:t xml:space="preserve"> to provide the outstanding CPA certifications.</w:t>
      </w:r>
      <w:r w:rsidR="00E2439D">
        <w:t xml:space="preserve">  At the time of trial, </w:t>
      </w:r>
      <w:proofErr w:type="spellStart"/>
      <w:r w:rsidR="00E2439D">
        <w:t>Prendiville</w:t>
      </w:r>
      <w:proofErr w:type="spellEnd"/>
      <w:r w:rsidR="00E2439D">
        <w:t xml:space="preserve"> still had not submitted a single CPA report </w:t>
      </w:r>
      <w:r w:rsidR="00070617">
        <w:t>nor</w:t>
      </w:r>
      <w:r w:rsidR="00E2439D">
        <w:t xml:space="preserve"> provided </w:t>
      </w:r>
      <w:r w:rsidR="00070617">
        <w:t>any</w:t>
      </w:r>
      <w:r w:rsidR="00E2439D">
        <w:t xml:space="preserve"> explanation for this significant delinquency.</w:t>
      </w:r>
    </w:p>
    <w:p w:rsidR="00955E25" w:rsidRDefault="00955E25" w:rsidP="00C11CC8">
      <w:r>
        <w:tab/>
      </w:r>
      <w:proofErr w:type="spellStart"/>
      <w:r>
        <w:t>Prendiville</w:t>
      </w:r>
      <w:proofErr w:type="spellEnd"/>
      <w:r>
        <w:t xml:space="preserve"> also testified he believed he was not required to submit </w:t>
      </w:r>
      <w:r w:rsidR="00070617">
        <w:t>a</w:t>
      </w:r>
      <w:r>
        <w:t xml:space="preserve"> </w:t>
      </w:r>
      <w:r w:rsidR="0010370A">
        <w:t xml:space="preserve">quarterly report for </w:t>
      </w:r>
      <w:r>
        <w:t xml:space="preserve">July 2006 and </w:t>
      </w:r>
      <w:r w:rsidR="005D5F79">
        <w:t xml:space="preserve">a </w:t>
      </w:r>
      <w:r>
        <w:t>final report</w:t>
      </w:r>
      <w:r w:rsidR="004E1C76">
        <w:t xml:space="preserve">.  </w:t>
      </w:r>
      <w:r w:rsidR="0021622B">
        <w:t>He</w:t>
      </w:r>
      <w:r w:rsidR="004E1C76">
        <w:t xml:space="preserve"> bases this belief on a purported telephone call in June 2006 with</w:t>
      </w:r>
      <w:r>
        <w:t xml:space="preserve"> the probation deputy monitoring his file</w:t>
      </w:r>
      <w:r w:rsidR="008053F4">
        <w:t xml:space="preserve"> at the time</w:t>
      </w:r>
      <w:r w:rsidR="004E1C76">
        <w:t xml:space="preserve">.  </w:t>
      </w:r>
      <w:proofErr w:type="spellStart"/>
      <w:r w:rsidR="004E1C76">
        <w:t>Prendiville</w:t>
      </w:r>
      <w:proofErr w:type="spellEnd"/>
      <w:r w:rsidR="004E1C76">
        <w:t xml:space="preserve"> claims he</w:t>
      </w:r>
      <w:r>
        <w:t xml:space="preserve"> asked </w:t>
      </w:r>
      <w:r w:rsidR="004E1C76">
        <w:t xml:space="preserve">the probation deputy </w:t>
      </w:r>
      <w:r>
        <w:t xml:space="preserve">whether he was required to do anything else </w:t>
      </w:r>
      <w:r w:rsidR="00070617">
        <w:t>regarding</w:t>
      </w:r>
      <w:r>
        <w:t xml:space="preserve"> his private </w:t>
      </w:r>
      <w:proofErr w:type="spellStart"/>
      <w:r>
        <w:t>reproval</w:t>
      </w:r>
      <w:proofErr w:type="spellEnd"/>
      <w:r>
        <w:t xml:space="preserve"> and “she told me nope everything is done.”  </w:t>
      </w:r>
      <w:r w:rsidR="0010370A">
        <w:t xml:space="preserve">Even if we ignore the fact that </w:t>
      </w:r>
      <w:r w:rsidR="00070617">
        <w:t>this</w:t>
      </w:r>
      <w:r w:rsidR="0010370A">
        <w:t xml:space="preserve"> conversation was </w:t>
      </w:r>
      <w:r w:rsidR="005D5F79">
        <w:t>not reflected</w:t>
      </w:r>
      <w:r w:rsidR="0010370A">
        <w:t xml:space="preserve"> in the </w:t>
      </w:r>
      <w:r w:rsidR="0021622B">
        <w:t xml:space="preserve">Office of Probation’s </w:t>
      </w:r>
      <w:r w:rsidR="0010370A">
        <w:t xml:space="preserve">activity log maintained </w:t>
      </w:r>
      <w:r w:rsidR="00A34950">
        <w:t>i</w:t>
      </w:r>
      <w:r w:rsidR="0010370A">
        <w:t xml:space="preserve">n </w:t>
      </w:r>
      <w:proofErr w:type="spellStart"/>
      <w:r w:rsidR="0010370A">
        <w:t>Prendiville’s</w:t>
      </w:r>
      <w:proofErr w:type="spellEnd"/>
      <w:r w:rsidR="0010370A">
        <w:t xml:space="preserve"> </w:t>
      </w:r>
      <w:proofErr w:type="spellStart"/>
      <w:r w:rsidR="0010370A">
        <w:t>reproval</w:t>
      </w:r>
      <w:proofErr w:type="spellEnd"/>
      <w:r w:rsidR="0010370A">
        <w:t xml:space="preserve"> file, we nevertheless conclude his</w:t>
      </w:r>
      <w:r w:rsidR="00EB27E6">
        <w:t xml:space="preserve"> belief</w:t>
      </w:r>
      <w:r>
        <w:t xml:space="preserve"> is unreasonable.</w:t>
      </w:r>
      <w:r w:rsidR="00EB27E6">
        <w:t xml:space="preserve">  The </w:t>
      </w:r>
      <w:proofErr w:type="spellStart"/>
      <w:r w:rsidR="00EB27E6">
        <w:t>reproval</w:t>
      </w:r>
      <w:proofErr w:type="spellEnd"/>
      <w:r w:rsidR="00EB27E6">
        <w:t xml:space="preserve"> order provided no exception to the requirement to submit </w:t>
      </w:r>
      <w:r w:rsidR="004E1C76">
        <w:t xml:space="preserve">quarterly reports covering the entire </w:t>
      </w:r>
      <w:proofErr w:type="spellStart"/>
      <w:r w:rsidR="004E1C76">
        <w:t>reproval</w:t>
      </w:r>
      <w:proofErr w:type="spellEnd"/>
      <w:r w:rsidR="004E1C76">
        <w:t xml:space="preserve"> period and a final report</w:t>
      </w:r>
      <w:r w:rsidR="00EB27E6">
        <w:t xml:space="preserve">.  </w:t>
      </w:r>
      <w:proofErr w:type="spellStart"/>
      <w:r w:rsidR="009324F7">
        <w:t>Prendiville</w:t>
      </w:r>
      <w:proofErr w:type="spellEnd"/>
      <w:r w:rsidR="009324F7">
        <w:t xml:space="preserve"> submitted multiple </w:t>
      </w:r>
      <w:r w:rsidR="0084476A">
        <w:t>quarterly report</w:t>
      </w:r>
      <w:r w:rsidR="009324F7">
        <w:t>s and each of these reports</w:t>
      </w:r>
      <w:r w:rsidR="00845B1A">
        <w:t xml:space="preserve"> </w:t>
      </w:r>
      <w:r w:rsidR="0064691A">
        <w:t>indicated on the front page</w:t>
      </w:r>
      <w:r w:rsidR="00845B1A">
        <w:t xml:space="preserve"> when his final report was due.  </w:t>
      </w:r>
      <w:r w:rsidR="00A00D38">
        <w:t>His purported conversation o</w:t>
      </w:r>
      <w:r w:rsidR="00C528D9">
        <w:t>ccurred prior to the</w:t>
      </w:r>
      <w:r w:rsidR="009324F7">
        <w:t xml:space="preserve"> </w:t>
      </w:r>
      <w:r w:rsidR="00A00D38">
        <w:t xml:space="preserve">due date for his final report and it is not credible that the probation deputy would have waived the final report without explanation.  </w:t>
      </w:r>
      <w:r w:rsidR="00A44BD4">
        <w:t xml:space="preserve">Finally, </w:t>
      </w:r>
      <w:proofErr w:type="spellStart"/>
      <w:r w:rsidR="00A44BD4">
        <w:t>Prendiville’s</w:t>
      </w:r>
      <w:proofErr w:type="spellEnd"/>
      <w:r w:rsidR="00A44BD4">
        <w:t xml:space="preserve"> belief regarding his outstanding reports</w:t>
      </w:r>
      <w:r w:rsidR="0006323A">
        <w:t xml:space="preserve"> should have been dispelled after</w:t>
      </w:r>
      <w:r w:rsidR="00A44BD4">
        <w:t xml:space="preserve"> a </w:t>
      </w:r>
      <w:r w:rsidR="009459DD">
        <w:t xml:space="preserve">different </w:t>
      </w:r>
      <w:r w:rsidR="00A44BD4">
        <w:t xml:space="preserve">probation deputy </w:t>
      </w:r>
      <w:r w:rsidR="00982184">
        <w:t>reminded</w:t>
      </w:r>
      <w:r w:rsidR="00A44BD4">
        <w:t xml:space="preserve"> him</w:t>
      </w:r>
      <w:r w:rsidR="00982184">
        <w:t xml:space="preserve"> </w:t>
      </w:r>
      <w:r w:rsidR="00A44BD4">
        <w:t xml:space="preserve">in </w:t>
      </w:r>
      <w:r w:rsidR="00E2439D">
        <w:t>the</w:t>
      </w:r>
      <w:r w:rsidR="00982184">
        <w:t xml:space="preserve"> </w:t>
      </w:r>
      <w:r w:rsidR="00A44BD4">
        <w:t>August 2006</w:t>
      </w:r>
      <w:r w:rsidR="00982184">
        <w:t xml:space="preserve"> telephone call</w:t>
      </w:r>
      <w:r w:rsidR="00A44BD4">
        <w:t xml:space="preserve"> to submit the </w:t>
      </w:r>
      <w:r w:rsidR="00302E55">
        <w:t>July 2006 quarterly report and final report</w:t>
      </w:r>
      <w:r w:rsidR="00A44BD4">
        <w:t>.</w:t>
      </w:r>
      <w:r w:rsidR="00E51B03">
        <w:t xml:space="preserve"> </w:t>
      </w:r>
    </w:p>
    <w:p w:rsidR="00754737" w:rsidRPr="00982184" w:rsidRDefault="00112DA9" w:rsidP="00112DA9">
      <w:pPr>
        <w:jc w:val="center"/>
        <w:rPr>
          <w:b/>
        </w:rPr>
      </w:pPr>
      <w:r w:rsidRPr="00982184">
        <w:rPr>
          <w:b/>
        </w:rPr>
        <w:lastRenderedPageBreak/>
        <w:t>I</w:t>
      </w:r>
      <w:r w:rsidR="00E2439D">
        <w:rPr>
          <w:b/>
        </w:rPr>
        <w:t>V</w:t>
      </w:r>
      <w:r w:rsidRPr="00982184">
        <w:rPr>
          <w:b/>
        </w:rPr>
        <w:t xml:space="preserve">.  LEVEL </w:t>
      </w:r>
      <w:r w:rsidR="00754737" w:rsidRPr="00982184">
        <w:rPr>
          <w:b/>
        </w:rPr>
        <w:t>OF DISCIPLINE</w:t>
      </w:r>
    </w:p>
    <w:p w:rsidR="00EB4A53" w:rsidRDefault="00112DA9" w:rsidP="00112DA9">
      <w:pPr>
        <w:ind w:firstLine="720"/>
      </w:pPr>
      <w:r>
        <w:t>The issue before us is the appropriate degree of discipline based on the facts unique to this case.  We first review the applicable standards.  (</w:t>
      </w:r>
      <w:proofErr w:type="spellStart"/>
      <w:r w:rsidRPr="00127AE1">
        <w:rPr>
          <w:i/>
        </w:rPr>
        <w:t>Drociak</w:t>
      </w:r>
      <w:proofErr w:type="spellEnd"/>
      <w:r w:rsidRPr="00127AE1">
        <w:rPr>
          <w:i/>
        </w:rPr>
        <w:t xml:space="preserve"> v. State Bar</w:t>
      </w:r>
      <w:r>
        <w:t xml:space="preserve"> (1991) 52 </w:t>
      </w:r>
      <w:proofErr w:type="spellStart"/>
      <w:r>
        <w:t>Cal.3d</w:t>
      </w:r>
      <w:proofErr w:type="spellEnd"/>
      <w:r>
        <w:t xml:space="preserve"> 1085, 1090.)  Standard 2.9 specifically addresses </w:t>
      </w:r>
      <w:proofErr w:type="spellStart"/>
      <w:r>
        <w:t>Pren</w:t>
      </w:r>
      <w:r w:rsidR="002C5F20">
        <w:t>diville’s</w:t>
      </w:r>
      <w:proofErr w:type="spellEnd"/>
      <w:r w:rsidR="002C5F20">
        <w:t xml:space="preserve"> </w:t>
      </w:r>
      <w:r w:rsidR="00F80195">
        <w:t xml:space="preserve">type of </w:t>
      </w:r>
      <w:r w:rsidR="002C5F20">
        <w:t xml:space="preserve">misconduct and </w:t>
      </w:r>
      <w:r w:rsidR="00760502">
        <w:t>calls</w:t>
      </w:r>
      <w:r w:rsidR="002C5F20">
        <w:t xml:space="preserve"> for suspension when a member willfully </w:t>
      </w:r>
      <w:r w:rsidR="00974022">
        <w:t>violates rule 1-110.  Due to</w:t>
      </w:r>
      <w:r w:rsidR="002C5F20">
        <w:t xml:space="preserve"> </w:t>
      </w:r>
      <w:proofErr w:type="spellStart"/>
      <w:r w:rsidR="002C5F20">
        <w:t>Prendiville’s</w:t>
      </w:r>
      <w:proofErr w:type="spellEnd"/>
      <w:r w:rsidR="002C5F20">
        <w:t xml:space="preserve"> extensive record of prior discipline</w:t>
      </w:r>
      <w:r w:rsidR="00A34950">
        <w:t>,</w:t>
      </w:r>
      <w:r w:rsidR="002C5F20">
        <w:t xml:space="preserve"> we </w:t>
      </w:r>
      <w:r w:rsidR="00C60150">
        <w:t xml:space="preserve">also </w:t>
      </w:r>
      <w:r w:rsidR="002C5F20">
        <w:t>must consider standard 1.7(b)</w:t>
      </w:r>
      <w:r w:rsidR="00A34950">
        <w:t>,</w:t>
      </w:r>
      <w:r w:rsidR="002C5F20">
        <w:t xml:space="preserve"> which provides for “disbarment unless the most compelling mitigating circumstances clearly predominate</w:t>
      </w:r>
      <w:r w:rsidR="00F82570">
        <w:t>”</w:t>
      </w:r>
      <w:r w:rsidR="00275157">
        <w:t xml:space="preserve"> when an attorney has a record of two or more impositions of discipline.</w:t>
      </w:r>
      <w:r w:rsidR="002C5F20">
        <w:t xml:space="preserve">  </w:t>
      </w:r>
      <w:r w:rsidR="00F82570">
        <w:t xml:space="preserve">Although </w:t>
      </w:r>
      <w:proofErr w:type="spellStart"/>
      <w:r w:rsidR="00F82570">
        <w:t>Prendiville</w:t>
      </w:r>
      <w:proofErr w:type="spellEnd"/>
      <w:r w:rsidR="00F82570">
        <w:t xml:space="preserve"> coo</w:t>
      </w:r>
      <w:r w:rsidR="00974022">
        <w:t>perated with the State Bar, this</w:t>
      </w:r>
      <w:r w:rsidR="00F82570">
        <w:t xml:space="preserve"> mitigating factor is neith</w:t>
      </w:r>
      <w:r w:rsidR="00C84BBF">
        <w:t>er compelling nor predominant.</w:t>
      </w:r>
    </w:p>
    <w:p w:rsidR="00D545AB" w:rsidRDefault="00A34950" w:rsidP="00112DA9">
      <w:pPr>
        <w:ind w:firstLine="720"/>
      </w:pPr>
      <w:r>
        <w:t>Absent th</w:t>
      </w:r>
      <w:r w:rsidR="00112DA9">
        <w:t>e most compelling mitigating circumstances</w:t>
      </w:r>
      <w:r>
        <w:t xml:space="preserve">, </w:t>
      </w:r>
      <w:r w:rsidR="00974022">
        <w:t>disbarment is the presumptive discipline</w:t>
      </w:r>
      <w:r w:rsidR="00112DA9">
        <w:t>.</w:t>
      </w:r>
      <w:r w:rsidR="00760502">
        <w:t xml:space="preserve">  To</w:t>
      </w:r>
      <w:r w:rsidR="002A65B1">
        <w:t xml:space="preserve"> avoid rigidly applying </w:t>
      </w:r>
      <w:r w:rsidR="00760502">
        <w:t>standard 1.7(b)</w:t>
      </w:r>
      <w:r>
        <w:t>,</w:t>
      </w:r>
      <w:r w:rsidR="00760502">
        <w:t xml:space="preserve"> </w:t>
      </w:r>
      <w:r w:rsidR="00E2439D">
        <w:t xml:space="preserve">we must consider </w:t>
      </w:r>
      <w:r w:rsidR="00760502">
        <w:t>the facts underlyin</w:t>
      </w:r>
      <w:r w:rsidR="007D0123">
        <w:t xml:space="preserve">g </w:t>
      </w:r>
      <w:r>
        <w:t xml:space="preserve">the </w:t>
      </w:r>
      <w:r w:rsidR="007D0123">
        <w:t>prior discipline</w:t>
      </w:r>
      <w:r w:rsidR="002626BD">
        <w:t>.  Ordinarily, we will</w:t>
      </w:r>
      <w:r w:rsidR="007D0123">
        <w:t xml:space="preserve"> </w:t>
      </w:r>
      <w:r w:rsidR="00E2439D">
        <w:t xml:space="preserve">recommend disbarment </w:t>
      </w:r>
      <w:r w:rsidR="007D0123">
        <w:t>if</w:t>
      </w:r>
      <w:r w:rsidR="00760502">
        <w:t xml:space="preserve"> </w:t>
      </w:r>
      <w:r w:rsidR="00F745D4">
        <w:t xml:space="preserve">the current misconduct </w:t>
      </w:r>
      <w:r w:rsidR="00760502">
        <w:t>is a repetition of offenses for which the</w:t>
      </w:r>
      <w:r w:rsidR="00E2439D">
        <w:t xml:space="preserve"> attorney</w:t>
      </w:r>
      <w:r w:rsidR="00F80195">
        <w:t xml:space="preserve"> has</w:t>
      </w:r>
      <w:r w:rsidR="00E2439D">
        <w:t xml:space="preserve"> </w:t>
      </w:r>
      <w:r w:rsidR="00760502">
        <w:t>previously been disciplined.</w:t>
      </w:r>
      <w:r w:rsidR="002A65B1">
        <w:t xml:space="preserve">  (</w:t>
      </w:r>
      <w:r w:rsidR="002A65B1" w:rsidRPr="002A65B1">
        <w:rPr>
          <w:i/>
        </w:rPr>
        <w:t>Morgan v. State Bar</w:t>
      </w:r>
      <w:r w:rsidR="002A65B1">
        <w:t xml:space="preserve"> (1990) 51 </w:t>
      </w:r>
      <w:proofErr w:type="spellStart"/>
      <w:r w:rsidR="002A65B1">
        <w:t>Cal.3d</w:t>
      </w:r>
      <w:proofErr w:type="spellEnd"/>
      <w:r w:rsidR="002A65B1">
        <w:t xml:space="preserve"> 598</w:t>
      </w:r>
      <w:r w:rsidR="00C47364">
        <w:t>, 607</w:t>
      </w:r>
      <w:r w:rsidR="00EF7DD5">
        <w:t>.</w:t>
      </w:r>
      <w:r w:rsidR="002A65B1">
        <w:t>)</w:t>
      </w:r>
      <w:r w:rsidR="00EE0BAA">
        <w:t xml:space="preserve">  We find such repetition </w:t>
      </w:r>
      <w:r w:rsidR="00F745D4">
        <w:t>here</w:t>
      </w:r>
      <w:r w:rsidR="00EE0BAA">
        <w:t xml:space="preserve">.  </w:t>
      </w:r>
    </w:p>
    <w:p w:rsidR="00624A70" w:rsidRDefault="00EE0BAA" w:rsidP="00112DA9">
      <w:pPr>
        <w:ind w:firstLine="720"/>
      </w:pPr>
      <w:proofErr w:type="spellStart"/>
      <w:r>
        <w:t>Prendiville</w:t>
      </w:r>
      <w:proofErr w:type="spellEnd"/>
      <w:r>
        <w:t xml:space="preserve"> contends there is no </w:t>
      </w:r>
      <w:r w:rsidR="00EF7DD5">
        <w:t xml:space="preserve">repetition or </w:t>
      </w:r>
      <w:r>
        <w:t xml:space="preserve">common thread between the present matter and his prior misconduct because this is the first time he violated any terms of probation.  </w:t>
      </w:r>
      <w:r w:rsidR="00D545AB">
        <w:t>We disagree</w:t>
      </w:r>
      <w:r w:rsidR="00F745D4">
        <w:t>.</w:t>
      </w:r>
      <w:r w:rsidR="00D545AB">
        <w:t xml:space="preserve"> </w:t>
      </w:r>
      <w:r w:rsidR="00F745D4">
        <w:t xml:space="preserve"> O</w:t>
      </w:r>
      <w:r w:rsidR="009459DD">
        <w:t xml:space="preserve">ne of </w:t>
      </w:r>
      <w:r w:rsidR="00D545AB">
        <w:t>the condition</w:t>
      </w:r>
      <w:r w:rsidR="009459DD">
        <w:t>s</w:t>
      </w:r>
      <w:r w:rsidR="00D545AB">
        <w:t xml:space="preserve"> </w:t>
      </w:r>
      <w:proofErr w:type="spellStart"/>
      <w:r w:rsidR="00D545AB">
        <w:t>Prendiville</w:t>
      </w:r>
      <w:proofErr w:type="spellEnd"/>
      <w:r w:rsidR="00D545AB">
        <w:t xml:space="preserve"> violated was directly related to his 10-year history of committing trust account violations.  </w:t>
      </w:r>
      <w:r w:rsidR="007D297D">
        <w:t xml:space="preserve">Each of </w:t>
      </w:r>
      <w:r w:rsidR="00F745D4">
        <w:t>his</w:t>
      </w:r>
      <w:r w:rsidR="007D297D">
        <w:t xml:space="preserve"> prior disciplinary matters involved his unethical use of his </w:t>
      </w:r>
      <w:r w:rsidR="00F80195">
        <w:t>CTA</w:t>
      </w:r>
      <w:r w:rsidR="007D297D">
        <w:t xml:space="preserve"> by commingling, misappropriating client funds or failing to properly maintain client funds in trust.  </w:t>
      </w:r>
      <w:r w:rsidR="00815948">
        <w:t xml:space="preserve">Despite completion of the State Bar’s Client Trust Accounting School, </w:t>
      </w:r>
      <w:proofErr w:type="spellStart"/>
      <w:r w:rsidR="00815948">
        <w:t>Prendiville’s</w:t>
      </w:r>
      <w:proofErr w:type="spellEnd"/>
      <w:r w:rsidR="00815948">
        <w:t xml:space="preserve"> unethical use of his </w:t>
      </w:r>
      <w:r w:rsidR="00F80195">
        <w:t>CTA</w:t>
      </w:r>
      <w:r w:rsidR="00815948">
        <w:t xml:space="preserve"> continued unabated.  </w:t>
      </w:r>
      <w:r w:rsidR="009F6C6B">
        <w:t>Even after completing the</w:t>
      </w:r>
      <w:r w:rsidR="00F80195">
        <w:t xml:space="preserve"> school</w:t>
      </w:r>
      <w:r w:rsidR="009F6C6B">
        <w:t xml:space="preserve"> a second time, </w:t>
      </w:r>
      <w:r w:rsidR="00F745D4">
        <w:t>he</w:t>
      </w:r>
      <w:r>
        <w:t xml:space="preserve"> </w:t>
      </w:r>
      <w:r w:rsidR="009F6C6B">
        <w:t>failed to file a single CPA certification</w:t>
      </w:r>
      <w:r w:rsidR="00577E7A">
        <w:t xml:space="preserve"> required under the terms of a disciplinary order</w:t>
      </w:r>
      <w:r w:rsidR="009F6C6B">
        <w:t xml:space="preserve">.  In light of his </w:t>
      </w:r>
      <w:r w:rsidR="00215BC3">
        <w:t>repeated</w:t>
      </w:r>
      <w:r w:rsidR="009F6C6B">
        <w:t xml:space="preserve"> trust account violations</w:t>
      </w:r>
      <w:r w:rsidR="00EF7DD5">
        <w:t xml:space="preserve">, </w:t>
      </w:r>
      <w:r w:rsidR="007D28D0">
        <w:t>the requirement to provide a</w:t>
      </w:r>
      <w:r w:rsidR="005A1424">
        <w:t xml:space="preserve"> CPA</w:t>
      </w:r>
      <w:r w:rsidR="003417D8">
        <w:t xml:space="preserve"> certification from an independent third party</w:t>
      </w:r>
      <w:r w:rsidR="00EB4A53">
        <w:t xml:space="preserve"> </w:t>
      </w:r>
      <w:r w:rsidR="009F6C6B">
        <w:t xml:space="preserve">was </w:t>
      </w:r>
      <w:r w:rsidR="00C60150">
        <w:t xml:space="preserve">necessary </w:t>
      </w:r>
      <w:r w:rsidR="007D297D">
        <w:t xml:space="preserve">to </w:t>
      </w:r>
      <w:r w:rsidR="00F80195">
        <w:t>en</w:t>
      </w:r>
      <w:r w:rsidR="007D297D">
        <w:t xml:space="preserve">sure </w:t>
      </w:r>
      <w:r w:rsidR="009F6C6B">
        <w:t xml:space="preserve">that </w:t>
      </w:r>
      <w:r w:rsidR="00AC104B">
        <w:t>he</w:t>
      </w:r>
      <w:r w:rsidR="003417D8">
        <w:t xml:space="preserve"> was no longer </w:t>
      </w:r>
      <w:r w:rsidR="003417D8">
        <w:lastRenderedPageBreak/>
        <w:t xml:space="preserve">abusing </w:t>
      </w:r>
      <w:r w:rsidR="007D297D">
        <w:t xml:space="preserve">his </w:t>
      </w:r>
      <w:r w:rsidR="00F80195">
        <w:t>CTA</w:t>
      </w:r>
      <w:r w:rsidR="00EB4A53">
        <w:t>.</w:t>
      </w:r>
      <w:r w:rsidR="007D297D">
        <w:t xml:space="preserve">  </w:t>
      </w:r>
      <w:proofErr w:type="spellStart"/>
      <w:r w:rsidR="00AC104B">
        <w:t>Prendiville</w:t>
      </w:r>
      <w:proofErr w:type="spellEnd"/>
      <w:r w:rsidR="00C60150">
        <w:t xml:space="preserve"> </w:t>
      </w:r>
      <w:r w:rsidR="004A2155">
        <w:t>completely flouted a condition</w:t>
      </w:r>
      <w:r w:rsidR="0056543C">
        <w:t xml:space="preserve"> directly related to his inability to </w:t>
      </w:r>
      <w:r w:rsidR="00F745D4">
        <w:t xml:space="preserve">properly manage </w:t>
      </w:r>
      <w:r w:rsidR="00F80195">
        <w:t>a CTA</w:t>
      </w:r>
      <w:r w:rsidR="00AC104B">
        <w:t xml:space="preserve">.  </w:t>
      </w:r>
      <w:r w:rsidR="00F745D4">
        <w:t>This</w:t>
      </w:r>
      <w:r w:rsidR="0056543C">
        <w:t xml:space="preserve"> inability has been </w:t>
      </w:r>
      <w:r w:rsidR="00F745D4">
        <w:t>the</w:t>
      </w:r>
      <w:r w:rsidR="0056543C">
        <w:t xml:space="preserve"> basis for </w:t>
      </w:r>
      <w:proofErr w:type="spellStart"/>
      <w:r w:rsidR="0056543C">
        <w:t>Prendiville’s</w:t>
      </w:r>
      <w:proofErr w:type="spellEnd"/>
      <w:r w:rsidR="0056543C">
        <w:t xml:space="preserve"> three prior </w:t>
      </w:r>
      <w:r w:rsidR="00F745D4">
        <w:t>disciplinary matters.</w:t>
      </w:r>
      <w:r w:rsidR="0056543C">
        <w:t xml:space="preserve">  </w:t>
      </w:r>
      <w:r w:rsidR="00AC104B">
        <w:t>Therefore, we find</w:t>
      </w:r>
      <w:r w:rsidR="00D545AB">
        <w:t xml:space="preserve"> </w:t>
      </w:r>
      <w:r w:rsidR="0056543C">
        <w:t>a common link</w:t>
      </w:r>
      <w:r w:rsidR="00D545AB">
        <w:t xml:space="preserve"> </w:t>
      </w:r>
      <w:r w:rsidR="00AC104B">
        <w:t xml:space="preserve">between the current misconduct and </w:t>
      </w:r>
      <w:r w:rsidR="00F745D4">
        <w:t>his</w:t>
      </w:r>
      <w:r w:rsidR="00D545AB">
        <w:t xml:space="preserve"> prior discipline.  </w:t>
      </w:r>
    </w:p>
    <w:p w:rsidR="00EB4A53" w:rsidRDefault="00D545AB" w:rsidP="00112DA9">
      <w:pPr>
        <w:ind w:firstLine="720"/>
      </w:pPr>
      <w:proofErr w:type="spellStart"/>
      <w:r>
        <w:t>Prendiville’s</w:t>
      </w:r>
      <w:proofErr w:type="spellEnd"/>
      <w:r>
        <w:t xml:space="preserve"> </w:t>
      </w:r>
      <w:r w:rsidR="00F83CB6">
        <w:t xml:space="preserve">repetition of misconduct over a prolonged </w:t>
      </w:r>
      <w:r w:rsidR="00F745D4">
        <w:t>period</w:t>
      </w:r>
      <w:r w:rsidR="00F83CB6">
        <w:t xml:space="preserve"> suggests that he is either </w:t>
      </w:r>
      <w:r w:rsidR="00C47364">
        <w:t>“</w:t>
      </w:r>
      <w:r w:rsidR="00F83CB6">
        <w:t>unwilling or unable</w:t>
      </w:r>
      <w:r w:rsidR="00C47364">
        <w:t>”</w:t>
      </w:r>
      <w:r w:rsidR="00F83CB6">
        <w:t xml:space="preserve"> to </w:t>
      </w:r>
      <w:r w:rsidR="005A1BC5">
        <w:t>c</w:t>
      </w:r>
      <w:r w:rsidR="00F83CB6">
        <w:t>onform his behavior to the rules of professional conduct</w:t>
      </w:r>
      <w:r w:rsidR="00624A70">
        <w:t xml:space="preserve">.  </w:t>
      </w:r>
      <w:r w:rsidR="00EF7DD5">
        <w:t>(</w:t>
      </w:r>
      <w:r w:rsidR="00EF7DD5" w:rsidRPr="002A65B1">
        <w:rPr>
          <w:i/>
        </w:rPr>
        <w:t>Barnum v. State Bar</w:t>
      </w:r>
      <w:r w:rsidR="00C47364">
        <w:rPr>
          <w:i/>
        </w:rPr>
        <w:t xml:space="preserve"> </w:t>
      </w:r>
      <w:r w:rsidR="00C47364">
        <w:t xml:space="preserve">(1990) </w:t>
      </w:r>
      <w:r w:rsidR="00EF7DD5">
        <w:t xml:space="preserve">52 </w:t>
      </w:r>
      <w:proofErr w:type="spellStart"/>
      <w:r w:rsidR="00EF7DD5">
        <w:t>Cal.3d</w:t>
      </w:r>
      <w:proofErr w:type="spellEnd"/>
      <w:r w:rsidR="00EF7DD5">
        <w:t xml:space="preserve"> </w:t>
      </w:r>
      <w:r w:rsidR="00C47364">
        <w:t xml:space="preserve">104, </w:t>
      </w:r>
      <w:r w:rsidR="00A03FA7">
        <w:t>11</w:t>
      </w:r>
      <w:r w:rsidR="00C47364">
        <w:t>1</w:t>
      </w:r>
      <w:r w:rsidR="00EF7DD5">
        <w:t>.</w:t>
      </w:r>
      <w:r w:rsidR="00AC7C92">
        <w:t>)</w:t>
      </w:r>
      <w:r w:rsidR="00EF7DD5">
        <w:t xml:space="preserve">  </w:t>
      </w:r>
      <w:r w:rsidR="00AC7C92">
        <w:t xml:space="preserve">He has been on disciplinary probation three times and has committed additional misconduct </w:t>
      </w:r>
      <w:r w:rsidR="005468D0">
        <w:t>during a</w:t>
      </w:r>
      <w:r w:rsidR="008F04A7">
        <w:t>ll three</w:t>
      </w:r>
      <w:r w:rsidR="005468D0">
        <w:t xml:space="preserve"> probationary periods</w:t>
      </w:r>
      <w:r w:rsidR="008F04A7">
        <w:t xml:space="preserve">.  </w:t>
      </w:r>
      <w:r w:rsidR="00624A70">
        <w:t>This</w:t>
      </w:r>
      <w:r w:rsidR="00F83CB6">
        <w:t xml:space="preserve"> raises grave concern that he </w:t>
      </w:r>
      <w:r w:rsidR="00F745D4">
        <w:t>is likely to</w:t>
      </w:r>
      <w:r w:rsidR="00E34B15">
        <w:t xml:space="preserve"> commit future wrongdoing</w:t>
      </w:r>
      <w:r w:rsidR="00C60150">
        <w:t xml:space="preserve"> and </w:t>
      </w:r>
      <w:r w:rsidR="00C47364">
        <w:t xml:space="preserve">is </w:t>
      </w:r>
      <w:r w:rsidR="00C60150">
        <w:t>not a good candidate for additional probation</w:t>
      </w:r>
      <w:r w:rsidR="00E34B15">
        <w:t xml:space="preserve">.  </w:t>
      </w:r>
      <w:r w:rsidR="00F745D4">
        <w:t xml:space="preserve">As a result, </w:t>
      </w:r>
      <w:r w:rsidR="00E34B15">
        <w:t xml:space="preserve">we find application of standard 1.7(b) appropriate and recommend </w:t>
      </w:r>
      <w:proofErr w:type="spellStart"/>
      <w:r w:rsidR="00E34B15">
        <w:t>Prendiville’s</w:t>
      </w:r>
      <w:proofErr w:type="spellEnd"/>
      <w:r w:rsidR="00E34B15">
        <w:t xml:space="preserve"> disbarment.</w:t>
      </w:r>
      <w:r w:rsidR="00C833A0">
        <w:t xml:space="preserve">  (</w:t>
      </w:r>
      <w:r w:rsidR="00C833A0" w:rsidRPr="002A65B1">
        <w:rPr>
          <w:i/>
        </w:rPr>
        <w:t>Morgan v. State Ba</w:t>
      </w:r>
      <w:r w:rsidR="00C833A0">
        <w:rPr>
          <w:i/>
        </w:rPr>
        <w:t xml:space="preserve">r, supra, </w:t>
      </w:r>
      <w:r w:rsidR="00C833A0">
        <w:t xml:space="preserve">51 </w:t>
      </w:r>
      <w:proofErr w:type="spellStart"/>
      <w:r w:rsidR="00C833A0">
        <w:t>Cal.3d</w:t>
      </w:r>
      <w:proofErr w:type="spellEnd"/>
      <w:r w:rsidR="00C833A0">
        <w:t xml:space="preserve"> at p. 607 [std. 1.7(b) applied where four priors demonstrated pattern of professional misconduct]; </w:t>
      </w:r>
      <w:r w:rsidR="00C833A0" w:rsidRPr="002A65B1">
        <w:rPr>
          <w:i/>
        </w:rPr>
        <w:t>Barnum v. State Bar</w:t>
      </w:r>
      <w:r w:rsidR="00FD5B88">
        <w:rPr>
          <w:i/>
        </w:rPr>
        <w:t>, supra,</w:t>
      </w:r>
      <w:r w:rsidR="00C833A0">
        <w:t xml:space="preserve"> 52 </w:t>
      </w:r>
      <w:proofErr w:type="spellStart"/>
      <w:r w:rsidR="00C833A0">
        <w:t>Cal.3d</w:t>
      </w:r>
      <w:proofErr w:type="spellEnd"/>
      <w:r w:rsidR="00C833A0">
        <w:t xml:space="preserve"> </w:t>
      </w:r>
      <w:r w:rsidR="00FD5B88">
        <w:t xml:space="preserve">at pp. </w:t>
      </w:r>
      <w:r w:rsidR="00C833A0">
        <w:t>111</w:t>
      </w:r>
      <w:r w:rsidR="00FD5B88">
        <w:t>, 113</w:t>
      </w:r>
      <w:r w:rsidR="00C833A0">
        <w:t xml:space="preserve"> [std. 1.7(b) applied where no mitigation and attorney unwilling or unable to learn from past mistakes]; </w:t>
      </w:r>
      <w:r w:rsidR="00C833A0" w:rsidRPr="005A1BC5">
        <w:rPr>
          <w:i/>
        </w:rPr>
        <w:t xml:space="preserve">In the Matter of </w:t>
      </w:r>
      <w:proofErr w:type="spellStart"/>
      <w:r w:rsidR="00C833A0" w:rsidRPr="005A1BC5">
        <w:rPr>
          <w:i/>
        </w:rPr>
        <w:t>Shalant</w:t>
      </w:r>
      <w:proofErr w:type="spellEnd"/>
      <w:r w:rsidR="00C833A0">
        <w:t xml:space="preserve"> (Review Dept. 2005) 4 Cal. State Bar Ct. </w:t>
      </w:r>
      <w:proofErr w:type="spellStart"/>
      <w:r w:rsidR="00C833A0">
        <w:t>Rptr</w:t>
      </w:r>
      <w:proofErr w:type="spellEnd"/>
      <w:r w:rsidR="00C833A0">
        <w:t xml:space="preserve">. 829, 841 [std. 1.7(b) applied where current offenses plainly echo four prior records and provide “disturbing repetitive theme”]; compare </w:t>
      </w:r>
      <w:r w:rsidR="00C833A0" w:rsidRPr="00275157">
        <w:rPr>
          <w:i/>
        </w:rPr>
        <w:t>Arm v. State Bar</w:t>
      </w:r>
      <w:r w:rsidR="00C833A0">
        <w:t xml:space="preserve"> (1990) 50 </w:t>
      </w:r>
      <w:proofErr w:type="spellStart"/>
      <w:r w:rsidR="00C833A0">
        <w:t>Cal.3d</w:t>
      </w:r>
      <w:proofErr w:type="spellEnd"/>
      <w:r w:rsidR="00C833A0">
        <w:t xml:space="preserve"> 763, 7</w:t>
      </w:r>
      <w:r w:rsidR="00FD5B88">
        <w:t>79-7</w:t>
      </w:r>
      <w:r w:rsidR="00C833A0">
        <w:t>80 [decline to apply std. 1.7(b) where compelling mitigating circumstances</w:t>
      </w:r>
      <w:r w:rsidR="00FD5B88">
        <w:t xml:space="preserve"> predominate</w:t>
      </w:r>
      <w:r w:rsidR="00E91C87">
        <w:t xml:space="preserve"> and absence of </w:t>
      </w:r>
      <w:r w:rsidR="00C833A0">
        <w:t>common thread between current and past discipline].)</w:t>
      </w:r>
    </w:p>
    <w:p w:rsidR="00275523" w:rsidRPr="008C334B" w:rsidRDefault="00275523" w:rsidP="00C47FE4">
      <w:pPr>
        <w:ind w:firstLine="720"/>
        <w:jc w:val="center"/>
        <w:rPr>
          <w:b/>
        </w:rPr>
      </w:pPr>
      <w:r w:rsidRPr="008C334B">
        <w:rPr>
          <w:b/>
        </w:rPr>
        <w:t>V.  RECOMMENDATION</w:t>
      </w:r>
    </w:p>
    <w:p w:rsidR="00275523" w:rsidRDefault="0001308E" w:rsidP="00112DA9">
      <w:pPr>
        <w:ind w:firstLine="720"/>
      </w:pPr>
      <w:r>
        <w:t xml:space="preserve">Therefore, we recommend that Andrew James </w:t>
      </w:r>
      <w:proofErr w:type="spellStart"/>
      <w:r>
        <w:t>Prendiville</w:t>
      </w:r>
      <w:proofErr w:type="spellEnd"/>
      <w:r w:rsidR="00DB622B">
        <w:t xml:space="preserve"> </w:t>
      </w:r>
      <w:r>
        <w:t>be disbarred</w:t>
      </w:r>
      <w:r w:rsidR="00A17516">
        <w:t xml:space="preserve"> and </w:t>
      </w:r>
      <w:r w:rsidR="00DB622B">
        <w:t xml:space="preserve">that </w:t>
      </w:r>
      <w:r w:rsidR="00A17516">
        <w:t>his name be stricken from the roll of attorneys</w:t>
      </w:r>
      <w:r>
        <w:t xml:space="preserve">. </w:t>
      </w:r>
    </w:p>
    <w:p w:rsidR="00DB622B" w:rsidRDefault="00DB622B" w:rsidP="00A17516">
      <w:pPr>
        <w:ind w:firstLine="720"/>
      </w:pPr>
      <w:r>
        <w:t xml:space="preserve">We </w:t>
      </w:r>
      <w:r w:rsidR="00A17516">
        <w:t xml:space="preserve">further recommend that </w:t>
      </w:r>
      <w:r>
        <w:t>he</w:t>
      </w:r>
      <w:r w:rsidR="00A17516">
        <w:t xml:space="preserve"> be ordered to comply with the requirements of </w:t>
      </w:r>
      <w:r>
        <w:t xml:space="preserve">rule 9.20 of the </w:t>
      </w:r>
      <w:r w:rsidR="00A17516">
        <w:t xml:space="preserve">California Rules of Court, and </w:t>
      </w:r>
      <w:r>
        <w:t xml:space="preserve">to </w:t>
      </w:r>
      <w:r w:rsidR="00A17516">
        <w:t xml:space="preserve">perform the acts specified in subdivisions (a) and (c) of that </w:t>
      </w:r>
      <w:r w:rsidR="00A17516">
        <w:lastRenderedPageBreak/>
        <w:t>rule within 30 and 40 days, respectively, after the</w:t>
      </w:r>
      <w:r>
        <w:t xml:space="preserve"> effective date of the Supreme C</w:t>
      </w:r>
      <w:r w:rsidR="00A17516">
        <w:t xml:space="preserve">ourt order  </w:t>
      </w:r>
      <w:r>
        <w:t>herein</w:t>
      </w:r>
      <w:r w:rsidR="00A17516">
        <w:t>.</w:t>
      </w:r>
    </w:p>
    <w:p w:rsidR="00C47FE4" w:rsidRDefault="00A17516" w:rsidP="00112DA9">
      <w:pPr>
        <w:ind w:firstLine="720"/>
      </w:pPr>
      <w:r>
        <w:t xml:space="preserve">Finally, we recommend that costs be awarded to the State Bar in accordance with Business and Professions Code, section 6086.10, such costs being enforceable both as provided in section 6140.7 of that code and as a money judgment. </w:t>
      </w:r>
    </w:p>
    <w:p w:rsidR="00A17516" w:rsidRPr="00DB622B" w:rsidRDefault="00A17516" w:rsidP="00C47FE4">
      <w:pPr>
        <w:ind w:firstLine="720"/>
        <w:jc w:val="center"/>
        <w:rPr>
          <w:b/>
        </w:rPr>
      </w:pPr>
      <w:r w:rsidRPr="00DB622B">
        <w:rPr>
          <w:b/>
        </w:rPr>
        <w:t>V</w:t>
      </w:r>
      <w:r w:rsidR="00EF7DD5">
        <w:rPr>
          <w:b/>
        </w:rPr>
        <w:t>I.</w:t>
      </w:r>
      <w:r w:rsidR="005468D0">
        <w:rPr>
          <w:b/>
        </w:rPr>
        <w:t xml:space="preserve"> </w:t>
      </w:r>
      <w:r w:rsidR="00EF7DD5">
        <w:rPr>
          <w:b/>
        </w:rPr>
        <w:t xml:space="preserve"> </w:t>
      </w:r>
      <w:r w:rsidRPr="00DB622B">
        <w:rPr>
          <w:b/>
        </w:rPr>
        <w:t>ORDER OF INACTIVE ENROLLMENT</w:t>
      </w:r>
    </w:p>
    <w:p w:rsidR="00A17516" w:rsidRDefault="00A17516" w:rsidP="00112DA9">
      <w:pPr>
        <w:ind w:firstLine="720"/>
      </w:pPr>
      <w:r>
        <w:t>Pursuant to the provisions of Business and Professions Code section 6007, subdivision (c)(4)</w:t>
      </w:r>
      <w:r w:rsidR="00F83CB6">
        <w:t>,</w:t>
      </w:r>
      <w:r>
        <w:t xml:space="preserve"> and Rules of Procedure of the State Bar, rule 220(c), </w:t>
      </w:r>
      <w:r w:rsidR="00DB622B">
        <w:t xml:space="preserve">Andrew James </w:t>
      </w:r>
      <w:proofErr w:type="spellStart"/>
      <w:r>
        <w:t>Prendiville</w:t>
      </w:r>
      <w:proofErr w:type="spellEnd"/>
      <w:r w:rsidR="00C543E2">
        <w:t>, State Bar Number 93003,</w:t>
      </w:r>
      <w:r>
        <w:t xml:space="preserve"> is ordered enrolled inactive</w:t>
      </w:r>
      <w:r w:rsidR="00C543E2">
        <w:t xml:space="preserve"> effective </w:t>
      </w:r>
      <w:r w:rsidR="00C60150">
        <w:t xml:space="preserve">15 days </w:t>
      </w:r>
      <w:r>
        <w:t xml:space="preserve">after service </w:t>
      </w:r>
      <w:r w:rsidR="00C60150">
        <w:t xml:space="preserve">of this order. </w:t>
      </w:r>
    </w:p>
    <w:p w:rsidR="00C543E2" w:rsidRDefault="00C543E2" w:rsidP="00112DA9">
      <w:pPr>
        <w:ind w:firstLine="720"/>
      </w:pPr>
    </w:p>
    <w:p w:rsidR="00112DA9" w:rsidRDefault="00DB622B" w:rsidP="00C11CC8">
      <w:r>
        <w:tab/>
      </w:r>
      <w:r>
        <w:tab/>
      </w:r>
      <w:r>
        <w:tab/>
      </w:r>
      <w:r>
        <w:tab/>
      </w:r>
      <w:r>
        <w:tab/>
      </w:r>
      <w:r>
        <w:tab/>
      </w:r>
      <w:r>
        <w:tab/>
        <w:t>REMKE, P. J.</w:t>
      </w:r>
    </w:p>
    <w:p w:rsidR="00DB622B" w:rsidRDefault="00DB622B" w:rsidP="00C11CC8">
      <w:r>
        <w:t>We concur:</w:t>
      </w:r>
    </w:p>
    <w:p w:rsidR="00DB622B" w:rsidRDefault="00DB622B" w:rsidP="00C11CC8">
      <w:r>
        <w:t>EPSTEIN, J.</w:t>
      </w:r>
    </w:p>
    <w:p w:rsidR="00DB622B" w:rsidRDefault="00DB622B" w:rsidP="00C11CC8">
      <w:r>
        <w:t>PURCELL, J.</w:t>
      </w:r>
    </w:p>
    <w:p w:rsidR="000A21FD" w:rsidRPr="008A154E" w:rsidRDefault="000A21FD" w:rsidP="00C11CC8"/>
    <w:sectPr w:rsidR="000A21FD" w:rsidRPr="008A154E" w:rsidSect="003C226F">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64" w:rsidRDefault="00C47364" w:rsidP="00783AF1">
      <w:pPr>
        <w:spacing w:line="240" w:lineRule="auto"/>
      </w:pPr>
      <w:r>
        <w:separator/>
      </w:r>
    </w:p>
  </w:endnote>
  <w:endnote w:type="continuationSeparator" w:id="0">
    <w:p w:rsidR="00C47364" w:rsidRDefault="00C47364"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64" w:rsidRDefault="00C47364" w:rsidP="00783AF1">
    <w:pPr>
      <w:pStyle w:val="Footer"/>
      <w:spacing w:before="120" w:line="240" w:lineRule="auto"/>
      <w:jc w:val="center"/>
    </w:pPr>
    <w:r>
      <w:t>-</w:t>
    </w:r>
    <w:fldSimple w:instr=" PAGE   \* MERGEFORMAT ">
      <w:r w:rsidR="00BD57F7">
        <w:rPr>
          <w:noProof/>
        </w:rPr>
        <w:t>9</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64" w:rsidRDefault="00C47364" w:rsidP="00783AF1">
      <w:pPr>
        <w:spacing w:line="240" w:lineRule="auto"/>
      </w:pPr>
      <w:r>
        <w:separator/>
      </w:r>
    </w:p>
  </w:footnote>
  <w:footnote w:type="continuationSeparator" w:id="0">
    <w:p w:rsidR="00C47364" w:rsidRDefault="00C47364" w:rsidP="00783AF1">
      <w:pPr>
        <w:spacing w:line="240" w:lineRule="auto"/>
      </w:pPr>
      <w:r>
        <w:continuationSeparator/>
      </w:r>
    </w:p>
  </w:footnote>
  <w:footnote w:type="continuationNotice" w:id="1">
    <w:p w:rsidR="00C47364" w:rsidRDefault="00C47364">
      <w:pPr>
        <w:spacing w:line="240" w:lineRule="auto"/>
      </w:pPr>
    </w:p>
  </w:footnote>
  <w:footnote w:id="2">
    <w:p w:rsidR="00C47364" w:rsidRDefault="00C47364" w:rsidP="0074375D">
      <w:pPr>
        <w:pStyle w:val="FootnoteText"/>
      </w:pPr>
      <w:r>
        <w:rPr>
          <w:rStyle w:val="FootnoteReference"/>
        </w:rPr>
        <w:footnoteRef/>
      </w:r>
      <w:r>
        <w:t>Rule</w:t>
      </w:r>
      <w:r w:rsidRPr="00327D14">
        <w:t>s of Procedure of the State Bar, title IV, Standards for Attorney San</w:t>
      </w:r>
      <w:r>
        <w:t>ctions for Professional Misconduct.  All further references to “standard(s)” are to this source.</w:t>
      </w:r>
    </w:p>
  </w:footnote>
  <w:footnote w:id="3">
    <w:p w:rsidR="00C47364" w:rsidRDefault="00C47364" w:rsidP="00A34950">
      <w:pPr>
        <w:pStyle w:val="FootnoteText"/>
      </w:pPr>
      <w:r>
        <w:rPr>
          <w:rStyle w:val="FootnoteReference"/>
        </w:rPr>
        <w:footnoteRef/>
      </w:r>
      <w:r>
        <w:t xml:space="preserve">The Office of Probation sent </w:t>
      </w:r>
      <w:proofErr w:type="spellStart"/>
      <w:r>
        <w:t>Prendiville</w:t>
      </w:r>
      <w:proofErr w:type="spellEnd"/>
      <w:r>
        <w:t xml:space="preserve"> correspondence indicating August 19, 2004, as the effective date of his </w:t>
      </w:r>
      <w:proofErr w:type="spellStart"/>
      <w:r>
        <w:t>reproval</w:t>
      </w:r>
      <w:proofErr w:type="spellEnd"/>
      <w:r>
        <w:t xml:space="preserve">.  In this proceeding, the State Bar and </w:t>
      </w:r>
      <w:proofErr w:type="spellStart"/>
      <w:r>
        <w:t>Prendiville</w:t>
      </w:r>
      <w:proofErr w:type="spellEnd"/>
      <w:r>
        <w:t xml:space="preserve"> stipulated that the </w:t>
      </w:r>
      <w:proofErr w:type="spellStart"/>
      <w:r>
        <w:t>reproval</w:t>
      </w:r>
      <w:proofErr w:type="spellEnd"/>
      <w:r>
        <w:t xml:space="preserve"> order became effective on the date it was filed, June 30, 2004.  Both dates are incorrect.  The </w:t>
      </w:r>
      <w:proofErr w:type="spellStart"/>
      <w:r>
        <w:t>reproval</w:t>
      </w:r>
      <w:proofErr w:type="spellEnd"/>
      <w:r>
        <w:t xml:space="preserve"> order specifically states it “shall be effective 15 days after service . . . .”  Since it was served by mail on June 30, 2004, it became effective on July 21, 2004.  (Code Civ. Proc., § 1013, </w:t>
      </w:r>
      <w:proofErr w:type="spellStart"/>
      <w:r>
        <w:t>subd</w:t>
      </w:r>
      <w:proofErr w:type="spellEnd"/>
      <w:r>
        <w:t>. (a).)</w:t>
      </w:r>
    </w:p>
  </w:footnote>
  <w:footnote w:id="4">
    <w:p w:rsidR="00C47364" w:rsidRDefault="00C47364" w:rsidP="00A34950">
      <w:pPr>
        <w:pStyle w:val="FootnoteText"/>
      </w:pPr>
      <w:r>
        <w:rPr>
          <w:rStyle w:val="FootnoteReference"/>
        </w:rPr>
        <w:footnoteRef/>
      </w:r>
      <w:r>
        <w:t xml:space="preserve">This rule requires that “A member shall comply with the conditions attached to public or private </w:t>
      </w:r>
      <w:proofErr w:type="spellStart"/>
      <w:r>
        <w:t>reprovals</w:t>
      </w:r>
      <w:proofErr w:type="spellEnd"/>
      <w:r>
        <w:t xml:space="preserve"> . . . .”  All further references to “rule(s)” </w:t>
      </w:r>
      <w:r w:rsidR="00E91C87">
        <w:t>are</w:t>
      </w:r>
      <w:r>
        <w:t xml:space="preserv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904"/>
    <w:multiLevelType w:val="hybridMultilevel"/>
    <w:tmpl w:val="80BE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225D7"/>
    <w:multiLevelType w:val="hybridMultilevel"/>
    <w:tmpl w:val="194857FC"/>
    <w:lvl w:ilvl="0" w:tplc="3DF8C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930E0"/>
    <w:multiLevelType w:val="hybridMultilevel"/>
    <w:tmpl w:val="0672A6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0B2152"/>
    <w:multiLevelType w:val="hybridMultilevel"/>
    <w:tmpl w:val="28186B40"/>
    <w:lvl w:ilvl="0" w:tplc="7D56D4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E119D9"/>
    <w:multiLevelType w:val="hybridMultilevel"/>
    <w:tmpl w:val="E2E296BA"/>
    <w:lvl w:ilvl="0" w:tplc="1DE433D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4317AD"/>
    <w:rsid w:val="00001B48"/>
    <w:rsid w:val="00012239"/>
    <w:rsid w:val="00012CAF"/>
    <w:rsid w:val="0001308E"/>
    <w:rsid w:val="0001357B"/>
    <w:rsid w:val="00014FA8"/>
    <w:rsid w:val="00016973"/>
    <w:rsid w:val="000264C7"/>
    <w:rsid w:val="00032CF3"/>
    <w:rsid w:val="000367FE"/>
    <w:rsid w:val="00036CC0"/>
    <w:rsid w:val="00042BB8"/>
    <w:rsid w:val="000452C9"/>
    <w:rsid w:val="000475C5"/>
    <w:rsid w:val="00050983"/>
    <w:rsid w:val="00055173"/>
    <w:rsid w:val="000603F6"/>
    <w:rsid w:val="00062E56"/>
    <w:rsid w:val="0006323A"/>
    <w:rsid w:val="00070617"/>
    <w:rsid w:val="00070778"/>
    <w:rsid w:val="00087206"/>
    <w:rsid w:val="00093162"/>
    <w:rsid w:val="000A21FD"/>
    <w:rsid w:val="000A3B5B"/>
    <w:rsid w:val="000A3CB5"/>
    <w:rsid w:val="000A68A1"/>
    <w:rsid w:val="000B79EB"/>
    <w:rsid w:val="000E0C99"/>
    <w:rsid w:val="000E3AE3"/>
    <w:rsid w:val="000F0F74"/>
    <w:rsid w:val="000F134E"/>
    <w:rsid w:val="001013D0"/>
    <w:rsid w:val="0010370A"/>
    <w:rsid w:val="00103FA6"/>
    <w:rsid w:val="00112DA9"/>
    <w:rsid w:val="00141A42"/>
    <w:rsid w:val="00142DF3"/>
    <w:rsid w:val="001436F7"/>
    <w:rsid w:val="00146A81"/>
    <w:rsid w:val="0015209B"/>
    <w:rsid w:val="00153C99"/>
    <w:rsid w:val="00163C2D"/>
    <w:rsid w:val="00173155"/>
    <w:rsid w:val="001739A6"/>
    <w:rsid w:val="0018793E"/>
    <w:rsid w:val="00194E02"/>
    <w:rsid w:val="001A1B16"/>
    <w:rsid w:val="001A3133"/>
    <w:rsid w:val="001A7C20"/>
    <w:rsid w:val="001B6CD2"/>
    <w:rsid w:val="001C5319"/>
    <w:rsid w:val="001D2B70"/>
    <w:rsid w:val="001E0131"/>
    <w:rsid w:val="001E6B12"/>
    <w:rsid w:val="001F4F3C"/>
    <w:rsid w:val="001F68F3"/>
    <w:rsid w:val="0020733A"/>
    <w:rsid w:val="00207FCE"/>
    <w:rsid w:val="00213091"/>
    <w:rsid w:val="00215BC3"/>
    <w:rsid w:val="002160DE"/>
    <w:rsid w:val="0021622B"/>
    <w:rsid w:val="0022535A"/>
    <w:rsid w:val="00225B8C"/>
    <w:rsid w:val="0024194E"/>
    <w:rsid w:val="00245E2B"/>
    <w:rsid w:val="002626BD"/>
    <w:rsid w:val="00275157"/>
    <w:rsid w:val="00275523"/>
    <w:rsid w:val="00297698"/>
    <w:rsid w:val="002A25D7"/>
    <w:rsid w:val="002A65B1"/>
    <w:rsid w:val="002B409E"/>
    <w:rsid w:val="002C158B"/>
    <w:rsid w:val="002C3942"/>
    <w:rsid w:val="002C5F20"/>
    <w:rsid w:val="002C7760"/>
    <w:rsid w:val="002C7B3B"/>
    <w:rsid w:val="002D26E6"/>
    <w:rsid w:val="002E7623"/>
    <w:rsid w:val="002F24E2"/>
    <w:rsid w:val="002F3358"/>
    <w:rsid w:val="002F67E0"/>
    <w:rsid w:val="00302E55"/>
    <w:rsid w:val="00331609"/>
    <w:rsid w:val="00334DA4"/>
    <w:rsid w:val="00336837"/>
    <w:rsid w:val="0034156C"/>
    <w:rsid w:val="003417D8"/>
    <w:rsid w:val="003437C3"/>
    <w:rsid w:val="00346F8D"/>
    <w:rsid w:val="003573B1"/>
    <w:rsid w:val="003761DC"/>
    <w:rsid w:val="0039044E"/>
    <w:rsid w:val="00393577"/>
    <w:rsid w:val="00397DFC"/>
    <w:rsid w:val="003A0C06"/>
    <w:rsid w:val="003B06C2"/>
    <w:rsid w:val="003B46EE"/>
    <w:rsid w:val="003B51E5"/>
    <w:rsid w:val="003C0D6D"/>
    <w:rsid w:val="003C226F"/>
    <w:rsid w:val="003D6708"/>
    <w:rsid w:val="003E4315"/>
    <w:rsid w:val="003E45A7"/>
    <w:rsid w:val="003F0B6E"/>
    <w:rsid w:val="00406CB4"/>
    <w:rsid w:val="0042118C"/>
    <w:rsid w:val="00425083"/>
    <w:rsid w:val="004310E7"/>
    <w:rsid w:val="004317AD"/>
    <w:rsid w:val="00436113"/>
    <w:rsid w:val="004441D8"/>
    <w:rsid w:val="00453520"/>
    <w:rsid w:val="0045415F"/>
    <w:rsid w:val="00462C08"/>
    <w:rsid w:val="00474A17"/>
    <w:rsid w:val="00480145"/>
    <w:rsid w:val="0048741E"/>
    <w:rsid w:val="004927C6"/>
    <w:rsid w:val="0049477D"/>
    <w:rsid w:val="00495595"/>
    <w:rsid w:val="00497A94"/>
    <w:rsid w:val="004A2155"/>
    <w:rsid w:val="004A7232"/>
    <w:rsid w:val="004B0941"/>
    <w:rsid w:val="004B235E"/>
    <w:rsid w:val="004B7416"/>
    <w:rsid w:val="004C30CD"/>
    <w:rsid w:val="004D4245"/>
    <w:rsid w:val="004E1C76"/>
    <w:rsid w:val="004F7E4F"/>
    <w:rsid w:val="005038C3"/>
    <w:rsid w:val="00505128"/>
    <w:rsid w:val="00511422"/>
    <w:rsid w:val="00513391"/>
    <w:rsid w:val="00514CC3"/>
    <w:rsid w:val="005264F8"/>
    <w:rsid w:val="00526897"/>
    <w:rsid w:val="005468D0"/>
    <w:rsid w:val="00557A25"/>
    <w:rsid w:val="00561BC1"/>
    <w:rsid w:val="0056543C"/>
    <w:rsid w:val="00566261"/>
    <w:rsid w:val="00567AF6"/>
    <w:rsid w:val="00577E7A"/>
    <w:rsid w:val="005A1424"/>
    <w:rsid w:val="005A1BC5"/>
    <w:rsid w:val="005B2BCF"/>
    <w:rsid w:val="005B74D7"/>
    <w:rsid w:val="005C49A5"/>
    <w:rsid w:val="005D5F79"/>
    <w:rsid w:val="005E4356"/>
    <w:rsid w:val="005F1A58"/>
    <w:rsid w:val="005F47D0"/>
    <w:rsid w:val="00624A70"/>
    <w:rsid w:val="0064691A"/>
    <w:rsid w:val="0066240A"/>
    <w:rsid w:val="00663970"/>
    <w:rsid w:val="00667979"/>
    <w:rsid w:val="00674506"/>
    <w:rsid w:val="00675087"/>
    <w:rsid w:val="006806F7"/>
    <w:rsid w:val="006877D1"/>
    <w:rsid w:val="00687C14"/>
    <w:rsid w:val="00691D9B"/>
    <w:rsid w:val="00697675"/>
    <w:rsid w:val="006A3A35"/>
    <w:rsid w:val="006A5435"/>
    <w:rsid w:val="006B3955"/>
    <w:rsid w:val="006B6B7C"/>
    <w:rsid w:val="006C296F"/>
    <w:rsid w:val="006F0BB4"/>
    <w:rsid w:val="00707CB6"/>
    <w:rsid w:val="00726C63"/>
    <w:rsid w:val="007416F2"/>
    <w:rsid w:val="0074375D"/>
    <w:rsid w:val="00745E0A"/>
    <w:rsid w:val="00751D87"/>
    <w:rsid w:val="00753956"/>
    <w:rsid w:val="0075432A"/>
    <w:rsid w:val="00754737"/>
    <w:rsid w:val="00760502"/>
    <w:rsid w:val="00761136"/>
    <w:rsid w:val="007623D7"/>
    <w:rsid w:val="00762D35"/>
    <w:rsid w:val="007660B6"/>
    <w:rsid w:val="007663F0"/>
    <w:rsid w:val="0076653D"/>
    <w:rsid w:val="00772F24"/>
    <w:rsid w:val="00772F42"/>
    <w:rsid w:val="007768C9"/>
    <w:rsid w:val="00777F2E"/>
    <w:rsid w:val="00783AF1"/>
    <w:rsid w:val="00786396"/>
    <w:rsid w:val="00787061"/>
    <w:rsid w:val="00790C7C"/>
    <w:rsid w:val="0079368A"/>
    <w:rsid w:val="00796D9E"/>
    <w:rsid w:val="0079747F"/>
    <w:rsid w:val="007A46F3"/>
    <w:rsid w:val="007D0123"/>
    <w:rsid w:val="007D28D0"/>
    <w:rsid w:val="007D297D"/>
    <w:rsid w:val="007D3807"/>
    <w:rsid w:val="007D57AC"/>
    <w:rsid w:val="007D6926"/>
    <w:rsid w:val="007D6AAB"/>
    <w:rsid w:val="007D7209"/>
    <w:rsid w:val="007F2D18"/>
    <w:rsid w:val="007F537A"/>
    <w:rsid w:val="0080228A"/>
    <w:rsid w:val="0080231F"/>
    <w:rsid w:val="008053F4"/>
    <w:rsid w:val="00805703"/>
    <w:rsid w:val="008061F8"/>
    <w:rsid w:val="008070A7"/>
    <w:rsid w:val="008077E1"/>
    <w:rsid w:val="00811894"/>
    <w:rsid w:val="008156A1"/>
    <w:rsid w:val="00815948"/>
    <w:rsid w:val="008220EB"/>
    <w:rsid w:val="0082274A"/>
    <w:rsid w:val="00835F54"/>
    <w:rsid w:val="00840F2A"/>
    <w:rsid w:val="0084476A"/>
    <w:rsid w:val="00845B1A"/>
    <w:rsid w:val="00851C09"/>
    <w:rsid w:val="00861302"/>
    <w:rsid w:val="00870195"/>
    <w:rsid w:val="008808E5"/>
    <w:rsid w:val="0089101F"/>
    <w:rsid w:val="00893BE8"/>
    <w:rsid w:val="008A154E"/>
    <w:rsid w:val="008B1231"/>
    <w:rsid w:val="008B708F"/>
    <w:rsid w:val="008C067B"/>
    <w:rsid w:val="008C2C56"/>
    <w:rsid w:val="008C334B"/>
    <w:rsid w:val="008C44A0"/>
    <w:rsid w:val="008C4C98"/>
    <w:rsid w:val="008C51CE"/>
    <w:rsid w:val="008C5450"/>
    <w:rsid w:val="008D2B1F"/>
    <w:rsid w:val="008D3945"/>
    <w:rsid w:val="008D51C6"/>
    <w:rsid w:val="008E3541"/>
    <w:rsid w:val="008E4725"/>
    <w:rsid w:val="008F04A7"/>
    <w:rsid w:val="008F0508"/>
    <w:rsid w:val="009015E5"/>
    <w:rsid w:val="00906A96"/>
    <w:rsid w:val="009106FB"/>
    <w:rsid w:val="00911E33"/>
    <w:rsid w:val="009172E2"/>
    <w:rsid w:val="0092010F"/>
    <w:rsid w:val="00920957"/>
    <w:rsid w:val="009216E0"/>
    <w:rsid w:val="00927E7F"/>
    <w:rsid w:val="00932209"/>
    <w:rsid w:val="009324F7"/>
    <w:rsid w:val="00936024"/>
    <w:rsid w:val="00937455"/>
    <w:rsid w:val="0093792B"/>
    <w:rsid w:val="009404EE"/>
    <w:rsid w:val="00943692"/>
    <w:rsid w:val="00944A2C"/>
    <w:rsid w:val="009459DD"/>
    <w:rsid w:val="00946B7E"/>
    <w:rsid w:val="00952A9C"/>
    <w:rsid w:val="00955E25"/>
    <w:rsid w:val="0096624A"/>
    <w:rsid w:val="00967562"/>
    <w:rsid w:val="00974022"/>
    <w:rsid w:val="00974515"/>
    <w:rsid w:val="00982184"/>
    <w:rsid w:val="009850F6"/>
    <w:rsid w:val="00987F23"/>
    <w:rsid w:val="009B1D83"/>
    <w:rsid w:val="009B4552"/>
    <w:rsid w:val="009C1E8B"/>
    <w:rsid w:val="009C4A23"/>
    <w:rsid w:val="009D1C15"/>
    <w:rsid w:val="009E3081"/>
    <w:rsid w:val="009E359D"/>
    <w:rsid w:val="009E3E72"/>
    <w:rsid w:val="009F1DA5"/>
    <w:rsid w:val="009F618C"/>
    <w:rsid w:val="009F6C6B"/>
    <w:rsid w:val="009F7A42"/>
    <w:rsid w:val="00A00D38"/>
    <w:rsid w:val="00A03FA7"/>
    <w:rsid w:val="00A07497"/>
    <w:rsid w:val="00A131A8"/>
    <w:rsid w:val="00A17516"/>
    <w:rsid w:val="00A2563A"/>
    <w:rsid w:val="00A34529"/>
    <w:rsid w:val="00A34950"/>
    <w:rsid w:val="00A41F4E"/>
    <w:rsid w:val="00A44BD4"/>
    <w:rsid w:val="00A57D8D"/>
    <w:rsid w:val="00A63983"/>
    <w:rsid w:val="00A934E1"/>
    <w:rsid w:val="00A9553E"/>
    <w:rsid w:val="00A97CBA"/>
    <w:rsid w:val="00AA3E4A"/>
    <w:rsid w:val="00AB0DE4"/>
    <w:rsid w:val="00AB1CB9"/>
    <w:rsid w:val="00AB36E2"/>
    <w:rsid w:val="00AC104B"/>
    <w:rsid w:val="00AC7C92"/>
    <w:rsid w:val="00AD3D4A"/>
    <w:rsid w:val="00AD46CA"/>
    <w:rsid w:val="00AE1369"/>
    <w:rsid w:val="00AE262D"/>
    <w:rsid w:val="00B00A81"/>
    <w:rsid w:val="00B0264A"/>
    <w:rsid w:val="00B047CF"/>
    <w:rsid w:val="00B06B36"/>
    <w:rsid w:val="00B101E5"/>
    <w:rsid w:val="00B1288A"/>
    <w:rsid w:val="00B144FE"/>
    <w:rsid w:val="00B20581"/>
    <w:rsid w:val="00B23B09"/>
    <w:rsid w:val="00B32B26"/>
    <w:rsid w:val="00B3415F"/>
    <w:rsid w:val="00B421AC"/>
    <w:rsid w:val="00B50D8D"/>
    <w:rsid w:val="00B627A6"/>
    <w:rsid w:val="00B64663"/>
    <w:rsid w:val="00B84A53"/>
    <w:rsid w:val="00B92689"/>
    <w:rsid w:val="00BB5104"/>
    <w:rsid w:val="00BD1883"/>
    <w:rsid w:val="00BD3A80"/>
    <w:rsid w:val="00BD57F7"/>
    <w:rsid w:val="00BE12BB"/>
    <w:rsid w:val="00BE1999"/>
    <w:rsid w:val="00BF349A"/>
    <w:rsid w:val="00C107B7"/>
    <w:rsid w:val="00C107CD"/>
    <w:rsid w:val="00C1132F"/>
    <w:rsid w:val="00C11CC8"/>
    <w:rsid w:val="00C234B3"/>
    <w:rsid w:val="00C2402F"/>
    <w:rsid w:val="00C30239"/>
    <w:rsid w:val="00C34056"/>
    <w:rsid w:val="00C4380C"/>
    <w:rsid w:val="00C47364"/>
    <w:rsid w:val="00C47847"/>
    <w:rsid w:val="00C47FE4"/>
    <w:rsid w:val="00C528D9"/>
    <w:rsid w:val="00C543E2"/>
    <w:rsid w:val="00C60150"/>
    <w:rsid w:val="00C614A8"/>
    <w:rsid w:val="00C63EAD"/>
    <w:rsid w:val="00C700DB"/>
    <w:rsid w:val="00C76717"/>
    <w:rsid w:val="00C770CE"/>
    <w:rsid w:val="00C80F16"/>
    <w:rsid w:val="00C833A0"/>
    <w:rsid w:val="00C84BBF"/>
    <w:rsid w:val="00C87253"/>
    <w:rsid w:val="00CA2991"/>
    <w:rsid w:val="00CA3614"/>
    <w:rsid w:val="00CB2505"/>
    <w:rsid w:val="00CB4594"/>
    <w:rsid w:val="00CD6F82"/>
    <w:rsid w:val="00CE7EAE"/>
    <w:rsid w:val="00CF174E"/>
    <w:rsid w:val="00CF4B9E"/>
    <w:rsid w:val="00CF63ED"/>
    <w:rsid w:val="00D04149"/>
    <w:rsid w:val="00D07603"/>
    <w:rsid w:val="00D12D68"/>
    <w:rsid w:val="00D337CF"/>
    <w:rsid w:val="00D36BDC"/>
    <w:rsid w:val="00D42CD5"/>
    <w:rsid w:val="00D52412"/>
    <w:rsid w:val="00D545AB"/>
    <w:rsid w:val="00D57AD0"/>
    <w:rsid w:val="00D614E6"/>
    <w:rsid w:val="00D71BC2"/>
    <w:rsid w:val="00D761BE"/>
    <w:rsid w:val="00D766BA"/>
    <w:rsid w:val="00D8728D"/>
    <w:rsid w:val="00D91225"/>
    <w:rsid w:val="00D93328"/>
    <w:rsid w:val="00D97A39"/>
    <w:rsid w:val="00DA4C1A"/>
    <w:rsid w:val="00DA4D2B"/>
    <w:rsid w:val="00DB622B"/>
    <w:rsid w:val="00DC0D07"/>
    <w:rsid w:val="00DC60B5"/>
    <w:rsid w:val="00DD7153"/>
    <w:rsid w:val="00DF1213"/>
    <w:rsid w:val="00E0360E"/>
    <w:rsid w:val="00E13DFC"/>
    <w:rsid w:val="00E20835"/>
    <w:rsid w:val="00E21B6A"/>
    <w:rsid w:val="00E2439D"/>
    <w:rsid w:val="00E30233"/>
    <w:rsid w:val="00E31F00"/>
    <w:rsid w:val="00E34B15"/>
    <w:rsid w:val="00E411E6"/>
    <w:rsid w:val="00E452FE"/>
    <w:rsid w:val="00E51B03"/>
    <w:rsid w:val="00E52138"/>
    <w:rsid w:val="00E53392"/>
    <w:rsid w:val="00E542B7"/>
    <w:rsid w:val="00E750CE"/>
    <w:rsid w:val="00E77A5F"/>
    <w:rsid w:val="00E81D6C"/>
    <w:rsid w:val="00E83CB7"/>
    <w:rsid w:val="00E91C87"/>
    <w:rsid w:val="00E9335B"/>
    <w:rsid w:val="00E936DD"/>
    <w:rsid w:val="00E95CCA"/>
    <w:rsid w:val="00EB27E6"/>
    <w:rsid w:val="00EB4A53"/>
    <w:rsid w:val="00EB58C0"/>
    <w:rsid w:val="00EC4294"/>
    <w:rsid w:val="00EC4A1B"/>
    <w:rsid w:val="00EC632B"/>
    <w:rsid w:val="00ED7928"/>
    <w:rsid w:val="00EE0BAA"/>
    <w:rsid w:val="00EE1B48"/>
    <w:rsid w:val="00EE6ADD"/>
    <w:rsid w:val="00EE725B"/>
    <w:rsid w:val="00EE7D7A"/>
    <w:rsid w:val="00EF7340"/>
    <w:rsid w:val="00EF7DD5"/>
    <w:rsid w:val="00F118A9"/>
    <w:rsid w:val="00F16A73"/>
    <w:rsid w:val="00F22B40"/>
    <w:rsid w:val="00F40541"/>
    <w:rsid w:val="00F46D99"/>
    <w:rsid w:val="00F613FE"/>
    <w:rsid w:val="00F710DE"/>
    <w:rsid w:val="00F72D5D"/>
    <w:rsid w:val="00F745D4"/>
    <w:rsid w:val="00F80195"/>
    <w:rsid w:val="00F82570"/>
    <w:rsid w:val="00F83BB6"/>
    <w:rsid w:val="00F83CB6"/>
    <w:rsid w:val="00F842E4"/>
    <w:rsid w:val="00F844A2"/>
    <w:rsid w:val="00F9511B"/>
    <w:rsid w:val="00F96602"/>
    <w:rsid w:val="00F972FD"/>
    <w:rsid w:val="00FA6277"/>
    <w:rsid w:val="00FB05A9"/>
    <w:rsid w:val="00FB0962"/>
    <w:rsid w:val="00FB38AE"/>
    <w:rsid w:val="00FC4086"/>
    <w:rsid w:val="00FC69AB"/>
    <w:rsid w:val="00FC7BC7"/>
    <w:rsid w:val="00FD0D5D"/>
    <w:rsid w:val="00FD4BBA"/>
    <w:rsid w:val="00FD5B88"/>
    <w:rsid w:val="00FE2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A34950"/>
    <w:pPr>
      <w:keepLines/>
      <w:spacing w:line="240" w:lineRule="auto"/>
      <w:ind w:firstLine="720"/>
    </w:pPr>
  </w:style>
  <w:style w:type="character" w:customStyle="1" w:styleId="FootnoteTextChar">
    <w:name w:val="Footnote Text Char"/>
    <w:basedOn w:val="DefaultParagraphFont"/>
    <w:link w:val="FootnoteText"/>
    <w:rsid w:val="00A34950"/>
  </w:style>
  <w:style w:type="paragraph" w:customStyle="1" w:styleId="Footnote">
    <w:name w:val="Footnote"/>
    <w:basedOn w:val="Normal"/>
    <w:link w:val="FootnoteChar"/>
    <w:autoRedefine/>
    <w:qFormat/>
    <w:rsid w:val="00497A94"/>
    <w:pPr>
      <w:spacing w:after="120" w:line="240" w:lineRule="auto"/>
    </w:pPr>
    <w:rPr>
      <w:rFonts w:cstheme="minorBidi"/>
      <w:b/>
    </w:rPr>
  </w:style>
  <w:style w:type="character" w:customStyle="1" w:styleId="FootnoteChar">
    <w:name w:val="Footnote Char"/>
    <w:basedOn w:val="DefaultParagraphFont"/>
    <w:link w:val="Footnote"/>
    <w:rsid w:val="00497A94"/>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semiHidden/>
    <w:unhideWhenUsed/>
    <w:rsid w:val="00783AF1"/>
    <w:pPr>
      <w:tabs>
        <w:tab w:val="center" w:pos="4680"/>
        <w:tab w:val="right" w:pos="9360"/>
      </w:tabs>
    </w:pPr>
  </w:style>
  <w:style w:type="character" w:customStyle="1" w:styleId="HeaderChar">
    <w:name w:val="Header Char"/>
    <w:basedOn w:val="DefaultParagraphFont"/>
    <w:link w:val="Header"/>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99"/>
    <w:qFormat/>
    <w:rsid w:val="001F68F3"/>
    <w:pPr>
      <w:spacing w:line="240" w:lineRule="auto"/>
      <w:ind w:left="720"/>
      <w:contextualSpacing/>
    </w:pPr>
  </w:style>
  <w:style w:type="paragraph" w:customStyle="1" w:styleId="Level1">
    <w:name w:val="Level 1"/>
    <w:uiPriority w:val="99"/>
    <w:rsid w:val="001F68F3"/>
    <w:pPr>
      <w:autoSpaceDE w:val="0"/>
      <w:autoSpaceDN w:val="0"/>
      <w:adjustRightInd w:val="0"/>
      <w:spacing w:after="0" w:line="240" w:lineRule="auto"/>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9388-D5DB-4D94-B354-A1D564F3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1</TotalTime>
  <Pages>9</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Kelley</dc:creator>
  <cp:keywords/>
  <dc:description/>
  <cp:lastModifiedBy>Mina Ruiz</cp:lastModifiedBy>
  <cp:revision>2</cp:revision>
  <cp:lastPrinted>2010-05-14T23:37:00Z</cp:lastPrinted>
  <dcterms:created xsi:type="dcterms:W3CDTF">2010-05-14T23:38:00Z</dcterms:created>
  <dcterms:modified xsi:type="dcterms:W3CDTF">2010-05-14T23:38:00Z</dcterms:modified>
</cp:coreProperties>
</file>