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C0" w:rsidRPr="00497A94" w:rsidRDefault="00452C81" w:rsidP="00497A94">
      <w:pPr>
        <w:pStyle w:val="Footnote"/>
      </w:pPr>
      <w:r>
        <w:t>P</w:t>
      </w:r>
      <w:r w:rsidR="005547C0">
        <w:t>UBLIC MATTER - NOT DESIGNATED FOR PUBLICATION</w:t>
      </w:r>
    </w:p>
    <w:p w:rsidR="005547C0" w:rsidRPr="00C11CC8" w:rsidRDefault="005547C0" w:rsidP="00497A94">
      <w:pPr>
        <w:pStyle w:val="Footnote"/>
      </w:pPr>
    </w:p>
    <w:p w:rsidR="005547C0" w:rsidRPr="001B170C" w:rsidRDefault="001B023B" w:rsidP="001B023B">
      <w:pPr>
        <w:jc w:val="right"/>
        <w:rPr>
          <w:b/>
        </w:rPr>
      </w:pPr>
      <w:r w:rsidRPr="001B170C">
        <w:rPr>
          <w:b/>
        </w:rPr>
        <w:t>FILED JULY 1, 2010</w:t>
      </w:r>
    </w:p>
    <w:p w:rsidR="005547C0" w:rsidRPr="00C11CC8" w:rsidRDefault="005547C0"/>
    <w:p w:rsidR="005547C0" w:rsidRPr="00C11CC8" w:rsidRDefault="005547C0" w:rsidP="00C11CC8">
      <w:pPr>
        <w:spacing w:line="240" w:lineRule="auto"/>
        <w:jc w:val="center"/>
        <w:rPr>
          <w:b/>
        </w:rPr>
      </w:pPr>
      <w:r w:rsidRPr="00C11CC8">
        <w:rPr>
          <w:b/>
        </w:rPr>
        <w:t>REVIEW DEPARTMENT OF THE STATE BAR COURT</w:t>
      </w:r>
    </w:p>
    <w:p w:rsidR="005547C0" w:rsidRPr="00C11CC8" w:rsidRDefault="005547C0" w:rsidP="00C11CC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9"/>
        <w:gridCol w:w="899"/>
        <w:gridCol w:w="4200"/>
      </w:tblGrid>
      <w:tr w:rsidR="005547C0" w:rsidRPr="00C11CC8" w:rsidTr="002C3AE6">
        <w:tc>
          <w:tcPr>
            <w:tcW w:w="4416" w:type="dxa"/>
            <w:tcBorders>
              <w:top w:val="nil"/>
              <w:left w:val="nil"/>
              <w:right w:val="nil"/>
            </w:tcBorders>
            <w:tcMar>
              <w:left w:w="0" w:type="dxa"/>
              <w:right w:w="0" w:type="dxa"/>
            </w:tcMar>
          </w:tcPr>
          <w:p w:rsidR="005547C0" w:rsidRDefault="005547C0" w:rsidP="002C3AE6">
            <w:pPr>
              <w:spacing w:line="240" w:lineRule="auto"/>
            </w:pPr>
            <w:r>
              <w:t>In the Matter of</w:t>
            </w:r>
          </w:p>
          <w:p w:rsidR="005547C0" w:rsidRDefault="005547C0" w:rsidP="002C3AE6">
            <w:pPr>
              <w:spacing w:line="240" w:lineRule="auto"/>
            </w:pPr>
          </w:p>
          <w:p w:rsidR="005547C0" w:rsidRDefault="005547C0" w:rsidP="002C3AE6">
            <w:pPr>
              <w:spacing w:line="240" w:lineRule="auto"/>
            </w:pPr>
            <w:bookmarkStart w:id="0" w:name="Respondent"/>
            <w:bookmarkEnd w:id="0"/>
            <w:r w:rsidRPr="002C3AE6">
              <w:rPr>
                <w:b/>
              </w:rPr>
              <w:t>KRIS PATRICK THOMPSON</w:t>
            </w:r>
            <w:r>
              <w:t>,</w:t>
            </w:r>
          </w:p>
          <w:p w:rsidR="005547C0" w:rsidRPr="007F4230" w:rsidRDefault="005547C0" w:rsidP="002C3AE6">
            <w:pPr>
              <w:spacing w:line="240" w:lineRule="auto"/>
            </w:pPr>
          </w:p>
          <w:p w:rsidR="005547C0" w:rsidRPr="009216E0" w:rsidRDefault="005547C0" w:rsidP="002C3AE6">
            <w:pPr>
              <w:spacing w:line="240" w:lineRule="auto"/>
            </w:pPr>
            <w:bookmarkStart w:id="1" w:name="type"/>
            <w:bookmarkEnd w:id="1"/>
            <w:r>
              <w:t>A Member of the State Bar.</w:t>
            </w:r>
          </w:p>
          <w:p w:rsidR="005547C0" w:rsidRPr="00C11CC8" w:rsidRDefault="005547C0" w:rsidP="002C3AE6">
            <w:pPr>
              <w:spacing w:line="240" w:lineRule="auto"/>
            </w:pPr>
          </w:p>
        </w:tc>
        <w:tc>
          <w:tcPr>
            <w:tcW w:w="912" w:type="dxa"/>
            <w:tcBorders>
              <w:top w:val="nil"/>
              <w:left w:val="nil"/>
              <w:bottom w:val="nil"/>
              <w:right w:val="nil"/>
            </w:tcBorders>
            <w:tcMar>
              <w:left w:w="0" w:type="dxa"/>
              <w:right w:w="0" w:type="dxa"/>
            </w:tcMar>
          </w:tcPr>
          <w:p w:rsidR="005547C0" w:rsidRPr="002C3AE6" w:rsidRDefault="005547C0" w:rsidP="002C3AE6">
            <w:pPr>
              <w:spacing w:line="240" w:lineRule="auto"/>
              <w:rPr>
                <w:b/>
              </w:rPr>
            </w:pPr>
            <w:r w:rsidRPr="002C3AE6">
              <w:rPr>
                <w:b/>
              </w:rPr>
              <w:t>)</w:t>
            </w:r>
          </w:p>
          <w:p w:rsidR="005547C0" w:rsidRPr="002C3AE6" w:rsidRDefault="005547C0" w:rsidP="002C3AE6">
            <w:pPr>
              <w:spacing w:line="240" w:lineRule="auto"/>
              <w:rPr>
                <w:b/>
              </w:rPr>
            </w:pPr>
            <w:r w:rsidRPr="002C3AE6">
              <w:rPr>
                <w:b/>
              </w:rPr>
              <w:t>)</w:t>
            </w:r>
            <w:r w:rsidRPr="002C3AE6">
              <w:rPr>
                <w:b/>
              </w:rPr>
              <w:br/>
              <w:t>)</w:t>
            </w:r>
            <w:r w:rsidRPr="002C3AE6">
              <w:rPr>
                <w:b/>
              </w:rPr>
              <w:br/>
              <w:t>)</w:t>
            </w:r>
            <w:r w:rsidRPr="002C3AE6">
              <w:rPr>
                <w:b/>
              </w:rPr>
              <w:br/>
              <w:t>)</w:t>
            </w:r>
            <w:r w:rsidRPr="002C3AE6">
              <w:rPr>
                <w:b/>
              </w:rPr>
              <w:br/>
              <w:t>)</w:t>
            </w:r>
          </w:p>
        </w:tc>
        <w:tc>
          <w:tcPr>
            <w:tcW w:w="4248" w:type="dxa"/>
            <w:tcBorders>
              <w:top w:val="nil"/>
              <w:left w:val="nil"/>
              <w:bottom w:val="nil"/>
              <w:right w:val="nil"/>
            </w:tcBorders>
          </w:tcPr>
          <w:p w:rsidR="005547C0" w:rsidRPr="002C3AE6" w:rsidRDefault="005547C0" w:rsidP="002C3AE6">
            <w:pPr>
              <w:spacing w:line="240" w:lineRule="auto"/>
              <w:rPr>
                <w:b/>
              </w:rPr>
            </w:pPr>
            <w:r>
              <w:t>No</w:t>
            </w:r>
            <w:r w:rsidRPr="002C3AE6">
              <w:rPr>
                <w:b/>
              </w:rPr>
              <w:t xml:space="preserve">. </w:t>
            </w:r>
            <w:bookmarkStart w:id="2" w:name="caseno"/>
            <w:bookmarkEnd w:id="2"/>
            <w:r w:rsidRPr="002C3AE6">
              <w:rPr>
                <w:b/>
              </w:rPr>
              <w:t>08-H-10952</w:t>
            </w:r>
          </w:p>
          <w:p w:rsidR="005547C0" w:rsidRDefault="005547C0" w:rsidP="002C3AE6">
            <w:pPr>
              <w:spacing w:line="240" w:lineRule="auto"/>
            </w:pPr>
          </w:p>
          <w:p w:rsidR="00475EDD" w:rsidRDefault="00475EDD" w:rsidP="002C3AE6">
            <w:pPr>
              <w:spacing w:line="240" w:lineRule="auto"/>
            </w:pPr>
          </w:p>
          <w:p w:rsidR="005547C0" w:rsidRPr="002C3AE6" w:rsidRDefault="005547C0" w:rsidP="002C3AE6">
            <w:pPr>
              <w:spacing w:line="240" w:lineRule="auto"/>
              <w:rPr>
                <w:b/>
              </w:rPr>
            </w:pPr>
            <w:bookmarkStart w:id="3" w:name="title"/>
            <w:bookmarkEnd w:id="3"/>
            <w:r w:rsidRPr="002C3AE6">
              <w:rPr>
                <w:b/>
              </w:rPr>
              <w:t>OPINION ON REVIEW</w:t>
            </w:r>
          </w:p>
          <w:p w:rsidR="005547C0" w:rsidRPr="002C3AE6" w:rsidRDefault="005547C0" w:rsidP="002C3AE6">
            <w:pPr>
              <w:spacing w:line="240" w:lineRule="auto"/>
              <w:rPr>
                <w:b/>
              </w:rPr>
            </w:pPr>
          </w:p>
        </w:tc>
      </w:tr>
    </w:tbl>
    <w:p w:rsidR="005547C0" w:rsidRDefault="005547C0" w:rsidP="00B043E0">
      <w:pPr>
        <w:pStyle w:val="ListParagraph"/>
        <w:ind w:left="2160"/>
      </w:pPr>
    </w:p>
    <w:p w:rsidR="005547C0" w:rsidRPr="0096569F" w:rsidRDefault="005547C0" w:rsidP="0096569F">
      <w:pPr>
        <w:jc w:val="center"/>
        <w:rPr>
          <w:b/>
        </w:rPr>
      </w:pPr>
      <w:r>
        <w:rPr>
          <w:b/>
        </w:rPr>
        <w:t xml:space="preserve">I.  </w:t>
      </w:r>
      <w:r w:rsidRPr="0096569F">
        <w:rPr>
          <w:b/>
        </w:rPr>
        <w:t>SUMMARY</w:t>
      </w:r>
    </w:p>
    <w:p w:rsidR="005547C0" w:rsidRDefault="005547C0" w:rsidP="00A45460">
      <w:pPr>
        <w:pStyle w:val="ListParagraph"/>
        <w:ind w:left="0"/>
      </w:pPr>
      <w:r>
        <w:tab/>
        <w:t>Respondent Kris Patrick Thompson was convicted of misdemeanor driving under the influence of drugs or alcohol (DUI) in 2005.  The convict</w:t>
      </w:r>
      <w:r w:rsidR="007E4793">
        <w:t>ion was referred to the hearing d</w:t>
      </w:r>
      <w:r>
        <w:t xml:space="preserve">epartment for disciplinary proceedings.  In 2007, Thompson stipulated to a public </w:t>
      </w:r>
      <w:proofErr w:type="spellStart"/>
      <w:r>
        <w:t>reproval</w:t>
      </w:r>
      <w:proofErr w:type="spellEnd"/>
      <w:r>
        <w:t xml:space="preserve"> with several conditions, but failed to comply with them.  As a result, the Office of </w:t>
      </w:r>
      <w:r w:rsidR="0032127A">
        <w:t xml:space="preserve">the </w:t>
      </w:r>
      <w:r>
        <w:t>Chief Trial Counsel (State Bar) filed a Notice of Disciplinary Charges (</w:t>
      </w:r>
      <w:proofErr w:type="spellStart"/>
      <w:r>
        <w:t>NDC</w:t>
      </w:r>
      <w:proofErr w:type="spellEnd"/>
      <w:r>
        <w:t>) alleging that Thompson violated rule 1-110,</w:t>
      </w:r>
      <w:r>
        <w:rPr>
          <w:rStyle w:val="FootnoteReference"/>
        </w:rPr>
        <w:footnoteReference w:id="2"/>
      </w:r>
      <w:r>
        <w:t xml:space="preserve"> which requires that attorneys comply with </w:t>
      </w:r>
      <w:proofErr w:type="spellStart"/>
      <w:r>
        <w:t>reproval</w:t>
      </w:r>
      <w:proofErr w:type="spellEnd"/>
      <w:r>
        <w:t xml:space="preserve"> conditions.  Thompson stipulated to culpability, and the trial proceeded on the issue of discipline.  The hearing judge recommended that Thompson be actually suspended from the practice of law for six months, </w:t>
      </w:r>
      <w:r w:rsidR="00C67495">
        <w:t xml:space="preserve">subject to </w:t>
      </w:r>
      <w:r w:rsidR="00CF3BC8">
        <w:t xml:space="preserve">a </w:t>
      </w:r>
      <w:r>
        <w:t xml:space="preserve">two-year stayed suspension and three years’ probation.  </w:t>
      </w:r>
    </w:p>
    <w:p w:rsidR="005547C0" w:rsidRDefault="005547C0" w:rsidP="00A45460">
      <w:pPr>
        <w:pStyle w:val="ListParagraph"/>
        <w:ind w:left="0"/>
      </w:pPr>
      <w:r>
        <w:tab/>
        <w:t xml:space="preserve">Thompson seeks review, asserting that he is not culpable because the </w:t>
      </w:r>
      <w:proofErr w:type="spellStart"/>
      <w:r>
        <w:t>NDC</w:t>
      </w:r>
      <w:proofErr w:type="spellEnd"/>
      <w:r>
        <w:t xml:space="preserve"> failed to correctly charge the </w:t>
      </w:r>
      <w:proofErr w:type="spellStart"/>
      <w:r>
        <w:t>reproval</w:t>
      </w:r>
      <w:proofErr w:type="spellEnd"/>
      <w:r>
        <w:t xml:space="preserve"> conditions and that, even if found culpable, the actual suspension should </w:t>
      </w:r>
      <w:r w:rsidR="00F40C60">
        <w:t>not exceed</w:t>
      </w:r>
      <w:r>
        <w:t xml:space="preserve"> </w:t>
      </w:r>
      <w:r w:rsidR="00C67495">
        <w:t>6</w:t>
      </w:r>
      <w:r>
        <w:t xml:space="preserve">0 days.  While the State Bar </w:t>
      </w:r>
      <w:r w:rsidR="00F40C60">
        <w:t xml:space="preserve">asserts that the minimum actual suspension </w:t>
      </w:r>
      <w:r w:rsidR="00F40C60">
        <w:lastRenderedPageBreak/>
        <w:t>should be six</w:t>
      </w:r>
      <w:r w:rsidR="002C3128">
        <w:t xml:space="preserve"> </w:t>
      </w:r>
      <w:r w:rsidR="00F40C60">
        <w:t xml:space="preserve">months, it urges </w:t>
      </w:r>
      <w:r w:rsidR="00C67495">
        <w:t>a two-</w:t>
      </w:r>
      <w:r w:rsidR="00F40C60">
        <w:t>year</w:t>
      </w:r>
      <w:r w:rsidR="00C67495">
        <w:t xml:space="preserve"> actual suspension</w:t>
      </w:r>
      <w:r w:rsidR="00F40C60">
        <w:t xml:space="preserve"> </w:t>
      </w:r>
      <w:r>
        <w:t xml:space="preserve">and until </w:t>
      </w:r>
      <w:r w:rsidR="00F40C60">
        <w:t>Thompson</w:t>
      </w:r>
      <w:r>
        <w:t xml:space="preserve"> demonstrates his fitness to practice according to a standard 1.4(c)(ii) proceeding.</w:t>
      </w:r>
      <w:r>
        <w:rPr>
          <w:rStyle w:val="FootnoteReference"/>
        </w:rPr>
        <w:footnoteReference w:id="3"/>
      </w:r>
    </w:p>
    <w:p w:rsidR="005547C0" w:rsidRDefault="005547C0" w:rsidP="007D14C0">
      <w:pPr>
        <w:pStyle w:val="ListParagraph"/>
        <w:ind w:left="0"/>
      </w:pPr>
      <w:r>
        <w:tab/>
        <w:t>Upon our independent review of the record (</w:t>
      </w:r>
      <w:r>
        <w:rPr>
          <w:i/>
        </w:rPr>
        <w:t>In re Morse</w:t>
      </w:r>
      <w:r>
        <w:t xml:space="preserve"> (1995) 11 </w:t>
      </w:r>
      <w:proofErr w:type="spellStart"/>
      <w:r>
        <w:t>Cal.4</w:t>
      </w:r>
      <w:r w:rsidR="00C67495">
        <w:t>th</w:t>
      </w:r>
      <w:proofErr w:type="spellEnd"/>
      <w:r>
        <w:t xml:space="preserve"> 184, 207), we agree with the hearing judge that Thompson is culpable</w:t>
      </w:r>
      <w:r w:rsidR="00F40C60">
        <w:t>,</w:t>
      </w:r>
      <w:r>
        <w:t xml:space="preserve"> and that a stayed suspension and probation </w:t>
      </w:r>
      <w:r w:rsidR="00F40C60">
        <w:t xml:space="preserve">should be </w:t>
      </w:r>
      <w:r w:rsidR="00CF3BC8">
        <w:t>recommended</w:t>
      </w:r>
      <w:r>
        <w:t>.  How</w:t>
      </w:r>
      <w:r w:rsidR="00B70E8C">
        <w:t>e</w:t>
      </w:r>
      <w:r>
        <w:t xml:space="preserve">ver, we find that </w:t>
      </w:r>
      <w:r w:rsidR="00CF3BC8">
        <w:t xml:space="preserve">a </w:t>
      </w:r>
      <w:r>
        <w:t xml:space="preserve">six-month actual suspension is too severe.  Thompson’s DUI conviction does not relate to </w:t>
      </w:r>
      <w:r w:rsidR="00CF3BC8">
        <w:t>the</w:t>
      </w:r>
      <w:r>
        <w:t xml:space="preserve"> practice of law</w:t>
      </w:r>
      <w:r w:rsidR="00F40C60">
        <w:t xml:space="preserve"> or any clients, </w:t>
      </w:r>
      <w:r>
        <w:t xml:space="preserve">his mitigation outweighs the aggravation and </w:t>
      </w:r>
      <w:r w:rsidR="00C67495">
        <w:t xml:space="preserve">the </w:t>
      </w:r>
      <w:r>
        <w:t xml:space="preserve">guiding case </w:t>
      </w:r>
      <w:r w:rsidR="00C67495">
        <w:t>law</w:t>
      </w:r>
      <w:r>
        <w:t xml:space="preserve"> suggests a shorter period of actual suspension for violations of </w:t>
      </w:r>
      <w:proofErr w:type="spellStart"/>
      <w:r>
        <w:t>reproval</w:t>
      </w:r>
      <w:proofErr w:type="spellEnd"/>
      <w:r>
        <w:t xml:space="preserve"> conditions.  We therefore recommend a </w:t>
      </w:r>
      <w:r w:rsidR="00CF3BC8">
        <w:t>9</w:t>
      </w:r>
      <w:r>
        <w:t>0-day actual suspension, a two-year stayed suspension and three years’ probation.</w:t>
      </w:r>
    </w:p>
    <w:p w:rsidR="005547C0" w:rsidRPr="0096569F" w:rsidRDefault="005547C0" w:rsidP="0096569F">
      <w:pPr>
        <w:jc w:val="center"/>
        <w:rPr>
          <w:b/>
        </w:rPr>
      </w:pPr>
      <w:r>
        <w:rPr>
          <w:b/>
        </w:rPr>
        <w:t xml:space="preserve">II.  </w:t>
      </w:r>
      <w:r w:rsidRPr="0096569F">
        <w:rPr>
          <w:b/>
        </w:rPr>
        <w:t>PROCEDURAL AND FACTUAL BACKGROUND</w:t>
      </w:r>
    </w:p>
    <w:p w:rsidR="005547C0" w:rsidRDefault="005547C0" w:rsidP="007D14C0">
      <w:r>
        <w:tab/>
        <w:t xml:space="preserve">Thompson was admitted to the bar in 1991 and did well in a litigation practice.  He testified that, beginning in 2004, he tried a series of complex cases that were “out of [his] league,” but resolved them successfully.  </w:t>
      </w:r>
    </w:p>
    <w:p w:rsidR="005547C0" w:rsidRDefault="005547C0" w:rsidP="007D14C0">
      <w:r>
        <w:tab/>
        <w:t xml:space="preserve">Despite </w:t>
      </w:r>
      <w:r w:rsidR="00CE1C0F">
        <w:t>t</w:t>
      </w:r>
      <w:r>
        <w:t>h</w:t>
      </w:r>
      <w:r w:rsidR="00CE1C0F">
        <w:t>e</w:t>
      </w:r>
      <w:r>
        <w:t>s</w:t>
      </w:r>
      <w:r w:rsidR="00CE1C0F">
        <w:t>e</w:t>
      </w:r>
      <w:r>
        <w:t xml:space="preserve"> professional achievements, Thompson had problems with alcohol.  In 2005, he entered a no contest plea to one count of misdemeanor DUI, and admitted he had a prior DUI conviction in 2000.  On July 3, 2007, as a result of his 2005 conviction, Thompson stipulated to a public </w:t>
      </w:r>
      <w:proofErr w:type="spellStart"/>
      <w:r>
        <w:t>reproval</w:t>
      </w:r>
      <w:proofErr w:type="spellEnd"/>
      <w:r>
        <w:t xml:space="preserve"> with both “standard” and “special” conditions that he was required to </w:t>
      </w:r>
      <w:r w:rsidR="00013B74">
        <w:t>fulfill</w:t>
      </w:r>
      <w:r>
        <w:t xml:space="preserve"> for three years.  The stipulation recited that the misconduct did not involve moral turpitude, no aggravating circumstances</w:t>
      </w:r>
      <w:r w:rsidR="00013B74">
        <w:t xml:space="preserve"> existed</w:t>
      </w:r>
      <w:r>
        <w:t xml:space="preserve"> and </w:t>
      </w:r>
      <w:r w:rsidR="00F40C60">
        <w:t xml:space="preserve">his </w:t>
      </w:r>
      <w:r>
        <w:t xml:space="preserve">lack of prior discipline was a mitigating </w:t>
      </w:r>
      <w:r w:rsidR="00CF3BC8">
        <w:t>factor</w:t>
      </w:r>
      <w:r>
        <w:t>.  The court approved the stipulation and imposed the agreed-upon discipline, which became effective August 2, 2008 (</w:t>
      </w:r>
      <w:proofErr w:type="spellStart"/>
      <w:r>
        <w:t>Reproval</w:t>
      </w:r>
      <w:proofErr w:type="spellEnd"/>
      <w:r>
        <w:t xml:space="preserve"> Order).</w:t>
      </w:r>
    </w:p>
    <w:p w:rsidR="00C12A06" w:rsidRDefault="00C12A06" w:rsidP="007D14C0"/>
    <w:p w:rsidR="005547C0" w:rsidRDefault="005547C0" w:rsidP="007D14C0">
      <w:r>
        <w:lastRenderedPageBreak/>
        <w:tab/>
        <w:t xml:space="preserve">The “standard” conditions of the </w:t>
      </w:r>
      <w:proofErr w:type="spellStart"/>
      <w:r>
        <w:t>Reproval</w:t>
      </w:r>
      <w:proofErr w:type="spellEnd"/>
      <w:r>
        <w:t xml:space="preserve"> Order provided that Thompson must: </w:t>
      </w:r>
    </w:p>
    <w:p w:rsidR="005547C0" w:rsidRDefault="005547C0" w:rsidP="007D14C0">
      <w:pPr>
        <w:numPr>
          <w:ilvl w:val="0"/>
          <w:numId w:val="7"/>
        </w:numPr>
        <w:spacing w:line="240" w:lineRule="auto"/>
      </w:pPr>
      <w:r>
        <w:t>Comply with the provisions of the State Bar Act and the Rules of Professional Conduct</w:t>
      </w:r>
    </w:p>
    <w:p w:rsidR="005547C0" w:rsidRDefault="005547C0" w:rsidP="007D14C0">
      <w:pPr>
        <w:spacing w:line="240" w:lineRule="auto"/>
        <w:ind w:left="780"/>
      </w:pPr>
    </w:p>
    <w:p w:rsidR="005547C0" w:rsidRDefault="005547C0" w:rsidP="007D14C0">
      <w:pPr>
        <w:numPr>
          <w:ilvl w:val="0"/>
          <w:numId w:val="7"/>
        </w:numPr>
        <w:spacing w:line="240" w:lineRule="auto"/>
      </w:pPr>
      <w:r>
        <w:t>Report any change of contact information to the State Bar Office of Probation (Probation)</w:t>
      </w:r>
    </w:p>
    <w:p w:rsidR="005547C0" w:rsidRDefault="005547C0" w:rsidP="007D14C0">
      <w:pPr>
        <w:spacing w:line="240" w:lineRule="auto"/>
        <w:ind w:left="780"/>
      </w:pPr>
    </w:p>
    <w:p w:rsidR="005547C0" w:rsidRDefault="005547C0" w:rsidP="007D14C0">
      <w:pPr>
        <w:numPr>
          <w:ilvl w:val="0"/>
          <w:numId w:val="7"/>
        </w:numPr>
        <w:spacing w:line="240" w:lineRule="auto"/>
      </w:pPr>
      <w:r>
        <w:t>Within 30 days from the effective date of discipline, contact Probation and schedule a meeting with the assigned probation deputy to discuss the conditions of probation</w:t>
      </w:r>
    </w:p>
    <w:p w:rsidR="005547C0" w:rsidRDefault="005547C0" w:rsidP="007D14C0">
      <w:pPr>
        <w:spacing w:line="240" w:lineRule="auto"/>
        <w:ind w:left="780"/>
      </w:pPr>
    </w:p>
    <w:p w:rsidR="005547C0" w:rsidRDefault="005547C0" w:rsidP="007D14C0">
      <w:pPr>
        <w:numPr>
          <w:ilvl w:val="0"/>
          <w:numId w:val="7"/>
        </w:numPr>
        <w:spacing w:line="240" w:lineRule="auto"/>
      </w:pPr>
      <w:r>
        <w:t xml:space="preserve">Submit written quarterly reports to Probation confirming compliance with the State Bar Act, the Rules of Professional Conduct and all conditions of the </w:t>
      </w:r>
      <w:proofErr w:type="spellStart"/>
      <w:r>
        <w:t>reproval</w:t>
      </w:r>
      <w:proofErr w:type="spellEnd"/>
    </w:p>
    <w:p w:rsidR="005547C0" w:rsidRDefault="005547C0" w:rsidP="007D14C0">
      <w:pPr>
        <w:spacing w:line="240" w:lineRule="auto"/>
        <w:ind w:left="780"/>
      </w:pPr>
    </w:p>
    <w:p w:rsidR="005547C0" w:rsidRDefault="005547C0" w:rsidP="007D14C0">
      <w:pPr>
        <w:numPr>
          <w:ilvl w:val="0"/>
          <w:numId w:val="7"/>
        </w:numPr>
        <w:spacing w:line="240" w:lineRule="auto"/>
      </w:pPr>
      <w:r>
        <w:t xml:space="preserve">Answer truthfully </w:t>
      </w:r>
      <w:r w:rsidR="00013B74">
        <w:t xml:space="preserve">Probation’s </w:t>
      </w:r>
      <w:r>
        <w:t xml:space="preserve">inquiries about </w:t>
      </w:r>
      <w:r w:rsidR="006B6307">
        <w:t>his</w:t>
      </w:r>
      <w:r>
        <w:t xml:space="preserve"> case</w:t>
      </w:r>
    </w:p>
    <w:p w:rsidR="005547C0" w:rsidRDefault="005547C0" w:rsidP="007D14C0">
      <w:pPr>
        <w:spacing w:line="240" w:lineRule="auto"/>
        <w:ind w:left="780"/>
      </w:pPr>
    </w:p>
    <w:p w:rsidR="005547C0" w:rsidRDefault="005547C0" w:rsidP="007D14C0">
      <w:pPr>
        <w:numPr>
          <w:ilvl w:val="0"/>
          <w:numId w:val="7"/>
        </w:numPr>
        <w:spacing w:line="240" w:lineRule="auto"/>
      </w:pPr>
      <w:r>
        <w:t>Within one year of the effective date of the discipline, provide proof to Probation of attendance at Ethics School and passage of the test</w:t>
      </w:r>
    </w:p>
    <w:p w:rsidR="005547C0" w:rsidRDefault="005547C0" w:rsidP="005A30A6">
      <w:pPr>
        <w:spacing w:line="240" w:lineRule="auto"/>
        <w:ind w:left="780"/>
      </w:pPr>
    </w:p>
    <w:p w:rsidR="005547C0" w:rsidRDefault="005547C0" w:rsidP="005A30A6">
      <w:pPr>
        <w:numPr>
          <w:ilvl w:val="0"/>
          <w:numId w:val="7"/>
        </w:numPr>
        <w:spacing w:line="240" w:lineRule="auto"/>
      </w:pPr>
      <w:r>
        <w:t>Comply with all conditions of probation in the underlying criminal matter and so declare in his quarterly reports</w:t>
      </w:r>
    </w:p>
    <w:p w:rsidR="005547C0" w:rsidRDefault="005547C0" w:rsidP="005A30A6">
      <w:pPr>
        <w:spacing w:line="240" w:lineRule="auto"/>
        <w:ind w:left="780"/>
      </w:pPr>
    </w:p>
    <w:p w:rsidR="005547C0" w:rsidRDefault="005547C0" w:rsidP="00D12F07">
      <w:pPr>
        <w:pStyle w:val="ListParagraph"/>
        <w:ind w:left="0"/>
      </w:pPr>
      <w:r>
        <w:tab/>
        <w:t>The “special” conditions mandated that Thompson seek treatment</w:t>
      </w:r>
      <w:r w:rsidR="007F21F1">
        <w:t xml:space="preserve"> for his problems</w:t>
      </w:r>
      <w:r>
        <w:t xml:space="preserve">.  The stipulation Thompson signed required </w:t>
      </w:r>
      <w:r w:rsidR="00CE1C0F">
        <w:t xml:space="preserve">that he </w:t>
      </w:r>
      <w:r w:rsidR="007F21F1">
        <w:t>undergo a substance abuse evaluation</w:t>
      </w:r>
      <w:r>
        <w:t xml:space="preserve"> by a </w:t>
      </w:r>
      <w:r w:rsidR="006B6307">
        <w:t>m</w:t>
      </w:r>
      <w:r>
        <w:t>ember of the American Society of Substance Abuse Medicine (ASSAM) within 60 days of the effective date of the stipulation.  However, the hearing judge’s order approving the s</w:t>
      </w:r>
      <w:r w:rsidR="0030570D">
        <w:t xml:space="preserve">tipulation deleted these </w:t>
      </w:r>
      <w:r>
        <w:t>conditions</w:t>
      </w:r>
      <w:r w:rsidR="006B6307">
        <w:t>,</w:t>
      </w:r>
      <w:r>
        <w:t xml:space="preserve"> </w:t>
      </w:r>
      <w:r w:rsidR="007F21F1">
        <w:t xml:space="preserve">and </w:t>
      </w:r>
      <w:r>
        <w:t xml:space="preserve">provided new ones that </w:t>
      </w:r>
      <w:r w:rsidR="007F21F1">
        <w:t xml:space="preserve">called for a more general mental and physical examination regarding mental health issues.  The new order </w:t>
      </w:r>
      <w:r>
        <w:t xml:space="preserve">broadened the type of qualified professional </w:t>
      </w:r>
      <w:r w:rsidR="00315D44">
        <w:t>authorized to</w:t>
      </w:r>
      <w:r>
        <w:t xml:space="preserve"> perform the</w:t>
      </w:r>
      <w:r w:rsidR="007F21F1">
        <w:t xml:space="preserve"> mental health</w:t>
      </w:r>
      <w:r>
        <w:t xml:space="preserve"> </w:t>
      </w:r>
      <w:r w:rsidR="00315D44">
        <w:t>assessment</w:t>
      </w:r>
      <w:r w:rsidR="006B6307">
        <w:t>,</w:t>
      </w:r>
      <w:r>
        <w:t xml:space="preserve"> and gave Thompson </w:t>
      </w:r>
      <w:r w:rsidR="006B6307">
        <w:t>more</w:t>
      </w:r>
      <w:r>
        <w:t xml:space="preserve"> time to comply.  </w:t>
      </w:r>
      <w:r w:rsidR="0030570D">
        <w:t>I</w:t>
      </w:r>
      <w:r>
        <w:t xml:space="preserve">nstead of </w:t>
      </w:r>
      <w:r w:rsidR="00315D44">
        <w:t xml:space="preserve">requiring </w:t>
      </w:r>
      <w:r>
        <w:t xml:space="preserve">an ASSAM examiner, any qualified practitioner approved by </w:t>
      </w:r>
      <w:r w:rsidR="006B6307">
        <w:t>P</w:t>
      </w:r>
      <w:r>
        <w:t>robation</w:t>
      </w:r>
      <w:r w:rsidR="0030570D">
        <w:t xml:space="preserve"> could conduct the evaluation.</w:t>
      </w:r>
      <w:r>
        <w:t xml:space="preserve">  And the compliance date was extended to 60 days from </w:t>
      </w:r>
      <w:r>
        <w:lastRenderedPageBreak/>
        <w:t>the date the Supreme Court imposed discipline rather than the earlier 60 days from the date of the stipulation.</w:t>
      </w:r>
      <w:r>
        <w:rPr>
          <w:rStyle w:val="FootnoteReference"/>
        </w:rPr>
        <w:footnoteReference w:id="4"/>
      </w:r>
      <w:r>
        <w:t xml:space="preserve">  </w:t>
      </w:r>
      <w:r>
        <w:tab/>
        <w:t xml:space="preserve"> </w:t>
      </w:r>
    </w:p>
    <w:p w:rsidR="0030570D" w:rsidRDefault="005547C0" w:rsidP="00D12F07">
      <w:pPr>
        <w:pStyle w:val="ListParagraph"/>
        <w:ind w:left="0"/>
      </w:pPr>
      <w:r>
        <w:tab/>
        <w:t xml:space="preserve">On August 2, 2007, the </w:t>
      </w:r>
      <w:proofErr w:type="spellStart"/>
      <w:r>
        <w:t>Reproval</w:t>
      </w:r>
      <w:proofErr w:type="spellEnd"/>
      <w:r>
        <w:t xml:space="preserve"> Order with the new conditions was filed and served on Thompson’s attorney of record.  The next day, a deputy from Probation sent Thompson a letter reminding him </w:t>
      </w:r>
      <w:r w:rsidR="00305C87">
        <w:t>about</w:t>
      </w:r>
      <w:r>
        <w:t xml:space="preserve"> the </w:t>
      </w:r>
      <w:proofErr w:type="spellStart"/>
      <w:r>
        <w:t>Reproval</w:t>
      </w:r>
      <w:proofErr w:type="spellEnd"/>
      <w:r>
        <w:t xml:space="preserve"> Order and included a copy of it</w:t>
      </w:r>
      <w:r w:rsidR="00623693">
        <w:t xml:space="preserve"> that</w:t>
      </w:r>
      <w:r>
        <w:t xml:space="preserve"> stated all</w:t>
      </w:r>
      <w:r w:rsidR="006B6307">
        <w:t xml:space="preserve"> of</w:t>
      </w:r>
      <w:r>
        <w:t xml:space="preserve"> the conditions, including the </w:t>
      </w:r>
      <w:r w:rsidR="001A410C">
        <w:t>new ones</w:t>
      </w:r>
      <w:r>
        <w:t>.</w:t>
      </w:r>
      <w:r w:rsidR="007F21F1">
        <w:t xml:space="preserve">  Thompson stipulated that he received this letter.</w:t>
      </w:r>
      <w:r>
        <w:t xml:space="preserve">  However, the letter mistakenly referenced the </w:t>
      </w:r>
      <w:r w:rsidR="0030570D">
        <w:t xml:space="preserve">original </w:t>
      </w:r>
      <w:r>
        <w:t>requirement for an AS</w:t>
      </w:r>
      <w:r w:rsidR="006B6307">
        <w:t>S</w:t>
      </w:r>
      <w:r>
        <w:t xml:space="preserve">AM evaluation.  </w:t>
      </w:r>
    </w:p>
    <w:p w:rsidR="005547C0" w:rsidRDefault="0030570D" w:rsidP="00D12F07">
      <w:pPr>
        <w:pStyle w:val="ListParagraph"/>
        <w:ind w:left="0"/>
      </w:pPr>
      <w:r>
        <w:tab/>
        <w:t xml:space="preserve">Thompson failed to </w:t>
      </w:r>
      <w:r w:rsidR="0078269A">
        <w:t>undergo</w:t>
      </w:r>
      <w:r>
        <w:t xml:space="preserve"> any </w:t>
      </w:r>
      <w:r w:rsidR="006437DD">
        <w:t>substance abuse</w:t>
      </w:r>
      <w:r w:rsidR="007F21F1">
        <w:t xml:space="preserve"> or mental health</w:t>
      </w:r>
      <w:r w:rsidR="006437DD">
        <w:t xml:space="preserve"> evaluation, contact </w:t>
      </w:r>
      <w:r w:rsidR="0078269A">
        <w:t>P</w:t>
      </w:r>
      <w:r w:rsidR="006437DD">
        <w:t xml:space="preserve">robation or submit quarterly reports, even though he received written reminders from Probation.  </w:t>
      </w:r>
      <w:r w:rsidR="00C67495">
        <w:t xml:space="preserve">After </w:t>
      </w:r>
      <w:r w:rsidR="005547C0">
        <w:t xml:space="preserve">six months, in March 2008, the Probation deputy </w:t>
      </w:r>
      <w:r>
        <w:t>notif</w:t>
      </w:r>
      <w:r w:rsidR="00DA5CC8">
        <w:t>ied</w:t>
      </w:r>
      <w:r>
        <w:t xml:space="preserve"> </w:t>
      </w:r>
      <w:r w:rsidR="005547C0">
        <w:t>Thompson</w:t>
      </w:r>
      <w:r w:rsidR="00DA5CC8">
        <w:t xml:space="preserve"> by mail</w:t>
      </w:r>
      <w:r w:rsidR="005547C0">
        <w:t xml:space="preserve"> </w:t>
      </w:r>
      <w:r>
        <w:t xml:space="preserve">that </w:t>
      </w:r>
      <w:r w:rsidR="005547C0">
        <w:t>he had not timely complied</w:t>
      </w:r>
      <w:r w:rsidR="00C67495">
        <w:t xml:space="preserve"> with the </w:t>
      </w:r>
      <w:proofErr w:type="spellStart"/>
      <w:r w:rsidR="00C67495">
        <w:t>reproval</w:t>
      </w:r>
      <w:proofErr w:type="spellEnd"/>
      <w:r w:rsidR="00C67495">
        <w:t xml:space="preserve"> conditions</w:t>
      </w:r>
      <w:r w:rsidR="00FB2970">
        <w:t xml:space="preserve">.  Again, </w:t>
      </w:r>
      <w:r w:rsidR="00305C87">
        <w:t>t</w:t>
      </w:r>
      <w:r w:rsidR="00FB2970">
        <w:t>he</w:t>
      </w:r>
      <w:r w:rsidR="00305C87">
        <w:t xml:space="preserve"> deputy</w:t>
      </w:r>
      <w:r w:rsidR="005547C0">
        <w:t xml:space="preserve"> mistakenly referenced the </w:t>
      </w:r>
      <w:r w:rsidR="0078269A">
        <w:t xml:space="preserve">superseded </w:t>
      </w:r>
      <w:r w:rsidR="005547C0">
        <w:t>ASSAM requirement</w:t>
      </w:r>
      <w:r w:rsidR="00CF3BC8">
        <w:t xml:space="preserve"> in </w:t>
      </w:r>
      <w:r w:rsidR="00DA5CC8">
        <w:t>his</w:t>
      </w:r>
      <w:r w:rsidR="00CF3BC8">
        <w:t xml:space="preserve"> letter</w:t>
      </w:r>
      <w:r w:rsidR="005547C0">
        <w:t xml:space="preserve">.  Thompson did not respond to the letters </w:t>
      </w:r>
      <w:r>
        <w:t xml:space="preserve">or </w:t>
      </w:r>
      <w:r w:rsidR="005547C0">
        <w:t>comply with the conditions.</w:t>
      </w:r>
    </w:p>
    <w:p w:rsidR="005547C0" w:rsidRDefault="005547C0" w:rsidP="00D12F07">
      <w:pPr>
        <w:pStyle w:val="ListParagraph"/>
        <w:ind w:left="0"/>
      </w:pPr>
      <w:r>
        <w:tab/>
      </w:r>
      <w:r w:rsidR="003407D0">
        <w:t xml:space="preserve">Ten months after the </w:t>
      </w:r>
      <w:proofErr w:type="spellStart"/>
      <w:r w:rsidR="003407D0">
        <w:t>Reproval</w:t>
      </w:r>
      <w:proofErr w:type="spellEnd"/>
      <w:r w:rsidR="003407D0">
        <w:t xml:space="preserve"> Order was </w:t>
      </w:r>
      <w:r w:rsidR="0030570D">
        <w:t>issued</w:t>
      </w:r>
      <w:r w:rsidR="003407D0">
        <w:t>, on</w:t>
      </w:r>
      <w:r>
        <w:t xml:space="preserve"> June 3, 2008, the State Bar filed an </w:t>
      </w:r>
      <w:proofErr w:type="spellStart"/>
      <w:r>
        <w:t>NDC</w:t>
      </w:r>
      <w:proofErr w:type="spellEnd"/>
      <w:r>
        <w:t xml:space="preserve"> alleging that Thompson willfully failed to comply with the </w:t>
      </w:r>
      <w:proofErr w:type="spellStart"/>
      <w:r>
        <w:t>Reproval</w:t>
      </w:r>
      <w:proofErr w:type="spellEnd"/>
      <w:r>
        <w:t xml:space="preserve"> Order conditions in violation of rule 1-110.  In the </w:t>
      </w:r>
      <w:proofErr w:type="spellStart"/>
      <w:r>
        <w:t>NDC</w:t>
      </w:r>
      <w:proofErr w:type="spellEnd"/>
      <w:r>
        <w:t>, the State Bar also mistakenly refer</w:t>
      </w:r>
      <w:r w:rsidR="002749E2">
        <w:t>red to</w:t>
      </w:r>
      <w:r>
        <w:t xml:space="preserve"> the ASSAM evaluation requirement.  </w:t>
      </w:r>
      <w:r w:rsidR="00B70E8C">
        <w:t>But</w:t>
      </w:r>
      <w:r>
        <w:t xml:space="preserve"> the </w:t>
      </w:r>
      <w:proofErr w:type="spellStart"/>
      <w:r w:rsidR="00721FC2">
        <w:t>NDC’s</w:t>
      </w:r>
      <w:proofErr w:type="spellEnd"/>
      <w:r w:rsidR="00721FC2">
        <w:t xml:space="preserve"> </w:t>
      </w:r>
      <w:r>
        <w:t xml:space="preserve">concluding paragraph alleged in general that Thompson failed “to comply with the terms and conditions of the </w:t>
      </w:r>
      <w:proofErr w:type="spellStart"/>
      <w:r>
        <w:t>Reproval</w:t>
      </w:r>
      <w:proofErr w:type="spellEnd"/>
      <w:r>
        <w:t xml:space="preserve"> Order.” </w:t>
      </w:r>
    </w:p>
    <w:p w:rsidR="00C67495" w:rsidRDefault="005547C0" w:rsidP="00404D43">
      <w:pPr>
        <w:pStyle w:val="ListParagraph"/>
        <w:ind w:left="0"/>
      </w:pPr>
      <w:r>
        <w:tab/>
        <w:t xml:space="preserve">The case proceeded to trial on November 18, </w:t>
      </w:r>
      <w:r w:rsidR="001157BD">
        <w:t>2008</w:t>
      </w:r>
      <w:r w:rsidR="00035D69">
        <w:t>.</w:t>
      </w:r>
      <w:r w:rsidR="001157BD">
        <w:t xml:space="preserve">  During pretrial matters</w:t>
      </w:r>
      <w:r w:rsidR="0078269A">
        <w:t>,</w:t>
      </w:r>
      <w:r w:rsidR="001157BD">
        <w:t xml:space="preserve"> Thompson</w:t>
      </w:r>
      <w:r w:rsidR="00035D69">
        <w:t xml:space="preserve"> </w:t>
      </w:r>
      <w:r w:rsidR="001157BD">
        <w:t>repeatedly failed to</w:t>
      </w:r>
      <w:r w:rsidR="00CF3BC8">
        <w:t xml:space="preserve"> file conference statements or appear at </w:t>
      </w:r>
      <w:r w:rsidR="001157BD">
        <w:t xml:space="preserve">scheduled </w:t>
      </w:r>
      <w:r w:rsidR="00C67495">
        <w:t>hearings</w:t>
      </w:r>
      <w:r w:rsidR="001157BD">
        <w:t xml:space="preserve"> </w:t>
      </w:r>
      <w:r w:rsidR="0030570D">
        <w:t xml:space="preserve">due to his </w:t>
      </w:r>
      <w:r w:rsidR="00ED1D39">
        <w:t xml:space="preserve">superior </w:t>
      </w:r>
      <w:r w:rsidR="00ED1D39">
        <w:lastRenderedPageBreak/>
        <w:t xml:space="preserve">court </w:t>
      </w:r>
      <w:r w:rsidR="0030570D">
        <w:t xml:space="preserve">trial </w:t>
      </w:r>
      <w:r w:rsidR="00ED1D39">
        <w:t>schedule</w:t>
      </w:r>
      <w:r w:rsidR="001157BD">
        <w:t xml:space="preserve">.  </w:t>
      </w:r>
      <w:r w:rsidR="00C94707">
        <w:t>As a result, t</w:t>
      </w:r>
      <w:r w:rsidR="001157BD">
        <w:t xml:space="preserve">he hearing judge sanctioned Thompson under </w:t>
      </w:r>
      <w:r w:rsidR="00C94707">
        <w:t xml:space="preserve">the Rules of Procedure of the State Bar of California, </w:t>
      </w:r>
      <w:r w:rsidR="001157BD">
        <w:t>rule 211(f)</w:t>
      </w:r>
      <w:r w:rsidR="00C94707">
        <w:t>,</w:t>
      </w:r>
      <w:r w:rsidR="00CF3BC8">
        <w:rPr>
          <w:rStyle w:val="FootnoteReference"/>
        </w:rPr>
        <w:footnoteReference w:id="5"/>
      </w:r>
      <w:r w:rsidR="001157BD">
        <w:t xml:space="preserve"> </w:t>
      </w:r>
      <w:r w:rsidR="002749E2">
        <w:t xml:space="preserve">by prohibiting </w:t>
      </w:r>
      <w:r w:rsidR="001157BD">
        <w:t xml:space="preserve">evidence on culpability issues at trial </w:t>
      </w:r>
      <w:r w:rsidR="00C94707">
        <w:t xml:space="preserve">other than </w:t>
      </w:r>
      <w:r w:rsidR="002749E2">
        <w:t>Thompson’s</w:t>
      </w:r>
      <w:r w:rsidR="001157BD">
        <w:t xml:space="preserve"> own testimony.  </w:t>
      </w:r>
    </w:p>
    <w:p w:rsidR="005547C0" w:rsidRDefault="00C67495" w:rsidP="00404D43">
      <w:pPr>
        <w:pStyle w:val="ListParagraph"/>
        <w:ind w:left="0"/>
      </w:pPr>
      <w:r>
        <w:tab/>
      </w:r>
      <w:r w:rsidR="00035D69">
        <w:t>On the day of trial, T</w:t>
      </w:r>
      <w:r w:rsidR="005547C0">
        <w:t xml:space="preserve">hompson </w:t>
      </w:r>
      <w:r w:rsidR="00C94707">
        <w:t xml:space="preserve">stipulated to </w:t>
      </w:r>
      <w:r w:rsidR="005547C0">
        <w:t>culpability</w:t>
      </w:r>
      <w:r w:rsidR="00C94707">
        <w:t xml:space="preserve">.  In </w:t>
      </w:r>
      <w:r>
        <w:t>his</w:t>
      </w:r>
      <w:r w:rsidR="00C94707">
        <w:t xml:space="preserve"> written stipulation, he admitted that </w:t>
      </w:r>
      <w:r w:rsidR="001157BD">
        <w:t xml:space="preserve">he </w:t>
      </w:r>
      <w:r w:rsidR="005547C0">
        <w:t>failed to</w:t>
      </w:r>
      <w:r w:rsidR="005547C0" w:rsidRPr="004F7C94">
        <w:t xml:space="preserve"> </w:t>
      </w:r>
      <w:r w:rsidR="005547C0">
        <w:t xml:space="preserve">notify Probation about timely </w:t>
      </w:r>
      <w:r w:rsidR="00C94707">
        <w:t>completing</w:t>
      </w:r>
      <w:r w:rsidR="005547C0">
        <w:t xml:space="preserve"> an ASSAM “or other comparable evaluation.”  </w:t>
      </w:r>
      <w:r>
        <w:t>I</w:t>
      </w:r>
      <w:r w:rsidR="00C94707">
        <w:t>n a further oral stipulation</w:t>
      </w:r>
      <w:r w:rsidR="00ED1D39">
        <w:t>,</w:t>
      </w:r>
      <w:r>
        <w:t xml:space="preserve"> he </w:t>
      </w:r>
      <w:r w:rsidR="002749E2">
        <w:t>mentioned</w:t>
      </w:r>
      <w:r>
        <w:t xml:space="preserve"> the new special conditions and admitted</w:t>
      </w:r>
      <w:r w:rsidR="00C94707">
        <w:t xml:space="preserve"> that he had failed to seek </w:t>
      </w:r>
      <w:r w:rsidR="00C94707" w:rsidRPr="00CF3BC8">
        <w:t xml:space="preserve">any </w:t>
      </w:r>
      <w:r w:rsidR="00C94707">
        <w:t xml:space="preserve">substance abuse </w:t>
      </w:r>
      <w:r w:rsidR="007F21F1">
        <w:t xml:space="preserve">or mental health </w:t>
      </w:r>
      <w:r w:rsidR="00C94707">
        <w:t xml:space="preserve">evaluation.  He told the hearing judge: </w:t>
      </w:r>
      <w:r w:rsidR="005547C0">
        <w:t xml:space="preserve"> “I did not get an examination from any practitioner as is described in this paragraph [in the new special conditions] as I read it.”</w:t>
      </w:r>
      <w:r w:rsidR="005547C0">
        <w:rPr>
          <w:rStyle w:val="FootnoteReference"/>
        </w:rPr>
        <w:footnoteReference w:id="6"/>
      </w:r>
      <w:r w:rsidR="005547C0">
        <w:t xml:space="preserve">  After the </w:t>
      </w:r>
      <w:r w:rsidR="00ED1D39">
        <w:t xml:space="preserve">culpability </w:t>
      </w:r>
      <w:r w:rsidR="005547C0">
        <w:t>stipulation</w:t>
      </w:r>
      <w:r w:rsidR="00C94707">
        <w:t xml:space="preserve"> was entered</w:t>
      </w:r>
      <w:r w:rsidR="005547C0">
        <w:t>,</w:t>
      </w:r>
      <w:r w:rsidR="00CF3BC8">
        <w:t xml:space="preserve"> </w:t>
      </w:r>
      <w:r w:rsidR="00C94707">
        <w:t>the trial</w:t>
      </w:r>
      <w:r w:rsidR="005547C0">
        <w:t xml:space="preserve"> </w:t>
      </w:r>
      <w:r>
        <w:t xml:space="preserve">was continued </w:t>
      </w:r>
      <w:r w:rsidR="005547C0">
        <w:t xml:space="preserve">for several months.  </w:t>
      </w:r>
      <w:r w:rsidR="00C94707">
        <w:t xml:space="preserve">But before the </w:t>
      </w:r>
      <w:r w:rsidR="00CF3BC8">
        <w:t>hearing</w:t>
      </w:r>
      <w:r w:rsidR="00C94707">
        <w:t xml:space="preserve"> concluded</w:t>
      </w:r>
      <w:r w:rsidR="005547C0">
        <w:t>, the judge admonished Thompson to immediately begin complying with the conditions</w:t>
      </w:r>
      <w:r w:rsidR="00C94707">
        <w:t>, warning him</w:t>
      </w:r>
      <w:r w:rsidR="00721FC2">
        <w:t xml:space="preserve"> that </w:t>
      </w:r>
      <w:r w:rsidR="005547C0">
        <w:t>further noncompliance could be considered an aggravating circumstance.</w:t>
      </w:r>
      <w:r w:rsidR="00910D30">
        <w:rPr>
          <w:rStyle w:val="FootnoteReference"/>
        </w:rPr>
        <w:footnoteReference w:id="7"/>
      </w:r>
      <w:r w:rsidR="005547C0">
        <w:t xml:space="preserve">  </w:t>
      </w:r>
      <w:r w:rsidR="00C94707">
        <w:t xml:space="preserve">Thompson </w:t>
      </w:r>
      <w:r w:rsidR="009D704F">
        <w:t>replied, “Yes sir.”</w:t>
      </w:r>
    </w:p>
    <w:p w:rsidR="00385E2E" w:rsidRDefault="005547C0" w:rsidP="00035D69">
      <w:pPr>
        <w:pStyle w:val="ListParagraph"/>
        <w:ind w:left="0"/>
      </w:pPr>
      <w:r>
        <w:tab/>
      </w:r>
      <w:r w:rsidR="009D704F">
        <w:t xml:space="preserve">Despite this warning, </w:t>
      </w:r>
      <w:r>
        <w:t xml:space="preserve">Thompson had still not complied with the </w:t>
      </w:r>
      <w:proofErr w:type="spellStart"/>
      <w:r>
        <w:t>reproval</w:t>
      </w:r>
      <w:proofErr w:type="spellEnd"/>
      <w:r>
        <w:t xml:space="preserve"> conditions</w:t>
      </w:r>
      <w:r w:rsidR="009D704F">
        <w:t xml:space="preserve"> when the trial resumed six months later on May 13, 2009.</w:t>
      </w:r>
      <w:r>
        <w:t xml:space="preserve">  The hearing judge asked him why he </w:t>
      </w:r>
      <w:r w:rsidR="00910D30">
        <w:t xml:space="preserve">had </w:t>
      </w:r>
      <w:r>
        <w:t>failed to comply</w:t>
      </w:r>
      <w:r w:rsidR="00910D30">
        <w:t xml:space="preserve"> </w:t>
      </w:r>
      <w:r>
        <w:t xml:space="preserve">and Thompson testified that it was a combination of three things.  First, he admitted he had been inattentive to the conditions.  Second, he described himself as </w:t>
      </w:r>
      <w:r w:rsidR="002E319D">
        <w:t>having</w:t>
      </w:r>
      <w:r>
        <w:t xml:space="preserve"> a “natural psyche to focus on [his] work and put personal life to the rear.”  And third, he explained that his law practice had recently involved very complicated civil cases that took his full time </w:t>
      </w:r>
      <w:r>
        <w:lastRenderedPageBreak/>
        <w:t>and attention.  In the end, however, Thompson candidly admitted that the primary reason was “inattention.”</w:t>
      </w:r>
    </w:p>
    <w:p w:rsidR="005547C0" w:rsidRPr="000B03DA" w:rsidRDefault="005547C0" w:rsidP="0096569F">
      <w:pPr>
        <w:pStyle w:val="ListParagraph"/>
        <w:ind w:left="0"/>
        <w:jc w:val="center"/>
        <w:rPr>
          <w:b/>
        </w:rPr>
      </w:pPr>
      <w:r>
        <w:rPr>
          <w:b/>
        </w:rPr>
        <w:t xml:space="preserve">III.  </w:t>
      </w:r>
      <w:r w:rsidRPr="000B03DA">
        <w:rPr>
          <w:b/>
        </w:rPr>
        <w:t>CULPABILITY</w:t>
      </w:r>
    </w:p>
    <w:p w:rsidR="005547C0" w:rsidRPr="000B03DA" w:rsidRDefault="005547C0" w:rsidP="00D12F07">
      <w:pPr>
        <w:pStyle w:val="ListParagraph"/>
        <w:ind w:left="0"/>
        <w:rPr>
          <w:b/>
        </w:rPr>
      </w:pPr>
      <w:r>
        <w:tab/>
      </w:r>
      <w:r w:rsidRPr="000B03DA">
        <w:rPr>
          <w:b/>
        </w:rPr>
        <w:t xml:space="preserve">Count 1 – </w:t>
      </w:r>
      <w:r>
        <w:rPr>
          <w:b/>
        </w:rPr>
        <w:t xml:space="preserve">Thompson Failed to </w:t>
      </w:r>
      <w:r w:rsidRPr="000B03DA">
        <w:rPr>
          <w:b/>
        </w:rPr>
        <w:t xml:space="preserve">Comply with Conditions of </w:t>
      </w:r>
      <w:proofErr w:type="spellStart"/>
      <w:r w:rsidRPr="000B03DA">
        <w:rPr>
          <w:b/>
        </w:rPr>
        <w:t>Reproval</w:t>
      </w:r>
      <w:proofErr w:type="spellEnd"/>
      <w:r w:rsidRPr="000B03DA">
        <w:rPr>
          <w:b/>
        </w:rPr>
        <w:t xml:space="preserve"> (Rule 1-110) </w:t>
      </w:r>
    </w:p>
    <w:p w:rsidR="005547C0" w:rsidRDefault="005547C0" w:rsidP="00D12F07">
      <w:pPr>
        <w:pStyle w:val="ListParagraph"/>
        <w:ind w:left="0"/>
      </w:pPr>
      <w:r>
        <w:tab/>
        <w:t>We adopt the hearing judge’s finding that Thompson violated rule 1-110, which requires members of the State Bar to co</w:t>
      </w:r>
      <w:r w:rsidR="00305C87">
        <w:t xml:space="preserve">mply with conditions of a </w:t>
      </w:r>
      <w:proofErr w:type="spellStart"/>
      <w:r w:rsidR="00305C87">
        <w:t>reproval</w:t>
      </w:r>
      <w:proofErr w:type="spellEnd"/>
      <w:r w:rsidR="00305C87">
        <w:t xml:space="preserve">.  By his stipulation and testimony, Thompson admitted that he did not comply with the conditions, which became effective on August 2, 2007.  When a </w:t>
      </w:r>
      <w:proofErr w:type="spellStart"/>
      <w:r w:rsidR="00305C87">
        <w:t>reproval</w:t>
      </w:r>
      <w:proofErr w:type="spellEnd"/>
      <w:r w:rsidR="00305C87">
        <w:t xml:space="preserve"> becomes final, the conditions attached to it are presumed valid.  (</w:t>
      </w:r>
      <w:r w:rsidR="00305C87">
        <w:rPr>
          <w:i/>
        </w:rPr>
        <w:t>In the Matter of Pyle</w:t>
      </w:r>
      <w:r w:rsidR="00305C87">
        <w:t xml:space="preserve"> (Review Dept. 1998) 3 Cal. State B</w:t>
      </w:r>
      <w:r w:rsidR="00475EDD">
        <w:t>a</w:t>
      </w:r>
      <w:r w:rsidR="00305C87">
        <w:t xml:space="preserve">r Ct. </w:t>
      </w:r>
      <w:proofErr w:type="spellStart"/>
      <w:r w:rsidR="00305C87">
        <w:t>Rptr</w:t>
      </w:r>
      <w:proofErr w:type="spellEnd"/>
      <w:r w:rsidR="00305C87">
        <w:t>. 929, 933.)</w:t>
      </w:r>
    </w:p>
    <w:p w:rsidR="009D704F" w:rsidRDefault="005547C0" w:rsidP="00E01C0C">
      <w:pPr>
        <w:pStyle w:val="ListParagraph"/>
        <w:ind w:left="0"/>
      </w:pPr>
      <w:r>
        <w:tab/>
      </w:r>
      <w:r w:rsidR="009D704F">
        <w:t xml:space="preserve">We find that Thompson was aware of </w:t>
      </w:r>
      <w:r w:rsidR="009D704F" w:rsidRPr="009D704F">
        <w:t xml:space="preserve">all </w:t>
      </w:r>
      <w:r w:rsidR="009D704F" w:rsidRPr="00B70E8C">
        <w:t>the</w:t>
      </w:r>
      <w:r w:rsidR="009D704F">
        <w:t xml:space="preserve"> </w:t>
      </w:r>
      <w:proofErr w:type="spellStart"/>
      <w:r w:rsidR="009D704F">
        <w:t>reproval</w:t>
      </w:r>
      <w:proofErr w:type="spellEnd"/>
      <w:r w:rsidR="009D704F">
        <w:t xml:space="preserve"> conditions, including the new </w:t>
      </w:r>
      <w:r w:rsidR="00C67495">
        <w:t>special conditions added by the hearing judge</w:t>
      </w:r>
      <w:r w:rsidR="009D704F">
        <w:t xml:space="preserve">.  </w:t>
      </w:r>
      <w:r w:rsidR="00C67495">
        <w:t>Thompson</w:t>
      </w:r>
      <w:r w:rsidR="009D704F">
        <w:t xml:space="preserve"> received a copy from Probation and referenced th</w:t>
      </w:r>
      <w:r w:rsidR="00C67495">
        <w:t>em in his trial stipulations.  His</w:t>
      </w:r>
      <w:r w:rsidR="009D704F">
        <w:t xml:space="preserve"> written stipulation </w:t>
      </w:r>
      <w:r w:rsidR="00C67495">
        <w:t>states</w:t>
      </w:r>
      <w:r w:rsidR="009D704F">
        <w:t xml:space="preserve"> that he did not obtain an ASSAM or “other comparable examination,” which logically refers to the new condition permitting him to seek a professional</w:t>
      </w:r>
      <w:r w:rsidR="007F21F1">
        <w:t xml:space="preserve"> mental health</w:t>
      </w:r>
      <w:r w:rsidR="009D704F">
        <w:t xml:space="preserve"> </w:t>
      </w:r>
      <w:r w:rsidR="00721CB4">
        <w:t>assessment</w:t>
      </w:r>
      <w:r w:rsidR="00BF7D4F">
        <w:t xml:space="preserve"> other than through ASSAM.  </w:t>
      </w:r>
      <w:r w:rsidR="009D704F">
        <w:t xml:space="preserve">And in his oral stipulation before the hearing judge, he cited </w:t>
      </w:r>
      <w:r w:rsidR="00721CB4">
        <w:t xml:space="preserve">the new conditions </w:t>
      </w:r>
      <w:r w:rsidR="009D704F">
        <w:t xml:space="preserve">directly in admitting that he had never obtained </w:t>
      </w:r>
      <w:r w:rsidR="009D704F" w:rsidRPr="00305C87">
        <w:rPr>
          <w:i/>
        </w:rPr>
        <w:t>any</w:t>
      </w:r>
      <w:r w:rsidR="009D704F">
        <w:t xml:space="preserve"> professional evaluation.  </w:t>
      </w:r>
      <w:r w:rsidR="00305C87">
        <w:t>This evidence clearly and convincingly establishes Thompson’s culpability.</w:t>
      </w:r>
    </w:p>
    <w:p w:rsidR="00385E2E" w:rsidRDefault="005547C0" w:rsidP="009D704F">
      <w:pPr>
        <w:pStyle w:val="ListParagraph"/>
        <w:ind w:left="0" w:firstLine="720"/>
      </w:pPr>
      <w:r>
        <w:t>Thompso</w:t>
      </w:r>
      <w:r w:rsidR="00B70E8C">
        <w:t xml:space="preserve">n argues that he was denied due process because the </w:t>
      </w:r>
      <w:proofErr w:type="spellStart"/>
      <w:r w:rsidR="00B70E8C">
        <w:t>NDC</w:t>
      </w:r>
      <w:proofErr w:type="spellEnd"/>
      <w:r w:rsidR="00B70E8C">
        <w:t xml:space="preserve"> erro</w:t>
      </w:r>
      <w:r>
        <w:t xml:space="preserve">neously charged </w:t>
      </w:r>
      <w:r w:rsidR="00B70E8C">
        <w:t xml:space="preserve">him with </w:t>
      </w:r>
      <w:r w:rsidR="00910D30">
        <w:t xml:space="preserve">some of </w:t>
      </w:r>
      <w:r w:rsidR="00B70E8C">
        <w:t xml:space="preserve">the </w:t>
      </w:r>
      <w:r w:rsidR="00721CB4">
        <w:t xml:space="preserve">obsolete </w:t>
      </w:r>
      <w:r w:rsidR="00B70E8C">
        <w:t xml:space="preserve">original </w:t>
      </w:r>
      <w:r w:rsidR="00721FC2">
        <w:t xml:space="preserve">conditions, </w:t>
      </w:r>
      <w:r w:rsidR="00AA4A38">
        <w:t xml:space="preserve">specifically </w:t>
      </w:r>
      <w:r w:rsidR="00721FC2">
        <w:t xml:space="preserve">the </w:t>
      </w:r>
      <w:r w:rsidR="00B70E8C">
        <w:t>ASSAM evaluation</w:t>
      </w:r>
      <w:r w:rsidR="00721FC2">
        <w:t xml:space="preserve"> requirement</w:t>
      </w:r>
      <w:r w:rsidR="001A410C">
        <w:t>.</w:t>
      </w:r>
      <w:r w:rsidR="00B70E8C">
        <w:t xml:space="preserve">  He contends that </w:t>
      </w:r>
      <w:r w:rsidR="00D31A99">
        <w:t xml:space="preserve">he cannot be found culpable </w:t>
      </w:r>
      <w:r w:rsidR="00721CB4">
        <w:t>of</w:t>
      </w:r>
      <w:r w:rsidR="00D31A99">
        <w:t xml:space="preserve"> violating </w:t>
      </w:r>
      <w:r w:rsidR="00AA4A38">
        <w:t>this condition</w:t>
      </w:r>
      <w:r w:rsidR="00910D30">
        <w:t xml:space="preserve"> </w:t>
      </w:r>
      <w:r w:rsidR="00721CB4">
        <w:t>since</w:t>
      </w:r>
      <w:r w:rsidR="00910D30">
        <w:t xml:space="preserve"> </w:t>
      </w:r>
      <w:r w:rsidR="00C67495">
        <w:t>it</w:t>
      </w:r>
      <w:r w:rsidR="009D704F">
        <w:t xml:space="preserve"> was</w:t>
      </w:r>
      <w:r w:rsidR="00910D30">
        <w:t xml:space="preserve"> not</w:t>
      </w:r>
      <w:r w:rsidR="00721FC2">
        <w:t xml:space="preserve"> </w:t>
      </w:r>
      <w:r w:rsidR="00D31A99">
        <w:t xml:space="preserve">part of the </w:t>
      </w:r>
      <w:proofErr w:type="spellStart"/>
      <w:r w:rsidR="00D31A99">
        <w:t>Reproval</w:t>
      </w:r>
      <w:proofErr w:type="spellEnd"/>
      <w:r w:rsidR="00D31A99">
        <w:t xml:space="preserve"> Order.  </w:t>
      </w:r>
      <w:r w:rsidR="00C67495">
        <w:t xml:space="preserve">We reject his </w:t>
      </w:r>
      <w:r w:rsidR="00B70E8C">
        <w:t>argument as meritless</w:t>
      </w:r>
      <w:r w:rsidR="00C67495">
        <w:t>.  The</w:t>
      </w:r>
      <w:r w:rsidR="00721FC2">
        <w:t xml:space="preserve"> </w:t>
      </w:r>
      <w:proofErr w:type="spellStart"/>
      <w:r w:rsidR="00721FC2">
        <w:t>NDC</w:t>
      </w:r>
      <w:proofErr w:type="spellEnd"/>
      <w:r w:rsidR="00721FC2">
        <w:t xml:space="preserve"> </w:t>
      </w:r>
      <w:r w:rsidR="00910D30">
        <w:t xml:space="preserve">not only charged a violation of the </w:t>
      </w:r>
      <w:r w:rsidR="00721FC2">
        <w:t xml:space="preserve">ASSAM evaluation requirement </w:t>
      </w:r>
      <w:r w:rsidR="00910D30">
        <w:t xml:space="preserve">but also </w:t>
      </w:r>
      <w:r w:rsidR="00AA4A38">
        <w:t xml:space="preserve">generally </w:t>
      </w:r>
      <w:r w:rsidR="003C1338">
        <w:t>alleged</w:t>
      </w:r>
      <w:r w:rsidR="00910D30">
        <w:t xml:space="preserve"> </w:t>
      </w:r>
      <w:r w:rsidR="00721CB4">
        <w:t xml:space="preserve">that </w:t>
      </w:r>
      <w:r w:rsidR="003C1338">
        <w:t xml:space="preserve">Thompson </w:t>
      </w:r>
      <w:r w:rsidR="00910D30">
        <w:t xml:space="preserve">failed “to comply with terms and conditions of the </w:t>
      </w:r>
      <w:proofErr w:type="spellStart"/>
      <w:r w:rsidR="00910D30">
        <w:t>Reproval</w:t>
      </w:r>
      <w:proofErr w:type="spellEnd"/>
      <w:r w:rsidR="00910D30">
        <w:t xml:space="preserve"> Order.”  </w:t>
      </w:r>
      <w:r w:rsidR="00E01C0C">
        <w:t>W</w:t>
      </w:r>
      <w:r w:rsidR="00EF22F5">
        <w:t xml:space="preserve">e conclude </w:t>
      </w:r>
      <w:r w:rsidR="00EF22F5">
        <w:lastRenderedPageBreak/>
        <w:t>that</w:t>
      </w:r>
      <w:r w:rsidR="009D704F">
        <w:t xml:space="preserve"> Thompson was not denied due process since </w:t>
      </w:r>
      <w:r w:rsidR="001A410C">
        <w:t xml:space="preserve">the </w:t>
      </w:r>
      <w:proofErr w:type="spellStart"/>
      <w:r w:rsidR="001A410C">
        <w:t>NDC</w:t>
      </w:r>
      <w:proofErr w:type="spellEnd"/>
      <w:r w:rsidR="001A410C">
        <w:t xml:space="preserve"> </w:t>
      </w:r>
      <w:r>
        <w:t xml:space="preserve">charged </w:t>
      </w:r>
      <w:r w:rsidR="00721CB4">
        <w:t xml:space="preserve">him </w:t>
      </w:r>
      <w:r>
        <w:t xml:space="preserve">with violating </w:t>
      </w:r>
      <w:r w:rsidR="003C1338">
        <w:t xml:space="preserve">any and </w:t>
      </w:r>
      <w:r w:rsidR="00AA4A38">
        <w:t>all</w:t>
      </w:r>
      <w:r w:rsidR="00D31A99">
        <w:t xml:space="preserve"> of the </w:t>
      </w:r>
      <w:proofErr w:type="spellStart"/>
      <w:r w:rsidR="001A410C">
        <w:t>Reproval</w:t>
      </w:r>
      <w:proofErr w:type="spellEnd"/>
      <w:r w:rsidR="001A410C">
        <w:t xml:space="preserve"> Order’s </w:t>
      </w:r>
      <w:r w:rsidR="00D31A99">
        <w:t>conditions</w:t>
      </w:r>
      <w:r w:rsidR="009D704F">
        <w:t>.</w:t>
      </w:r>
      <w:r w:rsidR="00D31A99">
        <w:t xml:space="preserve"> </w:t>
      </w:r>
      <w:r>
        <w:t xml:space="preserve">  </w:t>
      </w:r>
    </w:p>
    <w:p w:rsidR="005547C0" w:rsidRPr="006A1E92" w:rsidRDefault="005547C0" w:rsidP="00721CB4">
      <w:pPr>
        <w:pStyle w:val="ListParagraph"/>
        <w:ind w:left="0"/>
        <w:jc w:val="center"/>
      </w:pPr>
      <w:r>
        <w:rPr>
          <w:b/>
        </w:rPr>
        <w:t xml:space="preserve">IV.  </w:t>
      </w:r>
      <w:r w:rsidRPr="006A1E92">
        <w:rPr>
          <w:b/>
          <w:bCs/>
        </w:rPr>
        <w:t>FACTORS IN AGGRAVATION AND MITIGATION</w:t>
      </w:r>
    </w:p>
    <w:p w:rsidR="005547C0" w:rsidRDefault="005547C0" w:rsidP="000B03DA">
      <w:pPr>
        <w:pStyle w:val="Default"/>
        <w:spacing w:line="480" w:lineRule="auto"/>
      </w:pPr>
      <w:r>
        <w:tab/>
      </w:r>
      <w:r w:rsidRPr="006A1E92">
        <w:t xml:space="preserve">The offering party bears the burden of proof for aggravating and mitigating circumstances. </w:t>
      </w:r>
      <w:r>
        <w:t xml:space="preserve"> Thompson</w:t>
      </w:r>
      <w:r w:rsidRPr="006A1E92">
        <w:t xml:space="preserve"> must establish mitigation by clear and convincing evidence (</w:t>
      </w:r>
      <w:r w:rsidR="00475EDD">
        <w:t>S</w:t>
      </w:r>
      <w:r w:rsidRPr="006A1E92">
        <w:t>td. 1.2(e)), while the State Bar has the same burden to prove aggravating circumstances. (Std. 1.2(b).)</w:t>
      </w:r>
    </w:p>
    <w:p w:rsidR="005547C0" w:rsidRPr="006A1E92" w:rsidRDefault="005547C0" w:rsidP="0096569F">
      <w:pPr>
        <w:pStyle w:val="Default"/>
        <w:spacing w:line="480" w:lineRule="auto"/>
      </w:pPr>
      <w:r>
        <w:rPr>
          <w:b/>
          <w:bCs/>
        </w:rPr>
        <w:t>A.</w:t>
      </w:r>
      <w:r>
        <w:rPr>
          <w:b/>
          <w:bCs/>
        </w:rPr>
        <w:tab/>
      </w:r>
      <w:r w:rsidR="00305C87">
        <w:rPr>
          <w:b/>
          <w:bCs/>
        </w:rPr>
        <w:t>TWO FACTORS IN AGGRAVATION</w:t>
      </w:r>
      <w:r w:rsidR="00305C87" w:rsidRPr="006A1E92">
        <w:rPr>
          <w:b/>
          <w:bCs/>
        </w:rPr>
        <w:t xml:space="preserve"> </w:t>
      </w:r>
    </w:p>
    <w:p w:rsidR="005547C0" w:rsidRDefault="005547C0" w:rsidP="000B03DA">
      <w:pPr>
        <w:pStyle w:val="ListParagraph"/>
        <w:ind w:left="0"/>
      </w:pPr>
      <w:r>
        <w:tab/>
      </w:r>
      <w:r w:rsidRPr="006A1E92">
        <w:t>The hearing judge found</w:t>
      </w:r>
      <w:r>
        <w:t xml:space="preserve"> two</w:t>
      </w:r>
      <w:r w:rsidRPr="006A1E92">
        <w:t xml:space="preserve"> factor</w:t>
      </w:r>
      <w:r>
        <w:t>s</w:t>
      </w:r>
      <w:r w:rsidRPr="006A1E92">
        <w:t xml:space="preserve"> in aggravation</w:t>
      </w:r>
      <w:r>
        <w:t>,</w:t>
      </w:r>
      <w:r w:rsidRPr="006A1E92">
        <w:t xml:space="preserve"> and we agree.</w:t>
      </w:r>
      <w:r>
        <w:t xml:space="preserve">  First,</w:t>
      </w:r>
      <w:r w:rsidRPr="000521F4">
        <w:t xml:space="preserve"> </w:t>
      </w:r>
      <w:r>
        <w:t xml:space="preserve">Thompson committed multiple acts of misconduct (std. 1.2(b)(ii)), as evidenced by his </w:t>
      </w:r>
      <w:r w:rsidR="00721CB4">
        <w:t xml:space="preserve">repeated </w:t>
      </w:r>
      <w:r>
        <w:t xml:space="preserve">failure to comply with the conditions of the </w:t>
      </w:r>
      <w:proofErr w:type="spellStart"/>
      <w:r>
        <w:t>Reproval</w:t>
      </w:r>
      <w:proofErr w:type="spellEnd"/>
      <w:r>
        <w:t xml:space="preserve"> Order</w:t>
      </w:r>
      <w:r w:rsidR="00721CB4">
        <w:t>,</w:t>
      </w:r>
      <w:r w:rsidR="006437DD">
        <w:t xml:space="preserve"> despite many opportunities</w:t>
      </w:r>
      <w:r w:rsidR="00721CB4">
        <w:t xml:space="preserve"> and reminders</w:t>
      </w:r>
      <w:r w:rsidR="006437DD">
        <w:t xml:space="preserve"> to do so</w:t>
      </w:r>
      <w:r>
        <w:t>.  And second, Thompson has one prior record of discipline (std. 1.2(b)(</w:t>
      </w:r>
      <w:proofErr w:type="spellStart"/>
      <w:r>
        <w:t>i</w:t>
      </w:r>
      <w:proofErr w:type="spellEnd"/>
      <w:r>
        <w:t xml:space="preserve">)), which is the 2007 public </w:t>
      </w:r>
      <w:proofErr w:type="spellStart"/>
      <w:r>
        <w:t>reproval</w:t>
      </w:r>
      <w:proofErr w:type="spellEnd"/>
      <w:r>
        <w:t xml:space="preserve"> for his DUI conviction.  </w:t>
      </w:r>
    </w:p>
    <w:p w:rsidR="005547C0" w:rsidRDefault="005547C0" w:rsidP="000B03DA">
      <w:pPr>
        <w:pStyle w:val="ListParagraph"/>
        <w:ind w:left="0"/>
      </w:pPr>
      <w:r>
        <w:tab/>
        <w:t xml:space="preserve">The State Bar requests that we find additional aggravating circumstances, including Thompson’s failure to submit quarterly reports, his temporary non-compliance with </w:t>
      </w:r>
      <w:r w:rsidR="008017F3">
        <w:t xml:space="preserve">criminal probation </w:t>
      </w:r>
      <w:r>
        <w:t>conditions, and his failure to participate in the current proceedings.  The hearing judge did not find these additional factors in aggravation and we</w:t>
      </w:r>
      <w:r w:rsidR="00D31A99">
        <w:t xml:space="preserve"> agree</w:t>
      </w:r>
      <w:r>
        <w:t xml:space="preserve">.  </w:t>
      </w:r>
      <w:r w:rsidR="001A410C">
        <w:t>T</w:t>
      </w:r>
      <w:r>
        <w:t xml:space="preserve">he </w:t>
      </w:r>
      <w:r w:rsidR="00B92911">
        <w:t xml:space="preserve">incidents and/or </w:t>
      </w:r>
      <w:r>
        <w:t xml:space="preserve">circumstances </w:t>
      </w:r>
      <w:r w:rsidR="00B92911">
        <w:t>cited</w:t>
      </w:r>
      <w:r>
        <w:t xml:space="preserve"> by the State Bar are either duplicative of the charged violation or were not proved by clear and convincing evidence.</w:t>
      </w:r>
    </w:p>
    <w:p w:rsidR="005547C0" w:rsidRPr="006A1E92" w:rsidRDefault="005547C0" w:rsidP="000B03DA">
      <w:pPr>
        <w:pStyle w:val="Default"/>
        <w:spacing w:line="480" w:lineRule="auto"/>
      </w:pPr>
      <w:r>
        <w:rPr>
          <w:b/>
          <w:bCs/>
        </w:rPr>
        <w:t>B.</w:t>
      </w:r>
      <w:r>
        <w:rPr>
          <w:b/>
          <w:bCs/>
        </w:rPr>
        <w:tab/>
      </w:r>
      <w:r w:rsidR="00305C87">
        <w:rPr>
          <w:b/>
          <w:bCs/>
        </w:rPr>
        <w:t>TWO FACTORS IN MITIGATION</w:t>
      </w:r>
      <w:r w:rsidR="00305C87" w:rsidRPr="006A1E92">
        <w:rPr>
          <w:b/>
          <w:bCs/>
        </w:rPr>
        <w:t xml:space="preserve"> </w:t>
      </w:r>
    </w:p>
    <w:p w:rsidR="005547C0" w:rsidRDefault="005547C0" w:rsidP="000B03DA">
      <w:pPr>
        <w:pStyle w:val="ListParagraph"/>
        <w:ind w:left="0"/>
      </w:pPr>
      <w:r>
        <w:tab/>
        <w:t>The hearing judge found two factors</w:t>
      </w:r>
      <w:r w:rsidR="007E4793">
        <w:t xml:space="preserve"> in mitigation</w:t>
      </w:r>
      <w:r w:rsidR="008017F3">
        <w:t xml:space="preserve"> – </w:t>
      </w:r>
      <w:r w:rsidRPr="006A1E92">
        <w:t>cooperation</w:t>
      </w:r>
      <w:r>
        <w:t xml:space="preserve"> and</w:t>
      </w:r>
      <w:r w:rsidRPr="006A1E92">
        <w:t xml:space="preserve"> good character</w:t>
      </w:r>
      <w:r w:rsidR="007E4793">
        <w:t>.  We agree</w:t>
      </w:r>
      <w:r>
        <w:t xml:space="preserve">.  </w:t>
      </w:r>
    </w:p>
    <w:p w:rsidR="00487A90" w:rsidRDefault="005547C0" w:rsidP="000B03DA">
      <w:pPr>
        <w:pStyle w:val="ListParagraph"/>
        <w:ind w:left="0"/>
      </w:pPr>
      <w:r>
        <w:tab/>
      </w:r>
      <w:r w:rsidR="00BD61DE">
        <w:t>Thompson is entitled to moderate weight in mitigation for his cooperation.  (</w:t>
      </w:r>
      <w:r w:rsidR="00BD61DE" w:rsidRPr="006A1E92">
        <w:t>Std. 1.2</w:t>
      </w:r>
      <w:r w:rsidR="00BD61DE">
        <w:t xml:space="preserve"> </w:t>
      </w:r>
      <w:r w:rsidR="00BD61DE" w:rsidRPr="006A1E92">
        <w:t>(e)(v).)</w:t>
      </w:r>
      <w:r w:rsidR="00BD61DE">
        <w:t xml:space="preserve">  He</w:t>
      </w:r>
      <w:r w:rsidRPr="006A1E92">
        <w:t xml:space="preserve"> cooperated with the State Bar by entering into a stipulation </w:t>
      </w:r>
      <w:r w:rsidR="009D704F">
        <w:t xml:space="preserve">of facts </w:t>
      </w:r>
      <w:r>
        <w:t xml:space="preserve">that proved the </w:t>
      </w:r>
      <w:r>
        <w:lastRenderedPageBreak/>
        <w:t>single charged violation.</w:t>
      </w:r>
      <w:r w:rsidRPr="006A1E92">
        <w:t xml:space="preserve"> </w:t>
      </w:r>
      <w:r>
        <w:t xml:space="preserve"> </w:t>
      </w:r>
      <w:r w:rsidR="00105E95">
        <w:t>(</w:t>
      </w:r>
      <w:r w:rsidR="00487A90">
        <w:rPr>
          <w:i/>
        </w:rPr>
        <w:t xml:space="preserve">In the Matter of </w:t>
      </w:r>
      <w:proofErr w:type="spellStart"/>
      <w:r w:rsidR="00487A90" w:rsidRPr="008017F3">
        <w:rPr>
          <w:i/>
        </w:rPr>
        <w:t>Spaith</w:t>
      </w:r>
      <w:proofErr w:type="spellEnd"/>
      <w:r w:rsidR="00487A90">
        <w:t xml:space="preserve"> (Review Dept. 1996)</w:t>
      </w:r>
      <w:r w:rsidR="00475EDD">
        <w:t xml:space="preserve"> </w:t>
      </w:r>
      <w:r w:rsidR="00487A90">
        <w:t xml:space="preserve">3 Cal. State Bar Ct. </w:t>
      </w:r>
      <w:proofErr w:type="spellStart"/>
      <w:r w:rsidR="00487A90">
        <w:t>Rptr</w:t>
      </w:r>
      <w:proofErr w:type="spellEnd"/>
      <w:r w:rsidR="00487A90">
        <w:t>. 511, 5</w:t>
      </w:r>
      <w:r w:rsidR="00475EDD">
        <w:t>2</w:t>
      </w:r>
      <w:r w:rsidR="00487A90">
        <w:t xml:space="preserve">1 [stipulation to facts and culpability is mitigating].)  Although </w:t>
      </w:r>
      <w:r w:rsidR="009D704F">
        <w:t xml:space="preserve">these </w:t>
      </w:r>
      <w:r w:rsidR="00487A90">
        <w:t>facts may</w:t>
      </w:r>
      <w:r w:rsidR="003C1338">
        <w:t xml:space="preserve"> n</w:t>
      </w:r>
      <w:r w:rsidR="00487A90">
        <w:t xml:space="preserve">ot have been difficult to prove, the stipulation </w:t>
      </w:r>
      <w:r w:rsidR="00AA4A38">
        <w:t>greatly</w:t>
      </w:r>
      <w:r>
        <w:t xml:space="preserve"> assisted </w:t>
      </w:r>
      <w:r w:rsidRPr="006A1E92">
        <w:t>the State Bar</w:t>
      </w:r>
      <w:r w:rsidR="003C1338">
        <w:t xml:space="preserve"> in establishing culpability</w:t>
      </w:r>
      <w:r w:rsidRPr="006A1E92">
        <w:t xml:space="preserve">. </w:t>
      </w:r>
      <w:r>
        <w:t xml:space="preserve"> </w:t>
      </w:r>
      <w:r w:rsidR="00105E95">
        <w:t>The hearing judge assigned</w:t>
      </w:r>
      <w:r w:rsidR="00BD61DE">
        <w:t xml:space="preserve"> only</w:t>
      </w:r>
      <w:r w:rsidR="00105E95">
        <w:t xml:space="preserve"> minimal mitigation to this factor because Thompson had failed to appear for certain hearings and, as a sanction, was limited to presenting his own testimony in the culpability phase of the trial.  </w:t>
      </w:r>
      <w:r w:rsidR="00BD61DE">
        <w:t xml:space="preserve">Regardless, </w:t>
      </w:r>
      <w:r w:rsidR="00487A90">
        <w:t>Thompson’s cooperation</w:t>
      </w:r>
      <w:r w:rsidR="007F21F1">
        <w:t xml:space="preserve"> fully established culpability</w:t>
      </w:r>
      <w:r w:rsidR="00BD61DE">
        <w:t xml:space="preserve"> and we find that it warrants somewhat greater mitigation weight.  </w:t>
      </w:r>
    </w:p>
    <w:p w:rsidR="005547C0" w:rsidRDefault="005547C0" w:rsidP="000B03DA">
      <w:pPr>
        <w:pStyle w:val="ListParagraph"/>
        <w:ind w:left="0"/>
      </w:pPr>
      <w:r>
        <w:tab/>
      </w:r>
      <w:r w:rsidRPr="006A1E92">
        <w:t xml:space="preserve">Second, </w:t>
      </w:r>
      <w:r>
        <w:t>Thompson</w:t>
      </w:r>
      <w:r w:rsidRPr="006A1E92">
        <w:t xml:space="preserve"> presented </w:t>
      </w:r>
      <w:r>
        <w:t xml:space="preserve">un-rebutted evidence of </w:t>
      </w:r>
      <w:r w:rsidRPr="006A1E92">
        <w:t>good character</w:t>
      </w:r>
      <w:r>
        <w:t xml:space="preserve"> through </w:t>
      </w:r>
      <w:r w:rsidR="00911A11">
        <w:t xml:space="preserve">his </w:t>
      </w:r>
      <w:r>
        <w:t>extensive military service</w:t>
      </w:r>
      <w:r w:rsidR="00487A90">
        <w:t>, which was very impressive</w:t>
      </w:r>
      <w:r>
        <w:t xml:space="preserve">. (Std. 1.2(e)(vi).)  </w:t>
      </w:r>
      <w:r w:rsidR="008017F3">
        <w:t>He</w:t>
      </w:r>
      <w:r>
        <w:t xml:space="preserve"> served 22 years in the U.S. Army, holding various leadership positions.  For four years in the early </w:t>
      </w:r>
      <w:proofErr w:type="spellStart"/>
      <w:r>
        <w:t>1980s</w:t>
      </w:r>
      <w:proofErr w:type="spellEnd"/>
      <w:r>
        <w:t xml:space="preserve">, he commanded between 166 and 250 troops that patrolled the Iron Curtain.  He also volunteered for service in Desert Storm and went to Kuwait and Iraq as a Readiness Officer where he was in charge of more than 2,500 tanks.  After he retired from the military, Thompson participated in the California National Guard, serving in his final post as commander of a National Guard school with over 1,000 students.  </w:t>
      </w:r>
    </w:p>
    <w:p w:rsidR="005547C0" w:rsidRDefault="005547C0" w:rsidP="007E4793">
      <w:pPr>
        <w:pStyle w:val="ListParagraph"/>
        <w:ind w:left="0" w:firstLine="720"/>
      </w:pPr>
      <w:r>
        <w:t xml:space="preserve">The hearing judge </w:t>
      </w:r>
      <w:r w:rsidR="00487A90">
        <w:t>ass</w:t>
      </w:r>
      <w:r w:rsidR="008017F3">
        <w:t>essed</w:t>
      </w:r>
      <w:r>
        <w:t xml:space="preserve"> mitigating credit</w:t>
      </w:r>
      <w:r w:rsidR="00487A90">
        <w:t>,</w:t>
      </w:r>
      <w:r>
        <w:t xml:space="preserve"> expressly noting that he was “impressed with his outstanding record of service to the country,” even though it was presented exclusively through Thompson’s own testimony.  </w:t>
      </w:r>
      <w:r w:rsidR="00487A90">
        <w:t xml:space="preserve">This evidence is significant </w:t>
      </w:r>
      <w:r w:rsidR="00487A90" w:rsidRPr="00766A49">
        <w:t xml:space="preserve">and we consider it a </w:t>
      </w:r>
      <w:r w:rsidRPr="00766A49">
        <w:t>mitigating factor demonstrating good character</w:t>
      </w:r>
      <w:r>
        <w:t>, despite a lack of other references from the community</w:t>
      </w:r>
      <w:r w:rsidR="00766A49">
        <w:t>,</w:t>
      </w:r>
      <w:r>
        <w:t xml:space="preserve"> as called for by standard 1.2(e)(vi).  (See </w:t>
      </w:r>
      <w:r w:rsidRPr="00A96EA7">
        <w:rPr>
          <w:i/>
        </w:rPr>
        <w:t xml:space="preserve">In the Matter of Crane and </w:t>
      </w:r>
      <w:proofErr w:type="spellStart"/>
      <w:r w:rsidRPr="00A96EA7">
        <w:rPr>
          <w:i/>
        </w:rPr>
        <w:t>DePew</w:t>
      </w:r>
      <w:proofErr w:type="spellEnd"/>
      <w:r>
        <w:t xml:space="preserve"> (</w:t>
      </w:r>
      <w:r w:rsidR="00475EDD">
        <w:t xml:space="preserve">Review Dept. </w:t>
      </w:r>
      <w:r>
        <w:t xml:space="preserve">1990) 1 Cal. State Bar Ct. </w:t>
      </w:r>
      <w:proofErr w:type="spellStart"/>
      <w:r>
        <w:t>Rptr</w:t>
      </w:r>
      <w:proofErr w:type="spellEnd"/>
      <w:r>
        <w:t xml:space="preserve">. 139, 158, fn. 22 [respondent’s testimony about community service may </w:t>
      </w:r>
      <w:r>
        <w:lastRenderedPageBreak/>
        <w:t>be considered as “some” evidence in mitigation despite requirements of std. 1.2(e)(vi)]</w:t>
      </w:r>
      <w:r w:rsidR="00766A49">
        <w:t>.</w:t>
      </w:r>
      <w:r>
        <w:t>)</w:t>
      </w:r>
      <w:r>
        <w:rPr>
          <w:rStyle w:val="FootnoteReference"/>
        </w:rPr>
        <w:footnoteReference w:id="8"/>
      </w:r>
      <w:r w:rsidR="007E4793">
        <w:t xml:space="preserve">  </w:t>
      </w:r>
      <w:r>
        <w:t>Overall, we conclude that the mitigation outweigh</w:t>
      </w:r>
      <w:r w:rsidR="007E4793">
        <w:t>s the</w:t>
      </w:r>
      <w:r>
        <w:t xml:space="preserve"> aggravation.</w:t>
      </w:r>
    </w:p>
    <w:p w:rsidR="005547C0" w:rsidRPr="006A1E92" w:rsidRDefault="005547C0" w:rsidP="0096569F">
      <w:pPr>
        <w:pStyle w:val="ListParagraph"/>
        <w:ind w:left="0"/>
        <w:jc w:val="center"/>
      </w:pPr>
      <w:r>
        <w:rPr>
          <w:b/>
          <w:bCs/>
        </w:rPr>
        <w:t>V.  LEVEL OF DISCIPLINE</w:t>
      </w:r>
    </w:p>
    <w:p w:rsidR="005547C0" w:rsidRDefault="005547C0" w:rsidP="000B03DA">
      <w:pPr>
        <w:pStyle w:val="Default"/>
        <w:spacing w:line="480" w:lineRule="auto"/>
      </w:pPr>
      <w:r>
        <w:tab/>
      </w:r>
      <w:r w:rsidRPr="006A1E92">
        <w:t xml:space="preserve">The purpose of attorney discipline is not to punish the attorney, but to protect the public, the courts and the legal profession, to preserve public confidence in the profession and to maintain high standards for attorneys. </w:t>
      </w:r>
      <w:r>
        <w:t xml:space="preserve"> </w:t>
      </w:r>
      <w:r w:rsidRPr="006A1E92">
        <w:t xml:space="preserve">(Std. 1.3.) </w:t>
      </w:r>
      <w:r>
        <w:t xml:space="preserve"> No fixed formula exists for determining the appropriate level of discipline.  (</w:t>
      </w:r>
      <w:r w:rsidRPr="00941E20">
        <w:rPr>
          <w:i/>
        </w:rPr>
        <w:t xml:space="preserve">In the Matter of </w:t>
      </w:r>
      <w:proofErr w:type="spellStart"/>
      <w:r w:rsidRPr="00941E20">
        <w:rPr>
          <w:i/>
        </w:rPr>
        <w:t>Brimberry</w:t>
      </w:r>
      <w:proofErr w:type="spellEnd"/>
      <w:r>
        <w:t xml:space="preserve"> (Review Dept. 1995) 3 C</w:t>
      </w:r>
      <w:r w:rsidR="00475EDD">
        <w:t>al</w:t>
      </w:r>
      <w:r>
        <w:t xml:space="preserve">. State Bar Ct. </w:t>
      </w:r>
      <w:proofErr w:type="spellStart"/>
      <w:r>
        <w:t>Rptr</w:t>
      </w:r>
      <w:proofErr w:type="spellEnd"/>
      <w:r>
        <w:t xml:space="preserve">. 390, 403.)  </w:t>
      </w:r>
      <w:r w:rsidRPr="006A1E92">
        <w:t>Ultimately, we balance all relevant factors, including mitigating and aggravating circumstances, on a case-by-case basis to ensure that the discipline imposed is consistent with its purpose.</w:t>
      </w:r>
      <w:r>
        <w:t xml:space="preserve"> </w:t>
      </w:r>
      <w:r w:rsidRPr="006A1E92">
        <w:t xml:space="preserve"> (</w:t>
      </w:r>
      <w:r w:rsidRPr="006A1E92">
        <w:rPr>
          <w:i/>
          <w:iCs/>
        </w:rPr>
        <w:t xml:space="preserve">In re Young </w:t>
      </w:r>
      <w:r w:rsidRPr="006A1E92">
        <w:t xml:space="preserve">(1989) 49 </w:t>
      </w:r>
      <w:proofErr w:type="spellStart"/>
      <w:r w:rsidRPr="006A1E92">
        <w:t>Cal.3</w:t>
      </w:r>
      <w:r>
        <w:t>d</w:t>
      </w:r>
      <w:proofErr w:type="spellEnd"/>
      <w:r w:rsidRPr="006A1E92">
        <w:t xml:space="preserve"> 257, 266; </w:t>
      </w:r>
      <w:r w:rsidRPr="006A1E92">
        <w:rPr>
          <w:i/>
          <w:iCs/>
        </w:rPr>
        <w:t xml:space="preserve">Gary v. State Bar </w:t>
      </w:r>
      <w:r w:rsidRPr="006A1E92">
        <w:t xml:space="preserve">(1988) 44 </w:t>
      </w:r>
      <w:proofErr w:type="spellStart"/>
      <w:r w:rsidRPr="006A1E92">
        <w:t>Cal.3d</w:t>
      </w:r>
      <w:proofErr w:type="spellEnd"/>
      <w:r w:rsidRPr="006A1E92">
        <w:t xml:space="preserve"> 820, 828.) </w:t>
      </w:r>
    </w:p>
    <w:p w:rsidR="005547C0" w:rsidRDefault="005547C0" w:rsidP="000B03DA">
      <w:pPr>
        <w:pStyle w:val="Default"/>
        <w:spacing w:line="480" w:lineRule="auto"/>
      </w:pPr>
      <w:r>
        <w:tab/>
      </w:r>
      <w:r w:rsidRPr="006A1E92">
        <w:t xml:space="preserve">Our </w:t>
      </w:r>
      <w:r>
        <w:t xml:space="preserve">discipline </w:t>
      </w:r>
      <w:r w:rsidRPr="006A1E92">
        <w:t xml:space="preserve">analysis begins with the standards. </w:t>
      </w:r>
      <w:r>
        <w:t xml:space="preserve"> </w:t>
      </w:r>
      <w:r w:rsidRPr="006A1E92">
        <w:t xml:space="preserve">While we recognize that they are not binding on us in every case, the Supreme Court has instructed </w:t>
      </w:r>
      <w:r>
        <w:t xml:space="preserve">us to </w:t>
      </w:r>
      <w:r w:rsidRPr="006A1E92">
        <w:t>follow them “whenever possible” (</w:t>
      </w:r>
      <w:r w:rsidRPr="006A1E92">
        <w:rPr>
          <w:i/>
          <w:iCs/>
        </w:rPr>
        <w:t xml:space="preserve">In re Young, supra, </w:t>
      </w:r>
      <w:r w:rsidRPr="006A1E92">
        <w:t xml:space="preserve">49 </w:t>
      </w:r>
      <w:proofErr w:type="spellStart"/>
      <w:r w:rsidRPr="006A1E92">
        <w:t>Cal.3d</w:t>
      </w:r>
      <w:proofErr w:type="spellEnd"/>
      <w:r w:rsidRPr="006A1E92">
        <w:t xml:space="preserve"> at p. 267, fn. 11), and </w:t>
      </w:r>
      <w:r>
        <w:t xml:space="preserve">that </w:t>
      </w:r>
      <w:r w:rsidRPr="006A1E92">
        <w:t xml:space="preserve">they should be given </w:t>
      </w:r>
      <w:r w:rsidR="005A56DE">
        <w:t xml:space="preserve">      </w:t>
      </w:r>
      <w:r w:rsidRPr="006A1E92">
        <w:t>great weight</w:t>
      </w:r>
      <w:r>
        <w:t xml:space="preserve"> </w:t>
      </w:r>
      <w:r w:rsidR="005A56DE">
        <w:t xml:space="preserve">in order </w:t>
      </w:r>
      <w:r w:rsidRPr="006A1E92">
        <w:t>to promote “</w:t>
      </w:r>
      <w:r w:rsidR="00475EDD">
        <w:t xml:space="preserve"> ‘ “</w:t>
      </w:r>
      <w:r w:rsidRPr="006A1E92">
        <w:t>the consistent and uniform application of disciplinary measures.”</w:t>
      </w:r>
      <w:r w:rsidR="005A56DE">
        <w:t xml:space="preserve"> ’</w:t>
      </w:r>
      <w:r w:rsidR="00475EDD">
        <w:t xml:space="preserve"> [Citation.]”  </w:t>
      </w:r>
      <w:r w:rsidRPr="006A1E92">
        <w:t>(</w:t>
      </w:r>
      <w:r w:rsidRPr="006A1E92">
        <w:rPr>
          <w:i/>
          <w:iCs/>
        </w:rPr>
        <w:t>In re</w:t>
      </w:r>
      <w:r>
        <w:rPr>
          <w:i/>
          <w:iCs/>
        </w:rPr>
        <w:t xml:space="preserve"> </w:t>
      </w:r>
      <w:r w:rsidRPr="006A1E92">
        <w:rPr>
          <w:i/>
          <w:iCs/>
        </w:rPr>
        <w:t xml:space="preserve">Silverton </w:t>
      </w:r>
      <w:r w:rsidRPr="006A1E92">
        <w:t xml:space="preserve">(2005) 36 </w:t>
      </w:r>
      <w:proofErr w:type="spellStart"/>
      <w:r w:rsidRPr="006A1E92">
        <w:t>Cal.4th</w:t>
      </w:r>
      <w:proofErr w:type="spellEnd"/>
      <w:r w:rsidRPr="006A1E92">
        <w:t xml:space="preserve"> 81, 91.) </w:t>
      </w:r>
      <w:r>
        <w:t xml:space="preserve"> Standard 2.9 applies in this matter as it broadly calls for “suspension” for willful violations of rule 1-100, but it does not provide a timeframe for the length of any actual suspension.  Therefore, we</w:t>
      </w:r>
      <w:r w:rsidRPr="006A1E92">
        <w:t xml:space="preserve"> look to comparable case law</w:t>
      </w:r>
      <w:r>
        <w:t xml:space="preserve"> for guidance.</w:t>
      </w:r>
      <w:r w:rsidR="00475EDD">
        <w:t xml:space="preserve"> </w:t>
      </w:r>
      <w:r w:rsidRPr="006A1E92">
        <w:t xml:space="preserve"> (See </w:t>
      </w:r>
      <w:r w:rsidRPr="006A1E92">
        <w:rPr>
          <w:i/>
          <w:iCs/>
        </w:rPr>
        <w:t xml:space="preserve">Snyder v. State Bar </w:t>
      </w:r>
      <w:r w:rsidRPr="006A1E92">
        <w:t xml:space="preserve">(1990) 49 </w:t>
      </w:r>
      <w:proofErr w:type="spellStart"/>
      <w:r w:rsidRPr="006A1E92">
        <w:t>Cal.3d</w:t>
      </w:r>
      <w:proofErr w:type="spellEnd"/>
      <w:r w:rsidRPr="006A1E92">
        <w:t xml:space="preserve"> 1302, 1310-1311).</w:t>
      </w:r>
      <w:r>
        <w:t xml:space="preserve">  </w:t>
      </w:r>
    </w:p>
    <w:p w:rsidR="00497E63" w:rsidRDefault="005547C0" w:rsidP="00497E63">
      <w:pPr>
        <w:pStyle w:val="Default"/>
        <w:spacing w:line="480" w:lineRule="auto"/>
      </w:pPr>
      <w:r>
        <w:tab/>
        <w:t xml:space="preserve">Considerable </w:t>
      </w:r>
      <w:r w:rsidRPr="006A1E92">
        <w:t xml:space="preserve">case precedent </w:t>
      </w:r>
      <w:r>
        <w:t xml:space="preserve">addresses </w:t>
      </w:r>
      <w:r w:rsidRPr="00F12549">
        <w:rPr>
          <w:i/>
        </w:rPr>
        <w:t>probation</w:t>
      </w:r>
      <w:r>
        <w:t xml:space="preserve"> violations but only limited case law relates to </w:t>
      </w:r>
      <w:proofErr w:type="spellStart"/>
      <w:r w:rsidRPr="00F12549">
        <w:rPr>
          <w:i/>
        </w:rPr>
        <w:t>reproval</w:t>
      </w:r>
      <w:proofErr w:type="spellEnd"/>
      <w:r w:rsidR="003407D0">
        <w:t xml:space="preserve"> violations.  </w:t>
      </w:r>
      <w:r w:rsidR="006437DD">
        <w:t>In recommending a six-month actual suspension, t</w:t>
      </w:r>
      <w:r w:rsidR="003B748D">
        <w:t xml:space="preserve">he hearing </w:t>
      </w:r>
      <w:r w:rsidR="003B748D">
        <w:lastRenderedPageBreak/>
        <w:t xml:space="preserve">judge did not </w:t>
      </w:r>
      <w:r w:rsidR="006437DD">
        <w:t xml:space="preserve">rely on </w:t>
      </w:r>
      <w:r w:rsidR="003B748D">
        <w:t xml:space="preserve">any </w:t>
      </w:r>
      <w:proofErr w:type="spellStart"/>
      <w:r w:rsidR="003B748D">
        <w:t>reproval</w:t>
      </w:r>
      <w:proofErr w:type="spellEnd"/>
      <w:r w:rsidR="003B748D">
        <w:t xml:space="preserve"> violation cases.  Instead, he analogized Thompson’s </w:t>
      </w:r>
      <w:r w:rsidR="009D704F">
        <w:t xml:space="preserve">misconduct to a probation violation, but did not </w:t>
      </w:r>
      <w:r w:rsidR="003B748D">
        <w:t xml:space="preserve">cite any case </w:t>
      </w:r>
      <w:r w:rsidR="00B1084A">
        <w:t>l</w:t>
      </w:r>
      <w:r w:rsidR="00487A90">
        <w:t xml:space="preserve">aw </w:t>
      </w:r>
      <w:r w:rsidR="003B748D">
        <w:t>for guidance.</w:t>
      </w:r>
      <w:r w:rsidR="003407D0">
        <w:t xml:space="preserve"> </w:t>
      </w:r>
      <w:r w:rsidR="003B748D">
        <w:t xml:space="preserve"> </w:t>
      </w:r>
      <w:r w:rsidR="00035D69">
        <w:t>We find that c</w:t>
      </w:r>
      <w:r>
        <w:t>ases specific</w:t>
      </w:r>
      <w:r w:rsidR="00D31A99">
        <w:t xml:space="preserve"> to </w:t>
      </w:r>
      <w:proofErr w:type="spellStart"/>
      <w:r>
        <w:t>reproval</w:t>
      </w:r>
      <w:proofErr w:type="spellEnd"/>
      <w:r w:rsidR="00766A49">
        <w:t xml:space="preserve"> violations</w:t>
      </w:r>
      <w:r w:rsidR="00D31A99">
        <w:t xml:space="preserve"> </w:t>
      </w:r>
      <w:r>
        <w:t xml:space="preserve">are </w:t>
      </w:r>
      <w:r w:rsidR="00D31A99">
        <w:t>most applicable here</w:t>
      </w:r>
      <w:r w:rsidR="00433106">
        <w:t>.</w:t>
      </w:r>
      <w:r w:rsidR="00D31A99">
        <w:t xml:space="preserve"> </w:t>
      </w:r>
      <w:r w:rsidR="00B1084A">
        <w:t xml:space="preserve"> And in </w:t>
      </w:r>
      <w:r w:rsidR="00035D69">
        <w:t>these</w:t>
      </w:r>
      <w:r w:rsidR="00D31A99">
        <w:t xml:space="preserve"> </w:t>
      </w:r>
      <w:r>
        <w:t xml:space="preserve">cases, discipline </w:t>
      </w:r>
      <w:r w:rsidR="001A410C">
        <w:t xml:space="preserve">ranges from a </w:t>
      </w:r>
      <w:r>
        <w:t xml:space="preserve">further </w:t>
      </w:r>
      <w:proofErr w:type="spellStart"/>
      <w:r>
        <w:t>reproval</w:t>
      </w:r>
      <w:proofErr w:type="spellEnd"/>
      <w:r>
        <w:t xml:space="preserve"> to 90</w:t>
      </w:r>
      <w:r w:rsidR="00911A11">
        <w:t xml:space="preserve"> </w:t>
      </w:r>
      <w:r>
        <w:t>days</w:t>
      </w:r>
      <w:r w:rsidR="00911A11">
        <w:t>’</w:t>
      </w:r>
      <w:r>
        <w:t xml:space="preserve"> actual suspension, depending on mitigation, aggravation, and </w:t>
      </w:r>
      <w:r w:rsidR="00E45FFC">
        <w:t xml:space="preserve">level of </w:t>
      </w:r>
      <w:r>
        <w:t>cooperation in the proceedings.</w:t>
      </w:r>
      <w:r w:rsidR="00B1084A">
        <w:rPr>
          <w:rStyle w:val="FootnoteReference"/>
        </w:rPr>
        <w:footnoteReference w:id="9"/>
      </w:r>
      <w:r>
        <w:t xml:space="preserve">  </w:t>
      </w:r>
      <w:r w:rsidR="00497E63">
        <w:t xml:space="preserve">In fact, </w:t>
      </w:r>
      <w:proofErr w:type="spellStart"/>
      <w:r w:rsidR="00E45FFC">
        <w:t>reproval</w:t>
      </w:r>
      <w:proofErr w:type="spellEnd"/>
      <w:r w:rsidR="00E45FFC">
        <w:t xml:space="preserve"> cases </w:t>
      </w:r>
      <w:r w:rsidR="00497E63">
        <w:t xml:space="preserve">have called for no </w:t>
      </w:r>
      <w:r w:rsidR="00AD49BB">
        <w:t>more</w:t>
      </w:r>
      <w:r w:rsidR="00497E63">
        <w:t xml:space="preserve"> than 90 days’ actual suspension even where mitigation was absent or nominal and where failure to cooperate resulted in a default.  </w:t>
      </w:r>
    </w:p>
    <w:p w:rsidR="00497E63" w:rsidRDefault="00497E63" w:rsidP="00497E63">
      <w:pPr>
        <w:pStyle w:val="Default"/>
        <w:spacing w:line="480" w:lineRule="auto"/>
      </w:pPr>
      <w:r>
        <w:tab/>
      </w:r>
      <w:r w:rsidR="006F17A4">
        <w:t>We</w:t>
      </w:r>
      <w:r>
        <w:t xml:space="preserve"> </w:t>
      </w:r>
      <w:r w:rsidR="00E45FFC">
        <w:t xml:space="preserve">recommend </w:t>
      </w:r>
      <w:r w:rsidR="009D704F">
        <w:t>that Thompson be actually suspended for 90 days</w:t>
      </w:r>
      <w:r w:rsidR="00766A49">
        <w:t xml:space="preserve">.  We acknowledge that the hearing judge recommended a six-month actual suspension because he felt that Thompson’s failure to comply made him </w:t>
      </w:r>
      <w:r>
        <w:t>a poor risk for future probation</w:t>
      </w:r>
      <w:r w:rsidR="00766A49">
        <w:t>.  He was also</w:t>
      </w:r>
      <w:r w:rsidR="007A6472">
        <w:t xml:space="preserve"> concerned that </w:t>
      </w:r>
      <w:r>
        <w:t xml:space="preserve">the substance abuse treatment requirement was related to the underlying misconduct (DUI). </w:t>
      </w:r>
      <w:r w:rsidR="006F17A4">
        <w:t xml:space="preserve"> </w:t>
      </w:r>
      <w:r w:rsidR="007A6472">
        <w:t>Like the hearing judge, we</w:t>
      </w:r>
      <w:r w:rsidR="009D704F">
        <w:t xml:space="preserve"> </w:t>
      </w:r>
      <w:r w:rsidR="00E45FFC">
        <w:t xml:space="preserve">do not condone Thompson’s continual failure to comply </w:t>
      </w:r>
      <w:r w:rsidR="007A6472">
        <w:t xml:space="preserve">with his </w:t>
      </w:r>
      <w:proofErr w:type="spellStart"/>
      <w:r w:rsidR="009D704F">
        <w:t>reproval</w:t>
      </w:r>
      <w:proofErr w:type="spellEnd"/>
      <w:r w:rsidR="009D704F">
        <w:t xml:space="preserve"> </w:t>
      </w:r>
      <w:r w:rsidR="007A6472">
        <w:t>conditions</w:t>
      </w:r>
      <w:r w:rsidR="009D704F">
        <w:t xml:space="preserve"> because his trial schedule did not </w:t>
      </w:r>
      <w:r w:rsidR="00911A11">
        <w:t>afford</w:t>
      </w:r>
      <w:r w:rsidR="009D704F">
        <w:t xml:space="preserve"> him </w:t>
      </w:r>
      <w:r w:rsidR="00911A11">
        <w:t xml:space="preserve">the </w:t>
      </w:r>
      <w:r w:rsidR="009D704F">
        <w:t>time to attend to them</w:t>
      </w:r>
      <w:r w:rsidR="006F17A4">
        <w:t xml:space="preserve">.  Indeed, </w:t>
      </w:r>
      <w:r w:rsidR="00E45FFC">
        <w:t>the requirements of State Bar discipline must be given priority over a busy law practice.  But we</w:t>
      </w:r>
      <w:r w:rsidR="001E21F3">
        <w:t xml:space="preserve"> consider</w:t>
      </w:r>
      <w:r w:rsidR="00E45FFC">
        <w:t xml:space="preserve"> it</w:t>
      </w:r>
      <w:r w:rsidR="009D704F">
        <w:t xml:space="preserve"> very</w:t>
      </w:r>
      <w:r w:rsidR="00E45FFC">
        <w:t xml:space="preserve"> significant that Thompson’s </w:t>
      </w:r>
      <w:r w:rsidR="001E21F3">
        <w:t xml:space="preserve">DUI </w:t>
      </w:r>
      <w:r w:rsidR="00E45FFC">
        <w:t xml:space="preserve">misconduct did not involve the practice of law or relate to any of his clients.  </w:t>
      </w:r>
      <w:r w:rsidR="007A6472">
        <w:t xml:space="preserve">And </w:t>
      </w:r>
      <w:r w:rsidR="001E21F3">
        <w:t>he</w:t>
      </w:r>
      <w:r w:rsidR="00E45FFC">
        <w:t xml:space="preserve"> was very candid with the court</w:t>
      </w:r>
      <w:r w:rsidR="006F17A4">
        <w:t>,</w:t>
      </w:r>
      <w:r w:rsidR="00E45FFC">
        <w:t xml:space="preserve"> accepted full responsibility for his failure to comply</w:t>
      </w:r>
      <w:r w:rsidR="007A6472">
        <w:t xml:space="preserve"> and </w:t>
      </w:r>
      <w:r w:rsidR="00E45FFC">
        <w:t>has no disciplinary matters in 16 years of practice</w:t>
      </w:r>
      <w:r w:rsidR="006F17A4">
        <w:t>,</w:t>
      </w:r>
      <w:r w:rsidR="00E45FFC">
        <w:t xml:space="preserve"> except the underlying </w:t>
      </w:r>
      <w:proofErr w:type="spellStart"/>
      <w:r w:rsidR="00E45FFC">
        <w:t>reproval</w:t>
      </w:r>
      <w:proofErr w:type="spellEnd"/>
      <w:r w:rsidR="00E45FFC">
        <w:t xml:space="preserve"> for his DUI.  </w:t>
      </w:r>
      <w:r w:rsidR="007A6472">
        <w:t xml:space="preserve">Moreover, </w:t>
      </w:r>
      <w:r w:rsidR="000E7937">
        <w:t>in t</w:t>
      </w:r>
      <w:r w:rsidR="009D704F">
        <w:t xml:space="preserve">he cases where no more than </w:t>
      </w:r>
      <w:r w:rsidR="007A6472">
        <w:t>90 days</w:t>
      </w:r>
      <w:r w:rsidR="001E21F3">
        <w:t>’</w:t>
      </w:r>
      <w:r w:rsidR="007A6472">
        <w:t xml:space="preserve"> actual </w:t>
      </w:r>
      <w:r w:rsidR="007A6472">
        <w:lastRenderedPageBreak/>
        <w:t>suspension</w:t>
      </w:r>
      <w:r w:rsidR="000E7937">
        <w:t xml:space="preserve"> was imposed, the attorneys </w:t>
      </w:r>
      <w:r w:rsidR="003C1338">
        <w:t>presented</w:t>
      </w:r>
      <w:r w:rsidR="009D704F">
        <w:t xml:space="preserve"> </w:t>
      </w:r>
      <w:r w:rsidR="00E45FFC">
        <w:t>little or no mitigation</w:t>
      </w:r>
      <w:r w:rsidR="009D704F">
        <w:t xml:space="preserve">.  In contrast, </w:t>
      </w:r>
      <w:r>
        <w:t>Thompson</w:t>
      </w:r>
      <w:r w:rsidR="003C1338">
        <w:t xml:space="preserve">’s </w:t>
      </w:r>
      <w:r>
        <w:t xml:space="preserve"> impressive </w:t>
      </w:r>
      <w:r w:rsidR="003C1338">
        <w:t xml:space="preserve">mitigation </w:t>
      </w:r>
      <w:r>
        <w:t>evidence outweighed the aggravation</w:t>
      </w:r>
      <w:r w:rsidR="00E45FFC">
        <w:t xml:space="preserve">. </w:t>
      </w:r>
    </w:p>
    <w:p w:rsidR="000E7937" w:rsidRDefault="00497E63" w:rsidP="00E23F91">
      <w:pPr>
        <w:pStyle w:val="Default"/>
        <w:spacing w:line="480" w:lineRule="auto"/>
      </w:pPr>
      <w:r>
        <w:tab/>
      </w:r>
      <w:r w:rsidR="00C327C7">
        <w:t xml:space="preserve">We intend our </w:t>
      </w:r>
      <w:r w:rsidR="007A6472">
        <w:t xml:space="preserve">recommended </w:t>
      </w:r>
      <w:r w:rsidR="006F17A4">
        <w:t>discipline</w:t>
      </w:r>
      <w:r w:rsidR="007A6472">
        <w:t xml:space="preserve"> </w:t>
      </w:r>
      <w:r w:rsidR="001E21F3">
        <w:t>to</w:t>
      </w:r>
      <w:r w:rsidR="007A6472">
        <w:t xml:space="preserve"> </w:t>
      </w:r>
      <w:r w:rsidR="001E21F3">
        <w:t>provide</w:t>
      </w:r>
      <w:r w:rsidR="007A6472">
        <w:t xml:space="preserve"> an opportunity </w:t>
      </w:r>
      <w:r w:rsidR="001E21F3">
        <w:t xml:space="preserve">for Thompson </w:t>
      </w:r>
      <w:r w:rsidR="007A6472">
        <w:t xml:space="preserve">to </w:t>
      </w:r>
      <w:r>
        <w:t xml:space="preserve">reflect on the seriousness of disciplinary conditions and </w:t>
      </w:r>
      <w:r w:rsidR="001E21F3">
        <w:t xml:space="preserve">to </w:t>
      </w:r>
      <w:r>
        <w:t>conform his conduct to proper ethical standards</w:t>
      </w:r>
      <w:r w:rsidR="003C1338">
        <w:t>.  He</w:t>
      </w:r>
      <w:r w:rsidR="00E45FFC">
        <w:t xml:space="preserve"> faces</w:t>
      </w:r>
      <w:r>
        <w:t xml:space="preserve"> </w:t>
      </w:r>
      <w:r w:rsidR="001E21F3">
        <w:t>serious</w:t>
      </w:r>
      <w:r>
        <w:t xml:space="preserve"> </w:t>
      </w:r>
      <w:r w:rsidR="001E21F3">
        <w:t xml:space="preserve">future </w:t>
      </w:r>
      <w:r>
        <w:t xml:space="preserve">consequences if he fails to </w:t>
      </w:r>
      <w:r w:rsidR="003C1338">
        <w:t xml:space="preserve">fully and timely </w:t>
      </w:r>
      <w:r>
        <w:t xml:space="preserve">comply with </w:t>
      </w:r>
      <w:r w:rsidR="00766A49">
        <w:t xml:space="preserve">any </w:t>
      </w:r>
      <w:r>
        <w:t xml:space="preserve">further </w:t>
      </w:r>
      <w:r w:rsidR="00E45FFC">
        <w:t xml:space="preserve">disciplinary </w:t>
      </w:r>
      <w:r w:rsidR="007A6472">
        <w:t>orders</w:t>
      </w:r>
      <w:r w:rsidR="00E45FFC">
        <w:t xml:space="preserve">.  </w:t>
      </w:r>
      <w:r w:rsidR="003C1338">
        <w:t xml:space="preserve">Under our recommendation, </w:t>
      </w:r>
      <w:r w:rsidR="00C327C7">
        <w:t>Thompson w</w:t>
      </w:r>
      <w:r w:rsidR="007A6472">
        <w:t>ould</w:t>
      </w:r>
      <w:r>
        <w:t xml:space="preserve"> be subject to </w:t>
      </w:r>
      <w:r w:rsidR="00E45FFC">
        <w:t xml:space="preserve">a Supreme Court </w:t>
      </w:r>
      <w:r w:rsidR="001E21F3">
        <w:t>o</w:t>
      </w:r>
      <w:r w:rsidR="00E45FFC">
        <w:t xml:space="preserve">rder where a violation </w:t>
      </w:r>
      <w:r w:rsidR="00C327C7">
        <w:t xml:space="preserve">could </w:t>
      </w:r>
      <w:r w:rsidR="00E45FFC">
        <w:t xml:space="preserve">result in </w:t>
      </w:r>
      <w:r>
        <w:t xml:space="preserve">progressive discipline (std. 1.7), </w:t>
      </w:r>
      <w:r w:rsidR="003C1338">
        <w:t xml:space="preserve">and even </w:t>
      </w:r>
      <w:r>
        <w:t>disbarment (Cal</w:t>
      </w:r>
      <w:r w:rsidR="007A6472">
        <w:t>. Rule</w:t>
      </w:r>
      <w:r w:rsidR="001E21F3">
        <w:t>s</w:t>
      </w:r>
      <w:r w:rsidR="007A6472">
        <w:t xml:space="preserve"> of Court</w:t>
      </w:r>
      <w:r w:rsidR="001E21F3">
        <w:t>, rule</w:t>
      </w:r>
      <w:r>
        <w:t xml:space="preserve"> 9.20</w:t>
      </w:r>
      <w:r w:rsidR="00105E95">
        <w:t>(d)</w:t>
      </w:r>
      <w:r>
        <w:t xml:space="preserve">).  </w:t>
      </w:r>
    </w:p>
    <w:p w:rsidR="005547C0" w:rsidRDefault="007A6472" w:rsidP="000E7937">
      <w:pPr>
        <w:pStyle w:val="Default"/>
        <w:spacing w:line="480" w:lineRule="auto"/>
        <w:ind w:firstLine="720"/>
      </w:pPr>
      <w:r>
        <w:t>In the final analysis, we determine disciplinary sanctions after considering all factors in the case.  (</w:t>
      </w:r>
      <w:proofErr w:type="spellStart"/>
      <w:r w:rsidRPr="007A6472">
        <w:rPr>
          <w:i/>
        </w:rPr>
        <w:t>Codiga</w:t>
      </w:r>
      <w:proofErr w:type="spellEnd"/>
      <w:r w:rsidRPr="007A6472">
        <w:rPr>
          <w:i/>
        </w:rPr>
        <w:t xml:space="preserve"> v</w:t>
      </w:r>
      <w:r>
        <w:rPr>
          <w:i/>
        </w:rPr>
        <w:t>.</w:t>
      </w:r>
      <w:r w:rsidRPr="007A6472">
        <w:rPr>
          <w:i/>
        </w:rPr>
        <w:t xml:space="preserve"> State</w:t>
      </w:r>
      <w:r w:rsidR="00475EDD">
        <w:rPr>
          <w:i/>
        </w:rPr>
        <w:t xml:space="preserve"> Bar</w:t>
      </w:r>
      <w:r>
        <w:t xml:space="preserve"> (1978) 20 </w:t>
      </w:r>
      <w:proofErr w:type="spellStart"/>
      <w:r>
        <w:t>Cal.3d</w:t>
      </w:r>
      <w:proofErr w:type="spellEnd"/>
      <w:r>
        <w:t xml:space="preserve"> 788, 796.)  After evaluating those factors and the guiding case law, we recommend </w:t>
      </w:r>
      <w:r w:rsidR="00990AC1">
        <w:t>a</w:t>
      </w:r>
      <w:r w:rsidR="00497E63">
        <w:t xml:space="preserve"> 90-day actual suspension, a two-year stayed suspension and three years of probation in order to meet the goals of discipline without punishing the attorney.</w:t>
      </w:r>
      <w:r w:rsidR="00766A49">
        <w:tab/>
      </w:r>
    </w:p>
    <w:p w:rsidR="005547C0" w:rsidRPr="00CD69A6" w:rsidRDefault="005547C0" w:rsidP="0096569F">
      <w:pPr>
        <w:pStyle w:val="ListParagraph"/>
        <w:ind w:left="0"/>
        <w:jc w:val="center"/>
        <w:rPr>
          <w:b/>
        </w:rPr>
      </w:pPr>
      <w:r>
        <w:rPr>
          <w:b/>
        </w:rPr>
        <w:t xml:space="preserve">VI.  </w:t>
      </w:r>
      <w:r w:rsidRPr="00CD69A6">
        <w:rPr>
          <w:b/>
        </w:rPr>
        <w:t>RECOMMENDATION</w:t>
      </w:r>
    </w:p>
    <w:p w:rsidR="005547C0" w:rsidRDefault="005547C0" w:rsidP="0096569F">
      <w:pPr>
        <w:ind w:firstLine="720"/>
      </w:pPr>
      <w:r>
        <w:t>We recommend that Kris Patrick Thompson be suspended from the practice of law in the State of California for two years, that execution of th</w:t>
      </w:r>
      <w:r w:rsidR="001E21F3">
        <w:t>e</w:t>
      </w:r>
      <w:r>
        <w:t xml:space="preserve"> suspension be stayed, and that he be placed on probation for three years, on the following conditions:</w:t>
      </w:r>
    </w:p>
    <w:p w:rsidR="005547C0" w:rsidRDefault="005547C0">
      <w:pPr>
        <w:pStyle w:val="BodyTextIndent2"/>
        <w:ind w:hanging="720"/>
      </w:pPr>
      <w:r>
        <w:t>1.</w:t>
      </w:r>
      <w:r>
        <w:tab/>
        <w:t xml:space="preserve">He must be </w:t>
      </w:r>
      <w:r w:rsidR="00105E95">
        <w:t xml:space="preserve">actually </w:t>
      </w:r>
      <w:r>
        <w:t xml:space="preserve">suspended from the practice of law for the first </w:t>
      </w:r>
      <w:r w:rsidR="00766A49">
        <w:t>9</w:t>
      </w:r>
      <w:r>
        <w:t xml:space="preserve">0 days of the period of his probation. </w:t>
      </w:r>
    </w:p>
    <w:p w:rsidR="005547C0" w:rsidRDefault="005547C0" w:rsidP="0096569F">
      <w:pPr>
        <w:pStyle w:val="BodyTextIndent2"/>
        <w:ind w:left="0"/>
      </w:pPr>
    </w:p>
    <w:p w:rsidR="005547C0" w:rsidRDefault="005547C0">
      <w:pPr>
        <w:tabs>
          <w:tab w:val="left" w:pos="720"/>
        </w:tabs>
        <w:spacing w:line="240" w:lineRule="auto"/>
        <w:ind w:left="720" w:hanging="720"/>
      </w:pPr>
      <w:r>
        <w:t>2.</w:t>
      </w:r>
      <w:r>
        <w:tab/>
        <w:t>He must comply with the provisions of the State Bar Act, the Rules of Professional Conduct, and all of the conditions of his probation.</w:t>
      </w:r>
    </w:p>
    <w:p w:rsidR="005547C0" w:rsidRDefault="005547C0" w:rsidP="0096569F">
      <w:pPr>
        <w:tabs>
          <w:tab w:val="left" w:pos="720"/>
        </w:tabs>
        <w:spacing w:line="240" w:lineRule="auto"/>
      </w:pPr>
    </w:p>
    <w:p w:rsidR="005547C0" w:rsidRDefault="005547C0" w:rsidP="003A26A0">
      <w:pPr>
        <w:tabs>
          <w:tab w:val="left" w:pos="720"/>
        </w:tabs>
        <w:spacing w:line="240" w:lineRule="auto"/>
        <w:ind w:left="720" w:hanging="720"/>
      </w:pPr>
      <w:r>
        <w:t>3.</w:t>
      </w:r>
      <w:r>
        <w:tab/>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rsidR="00C327C7" w:rsidRDefault="00C327C7" w:rsidP="003A26A0">
      <w:pPr>
        <w:tabs>
          <w:tab w:val="left" w:pos="720"/>
        </w:tabs>
        <w:spacing w:line="240" w:lineRule="auto"/>
        <w:ind w:left="720" w:hanging="720"/>
      </w:pPr>
    </w:p>
    <w:p w:rsidR="005547C0" w:rsidRDefault="005547C0" w:rsidP="003A26A0">
      <w:pPr>
        <w:tabs>
          <w:tab w:val="left" w:pos="720"/>
        </w:tabs>
        <w:spacing w:line="240" w:lineRule="auto"/>
        <w:ind w:left="720" w:hanging="720"/>
      </w:pPr>
      <w:r>
        <w:lastRenderedPageBreak/>
        <w:t>4.</w:t>
      </w:r>
      <w:r>
        <w:tab/>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5547C0" w:rsidRDefault="005547C0" w:rsidP="003A26A0">
      <w:pPr>
        <w:tabs>
          <w:tab w:val="left" w:pos="720"/>
        </w:tabs>
        <w:spacing w:line="240" w:lineRule="auto"/>
        <w:ind w:left="720" w:hanging="720"/>
      </w:pPr>
    </w:p>
    <w:p w:rsidR="005547C0" w:rsidRDefault="005547C0" w:rsidP="003A26A0">
      <w:pPr>
        <w:spacing w:line="240" w:lineRule="auto"/>
        <w:ind w:left="720" w:hanging="720"/>
      </w:pPr>
      <w:r>
        <w:t>5.</w:t>
      </w:r>
      <w:r>
        <w:tab/>
        <w:t xml:space="preserve">Subject to the assertion of applicable privileges, he must answer fully, promptly, and truthfully, any inquiries of the Office of Probation that are directed to him personally or in writing, relating to whether he is complying or has complied with the conditions contained herein. </w:t>
      </w:r>
    </w:p>
    <w:p w:rsidR="005547C0" w:rsidRDefault="005547C0" w:rsidP="003A26A0">
      <w:pPr>
        <w:spacing w:line="240" w:lineRule="auto"/>
        <w:ind w:left="720" w:hanging="720"/>
      </w:pPr>
    </w:p>
    <w:p w:rsidR="00BD61DE" w:rsidRDefault="005547C0" w:rsidP="003A26A0">
      <w:pPr>
        <w:spacing w:line="240" w:lineRule="auto"/>
        <w:ind w:left="720" w:hanging="720"/>
      </w:pPr>
      <w:r>
        <w:t>6.</w:t>
      </w:r>
      <w:r>
        <w:tab/>
      </w:r>
      <w:r w:rsidR="00BD61DE">
        <w:t xml:space="preserve">Within 60 days of the effective date of the discipline herein, he must complete a substance abuse evaluation by a member of the American Society of Substance Abuse Medicine (ASSAM).  If the ASSAM evaluation indicates a need for treatment, Thompson must comply with the terms of </w:t>
      </w:r>
      <w:proofErr w:type="spellStart"/>
      <w:r w:rsidR="00BD61DE">
        <w:t>ASSAM’s</w:t>
      </w:r>
      <w:proofErr w:type="spellEnd"/>
      <w:r w:rsidR="00BD61DE">
        <w:t xml:space="preserve"> recommended treatment.  His compliance will be determined by ASSAM standards.  Thompson must inform the Office of Probation when he has completed the ASSAM evaluation and must provide to the Office of Probation a waiver that allows the Office of Probation to obtain a copy of the ASSAM evaluation and access to his treatment records, if any.  Revocation of this waiver will be considered a violation of these probation conditions.  Any medical records obtained by the Office of Probation are confidential and no information concerning them or their contents will be given to anyone except members of the Office of Probation, the Office of the Chief Trial Counsel and the State Bar Court who are directly involved with maintaining, enforc</w:t>
      </w:r>
      <w:r w:rsidR="00643AC0">
        <w:t xml:space="preserve">ing or adjudicating matters relating to this condition. </w:t>
      </w:r>
    </w:p>
    <w:p w:rsidR="005547C0" w:rsidRDefault="005547C0" w:rsidP="0096569F">
      <w:pPr>
        <w:spacing w:line="240" w:lineRule="auto"/>
      </w:pPr>
    </w:p>
    <w:p w:rsidR="005547C0" w:rsidRDefault="005547C0" w:rsidP="003A26A0">
      <w:pPr>
        <w:spacing w:line="240" w:lineRule="auto"/>
        <w:ind w:left="720" w:hanging="720"/>
      </w:pPr>
      <w:r>
        <w:t>7.</w:t>
      </w:r>
      <w:r>
        <w:tab/>
        <w:t>Within one year after the effective date of the discipline herein, he must submit to the Office of Probation satisfactory evidence of completion the State Bar’s Ethics School and passage of the test given at the end of that session.  This requirement is separate from any Minimum Continuing Legal Education (</w:t>
      </w:r>
      <w:proofErr w:type="spellStart"/>
      <w:r>
        <w:t>MCLE</w:t>
      </w:r>
      <w:proofErr w:type="spellEnd"/>
      <w:r>
        <w:t xml:space="preserve">) requirement, and he shall not receive </w:t>
      </w:r>
      <w:proofErr w:type="spellStart"/>
      <w:r>
        <w:t>MCLE</w:t>
      </w:r>
      <w:proofErr w:type="spellEnd"/>
      <w:r>
        <w:t xml:space="preserve"> credit for attending Ethics School.  (Rules Proc. of State Bar, rule 3201.)</w:t>
      </w:r>
    </w:p>
    <w:p w:rsidR="005547C0" w:rsidRDefault="005547C0" w:rsidP="0096569F">
      <w:pPr>
        <w:spacing w:line="240" w:lineRule="auto"/>
        <w:ind w:firstLine="720"/>
      </w:pPr>
    </w:p>
    <w:p w:rsidR="005547C0" w:rsidRDefault="005547C0" w:rsidP="003A26A0">
      <w:pPr>
        <w:spacing w:line="240" w:lineRule="auto"/>
        <w:ind w:left="720" w:hanging="720"/>
      </w:pPr>
      <w:r>
        <w:t>8.</w:t>
      </w:r>
      <w:r>
        <w:tab/>
        <w:t>The period of probation will commence on the effective date of the Supreme Court order imposing discipline in this matter.  At the expiration of the period of probation, if he has complied with all conditions of probation, the two-year period of stayed suspension will be satisfied and that suspension will be terminated.</w:t>
      </w:r>
    </w:p>
    <w:p w:rsidR="004623CC" w:rsidRDefault="004623CC" w:rsidP="003A26A0">
      <w:pPr>
        <w:spacing w:line="240" w:lineRule="auto"/>
        <w:ind w:left="720" w:hanging="720"/>
      </w:pPr>
    </w:p>
    <w:p w:rsidR="005547C0" w:rsidRDefault="005547C0" w:rsidP="0096569F">
      <w:pPr>
        <w:jc w:val="center"/>
        <w:rPr>
          <w:b/>
          <w:bCs/>
        </w:rPr>
      </w:pPr>
      <w:r>
        <w:rPr>
          <w:b/>
          <w:bCs/>
        </w:rPr>
        <w:t>PROFESSIONAL RESPONSIBILITY EXAMINATION</w:t>
      </w:r>
    </w:p>
    <w:p w:rsidR="00E00857" w:rsidRDefault="005547C0" w:rsidP="0096569F">
      <w:pPr>
        <w:pStyle w:val="ListParagraph"/>
        <w:tabs>
          <w:tab w:val="left" w:pos="720"/>
        </w:tabs>
        <w:ind w:left="0" w:firstLine="720"/>
      </w:pPr>
      <w:r>
        <w:t xml:space="preserve">We further recommend that Kris Patrick Thompson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w:t>
      </w:r>
      <w:r>
        <w:lastRenderedPageBreak/>
        <w:t xml:space="preserve">period.  </w:t>
      </w:r>
      <w:r w:rsidRPr="006A1F63">
        <w:t>Failure to do so may result in an automatic suspension.  (Cal. Rules of Court, rule 9.10(b).)</w:t>
      </w:r>
    </w:p>
    <w:p w:rsidR="005547C0" w:rsidRDefault="005547C0" w:rsidP="0096569F">
      <w:pPr>
        <w:jc w:val="center"/>
        <w:rPr>
          <w:b/>
          <w:bCs/>
        </w:rPr>
      </w:pPr>
      <w:r>
        <w:rPr>
          <w:b/>
          <w:bCs/>
        </w:rPr>
        <w:t>RULE 9.20</w:t>
      </w:r>
    </w:p>
    <w:p w:rsidR="005547C0" w:rsidRDefault="005547C0" w:rsidP="0096569F">
      <w:pPr>
        <w:pStyle w:val="ListParagraph"/>
        <w:tabs>
          <w:tab w:val="left" w:pos="720"/>
        </w:tabs>
        <w:ind w:left="0" w:firstLine="720"/>
      </w:pPr>
      <w:r>
        <w:t>We further recommend that Kris Patrick Thompson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rsidR="005547C0" w:rsidRPr="00F16E56" w:rsidRDefault="005547C0" w:rsidP="0096569F">
      <w:pPr>
        <w:pStyle w:val="Heading3"/>
        <w:jc w:val="center"/>
        <w:rPr>
          <w:rFonts w:ascii="Times New Roman" w:hAnsi="Times New Roman"/>
          <w:b/>
          <w:u w:val="none"/>
        </w:rPr>
      </w:pPr>
      <w:r w:rsidRPr="00F16E56">
        <w:rPr>
          <w:rFonts w:ascii="Times New Roman" w:hAnsi="Times New Roman"/>
          <w:b/>
          <w:u w:val="none"/>
        </w:rPr>
        <w:t>COSTS</w:t>
      </w:r>
    </w:p>
    <w:p w:rsidR="005547C0" w:rsidRDefault="005547C0" w:rsidP="0096569F">
      <w:r>
        <w:tab/>
        <w:t>We further recommend that costs be awarded to the State Bar in accordance with Business and Professions Code section 6086.10, such costs being enforceable both as provided in section 6140.7 and as a money judgment.</w:t>
      </w:r>
    </w:p>
    <w:p w:rsidR="005547C0" w:rsidRDefault="005547C0" w:rsidP="0096569F">
      <w:pPr>
        <w:tabs>
          <w:tab w:val="left" w:pos="720"/>
        </w:tabs>
        <w:spacing w:line="240" w:lineRule="auto"/>
      </w:pPr>
    </w:p>
    <w:p w:rsidR="005547C0" w:rsidRDefault="005547C0" w:rsidP="0096569F">
      <w:r w:rsidRPr="007768C9">
        <w:tab/>
      </w:r>
      <w:r w:rsidRPr="007768C9">
        <w:tab/>
      </w:r>
      <w:r w:rsidRPr="007768C9">
        <w:tab/>
      </w:r>
      <w:r w:rsidRPr="007768C9">
        <w:tab/>
      </w:r>
      <w:r w:rsidRPr="007768C9">
        <w:tab/>
      </w:r>
      <w:r w:rsidRPr="007768C9">
        <w:tab/>
      </w:r>
      <w:r w:rsidRPr="007768C9">
        <w:tab/>
      </w:r>
      <w:r>
        <w:t>PURCELL, J.</w:t>
      </w:r>
    </w:p>
    <w:p w:rsidR="005547C0" w:rsidRDefault="005547C0" w:rsidP="0096569F">
      <w:r>
        <w:t>We concur:</w:t>
      </w:r>
    </w:p>
    <w:p w:rsidR="005547C0" w:rsidRDefault="005547C0" w:rsidP="0096569F">
      <w:r>
        <w:t>REMKE, P. J.</w:t>
      </w:r>
    </w:p>
    <w:p w:rsidR="005547C0" w:rsidRDefault="005547C0" w:rsidP="0096569F">
      <w:r>
        <w:t>EPSTEIN, J.</w:t>
      </w:r>
    </w:p>
    <w:p w:rsidR="005547C0" w:rsidRPr="008A154E" w:rsidRDefault="005547C0" w:rsidP="0096569F"/>
    <w:p w:rsidR="005547C0" w:rsidRPr="008A154E" w:rsidRDefault="005547C0" w:rsidP="00C11CC8"/>
    <w:sectPr w:rsidR="005547C0" w:rsidRPr="008A154E" w:rsidSect="002B01DB">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DE" w:rsidRDefault="00BD61DE" w:rsidP="00783AF1">
      <w:pPr>
        <w:spacing w:line="240" w:lineRule="auto"/>
      </w:pPr>
      <w:r>
        <w:separator/>
      </w:r>
    </w:p>
  </w:endnote>
  <w:endnote w:type="continuationSeparator" w:id="0">
    <w:p w:rsidR="00BD61DE" w:rsidRDefault="00BD61DE"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DE" w:rsidRDefault="00BD61DE" w:rsidP="00783AF1">
    <w:pPr>
      <w:pStyle w:val="Footer"/>
      <w:spacing w:before="120" w:line="240" w:lineRule="auto"/>
      <w:jc w:val="center"/>
    </w:pPr>
    <w:r>
      <w:t>-</w:t>
    </w:r>
    <w:fldSimple w:instr=" PAGE   \* MERGEFORMAT ">
      <w:r w:rsidR="001B170C">
        <w:rPr>
          <w:noProof/>
        </w:rPr>
        <w:t>11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DE" w:rsidRDefault="00BD61DE" w:rsidP="00783AF1">
      <w:pPr>
        <w:spacing w:line="240" w:lineRule="auto"/>
      </w:pPr>
      <w:r>
        <w:separator/>
      </w:r>
    </w:p>
  </w:footnote>
  <w:footnote w:type="continuationSeparator" w:id="0">
    <w:p w:rsidR="00BD61DE" w:rsidRDefault="00BD61DE" w:rsidP="00783AF1">
      <w:pPr>
        <w:spacing w:line="240" w:lineRule="auto"/>
      </w:pPr>
      <w:r>
        <w:continuationSeparator/>
      </w:r>
    </w:p>
  </w:footnote>
  <w:footnote w:type="continuationNotice" w:id="1">
    <w:p w:rsidR="00BD61DE" w:rsidRDefault="00BD61DE">
      <w:pPr>
        <w:spacing w:line="240" w:lineRule="auto"/>
      </w:pPr>
    </w:p>
  </w:footnote>
  <w:footnote w:id="2">
    <w:p w:rsidR="00BD61DE" w:rsidRDefault="00BD61DE" w:rsidP="002E4BE6">
      <w:pPr>
        <w:pStyle w:val="FootnoteText"/>
      </w:pPr>
      <w:r>
        <w:rPr>
          <w:rStyle w:val="FootnoteReference"/>
        </w:rPr>
        <w:footnoteRef/>
      </w:r>
      <w:r>
        <w:t xml:space="preserve">Unless otherwise noted, all further references to “rule(s)” are to the Rules of Professional Conduct of the State Bar. </w:t>
      </w:r>
    </w:p>
  </w:footnote>
  <w:footnote w:id="3">
    <w:p w:rsidR="00BD61DE" w:rsidRDefault="00BD61DE" w:rsidP="002E4BE6">
      <w:pPr>
        <w:pStyle w:val="FootnoteText"/>
      </w:pPr>
      <w:r>
        <w:rPr>
          <w:rStyle w:val="FootnoteReference"/>
        </w:rPr>
        <w:footnoteRef/>
      </w:r>
      <w:r>
        <w:t>Unless otherwise noted, all further references to “standard(s)” are to the Rules of Procedure of the State Bar, title IV, Standards for Attorney Sanctions for Professional Misconduct.</w:t>
      </w:r>
    </w:p>
  </w:footnote>
  <w:footnote w:id="4">
    <w:p w:rsidR="00BD61DE" w:rsidRDefault="00BD61DE" w:rsidP="002E4BE6">
      <w:pPr>
        <w:pStyle w:val="FootnoteText"/>
      </w:pPr>
      <w:r>
        <w:rPr>
          <w:rStyle w:val="FootnoteReference"/>
        </w:rPr>
        <w:footnoteRef/>
      </w:r>
      <w:r>
        <w:t xml:space="preserve">Thompson contends that this provision is erroneous because a Supreme Court order is not required for a public </w:t>
      </w:r>
      <w:proofErr w:type="spellStart"/>
      <w:r>
        <w:t>reproval</w:t>
      </w:r>
      <w:proofErr w:type="spellEnd"/>
      <w:r>
        <w:t xml:space="preserve">.  He argues that this error made it “impossible” for him to comply with the conditions.  We agree that a Supreme Court order is unnecessary to effectuate </w:t>
      </w:r>
      <w:proofErr w:type="spellStart"/>
      <w:r>
        <w:t>reprovals</w:t>
      </w:r>
      <w:proofErr w:type="spellEnd"/>
      <w:r>
        <w:t xml:space="preserve"> (Cal. Rules of Court, rule 9.19), but we reject Thompson’s argument since he should have sought clarification from Probation if he genuinely believed this language prevented him from complying.  In fact, the Probation deputy provided Thompson with a contact phone number if he had any questions about his </w:t>
      </w:r>
      <w:proofErr w:type="spellStart"/>
      <w:r>
        <w:t>reproval</w:t>
      </w:r>
      <w:proofErr w:type="spellEnd"/>
      <w:r>
        <w:t xml:space="preserve"> conditions.</w:t>
      </w:r>
    </w:p>
  </w:footnote>
  <w:footnote w:id="5">
    <w:p w:rsidR="00BD61DE" w:rsidRDefault="00BD61DE" w:rsidP="0024698A">
      <w:pPr>
        <w:pStyle w:val="FootnoteText"/>
        <w:spacing w:after="120"/>
      </w:pPr>
      <w:r>
        <w:rPr>
          <w:rStyle w:val="FootnoteReference"/>
        </w:rPr>
        <w:footnoteRef/>
      </w:r>
      <w:r>
        <w:t>This section provides that the hearing judge may order evidentiary exclusion sanctions for failure to file a pretrial statement.</w:t>
      </w:r>
    </w:p>
  </w:footnote>
  <w:footnote w:id="6">
    <w:p w:rsidR="00BD61DE" w:rsidRDefault="00BD61DE" w:rsidP="0024698A">
      <w:pPr>
        <w:pStyle w:val="FootnoteText"/>
        <w:spacing w:after="120"/>
      </w:pPr>
      <w:r>
        <w:rPr>
          <w:rStyle w:val="FootnoteReference"/>
        </w:rPr>
        <w:footnoteRef/>
      </w:r>
      <w:r>
        <w:t xml:space="preserve">Thompson told the hearing judge that he attended a few meetings with the Lawyer Assistance Program but was not able to continue because the meeting locations and times conflicted with his trial schedule. </w:t>
      </w:r>
    </w:p>
  </w:footnote>
  <w:footnote w:id="7">
    <w:p w:rsidR="00BD61DE" w:rsidRDefault="00BD61DE" w:rsidP="002E4BE6">
      <w:pPr>
        <w:pStyle w:val="FootnoteText"/>
      </w:pPr>
      <w:r>
        <w:rPr>
          <w:rStyle w:val="FootnoteReference"/>
        </w:rPr>
        <w:footnoteRef/>
      </w:r>
      <w:r>
        <w:t>The hearing judge warned Thompson:  “Comply with probation starting now.  You don’t have a trial that – you have the trial behind you.  Make sure you’re in compliance with all of the terms of you – I would suggest you go back and look at it.”</w:t>
      </w:r>
    </w:p>
  </w:footnote>
  <w:footnote w:id="8">
    <w:p w:rsidR="00BD61DE" w:rsidRDefault="00BD61DE" w:rsidP="002E4BE6">
      <w:pPr>
        <w:pStyle w:val="FootnoteText"/>
      </w:pPr>
      <w:r>
        <w:rPr>
          <w:rStyle w:val="FootnoteReference"/>
        </w:rPr>
        <w:footnoteRef/>
      </w:r>
      <w:r>
        <w:t xml:space="preserve">We agree with the hearing judge that Thompson is also entitled to “some” mitigation credit for good character for handling a single pro bono case.  (See </w:t>
      </w:r>
      <w:r w:rsidRPr="00294192">
        <w:rPr>
          <w:i/>
        </w:rPr>
        <w:t>Calvert v. State B</w:t>
      </w:r>
      <w:r>
        <w:rPr>
          <w:i/>
        </w:rPr>
        <w:t>a</w:t>
      </w:r>
      <w:r w:rsidRPr="00294192">
        <w:rPr>
          <w:i/>
        </w:rPr>
        <w:t>r</w:t>
      </w:r>
      <w:r>
        <w:t xml:space="preserve"> (1991) 54 </w:t>
      </w:r>
      <w:proofErr w:type="spellStart"/>
      <w:r>
        <w:t>Cal.3d</w:t>
      </w:r>
      <w:proofErr w:type="spellEnd"/>
      <w:r>
        <w:t xml:space="preserve"> 765, 785 [community service is mitigating factor entitled to considerable weight].)  However, he is not entitled to any mitigation credit for only briefly participating in the Lawyer Assistance Program. </w:t>
      </w:r>
    </w:p>
  </w:footnote>
  <w:footnote w:id="9">
    <w:p w:rsidR="00BD61DE" w:rsidRDefault="00BD61DE" w:rsidP="002E4BE6">
      <w:pPr>
        <w:pStyle w:val="FootnoteText"/>
      </w:pPr>
      <w:r>
        <w:rPr>
          <w:rStyle w:val="FootnoteReference"/>
        </w:rPr>
        <w:footnoteRef/>
      </w:r>
      <w:r>
        <w:t>(</w:t>
      </w:r>
      <w:r w:rsidRPr="00927D86">
        <w:rPr>
          <w:i/>
        </w:rPr>
        <w:t>Conroy v. State Bar</w:t>
      </w:r>
      <w:r>
        <w:t xml:space="preserve"> (1990) 51 </w:t>
      </w:r>
      <w:proofErr w:type="spellStart"/>
      <w:r>
        <w:t>Cal.3d</w:t>
      </w:r>
      <w:proofErr w:type="spellEnd"/>
      <w:r>
        <w:t xml:space="preserve"> 799 [60-day actual suspension in default proceeding for failing to pass </w:t>
      </w:r>
      <w:proofErr w:type="spellStart"/>
      <w:r>
        <w:t>MPRE</w:t>
      </w:r>
      <w:proofErr w:type="spellEnd"/>
      <w:r>
        <w:t xml:space="preserve"> with one factor in mitigation and three in aggravation including prior record of discipline, failure to participate and lack of remorse]; </w:t>
      </w:r>
      <w:r w:rsidRPr="00927D86">
        <w:rPr>
          <w:i/>
        </w:rPr>
        <w:t xml:space="preserve">In the Matter of </w:t>
      </w:r>
      <w:proofErr w:type="spellStart"/>
      <w:r w:rsidRPr="00927D86">
        <w:rPr>
          <w:i/>
        </w:rPr>
        <w:t>Posthuma</w:t>
      </w:r>
      <w:proofErr w:type="spellEnd"/>
      <w:r>
        <w:t xml:space="preserve"> (</w:t>
      </w:r>
      <w:r w:rsidR="00475EDD">
        <w:t xml:space="preserve">Review Dept. </w:t>
      </w:r>
      <w:r>
        <w:t xml:space="preserve">1998) 3 Cal. State Bar Ct. </w:t>
      </w:r>
      <w:proofErr w:type="spellStart"/>
      <w:r>
        <w:t>Rptr</w:t>
      </w:r>
      <w:proofErr w:type="spellEnd"/>
      <w:r>
        <w:t xml:space="preserve">. 813 [further </w:t>
      </w:r>
      <w:proofErr w:type="spellStart"/>
      <w:r>
        <w:t>reproval</w:t>
      </w:r>
      <w:proofErr w:type="spellEnd"/>
      <w:r>
        <w:t xml:space="preserve"> for failing to pass </w:t>
      </w:r>
      <w:proofErr w:type="spellStart"/>
      <w:r>
        <w:t>MPRE</w:t>
      </w:r>
      <w:proofErr w:type="spellEnd"/>
      <w:r>
        <w:t xml:space="preserve"> with no mitigation and one aggravating factor of prior record of discipline] </w:t>
      </w:r>
      <w:r>
        <w:rPr>
          <w:i/>
        </w:rPr>
        <w:t>In the Matter of Meyer</w:t>
      </w:r>
      <w:r>
        <w:t xml:space="preserve"> (</w:t>
      </w:r>
      <w:r w:rsidR="00475EDD">
        <w:t xml:space="preserve">Review Dept. </w:t>
      </w:r>
      <w:r>
        <w:t xml:space="preserve">1997) 3 Cal. State Bar Ct. </w:t>
      </w:r>
      <w:proofErr w:type="spellStart"/>
      <w:r>
        <w:t>Rptr</w:t>
      </w:r>
      <w:proofErr w:type="spellEnd"/>
      <w:r>
        <w:t xml:space="preserve">. 697 [90-day actual suspension in default proceeding for failing to submit quarterly reports and to complete CLE hours with no mitigation and four aggravating factors including two prior discipline records, multiple acts of wrongdoing, indifference, and failure to cooperate].)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44C3"/>
    <w:multiLevelType w:val="hybridMultilevel"/>
    <w:tmpl w:val="EFF4FBBA"/>
    <w:lvl w:ilvl="0" w:tplc="767AA9A6">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0CB16BC"/>
    <w:multiLevelType w:val="hybridMultilevel"/>
    <w:tmpl w:val="3840750A"/>
    <w:lvl w:ilvl="0" w:tplc="F6D03156">
      <w:start w:val="1"/>
      <w:numFmt w:val="upperRoman"/>
      <w:lvlText w:val="%1."/>
      <w:lvlJc w:val="left"/>
      <w:pPr>
        <w:ind w:left="3690" w:hanging="72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nsid w:val="31136568"/>
    <w:multiLevelType w:val="hybridMultilevel"/>
    <w:tmpl w:val="95D8F08A"/>
    <w:lvl w:ilvl="0" w:tplc="53EE4370">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399B2F62"/>
    <w:multiLevelType w:val="hybridMultilevel"/>
    <w:tmpl w:val="F48AE5B8"/>
    <w:lvl w:ilvl="0" w:tplc="D2BE663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FAD055E"/>
    <w:multiLevelType w:val="hybridMultilevel"/>
    <w:tmpl w:val="7878F79A"/>
    <w:lvl w:ilvl="0" w:tplc="03D2D86E">
      <w:start w:val="1"/>
      <w:numFmt w:val="upperRoman"/>
      <w:lvlText w:val="%1."/>
      <w:lvlJc w:val="left"/>
      <w:pPr>
        <w:ind w:left="2880" w:hanging="72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57E814BF"/>
    <w:multiLevelType w:val="hybridMultilevel"/>
    <w:tmpl w:val="419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D145E"/>
    <w:multiLevelType w:val="hybridMultilevel"/>
    <w:tmpl w:val="3C14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023305"/>
    <w:multiLevelType w:val="hybridMultilevel"/>
    <w:tmpl w:val="A1EC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D1025"/>
    <w:multiLevelType w:val="hybridMultilevel"/>
    <w:tmpl w:val="5A12D324"/>
    <w:lvl w:ilvl="0" w:tplc="3B8A95C0">
      <w:start w:val="2"/>
      <w:numFmt w:val="upperRoman"/>
      <w:lvlText w:val="%1&gt;"/>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730F4B6D"/>
    <w:multiLevelType w:val="hybridMultilevel"/>
    <w:tmpl w:val="95D8F08A"/>
    <w:lvl w:ilvl="0" w:tplc="53EE4370">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772E71D8"/>
    <w:multiLevelType w:val="hybridMultilevel"/>
    <w:tmpl w:val="88DC04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4"/>
  </w:num>
  <w:num w:numId="6">
    <w:abstractNumId w:val="1"/>
  </w:num>
  <w:num w:numId="7">
    <w:abstractNumId w:val="10"/>
  </w:num>
  <w:num w:numId="8">
    <w:abstractNumId w:val="7"/>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 w:id="1"/>
  </w:footnotePr>
  <w:endnotePr>
    <w:endnote w:id="-1"/>
    <w:endnote w:id="0"/>
  </w:endnotePr>
  <w:compat/>
  <w:rsids>
    <w:rsidRoot w:val="009A320A"/>
    <w:rsid w:val="00001B48"/>
    <w:rsid w:val="00004C44"/>
    <w:rsid w:val="00013B74"/>
    <w:rsid w:val="000166D7"/>
    <w:rsid w:val="00027B94"/>
    <w:rsid w:val="00027BF1"/>
    <w:rsid w:val="00035CB1"/>
    <w:rsid w:val="00035D69"/>
    <w:rsid w:val="000367FE"/>
    <w:rsid w:val="000428D5"/>
    <w:rsid w:val="000521F4"/>
    <w:rsid w:val="00056491"/>
    <w:rsid w:val="000568D5"/>
    <w:rsid w:val="00057ADA"/>
    <w:rsid w:val="00064E4D"/>
    <w:rsid w:val="00074F5D"/>
    <w:rsid w:val="000A3B5B"/>
    <w:rsid w:val="000A49AF"/>
    <w:rsid w:val="000B03DA"/>
    <w:rsid w:val="000B79EB"/>
    <w:rsid w:val="000C0292"/>
    <w:rsid w:val="000C3652"/>
    <w:rsid w:val="000D6865"/>
    <w:rsid w:val="000E7937"/>
    <w:rsid w:val="000F0F74"/>
    <w:rsid w:val="000F234A"/>
    <w:rsid w:val="000F7865"/>
    <w:rsid w:val="00100E67"/>
    <w:rsid w:val="001013D0"/>
    <w:rsid w:val="001019E4"/>
    <w:rsid w:val="0010317C"/>
    <w:rsid w:val="00104E61"/>
    <w:rsid w:val="00105E95"/>
    <w:rsid w:val="00111DE0"/>
    <w:rsid w:val="001157BD"/>
    <w:rsid w:val="001220DF"/>
    <w:rsid w:val="0012230A"/>
    <w:rsid w:val="00122CDD"/>
    <w:rsid w:val="00134A9F"/>
    <w:rsid w:val="00140430"/>
    <w:rsid w:val="00150D7B"/>
    <w:rsid w:val="0015748A"/>
    <w:rsid w:val="00183F80"/>
    <w:rsid w:val="00186B82"/>
    <w:rsid w:val="00195CE7"/>
    <w:rsid w:val="001A038B"/>
    <w:rsid w:val="001A24BD"/>
    <w:rsid w:val="001A284E"/>
    <w:rsid w:val="001A410C"/>
    <w:rsid w:val="001B023B"/>
    <w:rsid w:val="001B170C"/>
    <w:rsid w:val="001C14BA"/>
    <w:rsid w:val="001C5319"/>
    <w:rsid w:val="001D054E"/>
    <w:rsid w:val="001D06F4"/>
    <w:rsid w:val="001E0C81"/>
    <w:rsid w:val="001E21F3"/>
    <w:rsid w:val="00207FCE"/>
    <w:rsid w:val="002137CC"/>
    <w:rsid w:val="00214F88"/>
    <w:rsid w:val="00217222"/>
    <w:rsid w:val="00233C97"/>
    <w:rsid w:val="0024698A"/>
    <w:rsid w:val="002730B1"/>
    <w:rsid w:val="0027458E"/>
    <w:rsid w:val="002749E2"/>
    <w:rsid w:val="0028303E"/>
    <w:rsid w:val="00286B56"/>
    <w:rsid w:val="00293CBA"/>
    <w:rsid w:val="00294192"/>
    <w:rsid w:val="002A25D7"/>
    <w:rsid w:val="002A569D"/>
    <w:rsid w:val="002A7A1B"/>
    <w:rsid w:val="002B01DB"/>
    <w:rsid w:val="002B1B6B"/>
    <w:rsid w:val="002B6369"/>
    <w:rsid w:val="002C3128"/>
    <w:rsid w:val="002C3942"/>
    <w:rsid w:val="002C3AE6"/>
    <w:rsid w:val="002E319D"/>
    <w:rsid w:val="002E4BE6"/>
    <w:rsid w:val="002E7623"/>
    <w:rsid w:val="00300178"/>
    <w:rsid w:val="0030570D"/>
    <w:rsid w:val="00305C87"/>
    <w:rsid w:val="00315D44"/>
    <w:rsid w:val="0032127A"/>
    <w:rsid w:val="00330BA9"/>
    <w:rsid w:val="00334DA4"/>
    <w:rsid w:val="003407D0"/>
    <w:rsid w:val="00356C9F"/>
    <w:rsid w:val="00384F71"/>
    <w:rsid w:val="00385E2E"/>
    <w:rsid w:val="00393577"/>
    <w:rsid w:val="003A26A0"/>
    <w:rsid w:val="003B2926"/>
    <w:rsid w:val="003B3ABE"/>
    <w:rsid w:val="003B3BC1"/>
    <w:rsid w:val="003B46EE"/>
    <w:rsid w:val="003B748D"/>
    <w:rsid w:val="003C1338"/>
    <w:rsid w:val="003E4315"/>
    <w:rsid w:val="00404D43"/>
    <w:rsid w:val="004071EF"/>
    <w:rsid w:val="004250E4"/>
    <w:rsid w:val="00427013"/>
    <w:rsid w:val="004310E7"/>
    <w:rsid w:val="00433106"/>
    <w:rsid w:val="00435F28"/>
    <w:rsid w:val="00452C81"/>
    <w:rsid w:val="004623CC"/>
    <w:rsid w:val="00462C08"/>
    <w:rsid w:val="00465773"/>
    <w:rsid w:val="0046595D"/>
    <w:rsid w:val="00471DC3"/>
    <w:rsid w:val="0047213F"/>
    <w:rsid w:val="00475EDB"/>
    <w:rsid w:val="00475EDD"/>
    <w:rsid w:val="00487A90"/>
    <w:rsid w:val="004927C6"/>
    <w:rsid w:val="00495595"/>
    <w:rsid w:val="00497A94"/>
    <w:rsid w:val="00497E63"/>
    <w:rsid w:val="004B57E8"/>
    <w:rsid w:val="004C0AE3"/>
    <w:rsid w:val="004C7EF3"/>
    <w:rsid w:val="004D2760"/>
    <w:rsid w:val="004D4245"/>
    <w:rsid w:val="004D49CB"/>
    <w:rsid w:val="004F7C94"/>
    <w:rsid w:val="005038C3"/>
    <w:rsid w:val="00505128"/>
    <w:rsid w:val="00505222"/>
    <w:rsid w:val="00512006"/>
    <w:rsid w:val="00512C7A"/>
    <w:rsid w:val="00513391"/>
    <w:rsid w:val="005140C6"/>
    <w:rsid w:val="00515CFA"/>
    <w:rsid w:val="005225BD"/>
    <w:rsid w:val="005264F8"/>
    <w:rsid w:val="005547C0"/>
    <w:rsid w:val="00560351"/>
    <w:rsid w:val="00574F2B"/>
    <w:rsid w:val="00586A2B"/>
    <w:rsid w:val="005A30A6"/>
    <w:rsid w:val="005A56DE"/>
    <w:rsid w:val="005A5EC8"/>
    <w:rsid w:val="005A7AC8"/>
    <w:rsid w:val="005C0BD5"/>
    <w:rsid w:val="005C18D1"/>
    <w:rsid w:val="005C5696"/>
    <w:rsid w:val="005D1102"/>
    <w:rsid w:val="005D748B"/>
    <w:rsid w:val="005E1466"/>
    <w:rsid w:val="005E329D"/>
    <w:rsid w:val="005F1A58"/>
    <w:rsid w:val="005F6BFF"/>
    <w:rsid w:val="00600D3A"/>
    <w:rsid w:val="006045EA"/>
    <w:rsid w:val="00623693"/>
    <w:rsid w:val="00624EF5"/>
    <w:rsid w:val="00625C66"/>
    <w:rsid w:val="006342A1"/>
    <w:rsid w:val="006347BE"/>
    <w:rsid w:val="00642333"/>
    <w:rsid w:val="006437DD"/>
    <w:rsid w:val="00643AC0"/>
    <w:rsid w:val="006443E4"/>
    <w:rsid w:val="00650E15"/>
    <w:rsid w:val="00655475"/>
    <w:rsid w:val="00663970"/>
    <w:rsid w:val="00663E7E"/>
    <w:rsid w:val="00691D9B"/>
    <w:rsid w:val="0069594D"/>
    <w:rsid w:val="006A1E92"/>
    <w:rsid w:val="006A1F63"/>
    <w:rsid w:val="006A5E23"/>
    <w:rsid w:val="006B6307"/>
    <w:rsid w:val="006B6720"/>
    <w:rsid w:val="006C296F"/>
    <w:rsid w:val="006C4A5F"/>
    <w:rsid w:val="006C5336"/>
    <w:rsid w:val="006C62A3"/>
    <w:rsid w:val="006F17A4"/>
    <w:rsid w:val="007120AB"/>
    <w:rsid w:val="00713CCC"/>
    <w:rsid w:val="00721CB4"/>
    <w:rsid w:val="00721FC2"/>
    <w:rsid w:val="00737BE3"/>
    <w:rsid w:val="00746F77"/>
    <w:rsid w:val="00750AA0"/>
    <w:rsid w:val="00753956"/>
    <w:rsid w:val="0075432A"/>
    <w:rsid w:val="007623D7"/>
    <w:rsid w:val="00762D35"/>
    <w:rsid w:val="00766A49"/>
    <w:rsid w:val="007768C9"/>
    <w:rsid w:val="0078269A"/>
    <w:rsid w:val="00783AF1"/>
    <w:rsid w:val="007A6472"/>
    <w:rsid w:val="007D14C0"/>
    <w:rsid w:val="007E4793"/>
    <w:rsid w:val="007E7404"/>
    <w:rsid w:val="007F0F29"/>
    <w:rsid w:val="007F21F1"/>
    <w:rsid w:val="007F4230"/>
    <w:rsid w:val="007F537A"/>
    <w:rsid w:val="007F6793"/>
    <w:rsid w:val="0080103B"/>
    <w:rsid w:val="008017F3"/>
    <w:rsid w:val="0080218D"/>
    <w:rsid w:val="00802197"/>
    <w:rsid w:val="008024EE"/>
    <w:rsid w:val="00814906"/>
    <w:rsid w:val="008156A1"/>
    <w:rsid w:val="00822C30"/>
    <w:rsid w:val="00825EF5"/>
    <w:rsid w:val="00833C2C"/>
    <w:rsid w:val="00835F54"/>
    <w:rsid w:val="00840B60"/>
    <w:rsid w:val="00842409"/>
    <w:rsid w:val="00844B6B"/>
    <w:rsid w:val="00867445"/>
    <w:rsid w:val="008743D4"/>
    <w:rsid w:val="008A0148"/>
    <w:rsid w:val="008A154E"/>
    <w:rsid w:val="008B1231"/>
    <w:rsid w:val="008B708F"/>
    <w:rsid w:val="008C1010"/>
    <w:rsid w:val="008C51CE"/>
    <w:rsid w:val="008E3541"/>
    <w:rsid w:val="008E4725"/>
    <w:rsid w:val="008F4D92"/>
    <w:rsid w:val="008F7FE5"/>
    <w:rsid w:val="00910D30"/>
    <w:rsid w:val="00911A11"/>
    <w:rsid w:val="0092010F"/>
    <w:rsid w:val="009216E0"/>
    <w:rsid w:val="00927D86"/>
    <w:rsid w:val="00941E20"/>
    <w:rsid w:val="00943692"/>
    <w:rsid w:val="0096569F"/>
    <w:rsid w:val="00972F55"/>
    <w:rsid w:val="00974C58"/>
    <w:rsid w:val="00990AC1"/>
    <w:rsid w:val="0099333A"/>
    <w:rsid w:val="009A320A"/>
    <w:rsid w:val="009C17CF"/>
    <w:rsid w:val="009C6E54"/>
    <w:rsid w:val="009D0F07"/>
    <w:rsid w:val="009D3983"/>
    <w:rsid w:val="009D704F"/>
    <w:rsid w:val="009E0029"/>
    <w:rsid w:val="009E3081"/>
    <w:rsid w:val="009E30D7"/>
    <w:rsid w:val="00A03A78"/>
    <w:rsid w:val="00A05ADF"/>
    <w:rsid w:val="00A07497"/>
    <w:rsid w:val="00A10A92"/>
    <w:rsid w:val="00A3562C"/>
    <w:rsid w:val="00A41F4E"/>
    <w:rsid w:val="00A4255D"/>
    <w:rsid w:val="00A43A22"/>
    <w:rsid w:val="00A442ED"/>
    <w:rsid w:val="00A45460"/>
    <w:rsid w:val="00A50BC8"/>
    <w:rsid w:val="00A742A5"/>
    <w:rsid w:val="00A80D89"/>
    <w:rsid w:val="00A8217C"/>
    <w:rsid w:val="00A96EA7"/>
    <w:rsid w:val="00A97CBA"/>
    <w:rsid w:val="00AA494B"/>
    <w:rsid w:val="00AA4A38"/>
    <w:rsid w:val="00AB0F50"/>
    <w:rsid w:val="00AB50AC"/>
    <w:rsid w:val="00AB6CD0"/>
    <w:rsid w:val="00AD2A45"/>
    <w:rsid w:val="00AD3D4A"/>
    <w:rsid w:val="00AD49BB"/>
    <w:rsid w:val="00AD6094"/>
    <w:rsid w:val="00AD710C"/>
    <w:rsid w:val="00B043E0"/>
    <w:rsid w:val="00B04DEC"/>
    <w:rsid w:val="00B06B36"/>
    <w:rsid w:val="00B1084A"/>
    <w:rsid w:val="00B1288A"/>
    <w:rsid w:val="00B20581"/>
    <w:rsid w:val="00B32B26"/>
    <w:rsid w:val="00B421AC"/>
    <w:rsid w:val="00B434FE"/>
    <w:rsid w:val="00B44606"/>
    <w:rsid w:val="00B70E8C"/>
    <w:rsid w:val="00B813EB"/>
    <w:rsid w:val="00B91CC9"/>
    <w:rsid w:val="00B92689"/>
    <w:rsid w:val="00B92911"/>
    <w:rsid w:val="00B970BB"/>
    <w:rsid w:val="00B97532"/>
    <w:rsid w:val="00B97DAB"/>
    <w:rsid w:val="00BA2484"/>
    <w:rsid w:val="00BB2195"/>
    <w:rsid w:val="00BB66A0"/>
    <w:rsid w:val="00BD61DE"/>
    <w:rsid w:val="00BF76EE"/>
    <w:rsid w:val="00BF7D4F"/>
    <w:rsid w:val="00C11CC8"/>
    <w:rsid w:val="00C12A06"/>
    <w:rsid w:val="00C234B3"/>
    <w:rsid w:val="00C2402F"/>
    <w:rsid w:val="00C327C7"/>
    <w:rsid w:val="00C34157"/>
    <w:rsid w:val="00C4380C"/>
    <w:rsid w:val="00C44444"/>
    <w:rsid w:val="00C614A8"/>
    <w:rsid w:val="00C66439"/>
    <w:rsid w:val="00C67495"/>
    <w:rsid w:val="00C72823"/>
    <w:rsid w:val="00C75000"/>
    <w:rsid w:val="00C809AF"/>
    <w:rsid w:val="00C85DA0"/>
    <w:rsid w:val="00C87253"/>
    <w:rsid w:val="00C917ED"/>
    <w:rsid w:val="00C94707"/>
    <w:rsid w:val="00CA4723"/>
    <w:rsid w:val="00CD69A6"/>
    <w:rsid w:val="00CE1C0F"/>
    <w:rsid w:val="00CE7EAE"/>
    <w:rsid w:val="00CF3BC8"/>
    <w:rsid w:val="00CF63ED"/>
    <w:rsid w:val="00D12F07"/>
    <w:rsid w:val="00D14CCE"/>
    <w:rsid w:val="00D172B0"/>
    <w:rsid w:val="00D2618C"/>
    <w:rsid w:val="00D27A0D"/>
    <w:rsid w:val="00D31A99"/>
    <w:rsid w:val="00D34019"/>
    <w:rsid w:val="00D36BDC"/>
    <w:rsid w:val="00D54E85"/>
    <w:rsid w:val="00D7449F"/>
    <w:rsid w:val="00D7767C"/>
    <w:rsid w:val="00D812CA"/>
    <w:rsid w:val="00D83160"/>
    <w:rsid w:val="00D86083"/>
    <w:rsid w:val="00D911B3"/>
    <w:rsid w:val="00D91225"/>
    <w:rsid w:val="00D94926"/>
    <w:rsid w:val="00DA5CC8"/>
    <w:rsid w:val="00DB6915"/>
    <w:rsid w:val="00DC468B"/>
    <w:rsid w:val="00DC6367"/>
    <w:rsid w:val="00DD0DE9"/>
    <w:rsid w:val="00DD4404"/>
    <w:rsid w:val="00E00857"/>
    <w:rsid w:val="00E01AFF"/>
    <w:rsid w:val="00E01C0C"/>
    <w:rsid w:val="00E02644"/>
    <w:rsid w:val="00E13854"/>
    <w:rsid w:val="00E13DFC"/>
    <w:rsid w:val="00E2056F"/>
    <w:rsid w:val="00E20835"/>
    <w:rsid w:val="00E23F91"/>
    <w:rsid w:val="00E3508F"/>
    <w:rsid w:val="00E36F78"/>
    <w:rsid w:val="00E45FFC"/>
    <w:rsid w:val="00E61217"/>
    <w:rsid w:val="00E81D6C"/>
    <w:rsid w:val="00E9045B"/>
    <w:rsid w:val="00E94626"/>
    <w:rsid w:val="00EB4B40"/>
    <w:rsid w:val="00EC4A1B"/>
    <w:rsid w:val="00ED1D39"/>
    <w:rsid w:val="00ED21C2"/>
    <w:rsid w:val="00EE725B"/>
    <w:rsid w:val="00EF089A"/>
    <w:rsid w:val="00EF22F5"/>
    <w:rsid w:val="00F045A7"/>
    <w:rsid w:val="00F12549"/>
    <w:rsid w:val="00F16E56"/>
    <w:rsid w:val="00F23E83"/>
    <w:rsid w:val="00F31AEB"/>
    <w:rsid w:val="00F4080E"/>
    <w:rsid w:val="00F40C60"/>
    <w:rsid w:val="00F46D99"/>
    <w:rsid w:val="00F57610"/>
    <w:rsid w:val="00F60707"/>
    <w:rsid w:val="00F613FE"/>
    <w:rsid w:val="00F72A4F"/>
    <w:rsid w:val="00F87E36"/>
    <w:rsid w:val="00F9099B"/>
    <w:rsid w:val="00F92F4C"/>
    <w:rsid w:val="00F95AB7"/>
    <w:rsid w:val="00F96897"/>
    <w:rsid w:val="00FB2970"/>
    <w:rsid w:val="00FD7E96"/>
    <w:rsid w:val="00FE21AA"/>
    <w:rsid w:val="00FE5C2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line="480" w:lineRule="auto"/>
    </w:pPr>
    <w:rPr>
      <w:sz w:val="24"/>
      <w:szCs w:val="24"/>
    </w:rPr>
  </w:style>
  <w:style w:type="paragraph" w:styleId="Heading1">
    <w:name w:val="heading 1"/>
    <w:basedOn w:val="Normal"/>
    <w:next w:val="Normal"/>
    <w:link w:val="Heading1Char"/>
    <w:uiPriority w:val="99"/>
    <w:qFormat/>
    <w:rsid w:val="008E4725"/>
    <w:pPr>
      <w:keepNext/>
      <w:jc w:val="center"/>
      <w:outlineLvl w:val="0"/>
    </w:pPr>
    <w:rPr>
      <w:b/>
      <w:bCs/>
      <w:caps/>
    </w:rPr>
  </w:style>
  <w:style w:type="paragraph" w:styleId="Heading2">
    <w:name w:val="heading 2"/>
    <w:basedOn w:val="Normal"/>
    <w:next w:val="Normal"/>
    <w:link w:val="Heading2Char"/>
    <w:uiPriority w:val="99"/>
    <w:qFormat/>
    <w:rsid w:val="008156A1"/>
    <w:pPr>
      <w:keepNext/>
      <w:keepLines/>
      <w:outlineLvl w:val="1"/>
    </w:pPr>
    <w:rPr>
      <w:rFonts w:ascii="Calibri" w:hAnsi="Calibri"/>
      <w:b/>
      <w:bCs/>
      <w:szCs w:val="26"/>
    </w:rPr>
  </w:style>
  <w:style w:type="paragraph" w:styleId="Heading3">
    <w:name w:val="heading 3"/>
    <w:basedOn w:val="Normal"/>
    <w:next w:val="Normal"/>
    <w:link w:val="Heading3Char"/>
    <w:uiPriority w:val="99"/>
    <w:qFormat/>
    <w:rsid w:val="008E4725"/>
    <w:pPr>
      <w:keepNext/>
      <w:keepLines/>
      <w:outlineLvl w:val="2"/>
    </w:pPr>
    <w:rPr>
      <w:rFonts w:ascii="Calibri" w:hAnsi="Calibr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725"/>
    <w:rPr>
      <w:rFonts w:ascii="Times New Roman" w:hAnsi="Times New Roman" w:cs="Times New Roman"/>
      <w:b/>
      <w:bCs/>
      <w:caps/>
      <w:sz w:val="24"/>
      <w:szCs w:val="24"/>
    </w:rPr>
  </w:style>
  <w:style w:type="character" w:customStyle="1" w:styleId="Heading2Char">
    <w:name w:val="Heading 2 Char"/>
    <w:basedOn w:val="DefaultParagraphFont"/>
    <w:link w:val="Heading2"/>
    <w:uiPriority w:val="99"/>
    <w:locked/>
    <w:rsid w:val="008156A1"/>
    <w:rPr>
      <w:rFonts w:eastAsia="Times New Roman" w:cs="Times New Roman"/>
      <w:b/>
      <w:bCs/>
      <w:sz w:val="26"/>
      <w:szCs w:val="26"/>
    </w:rPr>
  </w:style>
  <w:style w:type="character" w:customStyle="1" w:styleId="Heading3Char">
    <w:name w:val="Heading 3 Char"/>
    <w:basedOn w:val="DefaultParagraphFont"/>
    <w:link w:val="Heading3"/>
    <w:uiPriority w:val="99"/>
    <w:locked/>
    <w:rsid w:val="008E4725"/>
    <w:rPr>
      <w:rFonts w:eastAsia="Times New Roman" w:cs="Times New Roman"/>
      <w:bCs/>
      <w:sz w:val="24"/>
      <w:szCs w:val="24"/>
      <w:u w:val="single"/>
    </w:rPr>
  </w:style>
  <w:style w:type="paragraph" w:customStyle="1" w:styleId="Multipleheadings">
    <w:name w:val="Multiple headings"/>
    <w:basedOn w:val="Normal"/>
    <w:link w:val="MultipleheadingsChar"/>
    <w:uiPriority w:val="99"/>
    <w:rsid w:val="008156A1"/>
    <w:pPr>
      <w:keepNext/>
      <w:jc w:val="center"/>
    </w:pPr>
    <w:rPr>
      <w:b/>
      <w:bCs/>
    </w:rPr>
  </w:style>
  <w:style w:type="character" w:customStyle="1" w:styleId="MultipleheadingsChar">
    <w:name w:val="Multiple headings Char"/>
    <w:basedOn w:val="DefaultParagraphFont"/>
    <w:link w:val="Multipleheadings"/>
    <w:uiPriority w:val="99"/>
    <w:locked/>
    <w:rsid w:val="008156A1"/>
    <w:rPr>
      <w:rFonts w:ascii="Times New Roman" w:hAnsi="Times New Roman" w:cs="Times New Roman"/>
      <w:b/>
      <w:bCs/>
      <w:sz w:val="24"/>
      <w:szCs w:val="24"/>
    </w:rPr>
  </w:style>
  <w:style w:type="paragraph" w:customStyle="1" w:styleId="Mainheading">
    <w:name w:val="Main heading"/>
    <w:basedOn w:val="Normal"/>
    <w:link w:val="MainheadingChar"/>
    <w:uiPriority w:val="99"/>
    <w:rsid w:val="008156A1"/>
    <w:pPr>
      <w:keepNext/>
      <w:jc w:val="center"/>
    </w:pPr>
    <w:rPr>
      <w:b/>
      <w:bCs/>
    </w:rPr>
  </w:style>
  <w:style w:type="character" w:customStyle="1" w:styleId="MainheadingChar">
    <w:name w:val="Main heading Char"/>
    <w:basedOn w:val="DefaultParagraphFont"/>
    <w:link w:val="Mainheading"/>
    <w:uiPriority w:val="99"/>
    <w:locked/>
    <w:rsid w:val="008156A1"/>
    <w:rPr>
      <w:rFonts w:ascii="Times New Roman" w:hAnsi="Times New Roman" w:cs="Times New Roman"/>
      <w:b/>
      <w:bCs/>
      <w:sz w:val="24"/>
      <w:szCs w:val="24"/>
    </w:rPr>
  </w:style>
  <w:style w:type="paragraph" w:styleId="FootnoteText">
    <w:name w:val="footnote text"/>
    <w:basedOn w:val="Normal"/>
    <w:link w:val="FootnoteTextChar"/>
    <w:autoRedefine/>
    <w:uiPriority w:val="99"/>
    <w:rsid w:val="002E4BE6"/>
    <w:pPr>
      <w:keepLines/>
      <w:spacing w:line="240" w:lineRule="auto"/>
      <w:ind w:firstLine="720"/>
    </w:pPr>
  </w:style>
  <w:style w:type="character" w:customStyle="1" w:styleId="FootnoteTextChar">
    <w:name w:val="Footnote Text Char"/>
    <w:basedOn w:val="DefaultParagraphFont"/>
    <w:link w:val="FootnoteText"/>
    <w:uiPriority w:val="99"/>
    <w:locked/>
    <w:rsid w:val="002E4BE6"/>
    <w:rPr>
      <w:sz w:val="24"/>
      <w:szCs w:val="24"/>
    </w:rPr>
  </w:style>
  <w:style w:type="paragraph" w:customStyle="1" w:styleId="Footnote">
    <w:name w:val="Footnote"/>
    <w:basedOn w:val="Normal"/>
    <w:link w:val="FootnoteChar"/>
    <w:autoRedefine/>
    <w:uiPriority w:val="99"/>
    <w:rsid w:val="00497A94"/>
    <w:pPr>
      <w:spacing w:after="120" w:line="240" w:lineRule="auto"/>
    </w:pPr>
    <w:rPr>
      <w:b/>
    </w:rPr>
  </w:style>
  <w:style w:type="character" w:customStyle="1" w:styleId="FootnoteChar">
    <w:name w:val="Footnote Char"/>
    <w:basedOn w:val="DefaultParagraphFont"/>
    <w:link w:val="Footnote"/>
    <w:uiPriority w:val="99"/>
    <w:locked/>
    <w:rsid w:val="00497A94"/>
    <w:rPr>
      <w:rFonts w:cs="Times New Roman"/>
      <w:b/>
    </w:rPr>
  </w:style>
  <w:style w:type="table" w:styleId="TableGrid">
    <w:name w:val="Table Grid"/>
    <w:basedOn w:val="TableNormal"/>
    <w:uiPriority w:val="99"/>
    <w:rsid w:val="00C11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783AF1"/>
    <w:rPr>
      <w:rFonts w:cs="Times New Roman"/>
      <w:vertAlign w:val="superscript"/>
    </w:rPr>
  </w:style>
  <w:style w:type="paragraph" w:styleId="Header">
    <w:name w:val="header"/>
    <w:basedOn w:val="Normal"/>
    <w:link w:val="HeaderChar"/>
    <w:uiPriority w:val="99"/>
    <w:semiHidden/>
    <w:rsid w:val="00783AF1"/>
    <w:pPr>
      <w:tabs>
        <w:tab w:val="center" w:pos="4680"/>
        <w:tab w:val="right" w:pos="9360"/>
      </w:tabs>
    </w:pPr>
  </w:style>
  <w:style w:type="character" w:customStyle="1" w:styleId="HeaderChar">
    <w:name w:val="Header Char"/>
    <w:basedOn w:val="DefaultParagraphFont"/>
    <w:link w:val="Header"/>
    <w:uiPriority w:val="99"/>
    <w:semiHidden/>
    <w:locked/>
    <w:rsid w:val="00783AF1"/>
    <w:rPr>
      <w:rFonts w:cs="Times New Roman"/>
    </w:rPr>
  </w:style>
  <w:style w:type="paragraph" w:styleId="Footer">
    <w:name w:val="footer"/>
    <w:basedOn w:val="Normal"/>
    <w:link w:val="FooterChar"/>
    <w:uiPriority w:val="99"/>
    <w:rsid w:val="00783AF1"/>
    <w:pPr>
      <w:tabs>
        <w:tab w:val="center" w:pos="4680"/>
        <w:tab w:val="right" w:pos="9360"/>
      </w:tabs>
    </w:pPr>
  </w:style>
  <w:style w:type="character" w:customStyle="1" w:styleId="FooterChar">
    <w:name w:val="Footer Char"/>
    <w:basedOn w:val="DefaultParagraphFont"/>
    <w:link w:val="Footer"/>
    <w:uiPriority w:val="99"/>
    <w:locked/>
    <w:rsid w:val="00783AF1"/>
    <w:rPr>
      <w:rFonts w:cs="Times New Roman"/>
    </w:rPr>
  </w:style>
  <w:style w:type="paragraph" w:styleId="ListParagraph">
    <w:name w:val="List Paragraph"/>
    <w:basedOn w:val="Normal"/>
    <w:uiPriority w:val="99"/>
    <w:qFormat/>
    <w:rsid w:val="007F4230"/>
    <w:pPr>
      <w:ind w:left="720"/>
      <w:contextualSpacing/>
    </w:pPr>
  </w:style>
  <w:style w:type="paragraph" w:customStyle="1" w:styleId="Default">
    <w:name w:val="Default"/>
    <w:uiPriority w:val="99"/>
    <w:rsid w:val="0015748A"/>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96569F"/>
    <w:pPr>
      <w:spacing w:line="240" w:lineRule="auto"/>
      <w:ind w:left="720"/>
    </w:pPr>
  </w:style>
  <w:style w:type="character" w:customStyle="1" w:styleId="BodyTextIndent2Char">
    <w:name w:val="Body Text Indent 2 Char"/>
    <w:basedOn w:val="DefaultParagraphFont"/>
    <w:link w:val="BodyTextIndent2"/>
    <w:uiPriority w:val="99"/>
    <w:locked/>
    <w:rsid w:val="0096569F"/>
    <w:rPr>
      <w:rFonts w:cs="Times New Roman"/>
    </w:rPr>
  </w:style>
  <w:style w:type="paragraph" w:styleId="BalloonText">
    <w:name w:val="Balloon Text"/>
    <w:basedOn w:val="Normal"/>
    <w:link w:val="BalloonTextChar"/>
    <w:uiPriority w:val="99"/>
    <w:semiHidden/>
    <w:unhideWhenUsed/>
    <w:rsid w:val="00B929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0BF6-BAB0-4C0C-A847-1A76E9DF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2</TotalTime>
  <Pages>13</Pages>
  <Words>3615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Mina Ruiz</cp:lastModifiedBy>
  <cp:revision>3</cp:revision>
  <cp:lastPrinted>2010-08-13T23:14:00Z</cp:lastPrinted>
  <dcterms:created xsi:type="dcterms:W3CDTF">2010-08-09T22:38:00Z</dcterms:created>
  <dcterms:modified xsi:type="dcterms:W3CDTF">2010-08-13T23:14:00Z</dcterms:modified>
</cp:coreProperties>
</file>