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609AF" w:rsidRDefault="002609AF" w:rsidP="002609AF">
      <w:pPr>
        <w:jc w:val="right"/>
        <w:rPr>
          <w:b/>
          <w:sz w:val="36"/>
        </w:rPr>
      </w:pPr>
      <w:r w:rsidRPr="002609AF">
        <w:rPr>
          <w:b/>
        </w:rPr>
        <w:t>FILED SEPTEMBER 2, 2009</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E7B8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B51DBF">
        <w:trPr>
          <w:cantSplit/>
          <w:trHeight w:val="462"/>
        </w:trPr>
        <w:tc>
          <w:tcPr>
            <w:tcW w:w="4373" w:type="dxa"/>
            <w:vMerge w:val="restart"/>
          </w:tcPr>
          <w:p w:rsidR="003D3B12" w:rsidRDefault="003D3B12">
            <w:r>
              <w:t>In the Matter of</w:t>
            </w:r>
          </w:p>
          <w:p w:rsidR="003D3B12" w:rsidRDefault="003D3B12">
            <w:pPr>
              <w:rPr>
                <w:b/>
                <w:bCs/>
              </w:rPr>
            </w:pPr>
          </w:p>
          <w:p w:rsidR="003D3B12" w:rsidRDefault="00B009C6">
            <w:pPr>
              <w:rPr>
                <w:b/>
                <w:bCs/>
              </w:rPr>
            </w:pPr>
            <w:bookmarkStart w:id="1" w:name="resp"/>
            <w:bookmarkEnd w:id="1"/>
            <w:r>
              <w:rPr>
                <w:b/>
                <w:bCs/>
              </w:rPr>
              <w:t>SEAN LYMUS ANDREWS</w:t>
            </w:r>
            <w:r w:rsidR="000E7B8C">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B009C6">
              <w:rPr>
                <w:b/>
                <w:bCs/>
              </w:rPr>
              <w:t>171711</w:t>
            </w:r>
            <w:r w:rsidR="000E7B8C">
              <w:rPr>
                <w:b/>
                <w:bCs/>
              </w:rPr>
              <w:t>,</w:t>
            </w:r>
          </w:p>
          <w:p w:rsidR="003D3B12" w:rsidRDefault="003D3B12">
            <w:pPr>
              <w:rPr>
                <w:b/>
                <w:bCs/>
              </w:rPr>
            </w:pPr>
          </w:p>
          <w:p w:rsidR="003D3B12" w:rsidRDefault="00B51DB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D760F" w:rsidP="00B009C6">
            <w:pPr>
              <w:rPr>
                <w:b/>
                <w:bCs/>
              </w:rPr>
            </w:pPr>
            <w:bookmarkStart w:id="4" w:name="caseno"/>
            <w:bookmarkEnd w:id="4"/>
            <w:r>
              <w:rPr>
                <w:b/>
                <w:bCs/>
              </w:rPr>
              <w:t>0</w:t>
            </w:r>
            <w:r w:rsidR="000E7B8C">
              <w:rPr>
                <w:b/>
                <w:bCs/>
              </w:rPr>
              <w:t>8</w:t>
            </w:r>
            <w:r>
              <w:rPr>
                <w:b/>
                <w:bCs/>
              </w:rPr>
              <w:t>-</w:t>
            </w:r>
            <w:r w:rsidR="000E7B8C">
              <w:rPr>
                <w:b/>
                <w:bCs/>
              </w:rPr>
              <w:t>N</w:t>
            </w:r>
            <w:r>
              <w:rPr>
                <w:b/>
                <w:bCs/>
              </w:rPr>
              <w:t>-</w:t>
            </w:r>
            <w:r w:rsidR="00B009C6">
              <w:rPr>
                <w:b/>
                <w:bCs/>
              </w:rPr>
              <w:t>14804</w:t>
            </w:r>
            <w:r w:rsidR="007A0C3B">
              <w:rPr>
                <w:b/>
                <w:bCs/>
              </w:rPr>
              <w:t>-DFM</w:t>
            </w:r>
          </w:p>
        </w:tc>
      </w:tr>
      <w:tr w:rsidR="003D3B12" w:rsidTr="00B51DBF">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213DC9" w:rsidRDefault="00213DC9">
            <w:pPr>
              <w:rPr>
                <w:b/>
                <w:bCs/>
              </w:rPr>
            </w:pPr>
            <w:bookmarkStart w:id="5" w:name="title"/>
            <w:bookmarkEnd w:id="5"/>
          </w:p>
          <w:p w:rsidR="003D3B12" w:rsidRDefault="00B51DBF">
            <w:pPr>
              <w:rPr>
                <w:b/>
                <w:bCs/>
              </w:rPr>
            </w:pPr>
            <w:r>
              <w:rPr>
                <w:b/>
                <w:bCs/>
              </w:rPr>
              <w:t>DECISION</w:t>
            </w:r>
            <w:r w:rsidR="000E7B8C">
              <w:rPr>
                <w:b/>
                <w:bCs/>
              </w:rPr>
              <w:t xml:space="preserve"> AND ORDER OF INVOLUNTARY INACTIVE ENROLLMENT</w:t>
            </w:r>
          </w:p>
        </w:tc>
      </w:tr>
    </w:tbl>
    <w:p w:rsidR="003F7735" w:rsidRDefault="003F7735" w:rsidP="003F7735">
      <w:pPr>
        <w:tabs>
          <w:tab w:val="center" w:pos="4680"/>
        </w:tabs>
        <w:jc w:val="center"/>
        <w:rPr>
          <w:b/>
          <w:bCs/>
        </w:rPr>
      </w:pPr>
    </w:p>
    <w:p w:rsidR="00B51DBF" w:rsidRDefault="00B51DBF" w:rsidP="004423E6">
      <w:pPr>
        <w:tabs>
          <w:tab w:val="center" w:pos="4680"/>
        </w:tabs>
        <w:spacing w:line="480" w:lineRule="auto"/>
        <w:jc w:val="center"/>
        <w:rPr>
          <w:b/>
          <w:bCs/>
        </w:rPr>
      </w:pPr>
      <w:r w:rsidRPr="000C31B9">
        <w:rPr>
          <w:b/>
          <w:bCs/>
        </w:rPr>
        <w:t xml:space="preserve">I.  </w:t>
      </w:r>
      <w:r w:rsidR="007A0C3B" w:rsidRPr="000C31B9">
        <w:rPr>
          <w:b/>
          <w:bCs/>
        </w:rPr>
        <w:t>INTRODUCTION</w:t>
      </w:r>
    </w:p>
    <w:p w:rsidR="007A0C3B" w:rsidRDefault="007A0C3B" w:rsidP="007A0C3B">
      <w:pPr>
        <w:spacing w:line="480" w:lineRule="auto"/>
        <w:ind w:firstLine="720"/>
      </w:pPr>
      <w:r>
        <w:t xml:space="preserve">In this default disciplinary matter, respondent </w:t>
      </w:r>
      <w:r w:rsidR="00B009C6">
        <w:rPr>
          <w:b/>
        </w:rPr>
        <w:t>Sean Lymus Andrews</w:t>
      </w:r>
      <w:r>
        <w:t xml:space="preserve"> is found culpable, by clear and convincing evidence, of failing to comply with California Rules of Court, rule 9.20,</w:t>
      </w:r>
      <w:r>
        <w:rPr>
          <w:rStyle w:val="FootnoteReference"/>
        </w:rPr>
        <w:footnoteReference w:id="1"/>
      </w:r>
      <w:r>
        <w:t xml:space="preserve"> as ordered by the California Supreme Court on August 2</w:t>
      </w:r>
      <w:r w:rsidR="00B009C6">
        <w:t>7</w:t>
      </w:r>
      <w:r>
        <w:t>, 200</w:t>
      </w:r>
      <w:r w:rsidR="00B009C6">
        <w:t>8</w:t>
      </w:r>
      <w:r>
        <w:t>, in S</w:t>
      </w:r>
      <w:r w:rsidR="00B009C6">
        <w:t>164504</w:t>
      </w:r>
      <w:r>
        <w:t xml:space="preserve">.  </w:t>
      </w:r>
    </w:p>
    <w:p w:rsidR="007A0C3B" w:rsidRDefault="007A0C3B" w:rsidP="007A0C3B">
      <w:pPr>
        <w:spacing w:line="480" w:lineRule="auto"/>
        <w:ind w:firstLine="720"/>
      </w:pPr>
      <w:r>
        <w:t>In view of respondent’s misconduct and the evidence in aggravation, the court recommends, among other things, that respondent be disbarred from the practice of law.</w:t>
      </w:r>
    </w:p>
    <w:p w:rsidR="00B51DBF" w:rsidRPr="000C31B9" w:rsidRDefault="00B51DBF" w:rsidP="004423E6">
      <w:pPr>
        <w:tabs>
          <w:tab w:val="center" w:pos="4680"/>
        </w:tabs>
        <w:spacing w:line="480" w:lineRule="auto"/>
        <w:jc w:val="center"/>
      </w:pPr>
      <w:r w:rsidRPr="000C31B9">
        <w:rPr>
          <w:b/>
          <w:bCs/>
        </w:rPr>
        <w:t>II</w:t>
      </w:r>
      <w:proofErr w:type="gramStart"/>
      <w:r w:rsidRPr="000C31B9">
        <w:rPr>
          <w:b/>
          <w:bCs/>
        </w:rPr>
        <w:t xml:space="preserve">.  </w:t>
      </w:r>
      <w:r w:rsidR="007A0C3B" w:rsidRPr="000C31B9">
        <w:rPr>
          <w:b/>
          <w:bCs/>
        </w:rPr>
        <w:t>PERTINENT</w:t>
      </w:r>
      <w:proofErr w:type="gramEnd"/>
      <w:r w:rsidR="007A0C3B" w:rsidRPr="000C31B9">
        <w:rPr>
          <w:b/>
          <w:bCs/>
        </w:rPr>
        <w:t xml:space="preserve"> PROCEDURAL HISTORY</w:t>
      </w:r>
    </w:p>
    <w:p w:rsidR="00355EF4" w:rsidRDefault="009763E0" w:rsidP="004423E6">
      <w:pPr>
        <w:spacing w:line="480" w:lineRule="auto"/>
        <w:ind w:firstLine="720"/>
      </w:pPr>
      <w:r w:rsidRPr="009763E0">
        <w:t xml:space="preserve">On February </w:t>
      </w:r>
      <w:r w:rsidR="00B009C6">
        <w:t>1</w:t>
      </w:r>
      <w:r w:rsidRPr="009763E0">
        <w:t>7, 2009, the Office of the Chief Trial Counsel of the State Bar of California (State Bar) filed its Notice of Disciplinary Charges (NDC)</w:t>
      </w:r>
      <w:r>
        <w:t xml:space="preserve"> </w:t>
      </w:r>
      <w:r w:rsidRPr="009763E0">
        <w:t xml:space="preserve">consisting of a single count alleging that respondent failed to comply with a California Supreme Court order that he perform the acts set out in </w:t>
      </w:r>
      <w:r w:rsidR="00584534">
        <w:t>paragraph</w:t>
      </w:r>
      <w:r w:rsidRPr="009763E0">
        <w:t xml:space="preserve"> (c) of rule 9.20 of the California Rules of Court.  A copy of the NDC was properly served on respondent on February </w:t>
      </w:r>
      <w:r w:rsidR="00B009C6">
        <w:t>1</w:t>
      </w:r>
      <w:r w:rsidRPr="009763E0">
        <w:t xml:space="preserve">7, 2009, by certified mail, return receipt requested, </w:t>
      </w:r>
      <w:r w:rsidRPr="009763E0">
        <w:lastRenderedPageBreak/>
        <w:t xml:space="preserve">addressed to </w:t>
      </w:r>
      <w:r w:rsidR="00E0470A">
        <w:t>respondent at his</w:t>
      </w:r>
      <w:r w:rsidRPr="009763E0">
        <w:t xml:space="preserve"> official membership records address (official address)</w:t>
      </w:r>
      <w:r w:rsidR="002778C7">
        <w:t>.</w:t>
      </w:r>
      <w:r w:rsidR="00FC065C">
        <w:rPr>
          <w:rStyle w:val="FootnoteReference"/>
        </w:rPr>
        <w:footnoteReference w:id="2"/>
      </w:r>
      <w:r w:rsidR="002778C7">
        <w:t xml:space="preserve">  </w:t>
      </w:r>
      <w:r w:rsidR="00257F79">
        <w:t xml:space="preserve">On or about March 2, 2009, the return receipt was returned </w:t>
      </w:r>
      <w:r w:rsidR="00A50D9A">
        <w:t xml:space="preserve">to the State Bar </w:t>
      </w:r>
      <w:r w:rsidR="00257F79">
        <w:t>by the United States Postal Service</w:t>
      </w:r>
      <w:r w:rsidR="00A50D9A">
        <w:t xml:space="preserve">. </w:t>
      </w:r>
      <w:r w:rsidR="00257F79">
        <w:t xml:space="preserve"> </w:t>
      </w:r>
      <w:r w:rsidR="00A50D9A">
        <w:t>The return receipt bore respondent’s handwritten name and indicated</w:t>
      </w:r>
      <w:r w:rsidR="00257F79">
        <w:t xml:space="preserve"> that it was received by respondent on February 27, 2009</w:t>
      </w:r>
      <w:r w:rsidR="00A50D9A">
        <w:t>.</w:t>
      </w:r>
    </w:p>
    <w:p w:rsidR="00DD55EB" w:rsidRDefault="00355EF4" w:rsidP="004423E6">
      <w:pPr>
        <w:spacing w:line="480" w:lineRule="auto"/>
        <w:ind w:firstLine="720"/>
      </w:pPr>
      <w:r>
        <w:t xml:space="preserve">Respondent did not file a response to the NDC.  </w:t>
      </w:r>
      <w:proofErr w:type="gramStart"/>
      <w:r>
        <w:t>(Rules Proc. of State Bar, rule 103.)</w:t>
      </w:r>
      <w:proofErr w:type="gramEnd"/>
      <w:r>
        <w:t xml:space="preserve"> </w:t>
      </w:r>
      <w:r w:rsidR="009E1D64">
        <w:t xml:space="preserve"> </w:t>
      </w:r>
    </w:p>
    <w:p w:rsidR="001D529B" w:rsidRDefault="00957582" w:rsidP="004423E6">
      <w:pPr>
        <w:spacing w:line="480" w:lineRule="auto"/>
        <w:ind w:firstLine="720"/>
      </w:pPr>
      <w:r>
        <w:t xml:space="preserve">The State Bar </w:t>
      </w:r>
      <w:r w:rsidR="00835A58">
        <w:t xml:space="preserve">subsequently </w:t>
      </w:r>
      <w:r>
        <w:t xml:space="preserve">made </w:t>
      </w:r>
      <w:r w:rsidR="00835A58">
        <w:t>additional</w:t>
      </w:r>
      <w:r>
        <w:t xml:space="preserve"> efforts to communicate with respondent, including </w:t>
      </w:r>
      <w:r w:rsidR="000D3DD5">
        <w:t xml:space="preserve">sending an email </w:t>
      </w:r>
      <w:r>
        <w:t>to</w:t>
      </w:r>
      <w:r w:rsidR="00864362">
        <w:t xml:space="preserve"> </w:t>
      </w:r>
      <w:r w:rsidR="000D3DD5">
        <w:t xml:space="preserve">the </w:t>
      </w:r>
      <w:r w:rsidR="009E20F3">
        <w:t xml:space="preserve">email </w:t>
      </w:r>
      <w:r w:rsidR="000D3DD5">
        <w:t xml:space="preserve">address listed in </w:t>
      </w:r>
      <w:r>
        <w:t>respondent’s</w:t>
      </w:r>
      <w:r w:rsidR="00864362">
        <w:t xml:space="preserve"> official membership records.</w:t>
      </w:r>
      <w:r w:rsidR="00FC065C">
        <w:rPr>
          <w:rStyle w:val="FootnoteReference"/>
        </w:rPr>
        <w:footnoteReference w:id="3"/>
      </w:r>
      <w:r w:rsidR="00864362">
        <w:t xml:space="preserve"> </w:t>
      </w:r>
      <w:r w:rsidR="00FC065C">
        <w:t xml:space="preserve"> </w:t>
      </w:r>
      <w:r w:rsidR="000D3DD5">
        <w:t xml:space="preserve">The </w:t>
      </w:r>
      <w:r>
        <w:t>State Bar</w:t>
      </w:r>
      <w:r w:rsidR="000D3DD5">
        <w:t>’s email requested a response</w:t>
      </w:r>
      <w:r w:rsidR="00D01438">
        <w:t>;</w:t>
      </w:r>
      <w:r w:rsidR="00A7468D">
        <w:t xml:space="preserve"> however, no</w:t>
      </w:r>
      <w:r w:rsidR="008070A5">
        <w:t xml:space="preserve"> response</w:t>
      </w:r>
      <w:r w:rsidR="00864362">
        <w:t xml:space="preserve"> </w:t>
      </w:r>
      <w:r w:rsidR="000D3DD5">
        <w:t xml:space="preserve">was </w:t>
      </w:r>
      <w:r>
        <w:t>r</w:t>
      </w:r>
      <w:r w:rsidR="000D3DD5">
        <w:t>eceived</w:t>
      </w:r>
      <w:r w:rsidR="00864362">
        <w:t xml:space="preserve">.  </w:t>
      </w:r>
    </w:p>
    <w:p w:rsidR="009763E0" w:rsidRDefault="008249DE" w:rsidP="004423E6">
      <w:pPr>
        <w:spacing w:line="480" w:lineRule="auto"/>
        <w:ind w:firstLine="720"/>
      </w:pPr>
      <w:r>
        <w:t>The court finds respondent was properly served with a copy of the NDC and</w:t>
      </w:r>
      <w:r w:rsidR="00ED401A" w:rsidRPr="00ED401A">
        <w:t xml:space="preserve"> </w:t>
      </w:r>
      <w:r>
        <w:t xml:space="preserve">that </w:t>
      </w:r>
      <w:r w:rsidR="00ED401A" w:rsidRPr="00ED401A">
        <w:t xml:space="preserve">all due process requirements have been </w:t>
      </w:r>
      <w:r w:rsidR="008D0860">
        <w:t xml:space="preserve">adequately </w:t>
      </w:r>
      <w:r w:rsidR="00ED401A" w:rsidRPr="00ED401A">
        <w:t>satisfied</w:t>
      </w:r>
      <w:r w:rsidR="005D583F">
        <w:t xml:space="preserve">.  </w:t>
      </w:r>
      <w:proofErr w:type="gramStart"/>
      <w:r w:rsidR="005D583F">
        <w:t>(</w:t>
      </w:r>
      <w:r w:rsidR="004B6E24">
        <w:t xml:space="preserve">See </w:t>
      </w:r>
      <w:r w:rsidR="00ED401A" w:rsidRPr="005D583F">
        <w:rPr>
          <w:i/>
        </w:rPr>
        <w:t>Jones v. Flowers</w:t>
      </w:r>
      <w:r w:rsidR="00ED401A" w:rsidRPr="00ED401A">
        <w:t xml:space="preserve"> (2006) 547 U.S. 220, 224-227, 234.)</w:t>
      </w:r>
      <w:proofErr w:type="gramEnd"/>
    </w:p>
    <w:p w:rsidR="00355EF4" w:rsidRDefault="00D12934" w:rsidP="004423E6">
      <w:pPr>
        <w:spacing w:line="480" w:lineRule="auto"/>
        <w:ind w:firstLine="720"/>
      </w:pPr>
      <w:r w:rsidRPr="00D12934">
        <w:t xml:space="preserve">Respondent was required to file a verified response to the NDC no later than March </w:t>
      </w:r>
      <w:r w:rsidR="008249DE">
        <w:t>16</w:t>
      </w:r>
      <w:r w:rsidRPr="00D12934">
        <w:t>, 2009.  (Rules Proc. of State Bar, rules 103(a), 584.)</w:t>
      </w:r>
      <w:r w:rsidR="00681039">
        <w:t xml:space="preserve">  As noted, </w:t>
      </w:r>
      <w:r w:rsidR="00681039" w:rsidRPr="003008F2">
        <w:rPr>
          <w:i/>
        </w:rPr>
        <w:t>ante</w:t>
      </w:r>
      <w:r w:rsidR="00681039">
        <w:t>, respondent did not file a response to the NDC.</w:t>
      </w:r>
      <w:r w:rsidRPr="00D12934">
        <w:t xml:space="preserve">  </w:t>
      </w:r>
      <w:r>
        <w:t>O</w:t>
      </w:r>
      <w:r w:rsidRPr="00D12934">
        <w:t xml:space="preserve">n </w:t>
      </w:r>
      <w:r w:rsidR="00B34729">
        <w:t>May 4</w:t>
      </w:r>
      <w:r w:rsidRPr="00D12934">
        <w:t>, 2009, the State Bar filed a motion for the entry of respondent</w:t>
      </w:r>
      <w:r>
        <w:t>’</w:t>
      </w:r>
      <w:r w:rsidRPr="00D12934">
        <w:t>s default</w:t>
      </w:r>
      <w:r>
        <w:t>.  A copy of said motion was</w:t>
      </w:r>
      <w:r w:rsidRPr="00D12934">
        <w:t xml:space="preserve"> properly served </w:t>
      </w:r>
      <w:r>
        <w:t xml:space="preserve">on </w:t>
      </w:r>
      <w:r w:rsidRPr="00D12934">
        <w:t>respondent</w:t>
      </w:r>
      <w:r w:rsidR="001D529B">
        <w:t xml:space="preserve"> on </w:t>
      </w:r>
      <w:r w:rsidR="00B34729">
        <w:t>May 4</w:t>
      </w:r>
      <w:r w:rsidR="001D529B">
        <w:t>, 2009,</w:t>
      </w:r>
      <w:r w:rsidRPr="00D12934">
        <w:t xml:space="preserve"> by certified mail, return receipt requested</w:t>
      </w:r>
      <w:r w:rsidR="001D529B">
        <w:t>, addressed to respondent at his official address</w:t>
      </w:r>
      <w:r w:rsidRPr="00D12934">
        <w:t>.</w:t>
      </w:r>
    </w:p>
    <w:p w:rsidR="00ED401A" w:rsidRDefault="001D529B" w:rsidP="004423E6">
      <w:pPr>
        <w:spacing w:line="480" w:lineRule="auto"/>
        <w:ind w:firstLine="720"/>
      </w:pPr>
      <w:r>
        <w:t>R</w:t>
      </w:r>
      <w:r w:rsidR="00D12934" w:rsidRPr="00D12934">
        <w:t xml:space="preserve">espondent </w:t>
      </w:r>
      <w:r w:rsidR="00355EF4">
        <w:t xml:space="preserve">did not </w:t>
      </w:r>
      <w:r w:rsidR="00D12934" w:rsidRPr="00D12934">
        <w:t>file a response</w:t>
      </w:r>
      <w:r w:rsidR="00355EF4">
        <w:t xml:space="preserve"> within 10 days after service of the </w:t>
      </w:r>
      <w:r w:rsidR="00D12934" w:rsidRPr="00D12934">
        <w:t xml:space="preserve">motion for entry of </w:t>
      </w:r>
      <w:r w:rsidR="00355EF4">
        <w:t xml:space="preserve">his </w:t>
      </w:r>
      <w:r w:rsidR="00D12934" w:rsidRPr="00D12934">
        <w:t xml:space="preserve">default.  </w:t>
      </w:r>
      <w:r w:rsidR="00355EF4" w:rsidRPr="00355EF4">
        <w:t xml:space="preserve">Consequently, on </w:t>
      </w:r>
      <w:r w:rsidR="00B34729">
        <w:t>June 5</w:t>
      </w:r>
      <w:r w:rsidR="00355EF4" w:rsidRPr="00355EF4">
        <w:t>, 2009, respondent’s default was entered</w:t>
      </w:r>
      <w:r w:rsidR="0093256C">
        <w:t xml:space="preserve">.  </w:t>
      </w:r>
      <w:r w:rsidR="005568EC">
        <w:t>The order of entry of default was properly mailed to respondent’s official membership records address.</w:t>
      </w:r>
      <w:r w:rsidR="0093256C">
        <w:t xml:space="preserve"> </w:t>
      </w:r>
      <w:r w:rsidR="00B34729">
        <w:t xml:space="preserve"> </w:t>
      </w:r>
      <w:r w:rsidR="00355EF4" w:rsidRPr="00355EF4">
        <w:t xml:space="preserve">Respondent </w:t>
      </w:r>
      <w:r w:rsidR="00355EF4" w:rsidRPr="00355EF4">
        <w:lastRenderedPageBreak/>
        <w:t>was enrolled as an inactive member</w:t>
      </w:r>
      <w:r w:rsidR="005568EC">
        <w:t xml:space="preserve"> under Business and Professions Code § 6007, subdivision (e)</w:t>
      </w:r>
      <w:r w:rsidR="00681039">
        <w:t>, effective</w:t>
      </w:r>
      <w:r w:rsidR="00355EF4" w:rsidRPr="00355EF4">
        <w:t xml:space="preserve"> </w:t>
      </w:r>
      <w:r w:rsidR="00B34729">
        <w:t>June 8</w:t>
      </w:r>
      <w:r w:rsidR="00355EF4" w:rsidRPr="00355EF4">
        <w:t>, 2009.</w:t>
      </w:r>
      <w:r w:rsidR="005568EC">
        <w:rPr>
          <w:rStyle w:val="FootnoteReference"/>
        </w:rPr>
        <w:footnoteReference w:id="4"/>
      </w:r>
    </w:p>
    <w:p w:rsidR="00A561A7" w:rsidRDefault="00A561A7" w:rsidP="004423E6">
      <w:pPr>
        <w:spacing w:line="480" w:lineRule="auto"/>
        <w:ind w:firstLine="720"/>
      </w:pPr>
      <w:r>
        <w:t xml:space="preserve">On </w:t>
      </w:r>
      <w:r w:rsidR="00B34729">
        <w:t>June</w:t>
      </w:r>
      <w:r>
        <w:t xml:space="preserve"> 11, 2009 the State Bar filed a</w:t>
      </w:r>
      <w:r w:rsidRPr="00A561A7">
        <w:t xml:space="preserve"> request for waiver of default hearing and brief on culpability and discipline.</w:t>
      </w:r>
    </w:p>
    <w:p w:rsidR="00681039" w:rsidRDefault="00A561A7" w:rsidP="004423E6">
      <w:pPr>
        <w:spacing w:line="480" w:lineRule="auto"/>
        <w:ind w:firstLine="720"/>
      </w:pPr>
      <w:r>
        <w:t xml:space="preserve">Respondent did not participate in the disciplinary proceedings.  On </w:t>
      </w:r>
      <w:r w:rsidR="005123C4">
        <w:t>June 24</w:t>
      </w:r>
      <w:r>
        <w:t xml:space="preserve">, 2009, the court took the case under </w:t>
      </w:r>
      <w:r w:rsidRPr="00A561A7">
        <w:t>submission for decision without a hearing.</w:t>
      </w:r>
    </w:p>
    <w:p w:rsidR="00B51DBF" w:rsidRPr="000C31B9" w:rsidRDefault="00B51DBF" w:rsidP="004423E6">
      <w:pPr>
        <w:tabs>
          <w:tab w:val="center" w:pos="4680"/>
        </w:tabs>
        <w:spacing w:line="480" w:lineRule="auto"/>
        <w:jc w:val="center"/>
      </w:pPr>
      <w:r w:rsidRPr="000C31B9">
        <w:rPr>
          <w:b/>
          <w:bCs/>
        </w:rPr>
        <w:t>III</w:t>
      </w:r>
      <w:proofErr w:type="gramStart"/>
      <w:r w:rsidRPr="000C31B9">
        <w:rPr>
          <w:b/>
          <w:bCs/>
        </w:rPr>
        <w:t xml:space="preserve">.  </w:t>
      </w:r>
      <w:r w:rsidR="001F2210" w:rsidRPr="000C31B9">
        <w:rPr>
          <w:b/>
          <w:bCs/>
        </w:rPr>
        <w:t>FINDINGS</w:t>
      </w:r>
      <w:proofErr w:type="gramEnd"/>
      <w:r w:rsidR="001F2210" w:rsidRPr="000C31B9">
        <w:rPr>
          <w:b/>
          <w:bCs/>
        </w:rPr>
        <w:t xml:space="preserve"> OF FACT AND CONCLUSIONS OF LAW</w:t>
      </w:r>
    </w:p>
    <w:p w:rsidR="001F2210" w:rsidRDefault="006079A3" w:rsidP="00A7070E">
      <w:pPr>
        <w:spacing w:line="480" w:lineRule="auto"/>
        <w:ind w:firstLine="720"/>
        <w:rPr>
          <w:bCs/>
        </w:rPr>
      </w:pPr>
      <w:r>
        <w:rPr>
          <w:bCs/>
        </w:rPr>
        <w:t xml:space="preserve">All factual allegations of the NDC </w:t>
      </w:r>
      <w:r w:rsidRPr="003875BE">
        <w:t>are deemed admitted upon entry of respondent’s default unless otherwise ordered by the court based on contrary evidence.  (Rules Proc. of State Bar, rule 200(d</w:t>
      </w:r>
      <w:proofErr w:type="gramStart"/>
      <w:r w:rsidRPr="003875BE">
        <w:t>)(</w:t>
      </w:r>
      <w:proofErr w:type="gramEnd"/>
      <w:r w:rsidRPr="003875BE">
        <w:t>1)(A).)</w:t>
      </w:r>
    </w:p>
    <w:p w:rsidR="00AC3304" w:rsidRPr="000D11D5" w:rsidRDefault="00AC3304" w:rsidP="0031187F">
      <w:pPr>
        <w:tabs>
          <w:tab w:val="left" w:pos="720"/>
          <w:tab w:val="left" w:pos="1440"/>
          <w:tab w:val="center" w:pos="4680"/>
        </w:tabs>
        <w:spacing w:line="480" w:lineRule="auto"/>
        <w:rPr>
          <w:b/>
          <w:bCs/>
          <w:u w:val="single"/>
        </w:rPr>
      </w:pPr>
      <w:r w:rsidRPr="000D11D5">
        <w:rPr>
          <w:b/>
          <w:bCs/>
          <w:u w:val="single"/>
        </w:rPr>
        <w:t>Jurisdiction</w:t>
      </w:r>
    </w:p>
    <w:p w:rsidR="006E573E" w:rsidRPr="00326794" w:rsidRDefault="00AC3304" w:rsidP="00A7070E">
      <w:pPr>
        <w:spacing w:line="480" w:lineRule="auto"/>
        <w:ind w:firstLine="720"/>
        <w:rPr>
          <w:bCs/>
        </w:rPr>
      </w:pPr>
      <w:r w:rsidRPr="00326794">
        <w:rPr>
          <w:bCs/>
        </w:rPr>
        <w:t xml:space="preserve">Respondent was admitted to the practice of law in the State of California on </w:t>
      </w:r>
      <w:r w:rsidR="005123C4">
        <w:rPr>
          <w:bCs/>
        </w:rPr>
        <w:t>October 3, 1994</w:t>
      </w:r>
      <w:r w:rsidRPr="00326794">
        <w:rPr>
          <w:bCs/>
        </w:rPr>
        <w:t>, and has been a member at all times since that date.</w:t>
      </w:r>
    </w:p>
    <w:p w:rsidR="004A7BB8" w:rsidRPr="000D11D5" w:rsidRDefault="000D11D5" w:rsidP="004423E6">
      <w:pPr>
        <w:spacing w:line="480" w:lineRule="auto"/>
        <w:rPr>
          <w:b/>
          <w:u w:val="single"/>
        </w:rPr>
      </w:pPr>
      <w:r w:rsidRPr="000D11D5">
        <w:rPr>
          <w:b/>
          <w:u w:val="single"/>
        </w:rPr>
        <w:t>Factual Background</w:t>
      </w:r>
    </w:p>
    <w:p w:rsidR="00D833E4" w:rsidRDefault="00576087" w:rsidP="00F06593">
      <w:pPr>
        <w:spacing w:line="480" w:lineRule="auto"/>
        <w:ind w:firstLine="720"/>
      </w:pPr>
      <w:r w:rsidRPr="00576087">
        <w:t xml:space="preserve">On </w:t>
      </w:r>
      <w:r w:rsidR="007B351E">
        <w:t xml:space="preserve">or about </w:t>
      </w:r>
      <w:r w:rsidRPr="00576087">
        <w:t>August 2</w:t>
      </w:r>
      <w:r w:rsidR="00FA0F26">
        <w:t>7</w:t>
      </w:r>
      <w:r w:rsidRPr="00576087">
        <w:t>, 200</w:t>
      </w:r>
      <w:r w:rsidR="00FA0F26">
        <w:t>8</w:t>
      </w:r>
      <w:r w:rsidRPr="00576087">
        <w:t xml:space="preserve">, the </w:t>
      </w:r>
      <w:r w:rsidR="007B351E" w:rsidRPr="00576087">
        <w:t xml:space="preserve">California </w:t>
      </w:r>
      <w:r w:rsidRPr="00576087">
        <w:t xml:space="preserve">Supreme Court filed </w:t>
      </w:r>
      <w:r w:rsidR="007B351E">
        <w:t xml:space="preserve">Order </w:t>
      </w:r>
      <w:r w:rsidR="003D0106">
        <w:t>No.</w:t>
      </w:r>
      <w:r w:rsidRPr="00576087">
        <w:t xml:space="preserve"> </w:t>
      </w:r>
      <w:proofErr w:type="gramStart"/>
      <w:r w:rsidRPr="00576087">
        <w:t>S1</w:t>
      </w:r>
      <w:r w:rsidR="00FA0F26">
        <w:t>64504</w:t>
      </w:r>
      <w:r w:rsidRPr="00576087">
        <w:t xml:space="preserve"> </w:t>
      </w:r>
      <w:r w:rsidR="003D0106">
        <w:t xml:space="preserve">(the Supreme Court </w:t>
      </w:r>
      <w:r w:rsidR="00870EAE">
        <w:t>o</w:t>
      </w:r>
      <w:r w:rsidR="003D0106">
        <w:t>rder)</w:t>
      </w:r>
      <w:r w:rsidR="00F06593">
        <w:t>.</w:t>
      </w:r>
      <w:proofErr w:type="gramEnd"/>
      <w:r w:rsidR="00F06593">
        <w:t xml:space="preserve">  </w:t>
      </w:r>
      <w:r w:rsidR="00077266">
        <w:t>The Supreme Court order included a requirement that respondent comply with rule 9.20, California Rules of Court, by performing the acts specified in subdivision</w:t>
      </w:r>
      <w:r w:rsidR="00D874F6">
        <w:t>s</w:t>
      </w:r>
      <w:r w:rsidR="00077266">
        <w:t xml:space="preserve"> (a) and (c) within 30 and 40 days, respectively, after the effective date of the Supreme Court order.</w:t>
      </w:r>
    </w:p>
    <w:p w:rsidR="00077266" w:rsidRDefault="005E2BC9" w:rsidP="00F06593">
      <w:pPr>
        <w:spacing w:line="480" w:lineRule="auto"/>
        <w:ind w:firstLine="720"/>
      </w:pPr>
      <w:r>
        <w:t xml:space="preserve">On or about August 27, 2008, the </w:t>
      </w:r>
      <w:r w:rsidR="007B351E">
        <w:t>C</w:t>
      </w:r>
      <w:r>
        <w:t xml:space="preserve">lerk of the Supreme </w:t>
      </w:r>
      <w:r w:rsidR="007B351E">
        <w:t>C</w:t>
      </w:r>
      <w:r>
        <w:t>ourt of the State of California properly served upon respondent a copy of the Supreme Court order.  Respondent received the Supreme Court order.</w:t>
      </w:r>
    </w:p>
    <w:p w:rsidR="005E2BC9" w:rsidRDefault="005E2BC9" w:rsidP="00F06593">
      <w:pPr>
        <w:spacing w:line="480" w:lineRule="auto"/>
        <w:ind w:firstLine="720"/>
      </w:pPr>
      <w:r>
        <w:lastRenderedPageBreak/>
        <w:t xml:space="preserve">The Supreme Court order became effective on September 26, 2008, </w:t>
      </w:r>
      <w:r w:rsidR="00002500">
        <w:t>30</w:t>
      </w:r>
      <w:r>
        <w:t xml:space="preserve"> days after it was filed.  Thus respondent was ordered to comply with subdivision (a) and/or (b) of rule 9.20 of the California Rules of Court no later than on or about October 26, 2008, and was ordered to comply with subdivision (c) of rule 9.20 no later than on or about November 5, 2008.</w:t>
      </w:r>
    </w:p>
    <w:p w:rsidR="007B351E" w:rsidRDefault="007B351E" w:rsidP="00F06593">
      <w:pPr>
        <w:spacing w:line="480" w:lineRule="auto"/>
        <w:ind w:firstLine="720"/>
      </w:pPr>
      <w:r>
        <w:t>Respondent has failed to file with the clerk of the State Bar Court a declaration of compliance with rule 9.20 (a) and (b), California Rules of Court, as required by rule 9.20(c).</w:t>
      </w:r>
    </w:p>
    <w:p w:rsidR="00576087" w:rsidRPr="008A1C96" w:rsidRDefault="008A1C96" w:rsidP="00275E8A">
      <w:pPr>
        <w:spacing w:line="480" w:lineRule="auto"/>
        <w:rPr>
          <w:b/>
          <w:u w:val="single"/>
        </w:rPr>
      </w:pPr>
      <w:r w:rsidRPr="008A1C96">
        <w:rPr>
          <w:b/>
          <w:u w:val="single"/>
        </w:rPr>
        <w:t>Failure to Obey Supreme Court Order to Comply with Rule 9.20</w:t>
      </w:r>
    </w:p>
    <w:p w:rsidR="00576087" w:rsidRPr="008A1C96" w:rsidRDefault="008A1C96" w:rsidP="008A1C96">
      <w:pPr>
        <w:spacing w:line="480" w:lineRule="auto"/>
        <w:ind w:firstLine="720"/>
      </w:pPr>
      <w:r w:rsidRPr="008A1C96">
        <w:t>The court finds that respondent is culpable of wil</w:t>
      </w:r>
      <w:r w:rsidR="0045188B">
        <w:t>l</w:t>
      </w:r>
      <w:r w:rsidRPr="008A1C96">
        <w:t>fully failing to comply with his obligation under rule 9.20.</w:t>
      </w:r>
    </w:p>
    <w:p w:rsidR="00576087" w:rsidRPr="008A1C96" w:rsidRDefault="008A1C96" w:rsidP="008A1C96">
      <w:pPr>
        <w:spacing w:line="480" w:lineRule="auto"/>
        <w:ind w:firstLine="720"/>
      </w:pPr>
      <w:r w:rsidRPr="008A1C96">
        <w:t>Rule 9.20(c) mandates that respondent “file with the Clerk of the State Bar Court an affidavit showing that he . . . has fully complied with those provisions of the order entered under this rule.”</w:t>
      </w:r>
    </w:p>
    <w:p w:rsidR="00576087" w:rsidRPr="00DA7778" w:rsidRDefault="00DA7778" w:rsidP="00DA7778">
      <w:pPr>
        <w:spacing w:line="480" w:lineRule="auto"/>
        <w:ind w:firstLine="720"/>
      </w:pPr>
      <w:r w:rsidRPr="00DA7778">
        <w:t>The term “wi</w:t>
      </w:r>
      <w:r w:rsidR="0045188B">
        <w:t>l</w:t>
      </w:r>
      <w:r w:rsidRPr="00DA7778">
        <w:t>lful” in the context of rule 9.20, formerly rule 955, does not require bad faith or any evidence of intent.  Whether respondent is aware of the requirements of rule 9.20 or of his obligation to comply with those requirements is immaterial.  “Wil</w:t>
      </w:r>
      <w:r w:rsidR="0045188B">
        <w:t>l</w:t>
      </w:r>
      <w:r w:rsidRPr="00DA7778">
        <w:t xml:space="preserve">fulness” in the context of rule 9.20 does not require actual knowledge of the provision that is violated.  It is not necessarily even dependent on showing the respondent’s knowledge of the Supreme Court’s order requiring compliance. </w:t>
      </w:r>
      <w:proofErr w:type="gramStart"/>
      <w:r w:rsidRPr="00DA7778">
        <w:t>(</w:t>
      </w:r>
      <w:r w:rsidRPr="0045188B">
        <w:rPr>
          <w:i/>
        </w:rPr>
        <w:t>Powers v. State Bar</w:t>
      </w:r>
      <w:r w:rsidRPr="00DA7778">
        <w:t xml:space="preserve"> (1988) 44 Cal.3d 337, 341-342; </w:t>
      </w:r>
      <w:r w:rsidRPr="0045188B">
        <w:rPr>
          <w:i/>
        </w:rPr>
        <w:t>Hamilton v. State Bar</w:t>
      </w:r>
      <w:r w:rsidRPr="00DA7778">
        <w:t xml:space="preserve"> (1979) 23 Cal.3d 868, 873-874.)</w:t>
      </w:r>
      <w:proofErr w:type="gramEnd"/>
      <w:r w:rsidRPr="00DA7778">
        <w:t xml:space="preserve">  The Supreme Court has disbarred attorneys whose failure to keep their official addresses current prevented them from learning that they had been ordered to comply with rule 9.20. </w:t>
      </w:r>
      <w:proofErr w:type="gramStart"/>
      <w:r w:rsidRPr="00DA7778">
        <w:t>(</w:t>
      </w:r>
      <w:r w:rsidRPr="0045188B">
        <w:rPr>
          <w:i/>
        </w:rPr>
        <w:t>Powers v. State Bar</w:t>
      </w:r>
      <w:r w:rsidRPr="00DA7778">
        <w:t xml:space="preserve">, </w:t>
      </w:r>
      <w:r w:rsidRPr="0045188B">
        <w:rPr>
          <w:i/>
        </w:rPr>
        <w:t>supra</w:t>
      </w:r>
      <w:r w:rsidRPr="00DA7778">
        <w:t>, 44 Cal.3d 337, 341.)</w:t>
      </w:r>
      <w:proofErr w:type="gramEnd"/>
    </w:p>
    <w:p w:rsidR="002202DC" w:rsidRDefault="002202DC" w:rsidP="007163DF">
      <w:pPr>
        <w:spacing w:line="480" w:lineRule="auto"/>
        <w:ind w:firstLine="720"/>
        <w:rPr>
          <w:color w:val="000000"/>
          <w:spacing w:val="3"/>
        </w:rPr>
      </w:pPr>
      <w:r>
        <w:rPr>
          <w:color w:val="000000"/>
          <w:spacing w:val="3"/>
        </w:rPr>
        <w:t xml:space="preserve">In the instant matter, </w:t>
      </w:r>
      <w:r w:rsidR="00D61C37">
        <w:rPr>
          <w:color w:val="000000"/>
          <w:spacing w:val="3"/>
        </w:rPr>
        <w:t xml:space="preserve">respondent did not </w:t>
      </w:r>
      <w:r w:rsidR="00A34B31">
        <w:rPr>
          <w:color w:val="000000"/>
          <w:spacing w:val="3"/>
        </w:rPr>
        <w:t>fil</w:t>
      </w:r>
      <w:r w:rsidR="002D1E99">
        <w:rPr>
          <w:color w:val="000000"/>
          <w:spacing w:val="3"/>
        </w:rPr>
        <w:t>e</w:t>
      </w:r>
      <w:r w:rsidR="00D61C37">
        <w:rPr>
          <w:color w:val="000000"/>
          <w:spacing w:val="3"/>
        </w:rPr>
        <w:t xml:space="preserve"> the rule 9.20(c)</w:t>
      </w:r>
      <w:r w:rsidR="002D1E99">
        <w:rPr>
          <w:color w:val="000000"/>
          <w:spacing w:val="3"/>
        </w:rPr>
        <w:t xml:space="preserve"> affidavit with the clerk of the court</w:t>
      </w:r>
      <w:r w:rsidR="009D73BB">
        <w:rPr>
          <w:color w:val="000000"/>
          <w:spacing w:val="3"/>
        </w:rPr>
        <w:t xml:space="preserve"> by</w:t>
      </w:r>
      <w:r w:rsidR="00EA2F89">
        <w:rPr>
          <w:color w:val="000000"/>
          <w:spacing w:val="3"/>
        </w:rPr>
        <w:t xml:space="preserve"> </w:t>
      </w:r>
      <w:r w:rsidR="0049032A">
        <w:rPr>
          <w:color w:val="000000"/>
          <w:spacing w:val="3"/>
        </w:rPr>
        <w:t>November 5</w:t>
      </w:r>
      <w:r w:rsidR="006758CD">
        <w:rPr>
          <w:color w:val="000000"/>
          <w:spacing w:val="3"/>
        </w:rPr>
        <w:t>, 2008</w:t>
      </w:r>
      <w:r w:rsidR="009D73BB">
        <w:rPr>
          <w:color w:val="000000"/>
          <w:spacing w:val="3"/>
        </w:rPr>
        <w:t>,</w:t>
      </w:r>
      <w:r w:rsidR="00D61C37">
        <w:rPr>
          <w:color w:val="000000"/>
          <w:spacing w:val="3"/>
        </w:rPr>
        <w:t xml:space="preserve"> </w:t>
      </w:r>
      <w:r w:rsidR="009D73BB">
        <w:rPr>
          <w:color w:val="000000"/>
          <w:spacing w:val="3"/>
        </w:rPr>
        <w:t>as required by the Supreme Court order</w:t>
      </w:r>
      <w:r w:rsidR="002D1E99">
        <w:rPr>
          <w:color w:val="000000"/>
          <w:spacing w:val="3"/>
        </w:rPr>
        <w:t xml:space="preserve">. </w:t>
      </w:r>
    </w:p>
    <w:p w:rsidR="002202DC" w:rsidRDefault="002202DC" w:rsidP="007163DF">
      <w:pPr>
        <w:spacing w:line="480" w:lineRule="auto"/>
        <w:ind w:firstLine="720"/>
        <w:rPr>
          <w:color w:val="000000"/>
          <w:spacing w:val="3"/>
        </w:rPr>
      </w:pPr>
      <w:r>
        <w:rPr>
          <w:color w:val="000000"/>
          <w:spacing w:val="3"/>
        </w:rPr>
        <w:lastRenderedPageBreak/>
        <w:t>Based on the foregoing</w:t>
      </w:r>
      <w:r w:rsidR="00EA2F89">
        <w:rPr>
          <w:color w:val="000000"/>
          <w:spacing w:val="3"/>
        </w:rPr>
        <w:t>,</w:t>
      </w:r>
      <w:r w:rsidR="008C6AA2">
        <w:rPr>
          <w:color w:val="000000"/>
          <w:spacing w:val="3"/>
        </w:rPr>
        <w:t xml:space="preserve"> </w:t>
      </w:r>
      <w:r>
        <w:rPr>
          <w:color w:val="000000"/>
          <w:spacing w:val="3"/>
        </w:rPr>
        <w:t>the court concludes that the State Bar has established by clear and convincing evidence that by failing to file the compliance affidavit as mandated under</w:t>
      </w:r>
      <w:r w:rsidR="002A2D95">
        <w:rPr>
          <w:color w:val="000000"/>
          <w:spacing w:val="3"/>
        </w:rPr>
        <w:t xml:space="preserve"> rule 9.20(c)</w:t>
      </w:r>
      <w:r>
        <w:rPr>
          <w:color w:val="000000"/>
          <w:spacing w:val="3"/>
        </w:rPr>
        <w:t xml:space="preserve"> within the time specified in the August 2</w:t>
      </w:r>
      <w:r w:rsidR="00F02DC0">
        <w:rPr>
          <w:color w:val="000000"/>
          <w:spacing w:val="3"/>
        </w:rPr>
        <w:t>7</w:t>
      </w:r>
      <w:r>
        <w:rPr>
          <w:color w:val="000000"/>
          <w:spacing w:val="3"/>
        </w:rPr>
        <w:t>, 200</w:t>
      </w:r>
      <w:r w:rsidR="00F02DC0">
        <w:rPr>
          <w:color w:val="000000"/>
          <w:spacing w:val="3"/>
        </w:rPr>
        <w:t>8</w:t>
      </w:r>
      <w:r>
        <w:rPr>
          <w:color w:val="000000"/>
          <w:spacing w:val="3"/>
        </w:rPr>
        <w:t xml:space="preserve"> Supreme Court order,</w:t>
      </w:r>
      <w:r w:rsidR="008D4F37">
        <w:rPr>
          <w:color w:val="000000"/>
          <w:spacing w:val="3"/>
        </w:rPr>
        <w:t xml:space="preserve"> </w:t>
      </w:r>
      <w:r>
        <w:rPr>
          <w:color w:val="000000"/>
          <w:spacing w:val="3"/>
        </w:rPr>
        <w:t xml:space="preserve">respondent willfully failed to comply with rule 9.20, as ordered </w:t>
      </w:r>
      <w:r w:rsidR="008D4F37">
        <w:rPr>
          <w:color w:val="000000"/>
          <w:spacing w:val="3"/>
        </w:rPr>
        <w:t xml:space="preserve">by the Supreme Court in </w:t>
      </w:r>
      <w:r w:rsidR="002A2D95">
        <w:rPr>
          <w:color w:val="000000"/>
          <w:spacing w:val="3"/>
        </w:rPr>
        <w:t>S</w:t>
      </w:r>
      <w:r w:rsidR="00F02DC0">
        <w:rPr>
          <w:color w:val="000000"/>
          <w:spacing w:val="3"/>
        </w:rPr>
        <w:t>164504</w:t>
      </w:r>
      <w:r w:rsidR="008D4F37">
        <w:rPr>
          <w:color w:val="000000"/>
          <w:spacing w:val="3"/>
        </w:rPr>
        <w:t xml:space="preserve">. </w:t>
      </w:r>
    </w:p>
    <w:p w:rsidR="007E52C6" w:rsidRPr="00E73995" w:rsidRDefault="007E52C6" w:rsidP="00E73995">
      <w:pPr>
        <w:spacing w:line="480" w:lineRule="auto"/>
        <w:jc w:val="center"/>
        <w:rPr>
          <w:b/>
          <w:color w:val="000000"/>
          <w:spacing w:val="3"/>
        </w:rPr>
      </w:pPr>
      <w:r w:rsidRPr="00E73995">
        <w:rPr>
          <w:b/>
          <w:color w:val="000000"/>
          <w:spacing w:val="3"/>
        </w:rPr>
        <w:t>IV</w:t>
      </w:r>
      <w:proofErr w:type="gramStart"/>
      <w:r w:rsidRPr="00E73995">
        <w:rPr>
          <w:b/>
          <w:color w:val="000000"/>
          <w:spacing w:val="3"/>
        </w:rPr>
        <w:t xml:space="preserve">.  </w:t>
      </w:r>
      <w:r w:rsidR="00EA2F89">
        <w:rPr>
          <w:b/>
          <w:color w:val="000000"/>
          <w:spacing w:val="3"/>
        </w:rPr>
        <w:t>LEVEL</w:t>
      </w:r>
      <w:proofErr w:type="gramEnd"/>
      <w:r w:rsidR="00EA2F89">
        <w:rPr>
          <w:b/>
          <w:color w:val="000000"/>
          <w:spacing w:val="3"/>
        </w:rPr>
        <w:t xml:space="preserve"> OF DISCIPLINE</w:t>
      </w:r>
    </w:p>
    <w:p w:rsidR="007E52C6" w:rsidRPr="00EA2F89" w:rsidRDefault="007E52C6" w:rsidP="00A70ACC">
      <w:pPr>
        <w:spacing w:line="480" w:lineRule="auto"/>
        <w:rPr>
          <w:b/>
          <w:color w:val="000000"/>
          <w:spacing w:val="3"/>
          <w:u w:val="single"/>
        </w:rPr>
      </w:pPr>
      <w:r w:rsidRPr="00EA2F89">
        <w:rPr>
          <w:b/>
          <w:color w:val="000000"/>
          <w:spacing w:val="3"/>
          <w:u w:val="single"/>
        </w:rPr>
        <w:t>Aggravatin</w:t>
      </w:r>
      <w:r w:rsidR="00EA2F89" w:rsidRPr="00EA2F89">
        <w:rPr>
          <w:b/>
          <w:color w:val="000000"/>
          <w:spacing w:val="3"/>
          <w:u w:val="single"/>
        </w:rPr>
        <w:t>g Circumstances</w:t>
      </w:r>
    </w:p>
    <w:p w:rsidR="007E52C6" w:rsidRDefault="00EA2F89" w:rsidP="007E52C6">
      <w:pPr>
        <w:spacing w:line="480" w:lineRule="auto"/>
        <w:ind w:firstLine="720"/>
        <w:rPr>
          <w:color w:val="000000"/>
          <w:spacing w:val="3"/>
        </w:rPr>
      </w:pPr>
      <w:r>
        <w:rPr>
          <w:color w:val="000000"/>
          <w:spacing w:val="3"/>
        </w:rPr>
        <w:t>The State Bar bears the burden of proving aggravating circumstances by clear and convincing evidence</w:t>
      </w:r>
      <w:r w:rsidR="00C74584">
        <w:rPr>
          <w:color w:val="000000"/>
          <w:spacing w:val="3"/>
        </w:rPr>
        <w:t xml:space="preserve">.  </w:t>
      </w:r>
      <w:r w:rsidR="00C74584">
        <w:t>(Rules Proc. of State Bar, tit. IV, Stds. for Atty. Sanctions for Prof. Misconduct, std. 1.2(b).)</w:t>
      </w:r>
      <w:r w:rsidR="00C74584">
        <w:rPr>
          <w:rStyle w:val="FootnoteReference"/>
        </w:rPr>
        <w:footnoteReference w:id="5"/>
      </w:r>
      <w:r>
        <w:rPr>
          <w:color w:val="000000"/>
          <w:spacing w:val="3"/>
        </w:rPr>
        <w:t xml:space="preserve">  </w:t>
      </w:r>
      <w:r w:rsidR="007E52C6" w:rsidRPr="007E52C6">
        <w:rPr>
          <w:color w:val="000000"/>
          <w:spacing w:val="3"/>
        </w:rPr>
        <w:t xml:space="preserve">There are </w:t>
      </w:r>
      <w:r w:rsidR="00773EE7">
        <w:rPr>
          <w:color w:val="000000"/>
          <w:spacing w:val="3"/>
        </w:rPr>
        <w:t>two</w:t>
      </w:r>
      <w:r w:rsidR="007E52C6" w:rsidRPr="007E52C6">
        <w:rPr>
          <w:color w:val="000000"/>
          <w:spacing w:val="3"/>
        </w:rPr>
        <w:t xml:space="preserve"> aggravating factors</w:t>
      </w:r>
      <w:r w:rsidR="002B255F">
        <w:rPr>
          <w:color w:val="000000"/>
          <w:spacing w:val="3"/>
        </w:rPr>
        <w:t xml:space="preserve"> present here</w:t>
      </w:r>
      <w:r w:rsidR="007E52C6" w:rsidRPr="007E52C6">
        <w:rPr>
          <w:color w:val="000000"/>
          <w:spacing w:val="3"/>
        </w:rPr>
        <w:t xml:space="preserve">. </w:t>
      </w:r>
      <w:proofErr w:type="gramStart"/>
      <w:r w:rsidR="007E52C6" w:rsidRPr="007E52C6">
        <w:rPr>
          <w:color w:val="000000"/>
          <w:spacing w:val="3"/>
        </w:rPr>
        <w:t>(Std. 1.2(b).)</w:t>
      </w:r>
      <w:proofErr w:type="gramEnd"/>
    </w:p>
    <w:p w:rsidR="002B255F" w:rsidRPr="002B255F" w:rsidRDefault="002B255F" w:rsidP="007E52C6">
      <w:pPr>
        <w:spacing w:line="480" w:lineRule="auto"/>
        <w:ind w:firstLine="720"/>
        <w:rPr>
          <w:b/>
          <w:color w:val="000000"/>
          <w:spacing w:val="3"/>
        </w:rPr>
      </w:pPr>
      <w:r w:rsidRPr="002B255F">
        <w:rPr>
          <w:b/>
          <w:color w:val="000000"/>
          <w:spacing w:val="3"/>
        </w:rPr>
        <w:t>Prior Record of Discipline</w:t>
      </w:r>
    </w:p>
    <w:p w:rsidR="009C57D6" w:rsidRDefault="007E52C6" w:rsidP="007E52C6">
      <w:pPr>
        <w:spacing w:line="480" w:lineRule="auto"/>
        <w:ind w:firstLine="720"/>
        <w:rPr>
          <w:color w:val="000000"/>
          <w:spacing w:val="3"/>
        </w:rPr>
      </w:pPr>
      <w:r w:rsidRPr="007E52C6">
        <w:rPr>
          <w:color w:val="000000"/>
          <w:spacing w:val="3"/>
        </w:rPr>
        <w:t>Respondent</w:t>
      </w:r>
      <w:r w:rsidR="002B255F">
        <w:rPr>
          <w:color w:val="000000"/>
          <w:spacing w:val="3"/>
        </w:rPr>
        <w:t>’</w:t>
      </w:r>
      <w:r w:rsidRPr="007E52C6">
        <w:rPr>
          <w:color w:val="000000"/>
          <w:spacing w:val="3"/>
        </w:rPr>
        <w:t>s prior record of discipline</w:t>
      </w:r>
      <w:r w:rsidR="002B255F">
        <w:rPr>
          <w:color w:val="000000"/>
          <w:spacing w:val="3"/>
        </w:rPr>
        <w:t xml:space="preserve"> is an aggravating circumstance</w:t>
      </w:r>
      <w:r w:rsidRPr="007E52C6">
        <w:rPr>
          <w:color w:val="000000"/>
          <w:spacing w:val="3"/>
        </w:rPr>
        <w:t>.  (Std. 1.2(b</w:t>
      </w:r>
      <w:proofErr w:type="gramStart"/>
      <w:r w:rsidRPr="007E52C6">
        <w:rPr>
          <w:color w:val="000000"/>
          <w:spacing w:val="3"/>
        </w:rPr>
        <w:t>)(</w:t>
      </w:r>
      <w:proofErr w:type="gramEnd"/>
      <w:r w:rsidRPr="007E52C6">
        <w:rPr>
          <w:color w:val="000000"/>
          <w:spacing w:val="3"/>
        </w:rPr>
        <w:t>i).</w:t>
      </w:r>
      <w:r w:rsidR="00140CAA">
        <w:rPr>
          <w:color w:val="000000"/>
          <w:spacing w:val="3"/>
        </w:rPr>
        <w:t xml:space="preserve">)  </w:t>
      </w:r>
      <w:r w:rsidR="009C57D6">
        <w:rPr>
          <w:color w:val="000000"/>
          <w:spacing w:val="3"/>
        </w:rPr>
        <w:t>Respondent has been disciplined twice in the past.</w:t>
      </w:r>
    </w:p>
    <w:p w:rsidR="009C57D6" w:rsidRDefault="009C57D6" w:rsidP="00DA7D1B">
      <w:pPr>
        <w:spacing w:line="480" w:lineRule="auto"/>
        <w:ind w:firstLine="720"/>
      </w:pPr>
      <w:r>
        <w:t xml:space="preserve">Effective May 3, 2006, respondent was publicly reproved with conditions in State Bar Court Case No. </w:t>
      </w:r>
      <w:r w:rsidR="00DA7D1B">
        <w:t xml:space="preserve">05-O-02322 for failing to competently perform legal services in a single-client matter.  In mitigation, respondent </w:t>
      </w:r>
      <w:r w:rsidR="005D6D37">
        <w:t>had no prior record of discipline</w:t>
      </w:r>
      <w:r w:rsidR="00DA7D1B">
        <w:t>.  No aggravating circumstances were involved</w:t>
      </w:r>
      <w:r>
        <w:t xml:space="preserve">.  </w:t>
      </w:r>
    </w:p>
    <w:p w:rsidR="007E52C6" w:rsidRPr="007E52C6" w:rsidRDefault="00140CAA" w:rsidP="007E52C6">
      <w:pPr>
        <w:spacing w:line="480" w:lineRule="auto"/>
        <w:ind w:firstLine="720"/>
        <w:rPr>
          <w:color w:val="000000"/>
          <w:spacing w:val="3"/>
        </w:rPr>
      </w:pPr>
      <w:r>
        <w:rPr>
          <w:color w:val="000000"/>
          <w:spacing w:val="3"/>
        </w:rPr>
        <w:t>I</w:t>
      </w:r>
      <w:r w:rsidR="002B255F">
        <w:rPr>
          <w:color w:val="000000"/>
          <w:spacing w:val="3"/>
        </w:rPr>
        <w:t xml:space="preserve">n the underlying matter, respondent was suspended for two years, stayed, and was actually suspended for </w:t>
      </w:r>
      <w:r w:rsidR="00E57904">
        <w:rPr>
          <w:color w:val="000000"/>
          <w:spacing w:val="3"/>
        </w:rPr>
        <w:t>90 days</w:t>
      </w:r>
      <w:r w:rsidR="002B255F">
        <w:rPr>
          <w:color w:val="000000"/>
          <w:spacing w:val="3"/>
        </w:rPr>
        <w:t xml:space="preserve"> and until the State Bar Court terminates his actual suspension under rule 205 of the Rules of Procedure of the State Bar.  </w:t>
      </w:r>
      <w:r w:rsidR="00135673">
        <w:rPr>
          <w:color w:val="000000"/>
          <w:spacing w:val="3"/>
        </w:rPr>
        <w:t>The matter arose out of r</w:t>
      </w:r>
      <w:r w:rsidR="002B255F">
        <w:rPr>
          <w:color w:val="000000"/>
          <w:spacing w:val="3"/>
        </w:rPr>
        <w:t xml:space="preserve">espondent’s </w:t>
      </w:r>
      <w:r w:rsidR="00E57904">
        <w:rPr>
          <w:color w:val="000000"/>
          <w:spacing w:val="3"/>
        </w:rPr>
        <w:t>failure to comply with all of the terms and conditions of his public reproval</w:t>
      </w:r>
      <w:r w:rsidR="00135673">
        <w:rPr>
          <w:color w:val="000000"/>
          <w:spacing w:val="3"/>
        </w:rPr>
        <w:t xml:space="preserve">.  </w:t>
      </w:r>
      <w:r w:rsidR="00E57904">
        <w:rPr>
          <w:color w:val="000000"/>
          <w:spacing w:val="3"/>
        </w:rPr>
        <w:t xml:space="preserve">In aggravation, </w:t>
      </w:r>
      <w:r w:rsidR="00691EBB">
        <w:rPr>
          <w:color w:val="000000"/>
          <w:spacing w:val="3"/>
        </w:rPr>
        <w:t xml:space="preserve">respondent committed multiple acts of misconduct, failed to participate in the disciplinary proceedings, and possessed a prior record of discipline.  </w:t>
      </w:r>
      <w:r w:rsidR="004C3F40">
        <w:rPr>
          <w:color w:val="000000"/>
          <w:spacing w:val="3"/>
        </w:rPr>
        <w:t>No mitigating circumstances were found.</w:t>
      </w:r>
      <w:r w:rsidR="008A47F9">
        <w:rPr>
          <w:color w:val="000000"/>
          <w:spacing w:val="3"/>
        </w:rPr>
        <w:t xml:space="preserve">  </w:t>
      </w:r>
    </w:p>
    <w:p w:rsidR="000206DC" w:rsidRPr="000206DC" w:rsidRDefault="005F7A67" w:rsidP="007E52C6">
      <w:pPr>
        <w:spacing w:line="480" w:lineRule="auto"/>
        <w:ind w:firstLine="720"/>
        <w:rPr>
          <w:b/>
          <w:color w:val="000000"/>
          <w:spacing w:val="3"/>
        </w:rPr>
      </w:pPr>
      <w:r>
        <w:rPr>
          <w:b/>
          <w:color w:val="000000"/>
          <w:spacing w:val="3"/>
        </w:rPr>
        <w:lastRenderedPageBreak/>
        <w:t xml:space="preserve">Indifference </w:t>
      </w:r>
      <w:proofErr w:type="gramStart"/>
      <w:r>
        <w:rPr>
          <w:b/>
          <w:color w:val="000000"/>
          <w:spacing w:val="3"/>
        </w:rPr>
        <w:t>T</w:t>
      </w:r>
      <w:r w:rsidR="000206DC" w:rsidRPr="000206DC">
        <w:rPr>
          <w:b/>
          <w:color w:val="000000"/>
          <w:spacing w:val="3"/>
        </w:rPr>
        <w:t>oward</w:t>
      </w:r>
      <w:proofErr w:type="gramEnd"/>
      <w:r w:rsidR="000206DC" w:rsidRPr="000206DC">
        <w:rPr>
          <w:b/>
          <w:color w:val="000000"/>
          <w:spacing w:val="3"/>
        </w:rPr>
        <w:t xml:space="preserve"> Rectification/Atonement </w:t>
      </w:r>
    </w:p>
    <w:p w:rsidR="007E52C6" w:rsidRDefault="007E52C6" w:rsidP="007E52C6">
      <w:pPr>
        <w:spacing w:line="480" w:lineRule="auto"/>
        <w:ind w:firstLine="720"/>
        <w:rPr>
          <w:color w:val="000000"/>
          <w:spacing w:val="3"/>
        </w:rPr>
      </w:pPr>
      <w:r w:rsidRPr="007E52C6">
        <w:rPr>
          <w:color w:val="000000"/>
          <w:spacing w:val="3"/>
        </w:rPr>
        <w:t>Respondent demonstrated indifference toward rectification of or atonement for the consequences of his misconduct by failing to comply with rul</w:t>
      </w:r>
      <w:r w:rsidR="008C3C90">
        <w:rPr>
          <w:color w:val="000000"/>
          <w:spacing w:val="3"/>
        </w:rPr>
        <w:t xml:space="preserve">e 9.20(c), even after the NDC </w:t>
      </w:r>
      <w:r w:rsidRPr="007E52C6">
        <w:rPr>
          <w:color w:val="000000"/>
          <w:spacing w:val="3"/>
        </w:rPr>
        <w:t>was filed</w:t>
      </w:r>
      <w:r w:rsidR="008C3C90">
        <w:rPr>
          <w:color w:val="000000"/>
          <w:spacing w:val="3"/>
        </w:rPr>
        <w:t xml:space="preserve"> in the present matter</w:t>
      </w:r>
      <w:r w:rsidRPr="007E52C6">
        <w:rPr>
          <w:color w:val="000000"/>
          <w:spacing w:val="3"/>
        </w:rPr>
        <w:t>.  (Std. 1.2(b</w:t>
      </w:r>
      <w:proofErr w:type="gramStart"/>
      <w:r w:rsidRPr="007E52C6">
        <w:rPr>
          <w:color w:val="000000"/>
          <w:spacing w:val="3"/>
        </w:rPr>
        <w:t>)(</w:t>
      </w:r>
      <w:proofErr w:type="gramEnd"/>
      <w:r w:rsidRPr="007E52C6">
        <w:rPr>
          <w:color w:val="000000"/>
          <w:spacing w:val="3"/>
        </w:rPr>
        <w:t>v).)</w:t>
      </w:r>
    </w:p>
    <w:p w:rsidR="00C74584" w:rsidRPr="00EA2F89" w:rsidRDefault="00C74584" w:rsidP="00C74584">
      <w:pPr>
        <w:spacing w:line="480" w:lineRule="auto"/>
        <w:ind w:hanging="90"/>
        <w:rPr>
          <w:b/>
          <w:color w:val="000000"/>
          <w:spacing w:val="3"/>
          <w:u w:val="single"/>
        </w:rPr>
      </w:pPr>
      <w:r w:rsidRPr="00EA2F89">
        <w:rPr>
          <w:b/>
          <w:color w:val="000000"/>
          <w:spacing w:val="3"/>
          <w:u w:val="single"/>
        </w:rPr>
        <w:t>Mitigating Circumstances</w:t>
      </w:r>
    </w:p>
    <w:p w:rsidR="00C74584" w:rsidRDefault="006B1DEB" w:rsidP="00C74584">
      <w:pPr>
        <w:spacing w:line="480" w:lineRule="auto"/>
        <w:ind w:firstLine="720"/>
        <w:rPr>
          <w:color w:val="000000"/>
          <w:spacing w:val="3"/>
        </w:rPr>
      </w:pPr>
      <w:r>
        <w:rPr>
          <w:color w:val="000000"/>
          <w:spacing w:val="3"/>
        </w:rPr>
        <w:t>Respondent bears the burden of proving</w:t>
      </w:r>
      <w:r w:rsidR="00C74584" w:rsidRPr="007E52C6">
        <w:rPr>
          <w:color w:val="000000"/>
          <w:spacing w:val="3"/>
        </w:rPr>
        <w:t xml:space="preserve"> mitigating </w:t>
      </w:r>
      <w:r w:rsidR="0044081A">
        <w:rPr>
          <w:color w:val="000000"/>
          <w:spacing w:val="3"/>
        </w:rPr>
        <w:t>circumstances</w:t>
      </w:r>
      <w:r>
        <w:rPr>
          <w:color w:val="000000"/>
          <w:spacing w:val="3"/>
        </w:rPr>
        <w:t xml:space="preserve"> by clear and convincing evidence.  </w:t>
      </w:r>
      <w:proofErr w:type="gramStart"/>
      <w:r w:rsidRPr="007E52C6">
        <w:rPr>
          <w:color w:val="000000"/>
          <w:spacing w:val="3"/>
        </w:rPr>
        <w:t>(</w:t>
      </w:r>
      <w:r>
        <w:rPr>
          <w:color w:val="000000"/>
          <w:spacing w:val="3"/>
        </w:rPr>
        <w:t>S</w:t>
      </w:r>
      <w:r w:rsidRPr="007E52C6">
        <w:rPr>
          <w:color w:val="000000"/>
          <w:spacing w:val="3"/>
        </w:rPr>
        <w:t>td. 1.2(e).)</w:t>
      </w:r>
      <w:proofErr w:type="gramEnd"/>
      <w:r>
        <w:rPr>
          <w:color w:val="000000"/>
          <w:spacing w:val="3"/>
        </w:rPr>
        <w:t xml:space="preserve">  There is no evidence of any mitigating circumstance.</w:t>
      </w:r>
      <w:r w:rsidR="00C74584" w:rsidRPr="007E52C6">
        <w:rPr>
          <w:color w:val="000000"/>
          <w:spacing w:val="3"/>
        </w:rPr>
        <w:t xml:space="preserve">  </w:t>
      </w:r>
    </w:p>
    <w:p w:rsidR="00E37369" w:rsidRPr="00E86214" w:rsidRDefault="00E86214" w:rsidP="00E86214">
      <w:pPr>
        <w:spacing w:line="480" w:lineRule="auto"/>
        <w:jc w:val="center"/>
        <w:rPr>
          <w:b/>
          <w:color w:val="000000"/>
          <w:spacing w:val="3"/>
        </w:rPr>
      </w:pPr>
      <w:r w:rsidRPr="00E86214">
        <w:rPr>
          <w:b/>
          <w:color w:val="000000"/>
          <w:spacing w:val="3"/>
        </w:rPr>
        <w:t xml:space="preserve">V.  </w:t>
      </w:r>
      <w:r w:rsidR="005D6520" w:rsidRPr="00E86214">
        <w:rPr>
          <w:b/>
          <w:color w:val="000000"/>
          <w:spacing w:val="3"/>
        </w:rPr>
        <w:t>DISCUSSION</w:t>
      </w:r>
    </w:p>
    <w:p w:rsidR="00E86214" w:rsidRPr="00E86214" w:rsidRDefault="00E86214" w:rsidP="00E86214">
      <w:pPr>
        <w:spacing w:line="480" w:lineRule="auto"/>
        <w:ind w:firstLine="720"/>
        <w:rPr>
          <w:color w:val="000000"/>
          <w:spacing w:val="3"/>
        </w:rPr>
      </w:pPr>
      <w:r w:rsidRPr="00E86214">
        <w:rPr>
          <w:color w:val="000000"/>
          <w:spacing w:val="3"/>
        </w:rPr>
        <w:t xml:space="preserve">The purpose of State Bar disciplinary proceedings is not to punish the attorney, but to protect the public, to preserve public confidence in the profession, and to maintain the highest possible professional standards for attorneys. </w:t>
      </w:r>
      <w:r w:rsidR="009E1D64">
        <w:rPr>
          <w:color w:val="000000"/>
          <w:spacing w:val="3"/>
        </w:rPr>
        <w:t xml:space="preserve"> </w:t>
      </w:r>
      <w:proofErr w:type="gramStart"/>
      <w:r w:rsidRPr="00E86214">
        <w:rPr>
          <w:color w:val="000000"/>
          <w:spacing w:val="3"/>
        </w:rPr>
        <w:t>(</w:t>
      </w:r>
      <w:r w:rsidRPr="00E86214">
        <w:rPr>
          <w:i/>
          <w:color w:val="000000"/>
          <w:spacing w:val="3"/>
        </w:rPr>
        <w:t>Chadwick v. State Bar</w:t>
      </w:r>
      <w:r w:rsidRPr="00E86214">
        <w:rPr>
          <w:color w:val="000000"/>
          <w:spacing w:val="3"/>
        </w:rPr>
        <w:t xml:space="preserve"> (1989) 49 Cal.3d 103, 111; </w:t>
      </w:r>
      <w:r w:rsidRPr="00E86214">
        <w:rPr>
          <w:i/>
          <w:color w:val="000000"/>
          <w:spacing w:val="3"/>
        </w:rPr>
        <w:t>Cooper v. State Bar</w:t>
      </w:r>
      <w:r w:rsidRPr="00E86214">
        <w:rPr>
          <w:color w:val="000000"/>
          <w:spacing w:val="3"/>
        </w:rPr>
        <w:t xml:space="preserve"> (1987) 43 Cal.3d 1016, 1025; std. 1.3.)</w:t>
      </w:r>
      <w:proofErr w:type="gramEnd"/>
    </w:p>
    <w:p w:rsidR="00E86214" w:rsidRDefault="002417E0" w:rsidP="00E86214">
      <w:pPr>
        <w:spacing w:line="480" w:lineRule="auto"/>
        <w:ind w:firstLine="720"/>
        <w:rPr>
          <w:color w:val="000000"/>
          <w:spacing w:val="3"/>
        </w:rPr>
      </w:pPr>
      <w:r w:rsidRPr="002417E0">
        <w:rPr>
          <w:color w:val="000000"/>
          <w:spacing w:val="3"/>
        </w:rPr>
        <w:t xml:space="preserve">The standard here for assessing discipline is set out in the first instance in the rule itself.  </w:t>
      </w:r>
      <w:r w:rsidR="00DD6676">
        <w:rPr>
          <w:color w:val="000000"/>
          <w:spacing w:val="3"/>
        </w:rPr>
        <w:t>R</w:t>
      </w:r>
      <w:r w:rsidRPr="002417E0">
        <w:rPr>
          <w:color w:val="000000"/>
          <w:spacing w:val="3"/>
        </w:rPr>
        <w:t>ule 9.20(d) states,</w:t>
      </w:r>
      <w:r w:rsidR="00DD6676">
        <w:rPr>
          <w:color w:val="000000"/>
          <w:spacing w:val="3"/>
        </w:rPr>
        <w:t xml:space="preserve"> in pertinent part:</w:t>
      </w:r>
      <w:r w:rsidRPr="002417E0">
        <w:rPr>
          <w:color w:val="000000"/>
          <w:spacing w:val="3"/>
        </w:rPr>
        <w:t xml:space="preserve"> </w:t>
      </w:r>
      <w:r w:rsidR="00DD6676">
        <w:rPr>
          <w:color w:val="000000"/>
          <w:spacing w:val="3"/>
        </w:rPr>
        <w:t xml:space="preserve"> </w:t>
      </w:r>
      <w:r w:rsidRPr="002417E0">
        <w:rPr>
          <w:color w:val="000000"/>
          <w:spacing w:val="3"/>
        </w:rPr>
        <w:t>“A suspended member’s willful failure to comply with the provisions of this rule is a cause for disbarment or suspension and for revocation of any pending probation</w:t>
      </w:r>
      <w:r w:rsidR="00DD6676">
        <w:rPr>
          <w:color w:val="000000"/>
          <w:spacing w:val="3"/>
        </w:rPr>
        <w:t>.</w:t>
      </w:r>
      <w:r w:rsidRPr="002417E0">
        <w:rPr>
          <w:color w:val="000000"/>
          <w:spacing w:val="3"/>
        </w:rPr>
        <w:t>”  In addition, standard 1.6 provides that the appropriate sanction for the misconduct found must be balanced with any mitigating or aggravating circumstances, with due regard for the purposes of imposing discipline.</w:t>
      </w:r>
    </w:p>
    <w:p w:rsidR="002417E0" w:rsidRDefault="002D3D52" w:rsidP="00E86214">
      <w:pPr>
        <w:spacing w:line="480" w:lineRule="auto"/>
        <w:ind w:firstLine="720"/>
        <w:rPr>
          <w:color w:val="000000"/>
          <w:spacing w:val="3"/>
        </w:rPr>
      </w:pPr>
      <w:r>
        <w:rPr>
          <w:color w:val="000000"/>
          <w:spacing w:val="3"/>
        </w:rPr>
        <w:t>R</w:t>
      </w:r>
      <w:r w:rsidR="002417E0" w:rsidRPr="002417E0">
        <w:rPr>
          <w:color w:val="000000"/>
          <w:spacing w:val="3"/>
        </w:rPr>
        <w:t>espondent’s wi</w:t>
      </w:r>
      <w:r>
        <w:rPr>
          <w:color w:val="000000"/>
          <w:spacing w:val="3"/>
        </w:rPr>
        <w:t>l</w:t>
      </w:r>
      <w:r w:rsidR="002417E0" w:rsidRPr="002417E0">
        <w:rPr>
          <w:color w:val="000000"/>
          <w:spacing w:val="3"/>
        </w:rPr>
        <w:t xml:space="preserve">lful failure to comply with rule 9.20 is extremely serious misconduct for which disbarment is generally considered the appropriate sanction.  </w:t>
      </w:r>
      <w:proofErr w:type="gramStart"/>
      <w:r w:rsidR="002417E0" w:rsidRPr="002417E0">
        <w:rPr>
          <w:color w:val="000000"/>
          <w:spacing w:val="3"/>
        </w:rPr>
        <w:t>(</w:t>
      </w:r>
      <w:r w:rsidR="002417E0" w:rsidRPr="002D3D52">
        <w:rPr>
          <w:i/>
          <w:color w:val="000000"/>
          <w:spacing w:val="3"/>
        </w:rPr>
        <w:t>Bercovich v. State Bar</w:t>
      </w:r>
      <w:r w:rsidR="002417E0" w:rsidRPr="002417E0">
        <w:rPr>
          <w:color w:val="000000"/>
          <w:spacing w:val="3"/>
        </w:rPr>
        <w:t xml:space="preserve"> (1990) 50 Cal.3d 116, 131.)</w:t>
      </w:r>
      <w:proofErr w:type="gramEnd"/>
      <w:r w:rsidR="002417E0" w:rsidRPr="002417E0">
        <w:rPr>
          <w:color w:val="000000"/>
          <w:spacing w:val="3"/>
        </w:rPr>
        <w:t xml:space="preserve">  Such failure to comply with rule 9.20 undermines its prophylactic function in ensuring that all concerned parties learn about an attorney’s suspension from the practice of law.  </w:t>
      </w:r>
      <w:proofErr w:type="gramStart"/>
      <w:r w:rsidR="002417E0" w:rsidRPr="002417E0">
        <w:rPr>
          <w:color w:val="000000"/>
          <w:spacing w:val="3"/>
        </w:rPr>
        <w:t>(</w:t>
      </w:r>
      <w:r w:rsidR="002417E0" w:rsidRPr="002D3D52">
        <w:rPr>
          <w:i/>
          <w:color w:val="000000"/>
          <w:spacing w:val="3"/>
        </w:rPr>
        <w:t>Lydon v. State Bar</w:t>
      </w:r>
      <w:r w:rsidR="002417E0" w:rsidRPr="002417E0">
        <w:rPr>
          <w:color w:val="000000"/>
          <w:spacing w:val="3"/>
        </w:rPr>
        <w:t xml:space="preserve"> (1988) 45 Cal.3d 1181, 1187.)</w:t>
      </w:r>
      <w:proofErr w:type="gramEnd"/>
      <w:r w:rsidR="002417E0" w:rsidRPr="002417E0">
        <w:rPr>
          <w:color w:val="000000"/>
          <w:spacing w:val="3"/>
        </w:rPr>
        <w:t xml:space="preserve">  </w:t>
      </w:r>
      <w:r>
        <w:rPr>
          <w:color w:val="000000"/>
          <w:spacing w:val="3"/>
        </w:rPr>
        <w:t xml:space="preserve">Specifically, </w:t>
      </w:r>
      <w:r w:rsidRPr="002D3D52">
        <w:rPr>
          <w:color w:val="000000"/>
          <w:spacing w:val="3"/>
        </w:rPr>
        <w:t>a suspended attorney</w:t>
      </w:r>
      <w:r>
        <w:rPr>
          <w:color w:val="000000"/>
          <w:spacing w:val="3"/>
        </w:rPr>
        <w:t>’</w:t>
      </w:r>
      <w:r w:rsidRPr="002D3D52">
        <w:rPr>
          <w:color w:val="000000"/>
          <w:spacing w:val="3"/>
        </w:rPr>
        <w:t xml:space="preserve">s timely compliance with rule 9.20(a) performs the critical </w:t>
      </w:r>
      <w:r w:rsidRPr="002D3D52">
        <w:rPr>
          <w:color w:val="000000"/>
          <w:spacing w:val="3"/>
        </w:rPr>
        <w:lastRenderedPageBreak/>
        <w:t>function of ensuring that all concerned parties, including clients, co</w:t>
      </w:r>
      <w:r>
        <w:rPr>
          <w:color w:val="000000"/>
          <w:spacing w:val="3"/>
        </w:rPr>
        <w:t>-</w:t>
      </w:r>
      <w:r w:rsidRPr="002D3D52">
        <w:rPr>
          <w:color w:val="000000"/>
          <w:spacing w:val="3"/>
        </w:rPr>
        <w:t>counsel</w:t>
      </w:r>
      <w:proofErr w:type="gramStart"/>
      <w:r w:rsidRPr="002D3D52">
        <w:rPr>
          <w:color w:val="000000"/>
          <w:spacing w:val="3"/>
        </w:rPr>
        <w:t>,</w:t>
      </w:r>
      <w:proofErr w:type="gramEnd"/>
      <w:r w:rsidRPr="002D3D52">
        <w:rPr>
          <w:color w:val="000000"/>
          <w:spacing w:val="3"/>
        </w:rPr>
        <w:t xml:space="preserve"> opposing counsel, courts, agencies, and other tribunals, promptly learn of the attorney</w:t>
      </w:r>
      <w:r>
        <w:rPr>
          <w:color w:val="000000"/>
          <w:spacing w:val="3"/>
        </w:rPr>
        <w:t>’</w:t>
      </w:r>
      <w:r w:rsidRPr="002D3D52">
        <w:rPr>
          <w:color w:val="000000"/>
          <w:spacing w:val="3"/>
        </w:rPr>
        <w:t xml:space="preserve">s actual suspension and consequent disqualification to act as an attorney.  When an attorney fails to file a rule 9.20(c) compliance affidavit, this court cannot determine whether this critical function has been performed.  In addition, compliance with rule 9.20(c) keeps this court and the Supreme Court apprised of the location of attorneys who are subject to their disciplinary authority.  </w:t>
      </w:r>
      <w:proofErr w:type="gramStart"/>
      <w:r w:rsidRPr="002D3D52">
        <w:rPr>
          <w:color w:val="000000"/>
          <w:spacing w:val="3"/>
        </w:rPr>
        <w:t xml:space="preserve">(Cf. </w:t>
      </w:r>
      <w:r w:rsidRPr="002D3D52">
        <w:rPr>
          <w:i/>
          <w:color w:val="000000"/>
          <w:spacing w:val="3"/>
        </w:rPr>
        <w:t>Lydon v. State Bar</w:t>
      </w:r>
      <w:r w:rsidRPr="002D3D52">
        <w:rPr>
          <w:color w:val="000000"/>
          <w:spacing w:val="3"/>
        </w:rPr>
        <w:t xml:space="preserve"> (1988) 45 Cal.3d 1181, 1187 [construing former rule 955(c)].)</w:t>
      </w:r>
      <w:proofErr w:type="gramEnd"/>
      <w:r>
        <w:rPr>
          <w:color w:val="000000"/>
          <w:spacing w:val="3"/>
        </w:rPr>
        <w:t xml:space="preserve">  </w:t>
      </w:r>
      <w:r w:rsidR="002417E0" w:rsidRPr="002417E0">
        <w:rPr>
          <w:color w:val="000000"/>
          <w:spacing w:val="3"/>
        </w:rPr>
        <w:t>Respondent has demonstrated an unwillingness to comply with the professional obligations and rules of court imposed on California attorneys, although he has been given opportunities to do so.</w:t>
      </w:r>
      <w:r>
        <w:rPr>
          <w:color w:val="000000"/>
          <w:spacing w:val="3"/>
        </w:rPr>
        <w:t xml:space="preserve">  </w:t>
      </w:r>
    </w:p>
    <w:p w:rsidR="002417E0" w:rsidRDefault="009752BB" w:rsidP="00E86214">
      <w:pPr>
        <w:spacing w:line="480" w:lineRule="auto"/>
        <w:ind w:firstLine="720"/>
        <w:rPr>
          <w:color w:val="000000"/>
          <w:spacing w:val="3"/>
        </w:rPr>
      </w:pPr>
      <w:r>
        <w:rPr>
          <w:color w:val="000000"/>
          <w:spacing w:val="3"/>
        </w:rPr>
        <w:t>Moreover</w:t>
      </w:r>
      <w:r w:rsidR="00CE123E" w:rsidRPr="00CE123E">
        <w:rPr>
          <w:color w:val="000000"/>
          <w:spacing w:val="3"/>
        </w:rPr>
        <w:t xml:space="preserve">, failing to appear and participate in this hearing shows that respondent comprehends neither the seriousness of the charges against him, nor his duty as an officer of the court to participate in disciplinary proceedings.  </w:t>
      </w:r>
      <w:proofErr w:type="gramStart"/>
      <w:r w:rsidR="00CE123E" w:rsidRPr="00CE123E">
        <w:rPr>
          <w:color w:val="000000"/>
          <w:spacing w:val="3"/>
        </w:rPr>
        <w:t>(</w:t>
      </w:r>
      <w:r w:rsidR="00CE123E" w:rsidRPr="00CE123E">
        <w:rPr>
          <w:i/>
          <w:color w:val="000000"/>
          <w:spacing w:val="3"/>
        </w:rPr>
        <w:t>Conroy v. State Bar</w:t>
      </w:r>
      <w:r w:rsidR="00CE123E" w:rsidRPr="00CE123E">
        <w:rPr>
          <w:color w:val="000000"/>
          <w:spacing w:val="3"/>
        </w:rPr>
        <w:t xml:space="preserve"> (1991) 53 Cal.3d 495, 507-508.)</w:t>
      </w:r>
      <w:proofErr w:type="gramEnd"/>
      <w:r w:rsidR="00CE123E" w:rsidRPr="00CE123E">
        <w:rPr>
          <w:color w:val="000000"/>
          <w:spacing w:val="3"/>
        </w:rPr>
        <w:t xml:space="preserve">  His failure to participate in this proceeding leaves the court without information about the underlying cause of respondent’s misconduct or of any mitigating circumstances surrounding his misconduct.</w:t>
      </w:r>
    </w:p>
    <w:p w:rsidR="002417E0" w:rsidRDefault="00B06CA1" w:rsidP="00E86214">
      <w:pPr>
        <w:spacing w:line="480" w:lineRule="auto"/>
        <w:ind w:firstLine="720"/>
        <w:rPr>
          <w:color w:val="000000"/>
          <w:spacing w:val="3"/>
        </w:rPr>
      </w:pPr>
      <w:r>
        <w:rPr>
          <w:color w:val="000000"/>
          <w:spacing w:val="3"/>
        </w:rPr>
        <w:t xml:space="preserve">Therefore, respondent’s </w:t>
      </w:r>
      <w:r w:rsidRPr="00B06CA1">
        <w:rPr>
          <w:color w:val="000000"/>
          <w:spacing w:val="3"/>
        </w:rPr>
        <w:t>disbarment is necessary to protect the public, the courts and the legal community, to maintain high professional standards and to preserve public confidence in the legal profession</w:t>
      </w:r>
      <w:r>
        <w:rPr>
          <w:color w:val="000000"/>
          <w:spacing w:val="3"/>
        </w:rPr>
        <w:t>.  It</w:t>
      </w:r>
      <w:r w:rsidRPr="00B06CA1">
        <w:rPr>
          <w:color w:val="000000"/>
          <w:spacing w:val="3"/>
        </w:rPr>
        <w:t xml:space="preserve"> would undermine the integrity of the disciplinary system and damage public confidence in the legal profession if respondent were not disbarred for his willful disobedience of the Supreme Court order.</w:t>
      </w:r>
      <w:r w:rsidR="006817D5">
        <w:rPr>
          <w:color w:val="000000"/>
          <w:spacing w:val="3"/>
        </w:rPr>
        <w:t xml:space="preserve"> </w:t>
      </w:r>
    </w:p>
    <w:p w:rsidR="003C51F5" w:rsidRDefault="003C51F5" w:rsidP="00E86214">
      <w:pPr>
        <w:spacing w:line="480" w:lineRule="auto"/>
        <w:ind w:firstLine="720"/>
        <w:rPr>
          <w:color w:val="000000"/>
          <w:spacing w:val="3"/>
        </w:rPr>
      </w:pPr>
    </w:p>
    <w:p w:rsidR="003C51F5" w:rsidRDefault="003C51F5" w:rsidP="00E86214">
      <w:pPr>
        <w:spacing w:line="480" w:lineRule="auto"/>
        <w:ind w:firstLine="720"/>
        <w:rPr>
          <w:color w:val="000000"/>
          <w:spacing w:val="3"/>
        </w:rPr>
      </w:pPr>
    </w:p>
    <w:p w:rsidR="003C51F5" w:rsidRDefault="003C51F5" w:rsidP="00E86214">
      <w:pPr>
        <w:spacing w:line="480" w:lineRule="auto"/>
        <w:ind w:firstLine="720"/>
        <w:rPr>
          <w:color w:val="000000"/>
          <w:spacing w:val="3"/>
        </w:rPr>
      </w:pPr>
    </w:p>
    <w:p w:rsidR="00E37369" w:rsidRPr="002738F2" w:rsidRDefault="002738F2" w:rsidP="00D7409E">
      <w:pPr>
        <w:spacing w:line="480" w:lineRule="auto"/>
        <w:ind w:firstLine="720"/>
        <w:jc w:val="center"/>
        <w:rPr>
          <w:b/>
          <w:color w:val="000000"/>
          <w:spacing w:val="3"/>
        </w:rPr>
      </w:pPr>
      <w:r w:rsidRPr="002738F2">
        <w:rPr>
          <w:b/>
          <w:color w:val="000000"/>
          <w:spacing w:val="3"/>
        </w:rPr>
        <w:lastRenderedPageBreak/>
        <w:t>V</w:t>
      </w:r>
      <w:r w:rsidR="00D7409E">
        <w:rPr>
          <w:b/>
          <w:color w:val="000000"/>
          <w:spacing w:val="3"/>
        </w:rPr>
        <w:t>I</w:t>
      </w:r>
      <w:proofErr w:type="gramStart"/>
      <w:r w:rsidRPr="002738F2">
        <w:rPr>
          <w:b/>
          <w:color w:val="000000"/>
          <w:spacing w:val="3"/>
        </w:rPr>
        <w:t xml:space="preserve">.  </w:t>
      </w:r>
      <w:r w:rsidR="005D6520" w:rsidRPr="002738F2">
        <w:rPr>
          <w:b/>
          <w:color w:val="000000"/>
          <w:spacing w:val="3"/>
        </w:rPr>
        <w:t>RECOMMENDED</w:t>
      </w:r>
      <w:proofErr w:type="gramEnd"/>
      <w:r w:rsidR="005D6520" w:rsidRPr="002738F2">
        <w:rPr>
          <w:b/>
          <w:color w:val="000000"/>
          <w:spacing w:val="3"/>
        </w:rPr>
        <w:t xml:space="preserve"> DISCIPLINE</w:t>
      </w:r>
    </w:p>
    <w:p w:rsidR="005D6520" w:rsidRPr="005D6520" w:rsidRDefault="005D6520" w:rsidP="005D6520">
      <w:pPr>
        <w:spacing w:line="480" w:lineRule="auto"/>
        <w:rPr>
          <w:b/>
          <w:color w:val="000000"/>
          <w:spacing w:val="3"/>
          <w:u w:val="single"/>
        </w:rPr>
      </w:pPr>
      <w:r w:rsidRPr="005D6520">
        <w:rPr>
          <w:b/>
          <w:color w:val="000000"/>
          <w:spacing w:val="3"/>
          <w:u w:val="single"/>
        </w:rPr>
        <w:t>Disbarment</w:t>
      </w:r>
    </w:p>
    <w:p w:rsidR="000023A1" w:rsidRDefault="007170E3" w:rsidP="005D6520">
      <w:pPr>
        <w:spacing w:line="480" w:lineRule="auto"/>
        <w:ind w:firstLine="720"/>
        <w:rPr>
          <w:color w:val="000000"/>
          <w:spacing w:val="3"/>
        </w:rPr>
      </w:pPr>
      <w:r>
        <w:rPr>
          <w:color w:val="000000"/>
          <w:spacing w:val="3"/>
        </w:rPr>
        <w:t>T</w:t>
      </w:r>
      <w:r w:rsidR="002738F2" w:rsidRPr="002738F2">
        <w:rPr>
          <w:color w:val="000000"/>
          <w:spacing w:val="3"/>
        </w:rPr>
        <w:t>he court hereby recommends that respondent</w:t>
      </w:r>
      <w:r w:rsidR="005D6520">
        <w:rPr>
          <w:color w:val="000000"/>
          <w:spacing w:val="3"/>
        </w:rPr>
        <w:t xml:space="preserve"> </w:t>
      </w:r>
      <w:r w:rsidR="00B221A7">
        <w:rPr>
          <w:b/>
        </w:rPr>
        <w:t>Sean Lymus Andrews</w:t>
      </w:r>
      <w:r w:rsidR="002738F2" w:rsidRPr="002738F2">
        <w:rPr>
          <w:color w:val="000000"/>
          <w:spacing w:val="3"/>
        </w:rPr>
        <w:t xml:space="preserve"> be disbarred from the practice of law in the State of California and that his name be stricken from the roll of attorneys in this State.</w:t>
      </w:r>
    </w:p>
    <w:p w:rsidR="000023A1" w:rsidRDefault="005D6520" w:rsidP="000023A1">
      <w:pPr>
        <w:spacing w:line="480" w:lineRule="auto"/>
        <w:rPr>
          <w:b/>
          <w:color w:val="000000"/>
          <w:spacing w:val="3"/>
          <w:u w:val="single"/>
        </w:rPr>
      </w:pPr>
      <w:r w:rsidRPr="005D6520">
        <w:rPr>
          <w:b/>
          <w:color w:val="000000"/>
          <w:spacing w:val="3"/>
          <w:u w:val="single"/>
        </w:rPr>
        <w:t>Rule 9.20</w:t>
      </w:r>
    </w:p>
    <w:p w:rsidR="000023A1" w:rsidRDefault="005D6520" w:rsidP="00B02CFC">
      <w:pPr>
        <w:spacing w:line="480" w:lineRule="auto"/>
        <w:ind w:firstLine="720"/>
        <w:rPr>
          <w:color w:val="000000"/>
          <w:spacing w:val="3"/>
        </w:rPr>
      </w:pPr>
      <w:r>
        <w:rPr>
          <w:color w:val="000000"/>
          <w:spacing w:val="3"/>
        </w:rPr>
        <w:t xml:space="preserve">The court </w:t>
      </w:r>
      <w:r w:rsidR="002738F2" w:rsidRPr="002738F2">
        <w:rPr>
          <w:color w:val="000000"/>
          <w:spacing w:val="3"/>
        </w:rPr>
        <w:t>recommend</w:t>
      </w:r>
      <w:r>
        <w:rPr>
          <w:color w:val="000000"/>
          <w:spacing w:val="3"/>
        </w:rPr>
        <w:t>s</w:t>
      </w:r>
      <w:r w:rsidR="002738F2" w:rsidRPr="002738F2">
        <w:rPr>
          <w:color w:val="000000"/>
          <w:spacing w:val="3"/>
        </w:rPr>
        <w:t xml:space="preserve"> that the Supreme Court order respondent to comply with California Rules of Court, rule 9.20, paragraphs (a) and (c), within 30 and 40 days, respectively, of the effective date of its order imposing discipline in this matter.</w:t>
      </w:r>
      <w:r w:rsidR="002738F2">
        <w:rPr>
          <w:rStyle w:val="FootnoteReference"/>
          <w:color w:val="000000"/>
          <w:spacing w:val="3"/>
        </w:rPr>
        <w:footnoteReference w:id="6"/>
      </w:r>
    </w:p>
    <w:p w:rsidR="00992344" w:rsidRPr="005D6520" w:rsidRDefault="005D6520" w:rsidP="00992344">
      <w:pPr>
        <w:spacing w:line="480" w:lineRule="auto"/>
        <w:rPr>
          <w:b/>
          <w:color w:val="000000"/>
          <w:spacing w:val="3"/>
          <w:u w:val="single"/>
        </w:rPr>
      </w:pPr>
      <w:r w:rsidRPr="005D6520">
        <w:rPr>
          <w:b/>
          <w:color w:val="000000"/>
          <w:spacing w:val="3"/>
          <w:u w:val="single"/>
        </w:rPr>
        <w:t>Costs</w:t>
      </w:r>
    </w:p>
    <w:p w:rsidR="00E37369" w:rsidRDefault="00D00FAB" w:rsidP="004423E6">
      <w:pPr>
        <w:spacing w:line="480" w:lineRule="auto"/>
        <w:ind w:firstLine="720"/>
        <w:rPr>
          <w:color w:val="000000"/>
          <w:spacing w:val="3"/>
        </w:rPr>
      </w:pPr>
      <w:r w:rsidRPr="00D00FAB">
        <w:rPr>
          <w:color w:val="000000"/>
          <w:spacing w:val="3"/>
        </w:rPr>
        <w:t>The court recommends that costs be awarded to the State Bar in accordance with Business and Professions Code section 6086.10 and are enforceable both as provided in Business and Professions Code section 6140.7 and as a money judgment.</w:t>
      </w:r>
    </w:p>
    <w:p w:rsidR="00D00FAB" w:rsidRPr="00D00FAB" w:rsidRDefault="000F4936" w:rsidP="00725C98">
      <w:pPr>
        <w:spacing w:line="480" w:lineRule="auto"/>
        <w:ind w:firstLine="720"/>
        <w:jc w:val="center"/>
        <w:rPr>
          <w:b/>
          <w:color w:val="000000"/>
          <w:spacing w:val="3"/>
        </w:rPr>
      </w:pPr>
      <w:r>
        <w:rPr>
          <w:b/>
          <w:color w:val="000000"/>
          <w:spacing w:val="3"/>
        </w:rPr>
        <w:t>VII</w:t>
      </w:r>
      <w:proofErr w:type="gramStart"/>
      <w:r w:rsidR="00D00FAB" w:rsidRPr="00D00FAB">
        <w:rPr>
          <w:b/>
          <w:color w:val="000000"/>
          <w:spacing w:val="3"/>
        </w:rPr>
        <w:t xml:space="preserve">.  </w:t>
      </w:r>
      <w:r w:rsidR="005568EC" w:rsidRPr="00D00FAB">
        <w:rPr>
          <w:b/>
          <w:color w:val="000000"/>
          <w:spacing w:val="3"/>
        </w:rPr>
        <w:t>ORDER</w:t>
      </w:r>
      <w:proofErr w:type="gramEnd"/>
      <w:r w:rsidR="005568EC" w:rsidRPr="00D00FAB">
        <w:rPr>
          <w:b/>
          <w:color w:val="000000"/>
          <w:spacing w:val="3"/>
        </w:rPr>
        <w:t xml:space="preserve"> OF INVOLUNTARY INACTIVE ENROLLMENT</w:t>
      </w:r>
    </w:p>
    <w:p w:rsidR="002C182F" w:rsidRPr="000C31B9" w:rsidRDefault="00E8041E" w:rsidP="00834AD7">
      <w:pPr>
        <w:spacing w:line="480" w:lineRule="auto"/>
        <w:ind w:firstLine="720"/>
        <w:rPr>
          <w:color w:val="000000"/>
          <w:spacing w:val="-8"/>
        </w:rPr>
      </w:pPr>
      <w:r w:rsidRPr="00E8041E">
        <w:rPr>
          <w:color w:val="000000"/>
          <w:spacing w:val="3"/>
        </w:rPr>
        <w:t>It is ordered that respondent be transferred to involuntary inactive enrollment status</w:t>
      </w:r>
      <w:r w:rsidR="005568EC">
        <w:rPr>
          <w:color w:val="000000"/>
          <w:spacing w:val="3"/>
        </w:rPr>
        <w:t xml:space="preserve"> pursuant to</w:t>
      </w:r>
      <w:r w:rsidR="00761D71">
        <w:rPr>
          <w:color w:val="000000"/>
          <w:spacing w:val="3"/>
        </w:rPr>
        <w:t xml:space="preserve"> </w:t>
      </w:r>
      <w:r w:rsidR="00761D71">
        <w:t>section 6007, subdivision (c</w:t>
      </w:r>
      <w:proofErr w:type="gramStart"/>
      <w:r w:rsidR="00761D71">
        <w:t>)(</w:t>
      </w:r>
      <w:proofErr w:type="gramEnd"/>
      <w:r w:rsidR="00761D71">
        <w:t>4), and rule 220(c) of the Rules of Procedure of the State Bar</w:t>
      </w:r>
      <w:r w:rsidRPr="00E8041E">
        <w:rPr>
          <w:color w:val="000000"/>
          <w:spacing w:val="3"/>
        </w:rPr>
        <w:t>.  The inactive enrollment will become effective three calendar days after service of this order.</w:t>
      </w:r>
    </w:p>
    <w:p w:rsidR="00B51DBF" w:rsidRDefault="00B51DBF">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61D71">
            <w:pPr>
              <w:pStyle w:val="Header"/>
              <w:tabs>
                <w:tab w:val="clear" w:pos="4320"/>
                <w:tab w:val="clear" w:pos="8640"/>
              </w:tabs>
            </w:pPr>
            <w:r>
              <w:t xml:space="preserve">Dated:  </w:t>
            </w:r>
            <w:fldSimple w:instr=" DATE \@ &quot;MMMM _____, yyyy&quot; \* MERGEFORMAT ">
              <w:r w:rsidR="002609AF">
                <w:rPr>
                  <w:noProof/>
                </w:rPr>
                <w:t>September _____, 2009</w:t>
              </w:r>
            </w:fldSimple>
          </w:p>
        </w:tc>
        <w:tc>
          <w:tcPr>
            <w:tcW w:w="4565" w:type="dxa"/>
            <w:tcBorders>
              <w:top w:val="single" w:sz="4" w:space="0" w:color="auto"/>
              <w:bottom w:val="nil"/>
              <w:right w:val="nil"/>
            </w:tcBorders>
          </w:tcPr>
          <w:p w:rsidR="003D3B12" w:rsidRDefault="000E0345" w:rsidP="000E0345">
            <w:bookmarkStart w:id="6" w:name="judge"/>
            <w:bookmarkEnd w:id="6"/>
            <w:r w:rsidRPr="00E22D67">
              <w:t>DONALD F. MILES</w:t>
            </w:r>
            <w:r>
              <w:t xml:space="preserve"> </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7170E3" w:rsidRDefault="007170E3" w:rsidP="000023A1">
      <w:pPr>
        <w:spacing w:line="480" w:lineRule="auto"/>
      </w:pPr>
    </w:p>
    <w:sectPr w:rsidR="007170E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F1" w:rsidRDefault="002D28F1">
      <w:r>
        <w:separator/>
      </w:r>
    </w:p>
  </w:endnote>
  <w:endnote w:type="continuationSeparator" w:id="0">
    <w:p w:rsidR="002D28F1" w:rsidRDefault="002D2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B9" w:rsidRDefault="00201CB9"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CB9" w:rsidRDefault="00201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B9" w:rsidRDefault="00201CB9"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C87">
      <w:rPr>
        <w:rStyle w:val="PageNumber"/>
        <w:noProof/>
      </w:rPr>
      <w:t>- 9 -</w:t>
    </w:r>
    <w:r>
      <w:rPr>
        <w:rStyle w:val="PageNumber"/>
      </w:rPr>
      <w:fldChar w:fldCharType="end"/>
    </w:r>
  </w:p>
  <w:p w:rsidR="00201CB9" w:rsidRDefault="00201CB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B9" w:rsidRDefault="00201CB9">
    <w:pPr>
      <w:pStyle w:val="Footer"/>
      <w:framePr w:wrap="around" w:vAnchor="text" w:hAnchor="margin" w:xAlign="center" w:y="1"/>
      <w:rPr>
        <w:rStyle w:val="PageNumber"/>
      </w:rPr>
    </w:pPr>
  </w:p>
  <w:p w:rsidR="00201CB9" w:rsidRDefault="0020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F1" w:rsidRDefault="002D28F1">
      <w:r>
        <w:separator/>
      </w:r>
    </w:p>
  </w:footnote>
  <w:footnote w:type="continuationSeparator" w:id="0">
    <w:p w:rsidR="002D28F1" w:rsidRDefault="002D28F1">
      <w:r>
        <w:continuationSeparator/>
      </w:r>
    </w:p>
  </w:footnote>
  <w:footnote w:id="1">
    <w:p w:rsidR="00201CB9" w:rsidRDefault="00201CB9">
      <w:pPr>
        <w:pStyle w:val="FootnoteText"/>
      </w:pPr>
      <w:r>
        <w:rPr>
          <w:rStyle w:val="FootnoteReference"/>
        </w:rPr>
        <w:footnoteRef/>
      </w:r>
      <w:r>
        <w:t xml:space="preserve"> All references to rule 9.20 are to California Rules of Court, rule 9.20. </w:t>
      </w:r>
    </w:p>
  </w:footnote>
  <w:footnote w:id="2">
    <w:p w:rsidR="00201CB9" w:rsidRDefault="00201CB9">
      <w:pPr>
        <w:pStyle w:val="FootnoteText"/>
      </w:pPr>
      <w:r>
        <w:rPr>
          <w:rStyle w:val="FootnoteReference"/>
        </w:rPr>
        <w:footnoteRef/>
      </w:r>
      <w:r>
        <w:t xml:space="preserve"> Pursuant to Evidence Code 452, subdivision (h), the court takes judicial notice of respondent’s official membership records contact information and address history.  </w:t>
      </w:r>
    </w:p>
  </w:footnote>
  <w:footnote w:id="3">
    <w:p w:rsidR="00201CB9" w:rsidRDefault="00201CB9">
      <w:pPr>
        <w:pStyle w:val="FootnoteText"/>
      </w:pPr>
      <w:r>
        <w:rPr>
          <w:rStyle w:val="FootnoteReference"/>
        </w:rPr>
        <w:footnoteRef/>
      </w:r>
      <w:r>
        <w:t xml:space="preserve"> Respondent’s official membership records contact information does not include a telephone number.</w:t>
      </w:r>
    </w:p>
  </w:footnote>
  <w:footnote w:id="4">
    <w:p w:rsidR="00201CB9" w:rsidRDefault="00201CB9">
      <w:pPr>
        <w:pStyle w:val="FootnoteText"/>
      </w:pPr>
      <w:r>
        <w:rPr>
          <w:rStyle w:val="FootnoteReference"/>
        </w:rPr>
        <w:footnoteRef/>
      </w:r>
      <w:r>
        <w:t xml:space="preserve"> All references to section (§) are to the Business and Professions Code, unless otherwise indicated.</w:t>
      </w:r>
    </w:p>
  </w:footnote>
  <w:footnote w:id="5">
    <w:p w:rsidR="00201CB9" w:rsidRDefault="00201CB9" w:rsidP="00C74584">
      <w:pPr>
        <w:pStyle w:val="FootnoteText"/>
      </w:pPr>
      <w:r>
        <w:rPr>
          <w:rStyle w:val="FootnoteReference"/>
        </w:rPr>
        <w:footnoteRef/>
      </w:r>
      <w:r>
        <w:t xml:space="preserve"> All further references to standard(s) are to this source.</w:t>
      </w:r>
    </w:p>
  </w:footnote>
  <w:footnote w:id="6">
    <w:p w:rsidR="00201CB9" w:rsidRDefault="00201CB9">
      <w:pPr>
        <w:pStyle w:val="FootnoteText"/>
      </w:pPr>
      <w:r>
        <w:rPr>
          <w:rStyle w:val="FootnoteReference"/>
        </w:rPr>
        <w:footnoteRef/>
      </w:r>
      <w:r>
        <w:t xml:space="preserve"> </w:t>
      </w:r>
      <w:r w:rsidRPr="009E5F33">
        <w:t xml:space="preserve">Respondent is required to file a rule 9.20(c) affidavit even if he has no clients to notify.  </w:t>
      </w:r>
      <w:proofErr w:type="gramStart"/>
      <w:r>
        <w:t>(</w:t>
      </w:r>
      <w:r w:rsidRPr="009E5F33">
        <w:rPr>
          <w:i/>
        </w:rPr>
        <w:t>Powers v. State Bar</w:t>
      </w:r>
      <w:r w:rsidRPr="009E5F33">
        <w:t xml:space="preserve">, </w:t>
      </w:r>
      <w:r w:rsidRPr="009E5F33">
        <w:rPr>
          <w:i/>
        </w:rPr>
        <w:t>supra</w:t>
      </w:r>
      <w:r w:rsidRPr="009E5F33">
        <w:t>,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cause for disbarment, suspension, revocation of any pending disciplinary probation, and denial of an application for reinstatement after disbarment.  (Cal. Rules of Court, rule 9.20(d).)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BA8"/>
    <w:multiLevelType w:val="hybridMultilevel"/>
    <w:tmpl w:val="4EF44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2B1D71"/>
    <w:multiLevelType w:val="hybridMultilevel"/>
    <w:tmpl w:val="672E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3F13C7"/>
    <w:rsid w:val="000023A1"/>
    <w:rsid w:val="00002500"/>
    <w:rsid w:val="00003169"/>
    <w:rsid w:val="00006A76"/>
    <w:rsid w:val="00011B68"/>
    <w:rsid w:val="000206DC"/>
    <w:rsid w:val="00021EE5"/>
    <w:rsid w:val="000232F7"/>
    <w:rsid w:val="00035543"/>
    <w:rsid w:val="0004014F"/>
    <w:rsid w:val="00054302"/>
    <w:rsid w:val="00055030"/>
    <w:rsid w:val="000618E7"/>
    <w:rsid w:val="00063144"/>
    <w:rsid w:val="000648B6"/>
    <w:rsid w:val="00066FF7"/>
    <w:rsid w:val="00072050"/>
    <w:rsid w:val="00077266"/>
    <w:rsid w:val="00080BDA"/>
    <w:rsid w:val="0008396C"/>
    <w:rsid w:val="000841AE"/>
    <w:rsid w:val="00087A87"/>
    <w:rsid w:val="00092F78"/>
    <w:rsid w:val="000935C8"/>
    <w:rsid w:val="00093652"/>
    <w:rsid w:val="00095425"/>
    <w:rsid w:val="000A04B5"/>
    <w:rsid w:val="000B7CBF"/>
    <w:rsid w:val="000C0EFF"/>
    <w:rsid w:val="000C27F8"/>
    <w:rsid w:val="000D11D5"/>
    <w:rsid w:val="000D3A97"/>
    <w:rsid w:val="000D3DD5"/>
    <w:rsid w:val="000D61DE"/>
    <w:rsid w:val="000D6699"/>
    <w:rsid w:val="000E0345"/>
    <w:rsid w:val="000E46B6"/>
    <w:rsid w:val="000E4D1C"/>
    <w:rsid w:val="000E4DFB"/>
    <w:rsid w:val="000E7B8C"/>
    <w:rsid w:val="000F4936"/>
    <w:rsid w:val="000F4B12"/>
    <w:rsid w:val="00105B59"/>
    <w:rsid w:val="0010609C"/>
    <w:rsid w:val="00107048"/>
    <w:rsid w:val="0010779D"/>
    <w:rsid w:val="00107F7E"/>
    <w:rsid w:val="0011315F"/>
    <w:rsid w:val="001132D2"/>
    <w:rsid w:val="001173D7"/>
    <w:rsid w:val="00120E3A"/>
    <w:rsid w:val="00121894"/>
    <w:rsid w:val="00127CCB"/>
    <w:rsid w:val="00134148"/>
    <w:rsid w:val="00135673"/>
    <w:rsid w:val="00135758"/>
    <w:rsid w:val="00135982"/>
    <w:rsid w:val="00140CAA"/>
    <w:rsid w:val="00142FB0"/>
    <w:rsid w:val="001453C0"/>
    <w:rsid w:val="00153811"/>
    <w:rsid w:val="00157A3C"/>
    <w:rsid w:val="00160A87"/>
    <w:rsid w:val="00162B8F"/>
    <w:rsid w:val="00173876"/>
    <w:rsid w:val="00177585"/>
    <w:rsid w:val="00181C26"/>
    <w:rsid w:val="0018428C"/>
    <w:rsid w:val="00184C34"/>
    <w:rsid w:val="00186B76"/>
    <w:rsid w:val="00190712"/>
    <w:rsid w:val="00194F8A"/>
    <w:rsid w:val="001952ED"/>
    <w:rsid w:val="00195949"/>
    <w:rsid w:val="001A202A"/>
    <w:rsid w:val="001A264E"/>
    <w:rsid w:val="001A53D1"/>
    <w:rsid w:val="001A5925"/>
    <w:rsid w:val="001A7331"/>
    <w:rsid w:val="001B769C"/>
    <w:rsid w:val="001B7EFF"/>
    <w:rsid w:val="001C1898"/>
    <w:rsid w:val="001C227C"/>
    <w:rsid w:val="001C4073"/>
    <w:rsid w:val="001C7D1D"/>
    <w:rsid w:val="001D368D"/>
    <w:rsid w:val="001D529B"/>
    <w:rsid w:val="001E281A"/>
    <w:rsid w:val="001E2DB2"/>
    <w:rsid w:val="001E3294"/>
    <w:rsid w:val="001E3CBD"/>
    <w:rsid w:val="001E5226"/>
    <w:rsid w:val="001E5D30"/>
    <w:rsid w:val="001E702A"/>
    <w:rsid w:val="001F219C"/>
    <w:rsid w:val="001F2210"/>
    <w:rsid w:val="0020044C"/>
    <w:rsid w:val="00200B09"/>
    <w:rsid w:val="00201CB9"/>
    <w:rsid w:val="002024A5"/>
    <w:rsid w:val="002042AA"/>
    <w:rsid w:val="00207547"/>
    <w:rsid w:val="002130FA"/>
    <w:rsid w:val="0021376D"/>
    <w:rsid w:val="00213DC9"/>
    <w:rsid w:val="00215012"/>
    <w:rsid w:val="00215697"/>
    <w:rsid w:val="002202DC"/>
    <w:rsid w:val="00221B6B"/>
    <w:rsid w:val="002335C4"/>
    <w:rsid w:val="002417E0"/>
    <w:rsid w:val="002513B2"/>
    <w:rsid w:val="00254D46"/>
    <w:rsid w:val="002567BB"/>
    <w:rsid w:val="00257F79"/>
    <w:rsid w:val="002609AF"/>
    <w:rsid w:val="00260A72"/>
    <w:rsid w:val="00270115"/>
    <w:rsid w:val="002704B6"/>
    <w:rsid w:val="00271759"/>
    <w:rsid w:val="00271E32"/>
    <w:rsid w:val="00272397"/>
    <w:rsid w:val="002727F1"/>
    <w:rsid w:val="00272FCE"/>
    <w:rsid w:val="00273317"/>
    <w:rsid w:val="002733FF"/>
    <w:rsid w:val="002738F2"/>
    <w:rsid w:val="00274E4C"/>
    <w:rsid w:val="00275606"/>
    <w:rsid w:val="00275E8A"/>
    <w:rsid w:val="00276FF5"/>
    <w:rsid w:val="002778C7"/>
    <w:rsid w:val="0028330A"/>
    <w:rsid w:val="002952DA"/>
    <w:rsid w:val="002A2D95"/>
    <w:rsid w:val="002A329D"/>
    <w:rsid w:val="002A38C6"/>
    <w:rsid w:val="002B0187"/>
    <w:rsid w:val="002B070E"/>
    <w:rsid w:val="002B11FE"/>
    <w:rsid w:val="002B1C5B"/>
    <w:rsid w:val="002B255F"/>
    <w:rsid w:val="002B25A6"/>
    <w:rsid w:val="002B363A"/>
    <w:rsid w:val="002B593C"/>
    <w:rsid w:val="002B637C"/>
    <w:rsid w:val="002B7D1F"/>
    <w:rsid w:val="002C182F"/>
    <w:rsid w:val="002D1E99"/>
    <w:rsid w:val="002D2238"/>
    <w:rsid w:val="002D2366"/>
    <w:rsid w:val="002D28F1"/>
    <w:rsid w:val="002D3D52"/>
    <w:rsid w:val="002E139D"/>
    <w:rsid w:val="002E1AA0"/>
    <w:rsid w:val="002E26DF"/>
    <w:rsid w:val="002E4278"/>
    <w:rsid w:val="002F7F1D"/>
    <w:rsid w:val="003008F2"/>
    <w:rsid w:val="00300C97"/>
    <w:rsid w:val="00302953"/>
    <w:rsid w:val="0030304A"/>
    <w:rsid w:val="00304304"/>
    <w:rsid w:val="00305D73"/>
    <w:rsid w:val="003075F9"/>
    <w:rsid w:val="00310D7F"/>
    <w:rsid w:val="0031187F"/>
    <w:rsid w:val="00313A22"/>
    <w:rsid w:val="00313F2C"/>
    <w:rsid w:val="00315034"/>
    <w:rsid w:val="0031508F"/>
    <w:rsid w:val="00315B2D"/>
    <w:rsid w:val="00315EDA"/>
    <w:rsid w:val="00317B55"/>
    <w:rsid w:val="0032023C"/>
    <w:rsid w:val="00320B53"/>
    <w:rsid w:val="00326794"/>
    <w:rsid w:val="0033394F"/>
    <w:rsid w:val="00334428"/>
    <w:rsid w:val="00335646"/>
    <w:rsid w:val="00340154"/>
    <w:rsid w:val="00344ED4"/>
    <w:rsid w:val="00351CE8"/>
    <w:rsid w:val="0035282F"/>
    <w:rsid w:val="00355EF4"/>
    <w:rsid w:val="00356DFC"/>
    <w:rsid w:val="00356EEA"/>
    <w:rsid w:val="003606EA"/>
    <w:rsid w:val="00362606"/>
    <w:rsid w:val="003651D5"/>
    <w:rsid w:val="00367227"/>
    <w:rsid w:val="003843F0"/>
    <w:rsid w:val="00390ACE"/>
    <w:rsid w:val="00396549"/>
    <w:rsid w:val="003A0010"/>
    <w:rsid w:val="003A041C"/>
    <w:rsid w:val="003A3484"/>
    <w:rsid w:val="003B44D5"/>
    <w:rsid w:val="003B52B2"/>
    <w:rsid w:val="003B61A5"/>
    <w:rsid w:val="003C2997"/>
    <w:rsid w:val="003C51F5"/>
    <w:rsid w:val="003C79D2"/>
    <w:rsid w:val="003D0106"/>
    <w:rsid w:val="003D0CB3"/>
    <w:rsid w:val="003D1F8E"/>
    <w:rsid w:val="003D3B12"/>
    <w:rsid w:val="003D7926"/>
    <w:rsid w:val="003E3843"/>
    <w:rsid w:val="003E4455"/>
    <w:rsid w:val="003F13C7"/>
    <w:rsid w:val="003F373A"/>
    <w:rsid w:val="003F45F9"/>
    <w:rsid w:val="003F72D7"/>
    <w:rsid w:val="003F7735"/>
    <w:rsid w:val="00401334"/>
    <w:rsid w:val="004026BA"/>
    <w:rsid w:val="004029BC"/>
    <w:rsid w:val="0040373E"/>
    <w:rsid w:val="0041331D"/>
    <w:rsid w:val="004134B2"/>
    <w:rsid w:val="00425FDA"/>
    <w:rsid w:val="00430C63"/>
    <w:rsid w:val="00433A24"/>
    <w:rsid w:val="00435C64"/>
    <w:rsid w:val="0043618D"/>
    <w:rsid w:val="004404C4"/>
    <w:rsid w:val="0044081A"/>
    <w:rsid w:val="004423E6"/>
    <w:rsid w:val="004440D1"/>
    <w:rsid w:val="00444148"/>
    <w:rsid w:val="00450248"/>
    <w:rsid w:val="0045188B"/>
    <w:rsid w:val="00452CDA"/>
    <w:rsid w:val="0045706D"/>
    <w:rsid w:val="004608FF"/>
    <w:rsid w:val="00463ABD"/>
    <w:rsid w:val="00464C87"/>
    <w:rsid w:val="00464D18"/>
    <w:rsid w:val="004661FE"/>
    <w:rsid w:val="004706A3"/>
    <w:rsid w:val="004706AA"/>
    <w:rsid w:val="00470DE6"/>
    <w:rsid w:val="00470E8D"/>
    <w:rsid w:val="00471DE9"/>
    <w:rsid w:val="00474672"/>
    <w:rsid w:val="00480499"/>
    <w:rsid w:val="00480DBC"/>
    <w:rsid w:val="004827BF"/>
    <w:rsid w:val="00482FB3"/>
    <w:rsid w:val="00487250"/>
    <w:rsid w:val="00487ABE"/>
    <w:rsid w:val="0049032A"/>
    <w:rsid w:val="004A039B"/>
    <w:rsid w:val="004A450F"/>
    <w:rsid w:val="004A50FE"/>
    <w:rsid w:val="004A54D8"/>
    <w:rsid w:val="004A7BB8"/>
    <w:rsid w:val="004A7CD7"/>
    <w:rsid w:val="004B02A3"/>
    <w:rsid w:val="004B1E3F"/>
    <w:rsid w:val="004B322D"/>
    <w:rsid w:val="004B6E24"/>
    <w:rsid w:val="004C3531"/>
    <w:rsid w:val="004C3F40"/>
    <w:rsid w:val="004C41AA"/>
    <w:rsid w:val="004D0118"/>
    <w:rsid w:val="004D18CF"/>
    <w:rsid w:val="004D193B"/>
    <w:rsid w:val="004D464D"/>
    <w:rsid w:val="004D51CF"/>
    <w:rsid w:val="004E215A"/>
    <w:rsid w:val="004F0345"/>
    <w:rsid w:val="004F3F5C"/>
    <w:rsid w:val="004F68BB"/>
    <w:rsid w:val="005030A7"/>
    <w:rsid w:val="005058CD"/>
    <w:rsid w:val="00505E2E"/>
    <w:rsid w:val="00505F07"/>
    <w:rsid w:val="005123C4"/>
    <w:rsid w:val="00512D36"/>
    <w:rsid w:val="005164AD"/>
    <w:rsid w:val="0051697A"/>
    <w:rsid w:val="00517407"/>
    <w:rsid w:val="005210BC"/>
    <w:rsid w:val="00537453"/>
    <w:rsid w:val="00540EB1"/>
    <w:rsid w:val="00541DC2"/>
    <w:rsid w:val="00542247"/>
    <w:rsid w:val="00544883"/>
    <w:rsid w:val="00545811"/>
    <w:rsid w:val="00545BD4"/>
    <w:rsid w:val="005463B0"/>
    <w:rsid w:val="00546838"/>
    <w:rsid w:val="00550343"/>
    <w:rsid w:val="005568EC"/>
    <w:rsid w:val="00557A15"/>
    <w:rsid w:val="00560880"/>
    <w:rsid w:val="00562C59"/>
    <w:rsid w:val="00566DC3"/>
    <w:rsid w:val="00570E3D"/>
    <w:rsid w:val="0057214E"/>
    <w:rsid w:val="00572ED4"/>
    <w:rsid w:val="00576087"/>
    <w:rsid w:val="00576CA2"/>
    <w:rsid w:val="00576CDE"/>
    <w:rsid w:val="00580320"/>
    <w:rsid w:val="00584534"/>
    <w:rsid w:val="00590232"/>
    <w:rsid w:val="00591065"/>
    <w:rsid w:val="00591E83"/>
    <w:rsid w:val="005929DB"/>
    <w:rsid w:val="005930FA"/>
    <w:rsid w:val="00593682"/>
    <w:rsid w:val="00596301"/>
    <w:rsid w:val="00596FF1"/>
    <w:rsid w:val="005B5A2D"/>
    <w:rsid w:val="005B7552"/>
    <w:rsid w:val="005B7606"/>
    <w:rsid w:val="005B7B2D"/>
    <w:rsid w:val="005C26DD"/>
    <w:rsid w:val="005C39B8"/>
    <w:rsid w:val="005D583F"/>
    <w:rsid w:val="005D6520"/>
    <w:rsid w:val="005D6D37"/>
    <w:rsid w:val="005D760F"/>
    <w:rsid w:val="005E2A4C"/>
    <w:rsid w:val="005E2BC9"/>
    <w:rsid w:val="005E693A"/>
    <w:rsid w:val="005F045A"/>
    <w:rsid w:val="005F1A34"/>
    <w:rsid w:val="005F5084"/>
    <w:rsid w:val="005F534B"/>
    <w:rsid w:val="005F7A67"/>
    <w:rsid w:val="00601E4B"/>
    <w:rsid w:val="00604DFF"/>
    <w:rsid w:val="00606A18"/>
    <w:rsid w:val="006079A3"/>
    <w:rsid w:val="006079E0"/>
    <w:rsid w:val="00610E5A"/>
    <w:rsid w:val="00634EA1"/>
    <w:rsid w:val="00636467"/>
    <w:rsid w:val="0064183D"/>
    <w:rsid w:val="00652221"/>
    <w:rsid w:val="00653F23"/>
    <w:rsid w:val="00656066"/>
    <w:rsid w:val="00667716"/>
    <w:rsid w:val="00667B9F"/>
    <w:rsid w:val="006720D5"/>
    <w:rsid w:val="00672C10"/>
    <w:rsid w:val="00672F35"/>
    <w:rsid w:val="006758CD"/>
    <w:rsid w:val="00681039"/>
    <w:rsid w:val="006817D5"/>
    <w:rsid w:val="00684791"/>
    <w:rsid w:val="006853E3"/>
    <w:rsid w:val="00686B4F"/>
    <w:rsid w:val="00691EBB"/>
    <w:rsid w:val="006934B0"/>
    <w:rsid w:val="00697B02"/>
    <w:rsid w:val="006A1518"/>
    <w:rsid w:val="006A1523"/>
    <w:rsid w:val="006A4361"/>
    <w:rsid w:val="006B1DEB"/>
    <w:rsid w:val="006B50BC"/>
    <w:rsid w:val="006B63FF"/>
    <w:rsid w:val="006B6A19"/>
    <w:rsid w:val="006C37F3"/>
    <w:rsid w:val="006D3DBC"/>
    <w:rsid w:val="006D49E3"/>
    <w:rsid w:val="006D7913"/>
    <w:rsid w:val="006E1E33"/>
    <w:rsid w:val="006E21DF"/>
    <w:rsid w:val="006E573E"/>
    <w:rsid w:val="006E6A51"/>
    <w:rsid w:val="006F2864"/>
    <w:rsid w:val="006F510B"/>
    <w:rsid w:val="006F7C05"/>
    <w:rsid w:val="007035CA"/>
    <w:rsid w:val="00704133"/>
    <w:rsid w:val="00707260"/>
    <w:rsid w:val="00711C1D"/>
    <w:rsid w:val="00712FF1"/>
    <w:rsid w:val="00713057"/>
    <w:rsid w:val="007163DF"/>
    <w:rsid w:val="007170E3"/>
    <w:rsid w:val="00720AFB"/>
    <w:rsid w:val="00721C4C"/>
    <w:rsid w:val="00725C98"/>
    <w:rsid w:val="00731533"/>
    <w:rsid w:val="00732281"/>
    <w:rsid w:val="0073320C"/>
    <w:rsid w:val="00733813"/>
    <w:rsid w:val="00734FB5"/>
    <w:rsid w:val="00736310"/>
    <w:rsid w:val="00742A60"/>
    <w:rsid w:val="00743EFF"/>
    <w:rsid w:val="00750B94"/>
    <w:rsid w:val="00750D7C"/>
    <w:rsid w:val="00755DCE"/>
    <w:rsid w:val="00760343"/>
    <w:rsid w:val="007604E6"/>
    <w:rsid w:val="00761D71"/>
    <w:rsid w:val="00765F0F"/>
    <w:rsid w:val="0076609A"/>
    <w:rsid w:val="00773EE7"/>
    <w:rsid w:val="007817D6"/>
    <w:rsid w:val="007944EE"/>
    <w:rsid w:val="00795BAF"/>
    <w:rsid w:val="007A0C3B"/>
    <w:rsid w:val="007A3BD7"/>
    <w:rsid w:val="007A3D0E"/>
    <w:rsid w:val="007A5D97"/>
    <w:rsid w:val="007B351E"/>
    <w:rsid w:val="007C0970"/>
    <w:rsid w:val="007C675B"/>
    <w:rsid w:val="007C7F5E"/>
    <w:rsid w:val="007D0DF8"/>
    <w:rsid w:val="007D2E2D"/>
    <w:rsid w:val="007D5119"/>
    <w:rsid w:val="007D555D"/>
    <w:rsid w:val="007E52C6"/>
    <w:rsid w:val="007F4CC5"/>
    <w:rsid w:val="007F7E1D"/>
    <w:rsid w:val="00802A80"/>
    <w:rsid w:val="008044A5"/>
    <w:rsid w:val="0080605E"/>
    <w:rsid w:val="008065FA"/>
    <w:rsid w:val="008070A5"/>
    <w:rsid w:val="00807EDE"/>
    <w:rsid w:val="008157C4"/>
    <w:rsid w:val="00822592"/>
    <w:rsid w:val="00823BC4"/>
    <w:rsid w:val="008249DE"/>
    <w:rsid w:val="00824BF7"/>
    <w:rsid w:val="00824E26"/>
    <w:rsid w:val="008305EE"/>
    <w:rsid w:val="008326C8"/>
    <w:rsid w:val="00834AD7"/>
    <w:rsid w:val="00835A58"/>
    <w:rsid w:val="00836C1B"/>
    <w:rsid w:val="00837B63"/>
    <w:rsid w:val="008424C3"/>
    <w:rsid w:val="00843DEE"/>
    <w:rsid w:val="008474C8"/>
    <w:rsid w:val="00850493"/>
    <w:rsid w:val="00856DEE"/>
    <w:rsid w:val="00861784"/>
    <w:rsid w:val="00862895"/>
    <w:rsid w:val="00863DD8"/>
    <w:rsid w:val="00864362"/>
    <w:rsid w:val="0086491E"/>
    <w:rsid w:val="0086582B"/>
    <w:rsid w:val="0086695A"/>
    <w:rsid w:val="00870746"/>
    <w:rsid w:val="00870EAE"/>
    <w:rsid w:val="008712B6"/>
    <w:rsid w:val="00872BA1"/>
    <w:rsid w:val="00876BDC"/>
    <w:rsid w:val="008809EA"/>
    <w:rsid w:val="00886865"/>
    <w:rsid w:val="00890EB5"/>
    <w:rsid w:val="008A1C96"/>
    <w:rsid w:val="008A305F"/>
    <w:rsid w:val="008A47F9"/>
    <w:rsid w:val="008A4BC4"/>
    <w:rsid w:val="008A60D2"/>
    <w:rsid w:val="008B0A3A"/>
    <w:rsid w:val="008B0AFC"/>
    <w:rsid w:val="008B0D00"/>
    <w:rsid w:val="008B3FCD"/>
    <w:rsid w:val="008B5667"/>
    <w:rsid w:val="008B578A"/>
    <w:rsid w:val="008C03F8"/>
    <w:rsid w:val="008C25EF"/>
    <w:rsid w:val="008C3C90"/>
    <w:rsid w:val="008C678B"/>
    <w:rsid w:val="008C6AA2"/>
    <w:rsid w:val="008D0860"/>
    <w:rsid w:val="008D1D11"/>
    <w:rsid w:val="008D27AA"/>
    <w:rsid w:val="008D4F37"/>
    <w:rsid w:val="008D5A0B"/>
    <w:rsid w:val="008D6ADD"/>
    <w:rsid w:val="008D6E06"/>
    <w:rsid w:val="008D777E"/>
    <w:rsid w:val="008E02DF"/>
    <w:rsid w:val="008F466C"/>
    <w:rsid w:val="008F4821"/>
    <w:rsid w:val="00901377"/>
    <w:rsid w:val="00903C68"/>
    <w:rsid w:val="0090441A"/>
    <w:rsid w:val="00906DF2"/>
    <w:rsid w:val="00911203"/>
    <w:rsid w:val="00913B08"/>
    <w:rsid w:val="009163AA"/>
    <w:rsid w:val="00924006"/>
    <w:rsid w:val="00924B0E"/>
    <w:rsid w:val="009253ED"/>
    <w:rsid w:val="0093256C"/>
    <w:rsid w:val="0094496B"/>
    <w:rsid w:val="009455F4"/>
    <w:rsid w:val="00946084"/>
    <w:rsid w:val="0095050F"/>
    <w:rsid w:val="00952CA6"/>
    <w:rsid w:val="00952CD0"/>
    <w:rsid w:val="00952DC0"/>
    <w:rsid w:val="00957582"/>
    <w:rsid w:val="0095791E"/>
    <w:rsid w:val="009646DB"/>
    <w:rsid w:val="00967185"/>
    <w:rsid w:val="00973DC4"/>
    <w:rsid w:val="00973FDB"/>
    <w:rsid w:val="009752BB"/>
    <w:rsid w:val="009763E0"/>
    <w:rsid w:val="00984D1F"/>
    <w:rsid w:val="00985ACF"/>
    <w:rsid w:val="00992344"/>
    <w:rsid w:val="00997D7F"/>
    <w:rsid w:val="009A0531"/>
    <w:rsid w:val="009A2EAA"/>
    <w:rsid w:val="009A32A2"/>
    <w:rsid w:val="009A5839"/>
    <w:rsid w:val="009A7094"/>
    <w:rsid w:val="009A75DB"/>
    <w:rsid w:val="009A7DDD"/>
    <w:rsid w:val="009A7E49"/>
    <w:rsid w:val="009C1FEC"/>
    <w:rsid w:val="009C5656"/>
    <w:rsid w:val="009C57D6"/>
    <w:rsid w:val="009D0249"/>
    <w:rsid w:val="009D471C"/>
    <w:rsid w:val="009D73BB"/>
    <w:rsid w:val="009E0BF8"/>
    <w:rsid w:val="009E0CAF"/>
    <w:rsid w:val="009E1D64"/>
    <w:rsid w:val="009E20F3"/>
    <w:rsid w:val="009E55E7"/>
    <w:rsid w:val="009E5F33"/>
    <w:rsid w:val="009F7686"/>
    <w:rsid w:val="00A01C3B"/>
    <w:rsid w:val="00A03E23"/>
    <w:rsid w:val="00A17E2E"/>
    <w:rsid w:val="00A24472"/>
    <w:rsid w:val="00A314A1"/>
    <w:rsid w:val="00A33497"/>
    <w:rsid w:val="00A3358A"/>
    <w:rsid w:val="00A33B2E"/>
    <w:rsid w:val="00A34B31"/>
    <w:rsid w:val="00A34D1B"/>
    <w:rsid w:val="00A358A4"/>
    <w:rsid w:val="00A35BBB"/>
    <w:rsid w:val="00A400A0"/>
    <w:rsid w:val="00A42DB0"/>
    <w:rsid w:val="00A44FEC"/>
    <w:rsid w:val="00A47242"/>
    <w:rsid w:val="00A50CFA"/>
    <w:rsid w:val="00A50D9A"/>
    <w:rsid w:val="00A54146"/>
    <w:rsid w:val="00A55467"/>
    <w:rsid w:val="00A561A7"/>
    <w:rsid w:val="00A56434"/>
    <w:rsid w:val="00A57E95"/>
    <w:rsid w:val="00A7070E"/>
    <w:rsid w:val="00A70ACC"/>
    <w:rsid w:val="00A730D0"/>
    <w:rsid w:val="00A7468D"/>
    <w:rsid w:val="00A76D34"/>
    <w:rsid w:val="00A86CCE"/>
    <w:rsid w:val="00A879A0"/>
    <w:rsid w:val="00A90A16"/>
    <w:rsid w:val="00A9237C"/>
    <w:rsid w:val="00A93E73"/>
    <w:rsid w:val="00A9470E"/>
    <w:rsid w:val="00A94F95"/>
    <w:rsid w:val="00AA5EAE"/>
    <w:rsid w:val="00AB342B"/>
    <w:rsid w:val="00AB4B1C"/>
    <w:rsid w:val="00AC0806"/>
    <w:rsid w:val="00AC3304"/>
    <w:rsid w:val="00AC4FA3"/>
    <w:rsid w:val="00AC5956"/>
    <w:rsid w:val="00AD141D"/>
    <w:rsid w:val="00AE0B6D"/>
    <w:rsid w:val="00AE1E0B"/>
    <w:rsid w:val="00AE72CD"/>
    <w:rsid w:val="00AF0E6D"/>
    <w:rsid w:val="00AF17E5"/>
    <w:rsid w:val="00AF5FEB"/>
    <w:rsid w:val="00B009C6"/>
    <w:rsid w:val="00B00F95"/>
    <w:rsid w:val="00B01875"/>
    <w:rsid w:val="00B02258"/>
    <w:rsid w:val="00B02CFC"/>
    <w:rsid w:val="00B04CC1"/>
    <w:rsid w:val="00B06CA1"/>
    <w:rsid w:val="00B077A4"/>
    <w:rsid w:val="00B07DF2"/>
    <w:rsid w:val="00B07E1A"/>
    <w:rsid w:val="00B103DA"/>
    <w:rsid w:val="00B13EAE"/>
    <w:rsid w:val="00B20A52"/>
    <w:rsid w:val="00B21638"/>
    <w:rsid w:val="00B221A7"/>
    <w:rsid w:val="00B238EF"/>
    <w:rsid w:val="00B33340"/>
    <w:rsid w:val="00B340E7"/>
    <w:rsid w:val="00B34729"/>
    <w:rsid w:val="00B35F4D"/>
    <w:rsid w:val="00B42E26"/>
    <w:rsid w:val="00B43411"/>
    <w:rsid w:val="00B45B88"/>
    <w:rsid w:val="00B51A96"/>
    <w:rsid w:val="00B51DBF"/>
    <w:rsid w:val="00B52FEC"/>
    <w:rsid w:val="00B53AA4"/>
    <w:rsid w:val="00B57524"/>
    <w:rsid w:val="00B643B7"/>
    <w:rsid w:val="00B711AC"/>
    <w:rsid w:val="00B7247E"/>
    <w:rsid w:val="00B74445"/>
    <w:rsid w:val="00B76F0A"/>
    <w:rsid w:val="00B85956"/>
    <w:rsid w:val="00B90B2E"/>
    <w:rsid w:val="00B90C34"/>
    <w:rsid w:val="00B95B4B"/>
    <w:rsid w:val="00B97EB8"/>
    <w:rsid w:val="00BA04A8"/>
    <w:rsid w:val="00BA573B"/>
    <w:rsid w:val="00BB12AF"/>
    <w:rsid w:val="00BB1459"/>
    <w:rsid w:val="00BC0059"/>
    <w:rsid w:val="00BC0D2C"/>
    <w:rsid w:val="00BC3A58"/>
    <w:rsid w:val="00BC555E"/>
    <w:rsid w:val="00BC6391"/>
    <w:rsid w:val="00BC651D"/>
    <w:rsid w:val="00BD1040"/>
    <w:rsid w:val="00BD456C"/>
    <w:rsid w:val="00C007EE"/>
    <w:rsid w:val="00C04CA6"/>
    <w:rsid w:val="00C2153F"/>
    <w:rsid w:val="00C21FF8"/>
    <w:rsid w:val="00C23D4B"/>
    <w:rsid w:val="00C33046"/>
    <w:rsid w:val="00C339F7"/>
    <w:rsid w:val="00C367DC"/>
    <w:rsid w:val="00C4016D"/>
    <w:rsid w:val="00C401D7"/>
    <w:rsid w:val="00C427E4"/>
    <w:rsid w:val="00C4660B"/>
    <w:rsid w:val="00C51ABD"/>
    <w:rsid w:val="00C52F32"/>
    <w:rsid w:val="00C60431"/>
    <w:rsid w:val="00C61A43"/>
    <w:rsid w:val="00C621AB"/>
    <w:rsid w:val="00C623B9"/>
    <w:rsid w:val="00C62FD0"/>
    <w:rsid w:val="00C647E2"/>
    <w:rsid w:val="00C64875"/>
    <w:rsid w:val="00C663B3"/>
    <w:rsid w:val="00C70EA9"/>
    <w:rsid w:val="00C72182"/>
    <w:rsid w:val="00C74584"/>
    <w:rsid w:val="00C757CB"/>
    <w:rsid w:val="00C82468"/>
    <w:rsid w:val="00C85627"/>
    <w:rsid w:val="00C87023"/>
    <w:rsid w:val="00C874FE"/>
    <w:rsid w:val="00C9150B"/>
    <w:rsid w:val="00C9171C"/>
    <w:rsid w:val="00CA23B0"/>
    <w:rsid w:val="00CA6755"/>
    <w:rsid w:val="00CB0337"/>
    <w:rsid w:val="00CB1AB6"/>
    <w:rsid w:val="00CB22B9"/>
    <w:rsid w:val="00CC330B"/>
    <w:rsid w:val="00CD72D9"/>
    <w:rsid w:val="00CD7E2F"/>
    <w:rsid w:val="00CE123E"/>
    <w:rsid w:val="00CE1DE9"/>
    <w:rsid w:val="00CF176A"/>
    <w:rsid w:val="00CF2934"/>
    <w:rsid w:val="00D00FAB"/>
    <w:rsid w:val="00D01438"/>
    <w:rsid w:val="00D06C0A"/>
    <w:rsid w:val="00D07EEA"/>
    <w:rsid w:val="00D12934"/>
    <w:rsid w:val="00D14BD1"/>
    <w:rsid w:val="00D17D9F"/>
    <w:rsid w:val="00D201F0"/>
    <w:rsid w:val="00D26E78"/>
    <w:rsid w:val="00D3029F"/>
    <w:rsid w:val="00D3065E"/>
    <w:rsid w:val="00D31F54"/>
    <w:rsid w:val="00D33814"/>
    <w:rsid w:val="00D34573"/>
    <w:rsid w:val="00D4187A"/>
    <w:rsid w:val="00D42BDD"/>
    <w:rsid w:val="00D50406"/>
    <w:rsid w:val="00D521E7"/>
    <w:rsid w:val="00D52EF7"/>
    <w:rsid w:val="00D61C37"/>
    <w:rsid w:val="00D61E7E"/>
    <w:rsid w:val="00D7266D"/>
    <w:rsid w:val="00D7409E"/>
    <w:rsid w:val="00D75FBF"/>
    <w:rsid w:val="00D833E4"/>
    <w:rsid w:val="00D838DB"/>
    <w:rsid w:val="00D84F6F"/>
    <w:rsid w:val="00D874F6"/>
    <w:rsid w:val="00D904C2"/>
    <w:rsid w:val="00D90A27"/>
    <w:rsid w:val="00D941F5"/>
    <w:rsid w:val="00DA3CAE"/>
    <w:rsid w:val="00DA4461"/>
    <w:rsid w:val="00DA7778"/>
    <w:rsid w:val="00DA780E"/>
    <w:rsid w:val="00DA7D1B"/>
    <w:rsid w:val="00DC02C9"/>
    <w:rsid w:val="00DC21E4"/>
    <w:rsid w:val="00DC2FD3"/>
    <w:rsid w:val="00DC3016"/>
    <w:rsid w:val="00DC5221"/>
    <w:rsid w:val="00DC679D"/>
    <w:rsid w:val="00DC6DD5"/>
    <w:rsid w:val="00DC6E46"/>
    <w:rsid w:val="00DD194B"/>
    <w:rsid w:val="00DD4DFA"/>
    <w:rsid w:val="00DD55EB"/>
    <w:rsid w:val="00DD56B7"/>
    <w:rsid w:val="00DD64D8"/>
    <w:rsid w:val="00DD6676"/>
    <w:rsid w:val="00DD6E52"/>
    <w:rsid w:val="00DD7F8D"/>
    <w:rsid w:val="00DE3A23"/>
    <w:rsid w:val="00DE69F4"/>
    <w:rsid w:val="00DE6D4F"/>
    <w:rsid w:val="00DE7782"/>
    <w:rsid w:val="00DF2283"/>
    <w:rsid w:val="00DF5F21"/>
    <w:rsid w:val="00E015F7"/>
    <w:rsid w:val="00E0317F"/>
    <w:rsid w:val="00E03A39"/>
    <w:rsid w:val="00E042C5"/>
    <w:rsid w:val="00E043F1"/>
    <w:rsid w:val="00E0470A"/>
    <w:rsid w:val="00E06664"/>
    <w:rsid w:val="00E10525"/>
    <w:rsid w:val="00E15A82"/>
    <w:rsid w:val="00E210ED"/>
    <w:rsid w:val="00E221D5"/>
    <w:rsid w:val="00E22DF1"/>
    <w:rsid w:val="00E303E6"/>
    <w:rsid w:val="00E3278E"/>
    <w:rsid w:val="00E32AEB"/>
    <w:rsid w:val="00E35462"/>
    <w:rsid w:val="00E359C6"/>
    <w:rsid w:val="00E35DFD"/>
    <w:rsid w:val="00E37369"/>
    <w:rsid w:val="00E45FF3"/>
    <w:rsid w:val="00E531DC"/>
    <w:rsid w:val="00E53297"/>
    <w:rsid w:val="00E53566"/>
    <w:rsid w:val="00E57904"/>
    <w:rsid w:val="00E61AD6"/>
    <w:rsid w:val="00E650A1"/>
    <w:rsid w:val="00E66703"/>
    <w:rsid w:val="00E73995"/>
    <w:rsid w:val="00E7601B"/>
    <w:rsid w:val="00E8041E"/>
    <w:rsid w:val="00E860B9"/>
    <w:rsid w:val="00E86214"/>
    <w:rsid w:val="00E862F7"/>
    <w:rsid w:val="00E91F9F"/>
    <w:rsid w:val="00E9218D"/>
    <w:rsid w:val="00EA2F89"/>
    <w:rsid w:val="00EA351A"/>
    <w:rsid w:val="00EA7645"/>
    <w:rsid w:val="00EB4FC5"/>
    <w:rsid w:val="00EB588C"/>
    <w:rsid w:val="00EC210F"/>
    <w:rsid w:val="00ED26C3"/>
    <w:rsid w:val="00ED401A"/>
    <w:rsid w:val="00ED5DB5"/>
    <w:rsid w:val="00EE0182"/>
    <w:rsid w:val="00EE1B77"/>
    <w:rsid w:val="00EE1D40"/>
    <w:rsid w:val="00EE246B"/>
    <w:rsid w:val="00EE3AFC"/>
    <w:rsid w:val="00EE523C"/>
    <w:rsid w:val="00EE5B3B"/>
    <w:rsid w:val="00EF20AD"/>
    <w:rsid w:val="00EF315B"/>
    <w:rsid w:val="00EF5953"/>
    <w:rsid w:val="00EF59F6"/>
    <w:rsid w:val="00F02DC0"/>
    <w:rsid w:val="00F04155"/>
    <w:rsid w:val="00F05517"/>
    <w:rsid w:val="00F06593"/>
    <w:rsid w:val="00F1337B"/>
    <w:rsid w:val="00F1518E"/>
    <w:rsid w:val="00F201B2"/>
    <w:rsid w:val="00F212DC"/>
    <w:rsid w:val="00F22363"/>
    <w:rsid w:val="00F2354C"/>
    <w:rsid w:val="00F3018E"/>
    <w:rsid w:val="00F34AF5"/>
    <w:rsid w:val="00F36A0C"/>
    <w:rsid w:val="00F409D9"/>
    <w:rsid w:val="00F45FDB"/>
    <w:rsid w:val="00F4790B"/>
    <w:rsid w:val="00F50289"/>
    <w:rsid w:val="00F51C7A"/>
    <w:rsid w:val="00F574D7"/>
    <w:rsid w:val="00F634EA"/>
    <w:rsid w:val="00F63D16"/>
    <w:rsid w:val="00F73F57"/>
    <w:rsid w:val="00F8262E"/>
    <w:rsid w:val="00F93D9C"/>
    <w:rsid w:val="00F95F5E"/>
    <w:rsid w:val="00F96D69"/>
    <w:rsid w:val="00F97150"/>
    <w:rsid w:val="00FA0F26"/>
    <w:rsid w:val="00FA3FE3"/>
    <w:rsid w:val="00FA5C92"/>
    <w:rsid w:val="00FA5CDE"/>
    <w:rsid w:val="00FB0351"/>
    <w:rsid w:val="00FB28A3"/>
    <w:rsid w:val="00FB5B93"/>
    <w:rsid w:val="00FB6012"/>
    <w:rsid w:val="00FC065C"/>
    <w:rsid w:val="00FC532E"/>
    <w:rsid w:val="00FD1C61"/>
    <w:rsid w:val="00FD3D5E"/>
    <w:rsid w:val="00FD7480"/>
    <w:rsid w:val="00FD7821"/>
    <w:rsid w:val="00FE639C"/>
    <w:rsid w:val="00FE7058"/>
    <w:rsid w:val="00FF3674"/>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14"/>
    <w:rPr>
      <w:sz w:val="24"/>
      <w:szCs w:val="24"/>
    </w:rPr>
  </w:style>
  <w:style w:type="paragraph" w:styleId="Heading1">
    <w:name w:val="heading 1"/>
    <w:basedOn w:val="Normal"/>
    <w:next w:val="Normal"/>
    <w:qFormat/>
    <w:rsid w:val="00D3381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3814"/>
    <w:pPr>
      <w:spacing w:before="28"/>
      <w:ind w:right="90"/>
    </w:pPr>
    <w:rPr>
      <w:sz w:val="19"/>
      <w:szCs w:val="19"/>
    </w:rPr>
  </w:style>
  <w:style w:type="paragraph" w:styleId="Header">
    <w:name w:val="header"/>
    <w:basedOn w:val="Normal"/>
    <w:semiHidden/>
    <w:rsid w:val="00D33814"/>
    <w:pPr>
      <w:tabs>
        <w:tab w:val="center" w:pos="4320"/>
        <w:tab w:val="right" w:pos="8640"/>
      </w:tabs>
    </w:pPr>
  </w:style>
  <w:style w:type="paragraph" w:styleId="Footer">
    <w:name w:val="footer"/>
    <w:basedOn w:val="Normal"/>
    <w:semiHidden/>
    <w:rsid w:val="00D33814"/>
    <w:pPr>
      <w:tabs>
        <w:tab w:val="center" w:pos="4320"/>
        <w:tab w:val="right" w:pos="8640"/>
      </w:tabs>
    </w:pPr>
  </w:style>
  <w:style w:type="character" w:styleId="PageNumber">
    <w:name w:val="page number"/>
    <w:basedOn w:val="DefaultParagraphFont"/>
    <w:semiHidden/>
    <w:rsid w:val="00D33814"/>
  </w:style>
  <w:style w:type="paragraph" w:styleId="FootnoteText">
    <w:name w:val="footnote text"/>
    <w:basedOn w:val="Normal"/>
    <w:link w:val="FootnoteTextChar"/>
    <w:semiHidden/>
    <w:rsid w:val="00D33814"/>
    <w:pPr>
      <w:ind w:firstLine="720"/>
    </w:pPr>
    <w:rPr>
      <w:szCs w:val="20"/>
    </w:rPr>
  </w:style>
  <w:style w:type="character" w:styleId="FootnoteReference">
    <w:name w:val="footnote reference"/>
    <w:basedOn w:val="DefaultParagraphFont"/>
    <w:rsid w:val="00D3381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B51DBF"/>
    <w:rPr>
      <w:sz w:val="24"/>
    </w:rPr>
  </w:style>
  <w:style w:type="paragraph" w:styleId="NoSpacing">
    <w:name w:val="No Spacing"/>
    <w:uiPriority w:val="1"/>
    <w:qFormat/>
    <w:rsid w:val="00B51DBF"/>
    <w:pPr>
      <w:widowControl w:val="0"/>
      <w:autoSpaceDE w:val="0"/>
      <w:autoSpaceDN w:val="0"/>
      <w:adjustRightInd w:val="0"/>
    </w:pPr>
    <w:rPr>
      <w:sz w:val="24"/>
      <w:szCs w:val="24"/>
    </w:rPr>
  </w:style>
  <w:style w:type="paragraph" w:styleId="BodyTextIndent">
    <w:name w:val="Body Text Indent"/>
    <w:basedOn w:val="Normal"/>
    <w:link w:val="BodyTextIndentChar"/>
    <w:semiHidden/>
    <w:rsid w:val="004A7BB8"/>
    <w:pPr>
      <w:spacing w:line="480" w:lineRule="auto"/>
      <w:ind w:left="360"/>
    </w:pPr>
  </w:style>
  <w:style w:type="character" w:customStyle="1" w:styleId="BodyTextIndentChar">
    <w:name w:val="Body Text Indent Char"/>
    <w:basedOn w:val="DefaultParagraphFont"/>
    <w:link w:val="BodyTextIndent"/>
    <w:semiHidden/>
    <w:rsid w:val="004A7B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E362-A296-4DDD-98A4-79B19569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9</Pages>
  <Words>1983</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cp:lastModifiedBy>Tammy Cleaver</cp:lastModifiedBy>
  <cp:revision>2</cp:revision>
  <cp:lastPrinted>2009-09-01T14:53:00Z</cp:lastPrinted>
  <dcterms:created xsi:type="dcterms:W3CDTF">2009-09-02T23:00:00Z</dcterms:created>
  <dcterms:modified xsi:type="dcterms:W3CDTF">2009-09-02T23:00:00Z</dcterms:modified>
</cp:coreProperties>
</file>