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AUGUST 26, 2011</w:t>
      </w:r>
    </w:p>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FRANCIS TAYLOR SARGUIS,</w:t>
            </w:r>
          </w:p>
          <w:p>
            <w:pPr>
              <w:rPr>
                <w:b/>
                <w:bCs/>
              </w:rPr>
            </w:pPr>
          </w:p>
          <w:p>
            <w:pPr>
              <w:rPr>
                <w:b/>
                <w:bCs/>
              </w:rPr>
            </w:pPr>
            <w:r>
              <w:rPr>
                <w:b/>
                <w:bCs/>
              </w:rPr>
              <w:t>Member No.  173100,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Cs/>
              </w:rPr>
            </w:pPr>
            <w:r>
              <w:rPr>
                <w:b/>
                <w:bCs/>
              </w:rPr>
              <w:t>08-O-11572-LMA</w:t>
            </w:r>
          </w:p>
          <w:p>
            <w:pPr>
              <w:rPr>
                <w:b/>
                <w:bCs/>
              </w:rPr>
            </w:pPr>
          </w:p>
        </w:tc>
      </w:tr>
      <w:tr>
        <w:trPr>
          <w:cantSplit/>
          <w:trHeight w:val="1071"/>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DISCIPLINE ORDER; ORDER SEALING CERTAIN DOCUMENTS</w:t>
            </w:r>
          </w:p>
        </w:tc>
      </w:tr>
    </w:tbl>
    <w:p>
      <w:pPr>
        <w:spacing w:line="480" w:lineRule="auto"/>
      </w:pPr>
    </w:p>
    <w:p>
      <w:pPr>
        <w:spacing w:line="480" w:lineRule="auto"/>
        <w:jc w:val="center"/>
        <w:rPr>
          <w:b/>
          <w:u w:val="single"/>
        </w:rPr>
      </w:pPr>
      <w:r>
        <w:rPr>
          <w:b/>
          <w:u w:val="single"/>
        </w:rPr>
        <w:t>Introduction</w:t>
      </w:r>
      <w:r>
        <w:rPr>
          <w:rStyle w:val="FootnoteReference"/>
        </w:rPr>
        <w:footnoteReference w:id="1"/>
      </w:r>
    </w:p>
    <w:p>
      <w:pPr>
        <w:spacing w:line="480" w:lineRule="auto"/>
        <w:ind w:firstLine="720"/>
      </w:pPr>
      <w:r>
        <w:t xml:space="preserve">In this disciplinary proceeding, respondent Francis Taylor Sarguis (respondent) was accepted for participation in the State Bar Court’s Alternative Discipline Program (ADP).  As respondent has successfully completed the ADP, the court hereby orders, as set forth below, the imposition of discipline relating to a successful completion of the ADP.  </w:t>
      </w:r>
    </w:p>
    <w:p>
      <w:pPr>
        <w:spacing w:line="480" w:lineRule="auto"/>
        <w:jc w:val="center"/>
        <w:rPr>
          <w:b/>
          <w:u w:val="single"/>
        </w:rPr>
      </w:pPr>
      <w:r>
        <w:rPr>
          <w:b/>
          <w:u w:val="single"/>
        </w:rPr>
        <w:t>Significant Procedural History</w:t>
      </w:r>
    </w:p>
    <w:p>
      <w:pPr>
        <w:spacing w:line="480" w:lineRule="auto"/>
        <w:ind w:firstLine="720"/>
      </w:pPr>
      <w:r>
        <w:t xml:space="preserve">On March 20, 2009, the State Bar of California’s Office of the Chief Trial Counsel (State Bar) filed a Notice of Disciplinary Charges (NDC) against respondent in case no. </w:t>
      </w:r>
      <w:r>
        <w:rPr>
          <w:bCs/>
        </w:rPr>
        <w:t>08-O-11572</w:t>
      </w:r>
      <w:r>
        <w:t xml:space="preserve">.  </w:t>
      </w:r>
    </w:p>
    <w:p>
      <w:pPr>
        <w:spacing w:line="480" w:lineRule="auto"/>
        <w:ind w:firstLine="720"/>
      </w:pPr>
      <w:r>
        <w:lastRenderedPageBreak/>
        <w:t xml:space="preserve">On April 27, 2009, respondent contacted the State Bar’s Lawyer Assistance Program (LAP) to assist him with his substance abuse issue.  Respondent subsequently signed a LAP Participation Plan.  </w:t>
      </w:r>
    </w:p>
    <w:p>
      <w:pPr>
        <w:spacing w:line="480" w:lineRule="auto"/>
        <w:ind w:firstLine="720"/>
      </w:pPr>
      <w:r>
        <w:t xml:space="preserve">Respondent sought to participate in the State Bar Court’s ADP.  On May 11, 2009, this matter was referred to the ADP.  </w:t>
      </w:r>
    </w:p>
    <w:p>
      <w:pPr>
        <w:spacing w:line="480" w:lineRule="auto"/>
        <w:ind w:firstLine="720"/>
      </w:pPr>
      <w:r>
        <w:t xml:space="preserve">On June 16, 2009, respondent submitted a declaration to the court, which established a nexus between respondent’s substance abuse issues and the charges in this matter.  </w:t>
      </w:r>
    </w:p>
    <w:p>
      <w:pPr>
        <w:spacing w:line="480" w:lineRule="auto"/>
        <w:ind w:firstLine="720"/>
      </w:pPr>
      <w:r>
        <w:t xml:space="preserve">The parties entered into a Stipulation Re Facts and Conclusions of Law (Stipulation) in September 2009.  The Stipulation set forth the factual findings, legal conclusions and mitigating and aggravating circumstances involved in case no. </w:t>
      </w:r>
      <w:r>
        <w:rPr>
          <w:bCs/>
        </w:rPr>
        <w:t>08-O-11572</w:t>
      </w:r>
      <w:r>
        <w:t xml:space="preserve">.  </w:t>
      </w:r>
    </w:p>
    <w:p>
      <w:pPr>
        <w:spacing w:line="480" w:lineRule="auto"/>
        <w:ind w:firstLine="720"/>
      </w:pPr>
      <w:r>
        <w:t>Following briefing by the parties, the court issued a Confidential Statement of Alternative Dispositions and Orders dated February 1, 2010, formally advising the parties of:  (1) the discipline which would be ordered if respondent successfully completed the ADP; and (2) the discipline which would be recommended to the Supreme Court if respondent failed to successfully complete or was terminated from the ADP.  After agreeing to those alternative dispositions, respondent and his counsel executed the Contract and Waiver for Participation in the State Bar Court’s ADP; the court accepted respondent for participation in the ADP; and respondent’s period of participation in the ADP began on February 1, 2010.</w:t>
      </w:r>
    </w:p>
    <w:p>
      <w:pPr>
        <w:spacing w:line="480" w:lineRule="auto"/>
        <w:ind w:firstLine="720"/>
        <w:rPr>
          <w:b/>
          <w:u w:val="single"/>
        </w:rPr>
      </w:pPr>
      <w:r>
        <w:t xml:space="preserve">On August 8, 2011, the court issued an order finding that respondent successfully completed the ADP and this matter was submitted for decision.   </w:t>
      </w:r>
    </w:p>
    <w:p>
      <w:pPr>
        <w:spacing w:line="480" w:lineRule="auto"/>
        <w:jc w:val="center"/>
        <w:rPr>
          <w:b/>
          <w:u w:val="single"/>
        </w:rPr>
      </w:pPr>
      <w:r>
        <w:rPr>
          <w:b/>
          <w:u w:val="single"/>
        </w:rPr>
        <w:t>Findings of Fact and Conclusions of Law</w:t>
      </w:r>
    </w:p>
    <w:p>
      <w:pPr>
        <w:pStyle w:val="Header"/>
        <w:tabs>
          <w:tab w:val="clear" w:pos="4320"/>
          <w:tab w:val="clear" w:pos="8640"/>
        </w:tabs>
        <w:spacing w:line="480" w:lineRule="auto"/>
        <w:ind w:firstLine="720"/>
      </w:pPr>
      <w:r>
        <w:t>The parties’ Stipulation, including the court’s order approving the Stipulation, is attached hereto and hereby incorporated by reference, as if fully set forth herein.  Respondent stipulated, in this disciplinary matter, to violating rule 3-310(F) [failure to avoid representation of adverse interests]; and section 6068, subdivision (i) [failure to cooperate in a disciplinary investigation].</w:t>
      </w:r>
    </w:p>
    <w:p>
      <w:pPr>
        <w:pStyle w:val="Header"/>
        <w:tabs>
          <w:tab w:val="clear" w:pos="4320"/>
          <w:tab w:val="clear" w:pos="8640"/>
        </w:tabs>
        <w:spacing w:line="480" w:lineRule="auto"/>
        <w:ind w:firstLine="720"/>
      </w:pPr>
      <w:r>
        <w:t xml:space="preserve">In mitigation, respondent had no prior record of discipline.  In addition, respondent successfully completed the ADP.  Respondent’s successful completion of the ADP, which required his successful participation in the LAP, as well as the Certificate of One Year Participation in the Lawyer Assistance Program - Substance Abuse, qualify as clear and convincing evidence that respondent no longer suffers from the substance abuse issue which led to his misconduct.  Accordingly, it is appropriate to consider respondent’s successful completion of the ADP as a mitigating circumstance in this matter.  (Rules Proc. of State Bar, tit. IV, Stds. for Atty. Sanctions for Prof. Misconduct, std. 1.2(e)(iv).) </w:t>
      </w:r>
    </w:p>
    <w:p>
      <w:pPr>
        <w:pStyle w:val="Header"/>
        <w:tabs>
          <w:tab w:val="clear" w:pos="4320"/>
          <w:tab w:val="clear" w:pos="8640"/>
        </w:tabs>
        <w:spacing w:line="480" w:lineRule="auto"/>
        <w:ind w:firstLine="720"/>
      </w:pPr>
      <w:r>
        <w:t>No aggravating circumstances were involved.</w:t>
      </w:r>
    </w:p>
    <w:p>
      <w:pPr>
        <w:spacing w:line="480" w:lineRule="auto"/>
        <w:jc w:val="center"/>
        <w:rPr>
          <w:b/>
          <w:u w:val="single"/>
        </w:rPr>
      </w:pPr>
      <w:r>
        <w:rPr>
          <w:b/>
          <w:u w:val="single"/>
        </w:rPr>
        <w:t>Discussion</w:t>
      </w:r>
    </w:p>
    <w:p>
      <w:pPr>
        <w:pStyle w:val="Header"/>
        <w:tabs>
          <w:tab w:val="clear" w:pos="4320"/>
          <w:tab w:val="clear" w:pos="8640"/>
        </w:tabs>
        <w:spacing w:line="480" w:lineRule="auto"/>
        <w:ind w:firstLine="720"/>
      </w:pPr>
      <w:r>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pPr>
        <w:pStyle w:val="Header"/>
        <w:tabs>
          <w:tab w:val="clear" w:pos="4320"/>
          <w:tab w:val="clear" w:pos="8640"/>
        </w:tabs>
        <w:spacing w:line="480" w:lineRule="auto"/>
        <w:ind w:firstLine="720"/>
      </w:pPr>
      <w:r>
        <w:t xml:space="preserve">In determining the appropriate alternative discipline recommendations if respondent successfully completed the ADP or was terminated from, or failed to successfully complete, the ADP, the discipline recommended by the parties, as well as certain standards and case law were considered.  The standards and case law presented by the parties included standard 2.10, and </w:t>
      </w:r>
      <w:r>
        <w:rPr>
          <w:i/>
        </w:rPr>
        <w:t>In the Matter of Varakin</w:t>
      </w:r>
      <w:r>
        <w:t xml:space="preserve"> (Review Dept. 1994) 3 Cal. State Bar Ct. Rptr. 179; </w:t>
      </w:r>
      <w:r>
        <w:rPr>
          <w:i/>
        </w:rPr>
        <w:t>In the Matter of Valinoti</w:t>
      </w:r>
      <w:r>
        <w:t xml:space="preserve"> (Review Dept. 2002) 4 Cal. State Bar Ct. Rptr. 498; and </w:t>
      </w:r>
      <w:r>
        <w:rPr>
          <w:i/>
        </w:rPr>
        <w:t>In the Matter of Respondent V</w:t>
      </w:r>
      <w:r>
        <w:t xml:space="preserve"> (Review Dept. 1995) 3 Cal. State Bar Ct. Rptr. 442.  </w:t>
      </w:r>
    </w:p>
    <w:p>
      <w:pPr>
        <w:spacing w:line="480" w:lineRule="auto"/>
        <w:ind w:firstLine="720"/>
      </w:pPr>
      <w:r>
        <w:t xml:space="preserve">Because respondent has now successfully completed the ADP, this court, in turn, now orders the imposition of the lower level of discipline, set forth more fully below, contained in the Confidential Statement of Alternative Dispositions and Orders.  </w:t>
      </w:r>
    </w:p>
    <w:p>
      <w:pPr>
        <w:spacing w:line="480" w:lineRule="auto"/>
        <w:jc w:val="center"/>
        <w:rPr>
          <w:b/>
          <w:u w:val="single"/>
        </w:rPr>
      </w:pPr>
      <w:r>
        <w:rPr>
          <w:b/>
          <w:u w:val="single"/>
        </w:rPr>
        <w:t>Discipline Order</w:t>
      </w:r>
    </w:p>
    <w:p>
      <w:pPr>
        <w:spacing w:line="480" w:lineRule="auto"/>
        <w:ind w:firstLine="720"/>
      </w:pPr>
      <w:r>
        <w:t xml:space="preserve">Accordingly, it is ordered that respondent </w:t>
      </w:r>
      <w:r>
        <w:rPr>
          <w:b/>
        </w:rPr>
        <w:t>Francis Taylor Sarguis</w:t>
      </w:r>
      <w:r>
        <w:t>, State Bar Number 173100, is hereby privately reproved.  Pursuant to the provisions of rule 5.127(A) of the Rules of Procedure of the State Bar of California (Rules of Procedure), the private reproval will be effective when this decision becomes final.  Furthermore, pursuant to rule 9.19(a) of the California Rules of Court and rule 5.128 of the Rules of Procedure, the court finds that the interests of respondent and the protection of the public will be served by the following specified conditions being attached to the private reproval imposed in this matter.  Failure to comply with any conditions attached to this private reproval may constitute cause for a separate proceeding for willful breach of rule 1-110 of the Rules of Professional Conduct of the State Bar of California.  Respondent is hereby ordered to comply with the following conditions attached to his private reproval for a period of one year following the effective date of the private reproval imposed in this matter:</w:t>
      </w:r>
    </w:p>
    <w:p>
      <w:pPr>
        <w:ind w:left="1440" w:hanging="720"/>
      </w:pPr>
      <w:r>
        <w:t xml:space="preserve">1. </w:t>
      </w:r>
      <w:r>
        <w:tab/>
        <w:t>During the reproval period, respondent must comply with the provisions of the State Bar Act and Rules of Professional Conduct;</w:t>
      </w:r>
    </w:p>
    <w:p>
      <w:pPr>
        <w:ind w:left="1440" w:hanging="720"/>
      </w:pPr>
    </w:p>
    <w:p>
      <w:pPr>
        <w:ind w:left="1440" w:hanging="720"/>
      </w:pPr>
      <w:r>
        <w:t xml:space="preserve">2. </w:t>
      </w:r>
      <w:r>
        <w:tab/>
        <w:t xml:space="preserve">Within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pPr>
        <w:ind w:left="1440" w:hanging="720"/>
      </w:pPr>
    </w:p>
    <w:p>
      <w:pPr>
        <w:ind w:left="1440" w:hanging="720"/>
      </w:pPr>
      <w:r>
        <w:t xml:space="preserve">3. </w:t>
      </w:r>
      <w:r>
        <w:tab/>
        <w:t xml:space="preserve">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pPr>
        <w:ind w:left="1440" w:hanging="720"/>
      </w:pPr>
    </w:p>
    <w:p>
      <w:pPr>
        <w:ind w:left="1440" w:hanging="720"/>
      </w:pPr>
      <w:r>
        <w:t xml:space="preserve">4. </w:t>
      </w:r>
      <w:r>
        <w:tab/>
        <w:t>Respondent must submit written quarterly reports to the Office of Probation on each January 10, April 10, July 10 and October 10 of the period of reproval.  Under penalty of perjury, respondent must state whether respondent has complied with the State Bar Act, the Rules of Professional Conduct, and all reproval conditions during the preceding calendar quarter.  Respondent must also state whether there are any proceedings pending against him in the State Bar Court and if so, the case number and current status of that proceeding.  If the first report would cover less than 30 days, that report must be submitted on the next quarter date, and cover the extended period.</w:t>
      </w:r>
    </w:p>
    <w:p>
      <w:pPr>
        <w:ind w:left="1440" w:hanging="720"/>
      </w:pPr>
    </w:p>
    <w:p>
      <w:pPr>
        <w:ind w:left="1440"/>
      </w:pPr>
      <w:r>
        <w:t>In addition to all quarterly reports, a final report, containing the same information, is due no earlier than 20 days before the last day of the reproval period and no later than the last day of the reproval period;</w:t>
      </w:r>
    </w:p>
    <w:p>
      <w:pPr>
        <w:ind w:left="1440"/>
      </w:pPr>
    </w:p>
    <w:p>
      <w:pPr>
        <w:ind w:left="1440" w:hanging="720"/>
      </w:pPr>
      <w:r>
        <w:t xml:space="preserve">5. </w:t>
      </w:r>
      <w:r>
        <w:tab/>
        <w:t>Subject to the assertion of applicable privileges, respondent must answer fully, promptly and truthfully, any inquiries of the Office of Probation which are directed to respondent personally or in writing relating to whether respondent is complying or has complied with the reproval conditions;</w:t>
      </w:r>
    </w:p>
    <w:p>
      <w:pPr>
        <w:ind w:left="1440" w:hanging="720"/>
      </w:pPr>
    </w:p>
    <w:p>
      <w:pPr>
        <w:ind w:left="1440" w:hanging="720"/>
      </w:pPr>
      <w:r>
        <w:t xml:space="preserve">6. </w:t>
      </w:r>
      <w:r>
        <w:tab/>
        <w:t xml:space="preserve">Within one year of the effective date of the discipline herein, respondent must provide to the Office of Probation satisfactory proof of attendance at a session of the State Bar Ethics School, and passage of the test given at the end of that session;  </w:t>
      </w:r>
    </w:p>
    <w:p>
      <w:pPr>
        <w:ind w:left="1440" w:hanging="720"/>
      </w:pPr>
    </w:p>
    <w:p>
      <w:pPr>
        <w:ind w:left="1440" w:hanging="720"/>
      </w:pPr>
      <w:r>
        <w:t xml:space="preserve">7. </w:t>
      </w:r>
      <w:r>
        <w:tab/>
        <w:t>Respondent must comply with all provisions and conditions of his Participation Plan/Agreement with the Lawyer Assistance Program (LAP) and must provide the Office of Probation with certification of completion of the LAP.  Respondent must immediately report any non-compliance with any provision(s) or condition(s) of his Participation Plan/Agreement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 and</w:t>
      </w:r>
    </w:p>
    <w:p>
      <w:pPr>
        <w:ind w:left="1440" w:hanging="720"/>
      </w:pPr>
    </w:p>
    <w:p>
      <w:pPr>
        <w:ind w:left="1440" w:hanging="720"/>
      </w:pPr>
      <w:r>
        <w:t xml:space="preserve">8. </w:t>
      </w:r>
      <w:r>
        <w:tab/>
        <w:t>The period during which these conditions are in effect will commence upon the date this decision imposing the private reproval becomes final.</w:t>
      </w:r>
    </w:p>
    <w:p>
      <w:pPr>
        <w:ind w:left="1440" w:hanging="720"/>
      </w:pPr>
    </w:p>
    <w:p>
      <w:pPr>
        <w:pStyle w:val="Header"/>
        <w:tabs>
          <w:tab w:val="clear" w:pos="4320"/>
          <w:tab w:val="clear" w:pos="8640"/>
        </w:tabs>
        <w:spacing w:line="480" w:lineRule="auto"/>
        <w:rPr>
          <w:b/>
        </w:rPr>
      </w:pPr>
      <w:r>
        <w:rPr>
          <w:b/>
        </w:rPr>
        <w:t>Multistate Professional Responsibility Examination</w:t>
      </w:r>
    </w:p>
    <w:p>
      <w:pPr>
        <w:pStyle w:val="Header"/>
        <w:tabs>
          <w:tab w:val="clear" w:pos="4320"/>
          <w:tab w:val="clear" w:pos="8640"/>
        </w:tabs>
        <w:spacing w:line="480" w:lineRule="auto"/>
        <w:ind w:firstLine="720"/>
      </w:pPr>
      <w:r>
        <w:t>It is also ordered that respondent take and pass the Multistate Professional Responsibility Examination (MPRE) administered by the National Conference of Bar Examiners, MPRE Application Department, P.O. Box 4001, Iowa City, Iowa, 52243, (telephone 319-337-1287) and provide proof of passage to the Office of Probation in Los Angeles, within one year after the effective date of the discipline herein.  Failure to pass the MPRE within the specified time may result in suspension.  (But see Cal. Rules of Court, rule 9.10(b), and Rules Proc. of State Bar, rule 5.162.)</w:t>
      </w:r>
    </w:p>
    <w:p>
      <w:pPr>
        <w:spacing w:line="480" w:lineRule="auto"/>
        <w:jc w:val="center"/>
        <w:rPr>
          <w:b/>
          <w:u w:val="single"/>
        </w:rPr>
      </w:pPr>
      <w:r>
        <w:rPr>
          <w:b/>
          <w:u w:val="single"/>
        </w:rPr>
        <w:t>Direction Re Decision and Order Sealing Certain Documents</w:t>
      </w:r>
    </w:p>
    <w:p>
      <w:pPr>
        <w:spacing w:line="480" w:lineRule="auto"/>
        <w:ind w:firstLine="720"/>
      </w:pPr>
      <w:r>
        <w:t>The court directs a court case administrator to file this Decision and Discipline Order; Order Sealing Certain Documents.  Thereafter, pursuant to rule 5.388 of the Rules of Procedure, all other documents not previously filed in this matter are ordered sealed pursuant to rule 5.12 of the Rules of Procedure.</w:t>
      </w:r>
    </w:p>
    <w:p>
      <w:pPr>
        <w:spacing w:line="480" w:lineRule="auto"/>
        <w:ind w:firstLine="720"/>
      </w:pPr>
      <w:r>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pPr>
        <w:spacing w:line="480" w:lineRule="auto"/>
        <w:ind w:firstLine="720"/>
        <w:rPr>
          <w:b/>
        </w:rPr>
      </w:pPr>
      <w:r>
        <w:rPr>
          <w:b/>
        </w:rPr>
        <w:t>IT IS SO ORDERED.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September _____, 2011</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3011"/>
    <w:multiLevelType w:val="hybridMultilevel"/>
    <w:tmpl w:val="55E00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cumentProtection w:edit="forms" w:enforcement="1" w:cryptProviderType="rsaFull" w:cryptAlgorithmClass="hash" w:cryptAlgorithmType="typeAny" w:cryptAlgorithmSid="4" w:cryptSpinCount="100000" w:hash="jo73KpANzobtg+1YG8M7shMD2/g=" w:salt="uJvAEsSMi0/tH4uDskIV6Q=="/>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character" w:customStyle="1" w:styleId="HeaderChar">
    <w:name w:val="Header Char"/>
    <w:basedOn w:val="DefaultParagraphFont"/>
    <w:link w:val="Header"/>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1715</Words>
  <Characters>9333</Characters>
  <Application>Microsoft Office Word</Application>
  <DocSecurity>0</DocSecurity>
  <Lines>194</Lines>
  <Paragraphs>65</Paragraphs>
  <ScaleCrop>false</ScaleCrop>
  <Company>
  </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2011-09-08T22:24:00Z</dcterms:created>
  <dcterms:modified xsi:type="dcterms:W3CDTF">2011-09-08T22:24:00Z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