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1B5DEC" w:rsidP="00497A94">
      <w:pPr>
        <w:pStyle w:val="Footnote"/>
      </w:pPr>
      <w:bookmarkStart w:id="0" w:name="designation"/>
      <w:bookmarkEnd w:id="0"/>
      <w:r>
        <w:t>PUBLIC MATTER - NOT DESIGNATED FOR PUBLICATION</w:t>
      </w:r>
    </w:p>
    <w:p w:rsidR="00C11CC8" w:rsidRDefault="00C11CC8"/>
    <w:p w:rsidR="00F6159D" w:rsidRPr="001B4BB0" w:rsidRDefault="00C51DAC" w:rsidP="00C51DAC">
      <w:pPr>
        <w:jc w:val="right"/>
        <w:rPr>
          <w:b/>
        </w:rPr>
      </w:pPr>
      <w:r w:rsidRPr="001B4BB0">
        <w:rPr>
          <w:b/>
        </w:rPr>
        <w:t>FILED JULY 1, 2010</w:t>
      </w:r>
    </w:p>
    <w:p w:rsidR="00452DB6" w:rsidRPr="00C11CC8" w:rsidRDefault="00452DB6"/>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Style w:val="TableGrid"/>
        <w:tblW w:w="0" w:type="auto"/>
        <w:tblLook w:val="04A0"/>
      </w:tblPr>
      <w:tblGrid>
        <w:gridCol w:w="4367"/>
        <w:gridCol w:w="899"/>
        <w:gridCol w:w="4202"/>
      </w:tblGrid>
      <w:tr w:rsidR="00C11CC8" w:rsidRPr="00C11CC8" w:rsidTr="007F537A">
        <w:tc>
          <w:tcPr>
            <w:tcW w:w="4416"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497A94" w:rsidRDefault="0057623C" w:rsidP="009216E0">
            <w:pPr>
              <w:spacing w:line="240" w:lineRule="auto"/>
              <w:rPr>
                <w:b/>
              </w:rPr>
            </w:pPr>
            <w:bookmarkStart w:id="1" w:name="Respondent"/>
            <w:bookmarkEnd w:id="1"/>
            <w:r w:rsidRPr="0057623C">
              <w:rPr>
                <w:b/>
              </w:rPr>
              <w:t xml:space="preserve">DAVID </w:t>
            </w:r>
            <w:proofErr w:type="spellStart"/>
            <w:r w:rsidRPr="0057623C">
              <w:rPr>
                <w:b/>
              </w:rPr>
              <w:t>C</w:t>
            </w:r>
            <w:r w:rsidR="0034698E">
              <w:rPr>
                <w:b/>
              </w:rPr>
              <w:t>HIPMAN</w:t>
            </w:r>
            <w:proofErr w:type="spellEnd"/>
            <w:r w:rsidRPr="0057623C">
              <w:rPr>
                <w:b/>
              </w:rPr>
              <w:t xml:space="preserve"> </w:t>
            </w:r>
            <w:proofErr w:type="spellStart"/>
            <w:r w:rsidRPr="0057623C">
              <w:rPr>
                <w:b/>
              </w:rPr>
              <w:t>VENIE</w:t>
            </w:r>
            <w:proofErr w:type="spellEnd"/>
            <w:r w:rsidR="00C11CC8" w:rsidRPr="00497A94">
              <w:rPr>
                <w:b/>
              </w:rPr>
              <w:t>,</w:t>
            </w:r>
          </w:p>
          <w:p w:rsidR="009216E0" w:rsidRDefault="009216E0" w:rsidP="009216E0">
            <w:pPr>
              <w:spacing w:line="240" w:lineRule="auto"/>
            </w:pPr>
          </w:p>
          <w:p w:rsidR="009216E0" w:rsidRPr="009216E0" w:rsidRDefault="001B5DEC" w:rsidP="009216E0">
            <w:pPr>
              <w:spacing w:line="240" w:lineRule="auto"/>
            </w:pPr>
            <w:bookmarkStart w:id="2" w:name="type"/>
            <w:bookmarkEnd w:id="2"/>
            <w:r>
              <w:t>A Member of the State Bar.</w:t>
            </w:r>
          </w:p>
          <w:p w:rsidR="009216E0" w:rsidRPr="00C11CC8" w:rsidRDefault="009216E0" w:rsidP="009216E0">
            <w:pPr>
              <w:spacing w:line="240" w:lineRule="auto"/>
            </w:pPr>
          </w:p>
        </w:tc>
        <w:tc>
          <w:tcPr>
            <w:tcW w:w="912"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4248" w:type="dxa"/>
            <w:tcBorders>
              <w:top w:val="nil"/>
              <w:left w:val="nil"/>
              <w:bottom w:val="nil"/>
              <w:right w:val="nil"/>
            </w:tcBorders>
          </w:tcPr>
          <w:p w:rsidR="00C11CC8" w:rsidRPr="0034698E" w:rsidRDefault="00C11CC8" w:rsidP="009216E0">
            <w:pPr>
              <w:spacing w:line="240" w:lineRule="auto"/>
            </w:pPr>
            <w:r>
              <w:t>No</w:t>
            </w:r>
            <w:r w:rsidR="0034698E">
              <w:t>s</w:t>
            </w:r>
            <w:r w:rsidRPr="00497A94">
              <w:rPr>
                <w:b/>
              </w:rPr>
              <w:t>.</w:t>
            </w:r>
            <w:r w:rsidR="009216E0" w:rsidRPr="00497A94">
              <w:rPr>
                <w:b/>
              </w:rPr>
              <w:t xml:space="preserve"> </w:t>
            </w:r>
            <w:bookmarkStart w:id="3" w:name="caseno"/>
            <w:bookmarkEnd w:id="3"/>
            <w:r w:rsidR="001B5DEC">
              <w:rPr>
                <w:b/>
              </w:rPr>
              <w:t>08-O-11949</w:t>
            </w:r>
            <w:r w:rsidR="0034698E">
              <w:rPr>
                <w:b/>
              </w:rPr>
              <w:t xml:space="preserve"> </w:t>
            </w:r>
            <w:r w:rsidR="0034698E" w:rsidRPr="0034698E">
              <w:t>(</w:t>
            </w:r>
            <w:r w:rsidR="001B5DEC" w:rsidRPr="0034698E">
              <w:t>06-O</w:t>
            </w:r>
            <w:r w:rsidR="00CD6B3C" w:rsidRPr="0034698E">
              <w:t>-</w:t>
            </w:r>
            <w:r w:rsidR="001B5DEC" w:rsidRPr="0034698E">
              <w:t>14316</w:t>
            </w:r>
            <w:r w:rsidR="0034698E" w:rsidRPr="0034698E">
              <w:t>)</w:t>
            </w:r>
          </w:p>
          <w:p w:rsidR="009216E0" w:rsidRDefault="009216E0" w:rsidP="009216E0">
            <w:pPr>
              <w:spacing w:line="240" w:lineRule="auto"/>
            </w:pPr>
          </w:p>
          <w:p w:rsidR="007F537A" w:rsidRDefault="001B5DEC" w:rsidP="009216E0">
            <w:pPr>
              <w:spacing w:line="240" w:lineRule="auto"/>
              <w:rPr>
                <w:b/>
              </w:rPr>
            </w:pPr>
            <w:bookmarkStart w:id="4" w:name="title"/>
            <w:bookmarkEnd w:id="4"/>
            <w:r>
              <w:rPr>
                <w:b/>
              </w:rPr>
              <w:t>OPINION ON REVIEW</w:t>
            </w:r>
          </w:p>
          <w:p w:rsidR="002242E1" w:rsidRPr="009216E0" w:rsidRDefault="002242E1" w:rsidP="00255C02">
            <w:pPr>
              <w:spacing w:line="240" w:lineRule="auto"/>
              <w:rPr>
                <w:b/>
              </w:rPr>
            </w:pPr>
          </w:p>
        </w:tc>
      </w:tr>
    </w:tbl>
    <w:p w:rsidR="0051500E" w:rsidRDefault="0051500E" w:rsidP="007642B9">
      <w:pPr>
        <w:ind w:firstLine="720"/>
      </w:pPr>
    </w:p>
    <w:p w:rsidR="00470848" w:rsidRDefault="00285EAC" w:rsidP="00470848">
      <w:pPr>
        <w:ind w:firstLine="720"/>
      </w:pPr>
      <w:r>
        <w:t>Respondent</w:t>
      </w:r>
      <w:r w:rsidR="00440332">
        <w:t>,</w:t>
      </w:r>
      <w:r w:rsidR="007642B9" w:rsidRPr="002713D5">
        <w:t xml:space="preserve"> </w:t>
      </w:r>
      <w:r w:rsidR="00060FAA">
        <w:t xml:space="preserve">David </w:t>
      </w:r>
      <w:proofErr w:type="spellStart"/>
      <w:r w:rsidR="00060FAA">
        <w:t>C</w:t>
      </w:r>
      <w:r w:rsidR="0034698E">
        <w:t>hipman</w:t>
      </w:r>
      <w:proofErr w:type="spellEnd"/>
      <w:r w:rsidR="00060FAA">
        <w:t xml:space="preserve"> </w:t>
      </w:r>
      <w:proofErr w:type="spellStart"/>
      <w:r w:rsidR="00060FAA">
        <w:t>Venie</w:t>
      </w:r>
      <w:proofErr w:type="spellEnd"/>
      <w:r w:rsidR="00060FAA">
        <w:t>, is appealing a</w:t>
      </w:r>
      <w:r w:rsidR="002B5920">
        <w:t xml:space="preserve"> </w:t>
      </w:r>
      <w:r w:rsidR="00F5356F">
        <w:t xml:space="preserve">hearing judge’s </w:t>
      </w:r>
      <w:r w:rsidR="002B5920">
        <w:t xml:space="preserve">decision finding </w:t>
      </w:r>
      <w:r w:rsidR="00060FAA">
        <w:t>that letters</w:t>
      </w:r>
      <w:r w:rsidR="00F5356F">
        <w:t xml:space="preserve"> </w:t>
      </w:r>
      <w:r w:rsidR="00114AFE">
        <w:t xml:space="preserve">he sent to inmates to </w:t>
      </w:r>
      <w:r w:rsidR="00F5356F">
        <w:t>advertis</w:t>
      </w:r>
      <w:r w:rsidR="00114AFE">
        <w:t>e hi</w:t>
      </w:r>
      <w:r w:rsidR="00F5356F">
        <w:t xml:space="preserve">s professional services </w:t>
      </w:r>
      <w:r w:rsidR="003B51A4">
        <w:t>were deceptive</w:t>
      </w:r>
      <w:r w:rsidR="0051500E">
        <w:t>,</w:t>
      </w:r>
      <w:r w:rsidR="003B51A4">
        <w:t xml:space="preserve"> </w:t>
      </w:r>
      <w:r w:rsidR="00541D15">
        <w:t xml:space="preserve">in </w:t>
      </w:r>
      <w:r w:rsidR="00282B50">
        <w:t>violat</w:t>
      </w:r>
      <w:r w:rsidR="00541D15">
        <w:t xml:space="preserve">ion of </w:t>
      </w:r>
      <w:r w:rsidR="00EF05A2">
        <w:t xml:space="preserve">rule 1-400(D) of the </w:t>
      </w:r>
      <w:r w:rsidR="003B51A4">
        <w:t>Rule</w:t>
      </w:r>
      <w:r w:rsidR="00EF05A2">
        <w:t>s</w:t>
      </w:r>
      <w:r w:rsidR="003B51A4">
        <w:t xml:space="preserve"> of Professional Conduct</w:t>
      </w:r>
      <w:r w:rsidR="0068453D">
        <w:rPr>
          <w:rStyle w:val="FootnoteReference"/>
        </w:rPr>
        <w:footnoteReference w:id="2"/>
      </w:r>
      <w:r w:rsidR="00541D15">
        <w:t xml:space="preserve"> </w:t>
      </w:r>
      <w:r w:rsidR="003B51A4">
        <w:t>and</w:t>
      </w:r>
      <w:r w:rsidR="00F5356F">
        <w:t xml:space="preserve"> section 6106 of the</w:t>
      </w:r>
      <w:r w:rsidR="00FA4543">
        <w:t xml:space="preserve"> </w:t>
      </w:r>
      <w:r w:rsidR="003B51A4">
        <w:t xml:space="preserve">Business and </w:t>
      </w:r>
      <w:r w:rsidR="00EF05A2">
        <w:t>Professions Code</w:t>
      </w:r>
      <w:r w:rsidR="00FA4543">
        <w:t>.</w:t>
      </w:r>
      <w:r w:rsidR="00EF05A2">
        <w:rPr>
          <w:rStyle w:val="FootnoteReference"/>
        </w:rPr>
        <w:footnoteReference w:id="3"/>
      </w:r>
      <w:r w:rsidR="00FA4543">
        <w:t xml:space="preserve">  </w:t>
      </w:r>
      <w:r w:rsidR="00913CB4">
        <w:t>T</w:t>
      </w:r>
      <w:r w:rsidR="007642B9">
        <w:t>he</w:t>
      </w:r>
      <w:r w:rsidR="00FA4543">
        <w:t xml:space="preserve"> hearing judge </w:t>
      </w:r>
      <w:r w:rsidR="007642B9">
        <w:t>recommend</w:t>
      </w:r>
      <w:r w:rsidR="00FA4543">
        <w:t>ed</w:t>
      </w:r>
      <w:r w:rsidR="00913CB4">
        <w:t xml:space="preserve">, </w:t>
      </w:r>
      <w:r w:rsidR="00FA4543">
        <w:t xml:space="preserve">inter alia, </w:t>
      </w:r>
      <w:r w:rsidR="00913CB4">
        <w:t xml:space="preserve">that </w:t>
      </w:r>
      <w:proofErr w:type="spellStart"/>
      <w:r w:rsidR="00906E9D">
        <w:t>Venie</w:t>
      </w:r>
      <w:proofErr w:type="spellEnd"/>
      <w:r w:rsidR="007642B9">
        <w:t xml:space="preserve"> be placed on actual suspension for 30 days</w:t>
      </w:r>
      <w:r w:rsidR="00FA4543">
        <w:t xml:space="preserve">. </w:t>
      </w:r>
      <w:r w:rsidR="00595C98">
        <w:t xml:space="preserve"> </w:t>
      </w:r>
      <w:r w:rsidR="00470848">
        <w:t>Although the State Bar has not appealed the hearing judge’s decision, it</w:t>
      </w:r>
      <w:r w:rsidR="00470848" w:rsidRPr="002713D5">
        <w:t xml:space="preserve"> urge</w:t>
      </w:r>
      <w:r w:rsidR="00470848">
        <w:t xml:space="preserve">d below </w:t>
      </w:r>
      <w:r w:rsidR="00470848" w:rsidRPr="002713D5">
        <w:t xml:space="preserve">that </w:t>
      </w:r>
      <w:proofErr w:type="spellStart"/>
      <w:r w:rsidR="00470848">
        <w:t>Venie</w:t>
      </w:r>
      <w:proofErr w:type="spellEnd"/>
      <w:r w:rsidR="00470848" w:rsidRPr="002713D5">
        <w:t xml:space="preserve"> </w:t>
      </w:r>
      <w:r w:rsidR="00470848">
        <w:t xml:space="preserve">should </w:t>
      </w:r>
      <w:r w:rsidR="00470848" w:rsidRPr="002713D5">
        <w:t xml:space="preserve">be </w:t>
      </w:r>
      <w:r w:rsidR="00470848">
        <w:t xml:space="preserve">actually suspended from the practice of law for a period of 60 days.  </w:t>
      </w:r>
      <w:proofErr w:type="spellStart"/>
      <w:r w:rsidR="00470848">
        <w:t>Venie</w:t>
      </w:r>
      <w:proofErr w:type="spellEnd"/>
      <w:r w:rsidR="00470848">
        <w:t xml:space="preserve"> </w:t>
      </w:r>
      <w:r w:rsidR="00470848" w:rsidRPr="002713D5">
        <w:t>argues that</w:t>
      </w:r>
      <w:r w:rsidR="00470848">
        <w:t xml:space="preserve"> a public </w:t>
      </w:r>
      <w:proofErr w:type="spellStart"/>
      <w:r w:rsidR="00470848">
        <w:t>reproval</w:t>
      </w:r>
      <w:proofErr w:type="spellEnd"/>
      <w:r w:rsidR="00C4323A">
        <w:t>, at most,</w:t>
      </w:r>
      <w:r w:rsidR="00470848">
        <w:t xml:space="preserve"> should be imposed.  </w:t>
      </w:r>
    </w:p>
    <w:p w:rsidR="00411BD5" w:rsidRDefault="00D531A4" w:rsidP="00411BD5">
      <w:pPr>
        <w:ind w:firstLine="720"/>
      </w:pPr>
      <w:r>
        <w:t>Having</w:t>
      </w:r>
      <w:r w:rsidR="009914C1">
        <w:t xml:space="preserve"> independent</w:t>
      </w:r>
      <w:r>
        <w:t xml:space="preserve">ly </w:t>
      </w:r>
      <w:r w:rsidR="009914C1">
        <w:t>review</w:t>
      </w:r>
      <w:r>
        <w:t>ed</w:t>
      </w:r>
      <w:r w:rsidR="009914C1">
        <w:t xml:space="preserve"> the record </w:t>
      </w:r>
      <w:r w:rsidR="009B3A2B">
        <w:t>(</w:t>
      </w:r>
      <w:r w:rsidR="009B3A2B">
        <w:rPr>
          <w:i/>
          <w:iCs/>
        </w:rPr>
        <w:t>In re Morse</w:t>
      </w:r>
      <w:r w:rsidR="009B3A2B">
        <w:t xml:space="preserve"> (1995) 11 </w:t>
      </w:r>
      <w:proofErr w:type="spellStart"/>
      <w:r w:rsidR="009B3A2B">
        <w:t>Cal.4th</w:t>
      </w:r>
      <w:proofErr w:type="spellEnd"/>
      <w:r w:rsidR="009B3A2B">
        <w:t xml:space="preserve"> 184, 207)</w:t>
      </w:r>
      <w:r w:rsidR="00293E84">
        <w:t>, we find</w:t>
      </w:r>
      <w:r w:rsidR="009914C1">
        <w:t xml:space="preserve"> clear and convincing evidence </w:t>
      </w:r>
      <w:r w:rsidR="00293E84">
        <w:t xml:space="preserve">in </w:t>
      </w:r>
      <w:r w:rsidR="009914C1">
        <w:t>support</w:t>
      </w:r>
      <w:r w:rsidR="00293E84">
        <w:t xml:space="preserve"> of</w:t>
      </w:r>
      <w:r w:rsidR="009914C1">
        <w:t xml:space="preserve"> the hearing judge’s culpability determinations</w:t>
      </w:r>
      <w:r w:rsidR="002B5920">
        <w:t>, with the modifications noted below</w:t>
      </w:r>
      <w:r w:rsidR="00411BD5">
        <w:t xml:space="preserve">.  </w:t>
      </w:r>
      <w:r w:rsidR="00E41354">
        <w:t xml:space="preserve">However, </w:t>
      </w:r>
      <w:r w:rsidR="00470848">
        <w:t>our independent review authorizes us to increase the recommended discipline if we deem it appropriate, regardless of whether the State Bar has appealed.  (</w:t>
      </w:r>
      <w:r w:rsidR="00470848" w:rsidRPr="00470848">
        <w:rPr>
          <w:i/>
        </w:rPr>
        <w:t>Ibid</w:t>
      </w:r>
      <w:r w:rsidR="00470848">
        <w:t xml:space="preserve">.)  We find it appropriate in this case, </w:t>
      </w:r>
      <w:r w:rsidR="00E41354">
        <w:rPr>
          <w:bCs/>
        </w:rPr>
        <w:t xml:space="preserve">in view of </w:t>
      </w:r>
      <w:proofErr w:type="spellStart"/>
      <w:r w:rsidR="00E41354">
        <w:rPr>
          <w:bCs/>
        </w:rPr>
        <w:t>Venie’s</w:t>
      </w:r>
      <w:proofErr w:type="spellEnd"/>
      <w:r w:rsidR="00E41354">
        <w:rPr>
          <w:bCs/>
        </w:rPr>
        <w:t xml:space="preserve"> repeated deceptions </w:t>
      </w:r>
      <w:r w:rsidR="00E41354">
        <w:rPr>
          <w:bCs/>
        </w:rPr>
        <w:lastRenderedPageBreak/>
        <w:t xml:space="preserve">involving moral turpitude, </w:t>
      </w:r>
      <w:r w:rsidR="00470848">
        <w:rPr>
          <w:bCs/>
        </w:rPr>
        <w:t xml:space="preserve">and recommend </w:t>
      </w:r>
      <w:r w:rsidR="00E41354">
        <w:rPr>
          <w:bCs/>
        </w:rPr>
        <w:t>that</w:t>
      </w:r>
      <w:r w:rsidR="00470848">
        <w:rPr>
          <w:bCs/>
        </w:rPr>
        <w:t xml:space="preserve"> </w:t>
      </w:r>
      <w:proofErr w:type="spellStart"/>
      <w:r w:rsidR="00470848">
        <w:rPr>
          <w:bCs/>
        </w:rPr>
        <w:t>Venie</w:t>
      </w:r>
      <w:proofErr w:type="spellEnd"/>
      <w:r w:rsidR="00470848">
        <w:rPr>
          <w:bCs/>
        </w:rPr>
        <w:t xml:space="preserve"> be</w:t>
      </w:r>
      <w:r>
        <w:rPr>
          <w:bCs/>
        </w:rPr>
        <w:t xml:space="preserve"> actually</w:t>
      </w:r>
      <w:r w:rsidR="00470848">
        <w:rPr>
          <w:bCs/>
        </w:rPr>
        <w:t xml:space="preserve"> suspended</w:t>
      </w:r>
      <w:r>
        <w:rPr>
          <w:bCs/>
        </w:rPr>
        <w:t xml:space="preserve"> for</w:t>
      </w:r>
      <w:r w:rsidR="00E41354">
        <w:rPr>
          <w:bCs/>
        </w:rPr>
        <w:t xml:space="preserve"> 9</w:t>
      </w:r>
      <w:r w:rsidR="00411BD5">
        <w:rPr>
          <w:bCs/>
        </w:rPr>
        <w:t>0 days</w:t>
      </w:r>
      <w:r>
        <w:rPr>
          <w:bCs/>
        </w:rPr>
        <w:t xml:space="preserve">, </w:t>
      </w:r>
      <w:r w:rsidR="00470848">
        <w:rPr>
          <w:bCs/>
        </w:rPr>
        <w:t xml:space="preserve">which </w:t>
      </w:r>
      <w:r w:rsidR="00E41354">
        <w:rPr>
          <w:bCs/>
        </w:rPr>
        <w:t xml:space="preserve">is consistent with the </w:t>
      </w:r>
      <w:r w:rsidR="00411BD5">
        <w:rPr>
          <w:bCs/>
        </w:rPr>
        <w:t>applicable standards</w:t>
      </w:r>
      <w:r w:rsidR="0034698E">
        <w:rPr>
          <w:rStyle w:val="FootnoteReference"/>
          <w:rFonts w:eastAsiaTheme="majorEastAsia"/>
        </w:rPr>
        <w:footnoteReference w:id="4"/>
      </w:r>
      <w:r w:rsidR="00411BD5">
        <w:rPr>
          <w:bCs/>
        </w:rPr>
        <w:t xml:space="preserve"> and the relevant decisional law.  </w:t>
      </w:r>
    </w:p>
    <w:p w:rsidR="007642B9" w:rsidRPr="00944A84" w:rsidRDefault="007642B9" w:rsidP="007642B9">
      <w:pPr>
        <w:jc w:val="center"/>
      </w:pPr>
      <w:r w:rsidRPr="002713D5">
        <w:rPr>
          <w:b/>
          <w:bCs/>
        </w:rPr>
        <w:t>I.  PROCEDURAL</w:t>
      </w:r>
      <w:r w:rsidR="00FA4543">
        <w:rPr>
          <w:b/>
          <w:bCs/>
        </w:rPr>
        <w:t xml:space="preserve"> </w:t>
      </w:r>
      <w:r w:rsidR="00293E84">
        <w:rPr>
          <w:b/>
          <w:bCs/>
        </w:rPr>
        <w:t xml:space="preserve">AND </w:t>
      </w:r>
      <w:r w:rsidR="00FA4543">
        <w:rPr>
          <w:b/>
          <w:bCs/>
        </w:rPr>
        <w:t>FACTUAL</w:t>
      </w:r>
      <w:r w:rsidRPr="002713D5">
        <w:rPr>
          <w:b/>
          <w:bCs/>
        </w:rPr>
        <w:t xml:space="preserve"> </w:t>
      </w:r>
      <w:r w:rsidR="00D150B0">
        <w:rPr>
          <w:b/>
          <w:bCs/>
        </w:rPr>
        <w:t>BACKGROUND</w:t>
      </w:r>
    </w:p>
    <w:p w:rsidR="007642B9" w:rsidRPr="002713D5" w:rsidRDefault="00913CB4" w:rsidP="00913CB4">
      <w:pPr>
        <w:ind w:firstLine="720"/>
      </w:pPr>
      <w:proofErr w:type="spellStart"/>
      <w:r>
        <w:t>Venie</w:t>
      </w:r>
      <w:proofErr w:type="spellEnd"/>
      <w:r w:rsidR="00FA4543" w:rsidRPr="002713D5">
        <w:t xml:space="preserve"> was admitted to the practice of law in California </w:t>
      </w:r>
      <w:r w:rsidR="00FA4543">
        <w:t>i</w:t>
      </w:r>
      <w:r w:rsidR="00FA4543" w:rsidRPr="002713D5">
        <w:t xml:space="preserve">n </w:t>
      </w:r>
      <w:r w:rsidR="00FA4543">
        <w:t>December</w:t>
      </w:r>
      <w:r w:rsidR="00FA4543" w:rsidRPr="002713D5">
        <w:t xml:space="preserve"> </w:t>
      </w:r>
      <w:r w:rsidR="00FA4543">
        <w:t>1999</w:t>
      </w:r>
      <w:r w:rsidR="00FA4543" w:rsidRPr="002713D5">
        <w:t>,</w:t>
      </w:r>
      <w:r w:rsidR="00FA4543">
        <w:t xml:space="preserve"> and he has no prior disciplinary history.  </w:t>
      </w:r>
      <w:r w:rsidR="007642B9" w:rsidRPr="002713D5">
        <w:t xml:space="preserve">The State Bar </w:t>
      </w:r>
      <w:r>
        <w:t>filed a N</w:t>
      </w:r>
      <w:r w:rsidR="007642B9" w:rsidRPr="002713D5">
        <w:t xml:space="preserve">otice of </w:t>
      </w:r>
      <w:r>
        <w:t>D</w:t>
      </w:r>
      <w:r w:rsidR="007642B9" w:rsidRPr="002713D5">
        <w:t xml:space="preserve">isciplinary </w:t>
      </w:r>
      <w:r>
        <w:t>C</w:t>
      </w:r>
      <w:r w:rsidR="007642B9" w:rsidRPr="002713D5">
        <w:t>harges (</w:t>
      </w:r>
      <w:proofErr w:type="spellStart"/>
      <w:r w:rsidR="007642B9" w:rsidRPr="002713D5">
        <w:t>NDC</w:t>
      </w:r>
      <w:proofErr w:type="spellEnd"/>
      <w:r w:rsidR="007642B9" w:rsidRPr="002713D5">
        <w:t xml:space="preserve">) on </w:t>
      </w:r>
      <w:r w:rsidR="007642B9">
        <w:t xml:space="preserve">August 18, </w:t>
      </w:r>
      <w:r w:rsidR="007642B9" w:rsidRPr="002713D5">
        <w:t>200</w:t>
      </w:r>
      <w:r w:rsidR="007642B9">
        <w:t>8</w:t>
      </w:r>
      <w:r>
        <w:t xml:space="preserve">, charging </w:t>
      </w:r>
      <w:r w:rsidR="00293E84">
        <w:t>him</w:t>
      </w:r>
      <w:r>
        <w:t xml:space="preserve"> with two violations of rule 1-400(D) </w:t>
      </w:r>
      <w:r w:rsidR="00FC710A">
        <w:t>(</w:t>
      </w:r>
      <w:r w:rsidR="00C4323A">
        <w:t>m</w:t>
      </w:r>
      <w:r w:rsidR="00FC710A">
        <w:t xml:space="preserve">isleading </w:t>
      </w:r>
      <w:r w:rsidR="00C4323A">
        <w:t>a</w:t>
      </w:r>
      <w:r w:rsidR="00FC710A">
        <w:t xml:space="preserve">dvertising) </w:t>
      </w:r>
      <w:r>
        <w:t>and two violations of section 610</w:t>
      </w:r>
      <w:r w:rsidR="0034698E">
        <w:t>6</w:t>
      </w:r>
      <w:r w:rsidR="00FC710A">
        <w:t xml:space="preserve"> (</w:t>
      </w:r>
      <w:r w:rsidR="00C4323A">
        <w:t>m</w:t>
      </w:r>
      <w:r w:rsidR="00FC710A">
        <w:t xml:space="preserve">oral </w:t>
      </w:r>
      <w:r w:rsidR="00C4323A">
        <w:t>t</w:t>
      </w:r>
      <w:r w:rsidR="00FC710A">
        <w:t>urpitude)</w:t>
      </w:r>
      <w:r w:rsidR="0017653E">
        <w:t xml:space="preserve"> as the result of his two-year letter</w:t>
      </w:r>
      <w:r w:rsidR="0051500E">
        <w:t>-</w:t>
      </w:r>
      <w:r w:rsidR="0017653E">
        <w:t xml:space="preserve">writing campaign to </w:t>
      </w:r>
      <w:r w:rsidR="0051500E">
        <w:t xml:space="preserve">county jail </w:t>
      </w:r>
      <w:r w:rsidR="0017653E">
        <w:t>inmates.</w:t>
      </w:r>
      <w:r>
        <w:t xml:space="preserve">  In his decision filed on August 13, 2009</w:t>
      </w:r>
      <w:r w:rsidR="009914C1">
        <w:t>,</w:t>
      </w:r>
      <w:r>
        <w:t xml:space="preserve"> the hearing judge found </w:t>
      </w:r>
      <w:proofErr w:type="spellStart"/>
      <w:r>
        <w:t>Venie</w:t>
      </w:r>
      <w:proofErr w:type="spellEnd"/>
      <w:r>
        <w:t xml:space="preserve"> culpable of all four counts.  </w:t>
      </w:r>
    </w:p>
    <w:p w:rsidR="006D62F8" w:rsidRDefault="007642B9" w:rsidP="007642B9">
      <w:pPr>
        <w:pStyle w:val="BodyTextIndent"/>
        <w:ind w:left="0"/>
        <w:rPr>
          <w:bCs/>
        </w:rPr>
      </w:pPr>
      <w:r>
        <w:rPr>
          <w:b/>
          <w:bCs/>
        </w:rPr>
        <w:tab/>
      </w:r>
      <w:r>
        <w:rPr>
          <w:bCs/>
        </w:rPr>
        <w:t xml:space="preserve">Between </w:t>
      </w:r>
      <w:r w:rsidR="00BD74A8">
        <w:rPr>
          <w:bCs/>
        </w:rPr>
        <w:t>2005</w:t>
      </w:r>
      <w:r>
        <w:rPr>
          <w:bCs/>
        </w:rPr>
        <w:t xml:space="preserve"> and </w:t>
      </w:r>
      <w:r w:rsidR="0018718F">
        <w:rPr>
          <w:bCs/>
        </w:rPr>
        <w:t xml:space="preserve">early </w:t>
      </w:r>
      <w:r>
        <w:rPr>
          <w:bCs/>
        </w:rPr>
        <w:t xml:space="preserve">2007, </w:t>
      </w:r>
      <w:proofErr w:type="spellStart"/>
      <w:r w:rsidR="00906E9D">
        <w:rPr>
          <w:bCs/>
        </w:rPr>
        <w:t>Venie</w:t>
      </w:r>
      <w:proofErr w:type="spellEnd"/>
      <w:r>
        <w:rPr>
          <w:bCs/>
        </w:rPr>
        <w:t xml:space="preserve"> mailed </w:t>
      </w:r>
      <w:r w:rsidR="00D03AFC">
        <w:rPr>
          <w:bCs/>
        </w:rPr>
        <w:t xml:space="preserve">solicitation </w:t>
      </w:r>
      <w:r w:rsidR="00D150B0">
        <w:rPr>
          <w:bCs/>
        </w:rPr>
        <w:t>letters advertising his</w:t>
      </w:r>
      <w:r>
        <w:rPr>
          <w:bCs/>
        </w:rPr>
        <w:t xml:space="preserve"> availability for</w:t>
      </w:r>
      <w:r w:rsidR="00D150B0">
        <w:rPr>
          <w:bCs/>
        </w:rPr>
        <w:t xml:space="preserve"> hire to </w:t>
      </w:r>
      <w:r w:rsidR="00906E9D">
        <w:rPr>
          <w:bCs/>
        </w:rPr>
        <w:t xml:space="preserve">inmates </w:t>
      </w:r>
      <w:r>
        <w:rPr>
          <w:bCs/>
        </w:rPr>
        <w:t xml:space="preserve">in </w:t>
      </w:r>
      <w:r w:rsidR="00906E9D">
        <w:rPr>
          <w:bCs/>
        </w:rPr>
        <w:t xml:space="preserve">various </w:t>
      </w:r>
      <w:r>
        <w:rPr>
          <w:bCs/>
        </w:rPr>
        <w:t>San Diego County</w:t>
      </w:r>
      <w:r w:rsidR="00906E9D">
        <w:rPr>
          <w:bCs/>
        </w:rPr>
        <w:t xml:space="preserve"> detention centers, including the Las Colinas jail.</w:t>
      </w:r>
      <w:r w:rsidR="006D62F8">
        <w:rPr>
          <w:bCs/>
        </w:rPr>
        <w:t xml:space="preserve">  </w:t>
      </w:r>
      <w:r w:rsidR="008C71D7">
        <w:rPr>
          <w:bCs/>
        </w:rPr>
        <w:t>Most of t</w:t>
      </w:r>
      <w:r w:rsidR="006D62F8">
        <w:rPr>
          <w:bCs/>
        </w:rPr>
        <w:t xml:space="preserve">hese letters were </w:t>
      </w:r>
      <w:r w:rsidR="008A361C">
        <w:rPr>
          <w:bCs/>
        </w:rPr>
        <w:t>not delivered because t</w:t>
      </w:r>
      <w:r w:rsidR="00051B32">
        <w:rPr>
          <w:bCs/>
        </w:rPr>
        <w:t xml:space="preserve">he </w:t>
      </w:r>
      <w:r>
        <w:rPr>
          <w:bCs/>
        </w:rPr>
        <w:t>San Diego County Sheriff’s Department</w:t>
      </w:r>
      <w:r w:rsidR="00051B32">
        <w:rPr>
          <w:bCs/>
        </w:rPr>
        <w:t xml:space="preserve"> (Sheriff’s Department</w:t>
      </w:r>
      <w:r w:rsidR="00D03AFC">
        <w:rPr>
          <w:bCs/>
        </w:rPr>
        <w:t>)</w:t>
      </w:r>
      <w:r w:rsidR="006406E7">
        <w:rPr>
          <w:bCs/>
        </w:rPr>
        <w:t xml:space="preserve">, which </w:t>
      </w:r>
      <w:r w:rsidR="00AE253D">
        <w:rPr>
          <w:bCs/>
        </w:rPr>
        <w:t>is</w:t>
      </w:r>
      <w:r w:rsidR="006406E7">
        <w:rPr>
          <w:bCs/>
        </w:rPr>
        <w:t xml:space="preserve"> responsible for operating the county jails,</w:t>
      </w:r>
      <w:r w:rsidR="008A361C">
        <w:rPr>
          <w:bCs/>
        </w:rPr>
        <w:t xml:space="preserve"> ha</w:t>
      </w:r>
      <w:r w:rsidR="00AE253D">
        <w:rPr>
          <w:bCs/>
        </w:rPr>
        <w:t>s</w:t>
      </w:r>
      <w:r w:rsidR="008A361C">
        <w:rPr>
          <w:bCs/>
        </w:rPr>
        <w:t xml:space="preserve"> a policy not to deliver</w:t>
      </w:r>
      <w:r w:rsidR="008C71D7">
        <w:rPr>
          <w:bCs/>
        </w:rPr>
        <w:t xml:space="preserve"> </w:t>
      </w:r>
      <w:r w:rsidR="00D27129">
        <w:rPr>
          <w:bCs/>
        </w:rPr>
        <w:t>advertisements t</w:t>
      </w:r>
      <w:r w:rsidR="008A361C">
        <w:rPr>
          <w:bCs/>
        </w:rPr>
        <w:t>o</w:t>
      </w:r>
      <w:r w:rsidR="008A361C" w:rsidRPr="008A361C">
        <w:rPr>
          <w:bCs/>
        </w:rPr>
        <w:t xml:space="preserve"> </w:t>
      </w:r>
      <w:r w:rsidR="008A361C">
        <w:rPr>
          <w:bCs/>
        </w:rPr>
        <w:t>inmates</w:t>
      </w:r>
      <w:r w:rsidR="00051B32">
        <w:rPr>
          <w:bCs/>
        </w:rPr>
        <w:t>.</w:t>
      </w:r>
      <w:r w:rsidR="00D03AFC">
        <w:rPr>
          <w:rStyle w:val="FootnoteReference"/>
          <w:bCs/>
        </w:rPr>
        <w:footnoteReference w:id="5"/>
      </w:r>
      <w:r w:rsidR="006406E7" w:rsidRPr="006406E7">
        <w:rPr>
          <w:bCs/>
        </w:rPr>
        <w:t xml:space="preserve"> </w:t>
      </w:r>
    </w:p>
    <w:p w:rsidR="00D51A04" w:rsidRDefault="007642B9" w:rsidP="00D51A04">
      <w:pPr>
        <w:pStyle w:val="BodyTextIndent"/>
        <w:ind w:left="0"/>
        <w:rPr>
          <w:bCs/>
        </w:rPr>
      </w:pPr>
      <w:r>
        <w:rPr>
          <w:bCs/>
        </w:rPr>
        <w:tab/>
        <w:t xml:space="preserve">On July 29, 2005, </w:t>
      </w:r>
      <w:proofErr w:type="spellStart"/>
      <w:r w:rsidR="00906E9D">
        <w:rPr>
          <w:bCs/>
        </w:rPr>
        <w:t>Venie</w:t>
      </w:r>
      <w:proofErr w:type="spellEnd"/>
      <w:r>
        <w:rPr>
          <w:bCs/>
        </w:rPr>
        <w:t xml:space="preserve"> wrote a letter</w:t>
      </w:r>
      <w:r w:rsidR="00BD3BF9">
        <w:rPr>
          <w:bCs/>
        </w:rPr>
        <w:t xml:space="preserve"> </w:t>
      </w:r>
      <w:r>
        <w:rPr>
          <w:bCs/>
        </w:rPr>
        <w:t xml:space="preserve">to </w:t>
      </w:r>
      <w:r w:rsidR="008A361C">
        <w:rPr>
          <w:bCs/>
        </w:rPr>
        <w:t>the</w:t>
      </w:r>
      <w:r>
        <w:rPr>
          <w:bCs/>
        </w:rPr>
        <w:t xml:space="preserve"> Sheriff</w:t>
      </w:r>
      <w:r w:rsidR="00AE253D">
        <w:rPr>
          <w:bCs/>
        </w:rPr>
        <w:t>’s Department,</w:t>
      </w:r>
      <w:r w:rsidR="00B15221">
        <w:rPr>
          <w:bCs/>
        </w:rPr>
        <w:t xml:space="preserve"> complaining that</w:t>
      </w:r>
      <w:r>
        <w:rPr>
          <w:bCs/>
        </w:rPr>
        <w:t xml:space="preserve"> “someone there [at the jail] apparently believes that the letters are all unlawful ‘solicitations’ and, therefore, can be refused.”  </w:t>
      </w:r>
      <w:proofErr w:type="spellStart"/>
      <w:r w:rsidR="00B15221">
        <w:rPr>
          <w:bCs/>
        </w:rPr>
        <w:t>Venie</w:t>
      </w:r>
      <w:proofErr w:type="spellEnd"/>
      <w:r w:rsidR="001F6DDA">
        <w:rPr>
          <w:bCs/>
        </w:rPr>
        <w:t xml:space="preserve"> asserted that</w:t>
      </w:r>
      <w:r>
        <w:rPr>
          <w:bCs/>
        </w:rPr>
        <w:t xml:space="preserve"> he knew “of no California law prohibiting the inmates from receiving [advertisements or solicitations]</w:t>
      </w:r>
      <w:r w:rsidR="00AE253D">
        <w:rPr>
          <w:bCs/>
        </w:rPr>
        <w:t>.</w:t>
      </w:r>
      <w:r>
        <w:rPr>
          <w:bCs/>
        </w:rPr>
        <w:t>”</w:t>
      </w:r>
      <w:r w:rsidR="00B15221">
        <w:rPr>
          <w:bCs/>
        </w:rPr>
        <w:t xml:space="preserve"> </w:t>
      </w:r>
      <w:r w:rsidR="00AE253D">
        <w:rPr>
          <w:bCs/>
        </w:rPr>
        <w:t xml:space="preserve"> H</w:t>
      </w:r>
      <w:r w:rsidR="00B15221">
        <w:rPr>
          <w:bCs/>
        </w:rPr>
        <w:t>e</w:t>
      </w:r>
      <w:r>
        <w:rPr>
          <w:bCs/>
        </w:rPr>
        <w:t xml:space="preserve"> </w:t>
      </w:r>
      <w:r w:rsidR="00AE253D">
        <w:rPr>
          <w:bCs/>
        </w:rPr>
        <w:t>threatened</w:t>
      </w:r>
      <w:r w:rsidR="001535F5">
        <w:rPr>
          <w:bCs/>
        </w:rPr>
        <w:t xml:space="preserve"> to seek legal action if the Sheriff’s Departm</w:t>
      </w:r>
      <w:r w:rsidR="00AF604C">
        <w:rPr>
          <w:bCs/>
        </w:rPr>
        <w:t xml:space="preserve">ent </w:t>
      </w:r>
      <w:r w:rsidR="00AE253D">
        <w:rPr>
          <w:bCs/>
        </w:rPr>
        <w:t>refuse</w:t>
      </w:r>
      <w:r w:rsidR="00774737">
        <w:rPr>
          <w:bCs/>
        </w:rPr>
        <w:t>d</w:t>
      </w:r>
      <w:r w:rsidR="00AE253D">
        <w:rPr>
          <w:bCs/>
        </w:rPr>
        <w:t xml:space="preserve"> to deliver his</w:t>
      </w:r>
      <w:r w:rsidR="00517E74">
        <w:rPr>
          <w:bCs/>
        </w:rPr>
        <w:t xml:space="preserve"> solicitation</w:t>
      </w:r>
      <w:r w:rsidR="0022396B">
        <w:rPr>
          <w:bCs/>
        </w:rPr>
        <w:t xml:space="preserve"> </w:t>
      </w:r>
      <w:r w:rsidR="00AE253D">
        <w:rPr>
          <w:bCs/>
        </w:rPr>
        <w:t>letter</w:t>
      </w:r>
      <w:r w:rsidR="00517E74">
        <w:rPr>
          <w:bCs/>
        </w:rPr>
        <w:t>s.</w:t>
      </w:r>
    </w:p>
    <w:p w:rsidR="005A3015" w:rsidRDefault="00D51A04" w:rsidP="00D51A04">
      <w:pPr>
        <w:pStyle w:val="BodyTextIndent"/>
        <w:ind w:left="0" w:firstLine="720"/>
        <w:rPr>
          <w:bCs/>
        </w:rPr>
      </w:pPr>
      <w:r>
        <w:rPr>
          <w:bCs/>
        </w:rPr>
        <w:lastRenderedPageBreak/>
        <w:t xml:space="preserve">In response, </w:t>
      </w:r>
      <w:r w:rsidR="00AF604C">
        <w:rPr>
          <w:bCs/>
        </w:rPr>
        <w:t xml:space="preserve">Sanford </w:t>
      </w:r>
      <w:proofErr w:type="spellStart"/>
      <w:r w:rsidR="00AF604C">
        <w:rPr>
          <w:bCs/>
        </w:rPr>
        <w:t>Toyen</w:t>
      </w:r>
      <w:proofErr w:type="spellEnd"/>
      <w:r w:rsidR="00AF604C">
        <w:rPr>
          <w:bCs/>
        </w:rPr>
        <w:t xml:space="preserve">, </w:t>
      </w:r>
      <w:r w:rsidR="00B15221">
        <w:rPr>
          <w:bCs/>
        </w:rPr>
        <w:t>a</w:t>
      </w:r>
      <w:r w:rsidR="001535F5">
        <w:rPr>
          <w:bCs/>
        </w:rPr>
        <w:t>n attorney for the Sheriff’s Department</w:t>
      </w:r>
      <w:r w:rsidR="00AF604C">
        <w:rPr>
          <w:bCs/>
        </w:rPr>
        <w:t>,</w:t>
      </w:r>
      <w:r w:rsidR="001535F5">
        <w:rPr>
          <w:bCs/>
        </w:rPr>
        <w:t xml:space="preserve"> wrote</w:t>
      </w:r>
      <w:r w:rsidR="00AF604C">
        <w:rPr>
          <w:bCs/>
        </w:rPr>
        <w:t xml:space="preserve"> </w:t>
      </w:r>
      <w:r w:rsidR="0022396B">
        <w:rPr>
          <w:bCs/>
        </w:rPr>
        <w:t xml:space="preserve">to </w:t>
      </w:r>
      <w:proofErr w:type="spellStart"/>
      <w:r w:rsidR="00AF604C">
        <w:rPr>
          <w:bCs/>
        </w:rPr>
        <w:t>Venie</w:t>
      </w:r>
      <w:proofErr w:type="spellEnd"/>
      <w:r>
        <w:rPr>
          <w:bCs/>
        </w:rPr>
        <w:t xml:space="preserve"> on August 4, 2005, </w:t>
      </w:r>
      <w:r w:rsidR="00AE253D">
        <w:rPr>
          <w:bCs/>
        </w:rPr>
        <w:t>informing him</w:t>
      </w:r>
      <w:r w:rsidR="00821512">
        <w:rPr>
          <w:bCs/>
        </w:rPr>
        <w:t xml:space="preserve"> that </w:t>
      </w:r>
      <w:r w:rsidR="00AF604C">
        <w:rPr>
          <w:bCs/>
        </w:rPr>
        <w:t>the Department</w:t>
      </w:r>
      <w:r w:rsidR="00821512">
        <w:rPr>
          <w:bCs/>
        </w:rPr>
        <w:t xml:space="preserve"> </w:t>
      </w:r>
      <w:r w:rsidR="00FB1FFB">
        <w:rPr>
          <w:bCs/>
        </w:rPr>
        <w:t>opened</w:t>
      </w:r>
      <w:r w:rsidR="00821512">
        <w:rPr>
          <w:bCs/>
        </w:rPr>
        <w:t xml:space="preserve"> all i</w:t>
      </w:r>
      <w:r w:rsidR="007F554E">
        <w:rPr>
          <w:bCs/>
        </w:rPr>
        <w:t>ncoming mail</w:t>
      </w:r>
      <w:r w:rsidR="00F00899">
        <w:rPr>
          <w:bCs/>
        </w:rPr>
        <w:t xml:space="preserve"> to check</w:t>
      </w:r>
      <w:r w:rsidR="007F554E">
        <w:rPr>
          <w:bCs/>
        </w:rPr>
        <w:t xml:space="preserve"> for </w:t>
      </w:r>
      <w:r w:rsidR="00AF604C">
        <w:rPr>
          <w:bCs/>
        </w:rPr>
        <w:t xml:space="preserve">contraband, but </w:t>
      </w:r>
      <w:r w:rsidR="00821512">
        <w:rPr>
          <w:bCs/>
        </w:rPr>
        <w:t>a</w:t>
      </w:r>
      <w:r w:rsidR="001F6DDA">
        <w:rPr>
          <w:bCs/>
        </w:rPr>
        <w:t>ny</w:t>
      </w:r>
      <w:r w:rsidR="00821512">
        <w:rPr>
          <w:bCs/>
        </w:rPr>
        <w:t xml:space="preserve"> </w:t>
      </w:r>
      <w:r w:rsidR="005D6D6F">
        <w:rPr>
          <w:bCs/>
        </w:rPr>
        <w:t xml:space="preserve">mail marked as </w:t>
      </w:r>
      <w:r w:rsidR="00821512">
        <w:rPr>
          <w:bCs/>
        </w:rPr>
        <w:t>“confidential/legal mail” w</w:t>
      </w:r>
      <w:r w:rsidR="0080484D">
        <w:rPr>
          <w:bCs/>
        </w:rPr>
        <w:t xml:space="preserve">as opened </w:t>
      </w:r>
      <w:r w:rsidR="00AF604C">
        <w:rPr>
          <w:bCs/>
        </w:rPr>
        <w:t xml:space="preserve">only </w:t>
      </w:r>
      <w:r w:rsidR="00821512">
        <w:rPr>
          <w:bCs/>
        </w:rPr>
        <w:t>in the presence of the inmate</w:t>
      </w:r>
      <w:r w:rsidR="0022396B">
        <w:rPr>
          <w:bCs/>
        </w:rPr>
        <w:t xml:space="preserve"> to whom </w:t>
      </w:r>
      <w:r w:rsidR="00A55F8B">
        <w:rPr>
          <w:bCs/>
        </w:rPr>
        <w:t>it</w:t>
      </w:r>
      <w:r w:rsidR="0022396B">
        <w:rPr>
          <w:bCs/>
        </w:rPr>
        <w:t xml:space="preserve"> was addressed</w:t>
      </w:r>
      <w:r w:rsidR="00821512">
        <w:rPr>
          <w:bCs/>
        </w:rPr>
        <w:t xml:space="preserve"> </w:t>
      </w:r>
      <w:r w:rsidR="00AF604C">
        <w:rPr>
          <w:bCs/>
        </w:rPr>
        <w:t xml:space="preserve">and </w:t>
      </w:r>
      <w:r w:rsidR="00821512">
        <w:rPr>
          <w:bCs/>
        </w:rPr>
        <w:t>w</w:t>
      </w:r>
      <w:r w:rsidR="0080484D">
        <w:rPr>
          <w:bCs/>
        </w:rPr>
        <w:t>as</w:t>
      </w:r>
      <w:r w:rsidR="00821512">
        <w:rPr>
          <w:bCs/>
        </w:rPr>
        <w:t xml:space="preserve"> </w:t>
      </w:r>
      <w:r w:rsidR="007642B9">
        <w:rPr>
          <w:bCs/>
        </w:rPr>
        <w:t>not</w:t>
      </w:r>
      <w:r w:rsidR="00821512">
        <w:rPr>
          <w:bCs/>
        </w:rPr>
        <w:t xml:space="preserve"> </w:t>
      </w:r>
      <w:r w:rsidR="007642B9">
        <w:rPr>
          <w:bCs/>
        </w:rPr>
        <w:t>read by</w:t>
      </w:r>
      <w:r w:rsidR="00821512">
        <w:rPr>
          <w:bCs/>
        </w:rPr>
        <w:t xml:space="preserve"> a s</w:t>
      </w:r>
      <w:r w:rsidR="007642B9">
        <w:rPr>
          <w:bCs/>
        </w:rPr>
        <w:t xml:space="preserve">heriff’s </w:t>
      </w:r>
      <w:r w:rsidR="00821512">
        <w:rPr>
          <w:bCs/>
        </w:rPr>
        <w:t>d</w:t>
      </w:r>
      <w:r w:rsidR="007642B9">
        <w:rPr>
          <w:bCs/>
        </w:rPr>
        <w:t>eput</w:t>
      </w:r>
      <w:r w:rsidR="00821512">
        <w:rPr>
          <w:bCs/>
        </w:rPr>
        <w:t xml:space="preserve">y.  </w:t>
      </w:r>
      <w:proofErr w:type="spellStart"/>
      <w:r w:rsidR="00AF604C">
        <w:rPr>
          <w:bCs/>
        </w:rPr>
        <w:t>Toyen</w:t>
      </w:r>
      <w:proofErr w:type="spellEnd"/>
      <w:r w:rsidR="00AF604C">
        <w:rPr>
          <w:bCs/>
        </w:rPr>
        <w:t xml:space="preserve"> explained</w:t>
      </w:r>
      <w:r w:rsidR="0022396B">
        <w:rPr>
          <w:bCs/>
        </w:rPr>
        <w:t xml:space="preserve">, however, </w:t>
      </w:r>
      <w:r w:rsidR="00AF604C">
        <w:rPr>
          <w:bCs/>
        </w:rPr>
        <w:t xml:space="preserve">that attorney solicitations were considered advertising and therefore </w:t>
      </w:r>
      <w:r w:rsidR="008D005F">
        <w:rPr>
          <w:bCs/>
        </w:rPr>
        <w:t xml:space="preserve">were </w:t>
      </w:r>
      <w:r w:rsidR="00AF604C">
        <w:rPr>
          <w:bCs/>
        </w:rPr>
        <w:t>not delivered</w:t>
      </w:r>
      <w:r w:rsidR="008D005F">
        <w:rPr>
          <w:bCs/>
        </w:rPr>
        <w:t xml:space="preserve"> to inmates.  </w:t>
      </w:r>
      <w:r w:rsidR="00702FD0">
        <w:rPr>
          <w:bCs/>
        </w:rPr>
        <w:t>He</w:t>
      </w:r>
      <w:r w:rsidR="008D005F">
        <w:rPr>
          <w:bCs/>
        </w:rPr>
        <w:t xml:space="preserve"> further </w:t>
      </w:r>
      <w:r w:rsidR="00A55F8B">
        <w:rPr>
          <w:bCs/>
        </w:rPr>
        <w:t>clarified</w:t>
      </w:r>
      <w:r w:rsidR="007F554E">
        <w:rPr>
          <w:bCs/>
        </w:rPr>
        <w:t>:</w:t>
      </w:r>
    </w:p>
    <w:p w:rsidR="003759D4" w:rsidRDefault="007642B9">
      <w:pPr>
        <w:pStyle w:val="BodyTextIndent"/>
        <w:spacing w:line="240" w:lineRule="auto"/>
        <w:ind w:left="720" w:right="720"/>
        <w:rPr>
          <w:bCs/>
        </w:rPr>
      </w:pPr>
      <w:r>
        <w:rPr>
          <w:bCs/>
        </w:rPr>
        <w:t>Sheriff’s policy</w:t>
      </w:r>
      <w:r w:rsidR="00A55F8B">
        <w:rPr>
          <w:bCs/>
        </w:rPr>
        <w:t xml:space="preserve"> </w:t>
      </w:r>
      <w:r w:rsidR="00B15221">
        <w:rPr>
          <w:bCs/>
        </w:rPr>
        <w:t>. . .</w:t>
      </w:r>
      <w:r w:rsidR="00A55F8B">
        <w:rPr>
          <w:bCs/>
        </w:rPr>
        <w:t xml:space="preserve"> </w:t>
      </w:r>
      <w:r>
        <w:rPr>
          <w:bCs/>
        </w:rPr>
        <w:t>distinguishes legal mail from attorney solicitations.  The Sheriff’s Department goes to great length to make sure that, in inspecting incoming mail for contraband, legal communications between an attorney and his inmate client are kept confidential.  However, attorney solicitations (as are all advertisements and solicitations that are mailed to inmates) are simply discarded.  This policy is one of necessity</w:t>
      </w:r>
      <w:r w:rsidR="00A55F8B">
        <w:rPr>
          <w:bCs/>
        </w:rPr>
        <w:t xml:space="preserve"> </w:t>
      </w:r>
      <w:r>
        <w:rPr>
          <w:bCs/>
        </w:rPr>
        <w:t xml:space="preserve">. </w:t>
      </w:r>
      <w:r w:rsidR="005A3015">
        <w:rPr>
          <w:bCs/>
        </w:rPr>
        <w:t>. .</w:t>
      </w:r>
      <w:r w:rsidR="00A55F8B">
        <w:rPr>
          <w:bCs/>
        </w:rPr>
        <w:t xml:space="preserve"> </w:t>
      </w:r>
      <w:r w:rsidR="005A3015">
        <w:rPr>
          <w:bCs/>
        </w:rPr>
        <w:t xml:space="preserve">[because] </w:t>
      </w:r>
      <w:r>
        <w:rPr>
          <w:bCs/>
        </w:rPr>
        <w:t>our jails would be flooded with such advertisements mailed to inmates and the distribution of important non-advertising mail would be significantly slowed.</w:t>
      </w:r>
    </w:p>
    <w:p w:rsidR="007642B9" w:rsidRDefault="007642B9" w:rsidP="007642B9">
      <w:pPr>
        <w:pStyle w:val="BodyTextIndent"/>
        <w:spacing w:line="240" w:lineRule="auto"/>
        <w:ind w:left="720" w:right="720"/>
        <w:jc w:val="both"/>
        <w:rPr>
          <w:bCs/>
        </w:rPr>
      </w:pPr>
    </w:p>
    <w:p w:rsidR="007642B9" w:rsidRDefault="00A55F8B" w:rsidP="007642B9">
      <w:pPr>
        <w:pStyle w:val="BodyTextIndent"/>
        <w:ind w:left="0"/>
        <w:rPr>
          <w:bCs/>
        </w:rPr>
      </w:pPr>
      <w:r>
        <w:rPr>
          <w:bCs/>
        </w:rPr>
        <w:t xml:space="preserve">In closing, </w:t>
      </w:r>
      <w:proofErr w:type="spellStart"/>
      <w:r w:rsidR="007C5CA0">
        <w:rPr>
          <w:bCs/>
        </w:rPr>
        <w:t>Toyen’s</w:t>
      </w:r>
      <w:proofErr w:type="spellEnd"/>
      <w:r w:rsidR="007642B9">
        <w:rPr>
          <w:bCs/>
        </w:rPr>
        <w:t xml:space="preserve"> </w:t>
      </w:r>
      <w:r w:rsidR="00AF67A6">
        <w:rPr>
          <w:bCs/>
        </w:rPr>
        <w:t xml:space="preserve">letter </w:t>
      </w:r>
      <w:r>
        <w:rPr>
          <w:bCs/>
        </w:rPr>
        <w:t>stated</w:t>
      </w:r>
      <w:r w:rsidR="00AF67A6">
        <w:rPr>
          <w:bCs/>
        </w:rPr>
        <w:t xml:space="preserve">: </w:t>
      </w:r>
    </w:p>
    <w:p w:rsidR="003759D4" w:rsidRDefault="00AF67A6">
      <w:pPr>
        <w:pStyle w:val="BodyTextIndent"/>
        <w:spacing w:line="240" w:lineRule="auto"/>
        <w:ind w:left="720" w:right="720"/>
        <w:rPr>
          <w:bCs/>
        </w:rPr>
      </w:pPr>
      <w:r>
        <w:rPr>
          <w:bCs/>
        </w:rPr>
        <w:t>The logical conclusion to draw from these facts is that solicitations should not be sent to inmates in the jails.  The only way such solicitations from an attorney would reach their intended recipients would be if the attorney were to violate the Rules of Professional Conduct by failing to label the envelopes containing such written communications with the appropriate notice that such communications are advertisements.</w:t>
      </w:r>
    </w:p>
    <w:p w:rsidR="00AF67A6" w:rsidRDefault="00AF67A6" w:rsidP="003A2336">
      <w:pPr>
        <w:pStyle w:val="BodyTextIndent"/>
        <w:spacing w:line="240" w:lineRule="auto"/>
        <w:ind w:left="720" w:right="720"/>
        <w:jc w:val="both"/>
        <w:rPr>
          <w:bCs/>
        </w:rPr>
      </w:pPr>
      <w:r w:rsidRPr="007F554E">
        <w:rPr>
          <w:bCs/>
        </w:rPr>
        <w:t xml:space="preserve"> </w:t>
      </w:r>
    </w:p>
    <w:p w:rsidR="007642B9" w:rsidRDefault="00B3250F" w:rsidP="00B3250F">
      <w:pPr>
        <w:pStyle w:val="BodyTextIndent"/>
        <w:ind w:left="0"/>
        <w:rPr>
          <w:bCs/>
        </w:rPr>
      </w:pPr>
      <w:proofErr w:type="spellStart"/>
      <w:r>
        <w:rPr>
          <w:bCs/>
        </w:rPr>
        <w:t>Toyen</w:t>
      </w:r>
      <w:proofErr w:type="spellEnd"/>
      <w:r>
        <w:rPr>
          <w:bCs/>
        </w:rPr>
        <w:t xml:space="preserve"> enclosed a copy of rule 1-400 </w:t>
      </w:r>
      <w:r w:rsidR="00D51A04">
        <w:rPr>
          <w:bCs/>
        </w:rPr>
        <w:t>with</w:t>
      </w:r>
      <w:r>
        <w:rPr>
          <w:bCs/>
        </w:rPr>
        <w:t xml:space="preserve"> his letter</w:t>
      </w:r>
      <w:r w:rsidR="00D51A04">
        <w:rPr>
          <w:bCs/>
        </w:rPr>
        <w:t xml:space="preserve">.  </w:t>
      </w:r>
      <w:proofErr w:type="spellStart"/>
      <w:r w:rsidR="008D005F">
        <w:rPr>
          <w:bCs/>
        </w:rPr>
        <w:t>Venie</w:t>
      </w:r>
      <w:proofErr w:type="spellEnd"/>
      <w:r>
        <w:rPr>
          <w:bCs/>
        </w:rPr>
        <w:t xml:space="preserve"> disregarded </w:t>
      </w:r>
      <w:proofErr w:type="spellStart"/>
      <w:r>
        <w:rPr>
          <w:bCs/>
        </w:rPr>
        <w:t>Toyen’s</w:t>
      </w:r>
      <w:proofErr w:type="spellEnd"/>
      <w:r>
        <w:rPr>
          <w:bCs/>
        </w:rPr>
        <w:t xml:space="preserve"> letter and </w:t>
      </w:r>
      <w:r w:rsidR="008D005F">
        <w:rPr>
          <w:bCs/>
        </w:rPr>
        <w:t>continued to send solicitation</w:t>
      </w:r>
      <w:r>
        <w:rPr>
          <w:bCs/>
        </w:rPr>
        <w:t>s</w:t>
      </w:r>
      <w:r w:rsidR="00D51A04">
        <w:rPr>
          <w:bCs/>
        </w:rPr>
        <w:t xml:space="preserve"> to inmates</w:t>
      </w:r>
      <w:r>
        <w:rPr>
          <w:bCs/>
        </w:rPr>
        <w:t xml:space="preserve">.  This </w:t>
      </w:r>
      <w:r w:rsidR="00110BF3">
        <w:rPr>
          <w:bCs/>
        </w:rPr>
        <w:t>prompted</w:t>
      </w:r>
      <w:r w:rsidR="008D005F">
        <w:rPr>
          <w:bCs/>
        </w:rPr>
        <w:t xml:space="preserve"> </w:t>
      </w:r>
      <w:proofErr w:type="spellStart"/>
      <w:r w:rsidR="008D005F">
        <w:rPr>
          <w:bCs/>
        </w:rPr>
        <w:t>Toyen</w:t>
      </w:r>
      <w:proofErr w:type="spellEnd"/>
      <w:r w:rsidR="008D005F">
        <w:rPr>
          <w:bCs/>
        </w:rPr>
        <w:t xml:space="preserve"> to write again o</w:t>
      </w:r>
      <w:r w:rsidR="007642B9">
        <w:rPr>
          <w:bCs/>
        </w:rPr>
        <w:t>n October 21, 2005</w:t>
      </w:r>
      <w:r w:rsidR="008D005F">
        <w:rPr>
          <w:bCs/>
        </w:rPr>
        <w:t xml:space="preserve">, admonishing him: </w:t>
      </w:r>
    </w:p>
    <w:p w:rsidR="003759D4" w:rsidRDefault="007642B9">
      <w:pPr>
        <w:pStyle w:val="BodyTextIndent"/>
        <w:spacing w:line="240" w:lineRule="auto"/>
        <w:ind w:left="720" w:right="720"/>
        <w:rPr>
          <w:bCs/>
        </w:rPr>
      </w:pPr>
      <w:r>
        <w:rPr>
          <w:bCs/>
        </w:rPr>
        <w:t>Recently, I was surprised to discover that you had mailed letters soliciting employment to an inmate in which you not only failed to identify the solicitation as an advertisement (as required by Rule 1-400), but you also falsely labeled the solicitation as “Legal Mail.”  As I explained to you in my previous letter, solicitations are not “Legal Mail</w:t>
      </w:r>
      <w:r w:rsidR="005A362C">
        <w:rPr>
          <w:bCs/>
        </w:rPr>
        <w:t>.”</w:t>
      </w:r>
      <w:r>
        <w:rPr>
          <w:bCs/>
        </w:rPr>
        <w:t xml:space="preserve">  The purpose of the “Legal Mail” designation is intended to facilitate confidential attorney-client communications through correspondence.  It is not intended to allow attorneys an “end run” around our policies prohibiting unsolicited advertisements to in</w:t>
      </w:r>
      <w:r w:rsidR="008D005F">
        <w:rPr>
          <w:bCs/>
        </w:rPr>
        <w:t>mates through the mail system.</w:t>
      </w:r>
    </w:p>
    <w:p w:rsidR="00A800FF" w:rsidRDefault="00A800FF">
      <w:pPr>
        <w:pStyle w:val="BodyTextIndent"/>
        <w:spacing w:line="240" w:lineRule="auto"/>
        <w:ind w:left="720" w:right="720"/>
        <w:rPr>
          <w:bCs/>
        </w:rPr>
      </w:pPr>
    </w:p>
    <w:p w:rsidR="00F6159D" w:rsidRDefault="00F6159D">
      <w:pPr>
        <w:pStyle w:val="BodyTextIndent"/>
        <w:spacing w:line="240" w:lineRule="auto"/>
        <w:ind w:left="720" w:right="720"/>
        <w:rPr>
          <w:bCs/>
        </w:rPr>
      </w:pPr>
    </w:p>
    <w:p w:rsidR="00F6159D" w:rsidRDefault="00F6159D">
      <w:pPr>
        <w:pStyle w:val="BodyTextIndent"/>
        <w:spacing w:line="240" w:lineRule="auto"/>
        <w:ind w:left="720" w:right="720"/>
        <w:rPr>
          <w:bCs/>
        </w:rPr>
      </w:pPr>
    </w:p>
    <w:p w:rsidR="00A800FF" w:rsidRDefault="00A800FF" w:rsidP="00A800FF">
      <w:pPr>
        <w:pStyle w:val="BodyTextIndent"/>
        <w:spacing w:line="240" w:lineRule="auto"/>
        <w:ind w:left="0" w:right="720"/>
        <w:rPr>
          <w:bCs/>
        </w:rPr>
      </w:pPr>
      <w:proofErr w:type="spellStart"/>
      <w:r>
        <w:rPr>
          <w:bCs/>
        </w:rPr>
        <w:lastRenderedPageBreak/>
        <w:t>Toyen</w:t>
      </w:r>
      <w:proofErr w:type="spellEnd"/>
      <w:r>
        <w:rPr>
          <w:bCs/>
        </w:rPr>
        <w:t xml:space="preserve"> concluded the letter:</w:t>
      </w:r>
    </w:p>
    <w:p w:rsidR="00F6159D" w:rsidRDefault="00F6159D" w:rsidP="00A800FF">
      <w:pPr>
        <w:pStyle w:val="BodyTextIndent"/>
        <w:spacing w:line="240" w:lineRule="auto"/>
        <w:ind w:left="0" w:right="720"/>
        <w:rPr>
          <w:bCs/>
        </w:rPr>
      </w:pPr>
    </w:p>
    <w:p w:rsidR="00A800FF" w:rsidRPr="00A800FF" w:rsidRDefault="00A800FF" w:rsidP="00A800FF">
      <w:pPr>
        <w:pStyle w:val="BodyTextIndent"/>
        <w:spacing w:line="240" w:lineRule="auto"/>
        <w:ind w:left="720" w:right="720" w:firstLine="45"/>
        <w:rPr>
          <w:bCs/>
        </w:rPr>
      </w:pPr>
      <w:r>
        <w:rPr>
          <w:bCs/>
        </w:rPr>
        <w:t>“</w:t>
      </w:r>
      <w:r w:rsidRPr="00A800FF">
        <w:rPr>
          <w:b/>
          <w:bCs/>
        </w:rPr>
        <w:t>I am urging you to discontinue this practice</w:t>
      </w:r>
      <w:r>
        <w:rPr>
          <w:b/>
          <w:bCs/>
        </w:rPr>
        <w:t>.</w:t>
      </w:r>
      <w:r>
        <w:rPr>
          <w:bCs/>
        </w:rPr>
        <w:t xml:space="preserve">  Your conduct has caused us to increase our vigilance with respect to letters coming from your office.  The next time that the Sherriff’s Department discovers an example of you [mislabeling a solicitation] the Sherriff will refer this matter to the State Bar for appropriate action.”  (Emphasis in the original.)</w:t>
      </w:r>
    </w:p>
    <w:p w:rsidR="007642B9" w:rsidRDefault="007642B9" w:rsidP="007642B9">
      <w:pPr>
        <w:pStyle w:val="BodyTextIndent"/>
        <w:spacing w:line="240" w:lineRule="auto"/>
        <w:ind w:left="0"/>
        <w:rPr>
          <w:bCs/>
        </w:rPr>
      </w:pPr>
    </w:p>
    <w:p w:rsidR="0083358B" w:rsidRDefault="007642B9" w:rsidP="007642B9">
      <w:pPr>
        <w:pStyle w:val="BodyTextIndent"/>
        <w:ind w:left="0"/>
        <w:rPr>
          <w:bCs/>
        </w:rPr>
      </w:pPr>
      <w:r>
        <w:rPr>
          <w:bCs/>
        </w:rPr>
        <w:tab/>
      </w:r>
      <w:proofErr w:type="spellStart"/>
      <w:r w:rsidR="001535F5">
        <w:rPr>
          <w:bCs/>
        </w:rPr>
        <w:t>Venie</w:t>
      </w:r>
      <w:proofErr w:type="spellEnd"/>
      <w:r w:rsidR="001535F5">
        <w:rPr>
          <w:bCs/>
        </w:rPr>
        <w:t xml:space="preserve"> </w:t>
      </w:r>
      <w:r w:rsidR="00806273">
        <w:rPr>
          <w:bCs/>
        </w:rPr>
        <w:t xml:space="preserve">believed that </w:t>
      </w:r>
      <w:proofErr w:type="spellStart"/>
      <w:r w:rsidR="00806273">
        <w:rPr>
          <w:bCs/>
        </w:rPr>
        <w:t>Toyen’s</w:t>
      </w:r>
      <w:proofErr w:type="spellEnd"/>
      <w:r w:rsidR="00806273">
        <w:rPr>
          <w:bCs/>
        </w:rPr>
        <w:t xml:space="preserve"> analysis was incorrect</w:t>
      </w:r>
      <w:r w:rsidR="006278C7">
        <w:rPr>
          <w:bCs/>
        </w:rPr>
        <w:t>,</w:t>
      </w:r>
      <w:r w:rsidR="00D51A04">
        <w:rPr>
          <w:bCs/>
        </w:rPr>
        <w:t xml:space="preserve"> although</w:t>
      </w:r>
      <w:r w:rsidR="006278C7">
        <w:rPr>
          <w:bCs/>
        </w:rPr>
        <w:t xml:space="preserve"> he </w:t>
      </w:r>
      <w:r w:rsidR="001535F5">
        <w:rPr>
          <w:bCs/>
        </w:rPr>
        <w:t>did</w:t>
      </w:r>
      <w:r w:rsidR="006278C7">
        <w:rPr>
          <w:bCs/>
        </w:rPr>
        <w:t xml:space="preserve"> not</w:t>
      </w:r>
      <w:r w:rsidR="001535F5">
        <w:rPr>
          <w:bCs/>
        </w:rPr>
        <w:t xml:space="preserve"> </w:t>
      </w:r>
      <w:r w:rsidR="00D84B0A">
        <w:rPr>
          <w:bCs/>
        </w:rPr>
        <w:t xml:space="preserve">appeal to </w:t>
      </w:r>
      <w:proofErr w:type="spellStart"/>
      <w:r w:rsidR="00C17B13">
        <w:rPr>
          <w:bCs/>
        </w:rPr>
        <w:t>Toyen’s</w:t>
      </w:r>
      <w:proofErr w:type="spellEnd"/>
      <w:r w:rsidR="00C17B13">
        <w:rPr>
          <w:bCs/>
        </w:rPr>
        <w:t xml:space="preserve"> </w:t>
      </w:r>
      <w:r w:rsidR="00806273">
        <w:rPr>
          <w:bCs/>
        </w:rPr>
        <w:t xml:space="preserve">superiors nor did he </w:t>
      </w:r>
      <w:r w:rsidR="001535F5">
        <w:rPr>
          <w:bCs/>
        </w:rPr>
        <w:t>seek legal action</w:t>
      </w:r>
      <w:r w:rsidR="00CB583B">
        <w:rPr>
          <w:bCs/>
        </w:rPr>
        <w:t xml:space="preserve"> vindicating his right to solicit the inmates</w:t>
      </w:r>
      <w:r w:rsidR="00806273">
        <w:rPr>
          <w:bCs/>
        </w:rPr>
        <w:t>.  I</w:t>
      </w:r>
      <w:r w:rsidR="001535F5">
        <w:rPr>
          <w:bCs/>
        </w:rPr>
        <w:t>nstead</w:t>
      </w:r>
      <w:r w:rsidR="00F2525A">
        <w:rPr>
          <w:bCs/>
        </w:rPr>
        <w:t>,</w:t>
      </w:r>
      <w:r w:rsidR="00D84B0A">
        <w:rPr>
          <w:bCs/>
        </w:rPr>
        <w:t xml:space="preserve"> </w:t>
      </w:r>
      <w:r w:rsidR="00110BF3">
        <w:rPr>
          <w:bCs/>
        </w:rPr>
        <w:t>he</w:t>
      </w:r>
      <w:r w:rsidR="001535F5">
        <w:rPr>
          <w:bCs/>
        </w:rPr>
        <w:t xml:space="preserve"> </w:t>
      </w:r>
      <w:r w:rsidR="00F2525A">
        <w:rPr>
          <w:bCs/>
        </w:rPr>
        <w:t xml:space="preserve">continued </w:t>
      </w:r>
      <w:r w:rsidR="00EA2748">
        <w:rPr>
          <w:bCs/>
        </w:rPr>
        <w:t xml:space="preserve">his written solicitations </w:t>
      </w:r>
      <w:r w:rsidR="007C401C">
        <w:rPr>
          <w:bCs/>
        </w:rPr>
        <w:t>to inmates</w:t>
      </w:r>
      <w:r w:rsidR="0018718F">
        <w:rPr>
          <w:bCs/>
        </w:rPr>
        <w:t>,</w:t>
      </w:r>
      <w:r w:rsidR="00F2525A">
        <w:rPr>
          <w:rStyle w:val="FootnoteReference"/>
          <w:bCs/>
        </w:rPr>
        <w:footnoteReference w:id="6"/>
      </w:r>
      <w:r w:rsidR="00F2525A">
        <w:rPr>
          <w:bCs/>
        </w:rPr>
        <w:t xml:space="preserve"> </w:t>
      </w:r>
      <w:r w:rsidR="0018718F">
        <w:rPr>
          <w:bCs/>
        </w:rPr>
        <w:t>and</w:t>
      </w:r>
      <w:r w:rsidR="00F2525A">
        <w:rPr>
          <w:bCs/>
        </w:rPr>
        <w:t xml:space="preserve"> “experimented” with </w:t>
      </w:r>
      <w:r w:rsidR="00C27BAC">
        <w:rPr>
          <w:bCs/>
        </w:rPr>
        <w:t xml:space="preserve">various </w:t>
      </w:r>
      <w:r w:rsidR="00C17B13">
        <w:rPr>
          <w:bCs/>
        </w:rPr>
        <w:t>modifications to the</w:t>
      </w:r>
      <w:r w:rsidR="00FF253B">
        <w:rPr>
          <w:bCs/>
        </w:rPr>
        <w:t xml:space="preserve"> format of the</w:t>
      </w:r>
      <w:r w:rsidR="00C17B13">
        <w:rPr>
          <w:bCs/>
        </w:rPr>
        <w:t xml:space="preserve"> </w:t>
      </w:r>
      <w:r w:rsidR="00110BF3">
        <w:rPr>
          <w:bCs/>
        </w:rPr>
        <w:t>letters</w:t>
      </w:r>
      <w:r w:rsidR="00FF253B">
        <w:rPr>
          <w:bCs/>
        </w:rPr>
        <w:t xml:space="preserve"> </w:t>
      </w:r>
      <w:r w:rsidR="007C4D0F">
        <w:rPr>
          <w:bCs/>
        </w:rPr>
        <w:t>and to</w:t>
      </w:r>
      <w:r w:rsidR="00110BF3">
        <w:rPr>
          <w:bCs/>
        </w:rPr>
        <w:t xml:space="preserve"> </w:t>
      </w:r>
      <w:r w:rsidR="00F2525A">
        <w:rPr>
          <w:bCs/>
        </w:rPr>
        <w:t xml:space="preserve">the </w:t>
      </w:r>
      <w:r w:rsidR="00110BF3">
        <w:rPr>
          <w:bCs/>
        </w:rPr>
        <w:t xml:space="preserve">descriptions </w:t>
      </w:r>
      <w:r w:rsidR="0026123C">
        <w:rPr>
          <w:bCs/>
        </w:rPr>
        <w:t>of the contents written on the</w:t>
      </w:r>
      <w:r w:rsidR="003E1349">
        <w:rPr>
          <w:bCs/>
        </w:rPr>
        <w:t xml:space="preserve"> envelopes</w:t>
      </w:r>
      <w:r w:rsidR="00C27BAC">
        <w:rPr>
          <w:bCs/>
        </w:rPr>
        <w:t xml:space="preserve"> in order to evade the Sheriff’s policy of disc</w:t>
      </w:r>
      <w:r w:rsidR="007C401C">
        <w:rPr>
          <w:bCs/>
        </w:rPr>
        <w:t>arding attorney solicitations</w:t>
      </w:r>
      <w:r w:rsidR="003E1349">
        <w:rPr>
          <w:bCs/>
        </w:rPr>
        <w:t>.</w:t>
      </w:r>
      <w:r w:rsidR="007C401C">
        <w:rPr>
          <w:bCs/>
        </w:rPr>
        <w:t xml:space="preserve">  For example, h</w:t>
      </w:r>
      <w:r w:rsidR="0083358B">
        <w:rPr>
          <w:bCs/>
        </w:rPr>
        <w:t xml:space="preserve">e changed </w:t>
      </w:r>
      <w:r w:rsidR="00D51A04">
        <w:rPr>
          <w:bCs/>
        </w:rPr>
        <w:t>some</w:t>
      </w:r>
      <w:r w:rsidR="00CD58BB">
        <w:rPr>
          <w:bCs/>
        </w:rPr>
        <w:t xml:space="preserve"> of the </w:t>
      </w:r>
      <w:r w:rsidR="0083358B">
        <w:rPr>
          <w:bCs/>
        </w:rPr>
        <w:t>letters to include a</w:t>
      </w:r>
      <w:r w:rsidR="00CD58BB">
        <w:rPr>
          <w:bCs/>
        </w:rPr>
        <w:t xml:space="preserve"> heading: “Re: Urgent news about your </w:t>
      </w:r>
      <w:r w:rsidR="0083358B">
        <w:rPr>
          <w:bCs/>
        </w:rPr>
        <w:t xml:space="preserve">[specified charges] </w:t>
      </w:r>
      <w:r w:rsidR="00CD58BB">
        <w:rPr>
          <w:bCs/>
        </w:rPr>
        <w:t xml:space="preserve">”  </w:t>
      </w:r>
      <w:r w:rsidR="00CF3F13">
        <w:rPr>
          <w:bCs/>
        </w:rPr>
        <w:t xml:space="preserve">Some </w:t>
      </w:r>
      <w:r w:rsidR="003019DB">
        <w:rPr>
          <w:bCs/>
        </w:rPr>
        <w:t>stated: “Re: u</w:t>
      </w:r>
      <w:r w:rsidR="00CF3F13">
        <w:rPr>
          <w:bCs/>
        </w:rPr>
        <w:t xml:space="preserve">rgent </w:t>
      </w:r>
      <w:r w:rsidR="003019DB">
        <w:rPr>
          <w:bCs/>
        </w:rPr>
        <w:t>newsletter</w:t>
      </w:r>
      <w:r w:rsidR="00CF3F13">
        <w:rPr>
          <w:bCs/>
        </w:rPr>
        <w:t>” or if they were</w:t>
      </w:r>
      <w:r w:rsidR="00110BF3">
        <w:rPr>
          <w:bCs/>
        </w:rPr>
        <w:t xml:space="preserve"> written</w:t>
      </w:r>
      <w:r w:rsidR="00CF3F13">
        <w:rPr>
          <w:bCs/>
        </w:rPr>
        <w:t xml:space="preserve"> in Spanish</w:t>
      </w:r>
      <w:r w:rsidR="003019DB">
        <w:rPr>
          <w:bCs/>
        </w:rPr>
        <w:t>, “Re:</w:t>
      </w:r>
      <w:r w:rsidR="00CF3F13">
        <w:rPr>
          <w:bCs/>
        </w:rPr>
        <w:t xml:space="preserve"> </w:t>
      </w:r>
      <w:proofErr w:type="spellStart"/>
      <w:r w:rsidR="00CF3F13">
        <w:rPr>
          <w:bCs/>
        </w:rPr>
        <w:t>urgente</w:t>
      </w:r>
      <w:proofErr w:type="spellEnd"/>
      <w:r w:rsidR="00CF3F13">
        <w:rPr>
          <w:bCs/>
        </w:rPr>
        <w:t xml:space="preserve"> </w:t>
      </w:r>
      <w:proofErr w:type="spellStart"/>
      <w:r w:rsidR="00CF3F13">
        <w:rPr>
          <w:bCs/>
        </w:rPr>
        <w:t>boletin</w:t>
      </w:r>
      <w:proofErr w:type="spellEnd"/>
      <w:r w:rsidR="00CF3F13">
        <w:rPr>
          <w:bCs/>
        </w:rPr>
        <w:t>.”</w:t>
      </w:r>
      <w:r w:rsidR="003019DB">
        <w:rPr>
          <w:bCs/>
        </w:rPr>
        <w:t xml:space="preserve">  </w:t>
      </w:r>
      <w:r w:rsidR="00510677">
        <w:rPr>
          <w:bCs/>
        </w:rPr>
        <w:t>A</w:t>
      </w:r>
      <w:r w:rsidR="00CD58BB">
        <w:rPr>
          <w:bCs/>
        </w:rPr>
        <w:t xml:space="preserve"> footnote</w:t>
      </w:r>
      <w:r w:rsidR="0083358B">
        <w:rPr>
          <w:bCs/>
        </w:rPr>
        <w:t xml:space="preserve"> in very small typeface</w:t>
      </w:r>
      <w:r w:rsidR="00CD58BB">
        <w:rPr>
          <w:bCs/>
        </w:rPr>
        <w:t xml:space="preserve"> </w:t>
      </w:r>
      <w:r w:rsidR="00510677">
        <w:rPr>
          <w:bCs/>
        </w:rPr>
        <w:t>at the bottom of most</w:t>
      </w:r>
      <w:r w:rsidR="006C16D9">
        <w:rPr>
          <w:bCs/>
        </w:rPr>
        <w:t xml:space="preserve"> of the</w:t>
      </w:r>
      <w:r w:rsidR="00510677">
        <w:rPr>
          <w:bCs/>
        </w:rPr>
        <w:t xml:space="preserve"> letters </w:t>
      </w:r>
      <w:r w:rsidR="00CD58BB">
        <w:rPr>
          <w:bCs/>
        </w:rPr>
        <w:t>advis</w:t>
      </w:r>
      <w:r w:rsidR="00510677">
        <w:rPr>
          <w:bCs/>
        </w:rPr>
        <w:t>ed</w:t>
      </w:r>
      <w:r w:rsidR="00CD58BB">
        <w:rPr>
          <w:bCs/>
        </w:rPr>
        <w:t xml:space="preserve"> </w:t>
      </w:r>
      <w:r w:rsidR="0083358B">
        <w:rPr>
          <w:bCs/>
        </w:rPr>
        <w:t>the inmate</w:t>
      </w:r>
      <w:r w:rsidR="00CD58BB">
        <w:rPr>
          <w:bCs/>
        </w:rPr>
        <w:t xml:space="preserve"> to disregard the letter if</w:t>
      </w:r>
      <w:r w:rsidR="0083358B">
        <w:rPr>
          <w:bCs/>
        </w:rPr>
        <w:t xml:space="preserve"> he or</w:t>
      </w:r>
      <w:r w:rsidR="00CD58BB">
        <w:rPr>
          <w:bCs/>
        </w:rPr>
        <w:t xml:space="preserve"> she had already retained an attorney</w:t>
      </w:r>
      <w:r w:rsidR="0083358B">
        <w:rPr>
          <w:bCs/>
        </w:rPr>
        <w:t>, and a</w:t>
      </w:r>
      <w:r w:rsidR="00D26AB5">
        <w:rPr>
          <w:bCs/>
        </w:rPr>
        <w:t>nother</w:t>
      </w:r>
      <w:r w:rsidR="0083358B">
        <w:rPr>
          <w:bCs/>
        </w:rPr>
        <w:t xml:space="preserve"> footnote stat</w:t>
      </w:r>
      <w:r w:rsidR="00510677">
        <w:rPr>
          <w:bCs/>
        </w:rPr>
        <w:t>ed</w:t>
      </w:r>
      <w:r w:rsidR="00CB6699">
        <w:rPr>
          <w:bCs/>
        </w:rPr>
        <w:t>:</w:t>
      </w:r>
      <w:r w:rsidR="00B65A6F">
        <w:rPr>
          <w:bCs/>
        </w:rPr>
        <w:t xml:space="preserve"> </w:t>
      </w:r>
      <w:r w:rsidR="00CB6699">
        <w:rPr>
          <w:bCs/>
        </w:rPr>
        <w:t xml:space="preserve"> </w:t>
      </w:r>
      <w:r w:rsidR="005B1CA9">
        <w:rPr>
          <w:bCs/>
        </w:rPr>
        <w:t>“This communication is an informational letter to you meant to advertise professional criminal defense attorney services for hire.”</w:t>
      </w:r>
      <w:r w:rsidR="00B65A6F">
        <w:rPr>
          <w:bCs/>
        </w:rPr>
        <w:t xml:space="preserve">  </w:t>
      </w:r>
    </w:p>
    <w:p w:rsidR="005B1CA9" w:rsidRDefault="00B65A6F" w:rsidP="0083358B">
      <w:pPr>
        <w:pStyle w:val="BodyTextIndent"/>
        <w:ind w:left="0" w:firstLine="720"/>
        <w:rPr>
          <w:bCs/>
        </w:rPr>
      </w:pPr>
      <w:proofErr w:type="spellStart"/>
      <w:r>
        <w:rPr>
          <w:bCs/>
        </w:rPr>
        <w:t>Venie</w:t>
      </w:r>
      <w:proofErr w:type="spellEnd"/>
      <w:r>
        <w:rPr>
          <w:bCs/>
        </w:rPr>
        <w:t xml:space="preserve"> </w:t>
      </w:r>
      <w:r w:rsidR="007C401C">
        <w:rPr>
          <w:bCs/>
        </w:rPr>
        <w:t xml:space="preserve">omitted </w:t>
      </w:r>
      <w:r>
        <w:rPr>
          <w:bCs/>
        </w:rPr>
        <w:t>the word “</w:t>
      </w:r>
      <w:r w:rsidR="00EA553D">
        <w:rPr>
          <w:bCs/>
        </w:rPr>
        <w:t>a</w:t>
      </w:r>
      <w:r>
        <w:rPr>
          <w:bCs/>
        </w:rPr>
        <w:t xml:space="preserve">dvertisement” on the front of </w:t>
      </w:r>
      <w:r w:rsidR="0083358B">
        <w:rPr>
          <w:bCs/>
        </w:rPr>
        <w:t>the envelopes</w:t>
      </w:r>
      <w:r w:rsidR="00EA553D">
        <w:rPr>
          <w:bCs/>
        </w:rPr>
        <w:t xml:space="preserve">, </w:t>
      </w:r>
      <w:r w:rsidR="007C401C">
        <w:rPr>
          <w:bCs/>
        </w:rPr>
        <w:t>and</w:t>
      </w:r>
      <w:r w:rsidR="00EA553D">
        <w:rPr>
          <w:bCs/>
        </w:rPr>
        <w:t xml:space="preserve"> i</w:t>
      </w:r>
      <w:r>
        <w:rPr>
          <w:bCs/>
        </w:rPr>
        <w:t>nstead</w:t>
      </w:r>
      <w:r w:rsidR="00F20A07">
        <w:rPr>
          <w:bCs/>
        </w:rPr>
        <w:t xml:space="preserve">, marked </w:t>
      </w:r>
      <w:r w:rsidR="00EA553D">
        <w:rPr>
          <w:bCs/>
        </w:rPr>
        <w:t xml:space="preserve">most as </w:t>
      </w:r>
      <w:r>
        <w:rPr>
          <w:bCs/>
        </w:rPr>
        <w:t>“legal mail</w:t>
      </w:r>
      <w:r w:rsidR="007927FB">
        <w:rPr>
          <w:bCs/>
        </w:rPr>
        <w:t xml:space="preserve">” or “attorney mail,” or “attorney client mail.”  </w:t>
      </w:r>
      <w:r w:rsidR="00EA553D">
        <w:rPr>
          <w:bCs/>
        </w:rPr>
        <w:t>He frequently included</w:t>
      </w:r>
      <w:r>
        <w:rPr>
          <w:bCs/>
        </w:rPr>
        <w:t xml:space="preserve"> other verbiage</w:t>
      </w:r>
      <w:r w:rsidR="007927FB">
        <w:rPr>
          <w:bCs/>
        </w:rPr>
        <w:t xml:space="preserve"> such as </w:t>
      </w:r>
      <w:r w:rsidR="00C80E87">
        <w:rPr>
          <w:bCs/>
        </w:rPr>
        <w:t>“open immediately” or “newsletter” directly underneath</w:t>
      </w:r>
      <w:r w:rsidR="00655C54">
        <w:rPr>
          <w:bCs/>
        </w:rPr>
        <w:t xml:space="preserve"> “legal</w:t>
      </w:r>
      <w:r w:rsidR="00C80E87">
        <w:rPr>
          <w:bCs/>
        </w:rPr>
        <w:t xml:space="preserve"> mail.”  O</w:t>
      </w:r>
      <w:r>
        <w:rPr>
          <w:bCs/>
        </w:rPr>
        <w:t>n the back of the envelope</w:t>
      </w:r>
      <w:r w:rsidR="00EA553D">
        <w:rPr>
          <w:bCs/>
        </w:rPr>
        <w:t>s,</w:t>
      </w:r>
      <w:r w:rsidR="00C80E87">
        <w:rPr>
          <w:bCs/>
        </w:rPr>
        <w:t xml:space="preserve"> </w:t>
      </w:r>
      <w:proofErr w:type="spellStart"/>
      <w:r w:rsidR="00C80E87">
        <w:rPr>
          <w:bCs/>
        </w:rPr>
        <w:t>Venie</w:t>
      </w:r>
      <w:proofErr w:type="spellEnd"/>
      <w:r w:rsidR="00C80E87">
        <w:rPr>
          <w:bCs/>
        </w:rPr>
        <w:t xml:space="preserve"> often added </w:t>
      </w:r>
      <w:r>
        <w:rPr>
          <w:bCs/>
        </w:rPr>
        <w:t>the slogan, “Because your freedom is our business”</w:t>
      </w:r>
      <w:r w:rsidR="00774737">
        <w:rPr>
          <w:bCs/>
        </w:rPr>
        <w:t xml:space="preserve"> </w:t>
      </w:r>
      <w:r w:rsidR="00EA553D">
        <w:rPr>
          <w:bCs/>
        </w:rPr>
        <w:t xml:space="preserve">and </w:t>
      </w:r>
      <w:r>
        <w:rPr>
          <w:bCs/>
        </w:rPr>
        <w:t>also replac</w:t>
      </w:r>
      <w:r w:rsidR="00F20A07">
        <w:rPr>
          <w:bCs/>
        </w:rPr>
        <w:t xml:space="preserve">ed </w:t>
      </w:r>
      <w:r>
        <w:rPr>
          <w:bCs/>
        </w:rPr>
        <w:t xml:space="preserve">his name with “Freedom Law Center.”  </w:t>
      </w:r>
    </w:p>
    <w:p w:rsidR="007642B9" w:rsidRDefault="00F2525A" w:rsidP="00A84A3D">
      <w:pPr>
        <w:pStyle w:val="BodyTextIndent"/>
        <w:ind w:left="0" w:firstLine="720"/>
        <w:rPr>
          <w:bCs/>
        </w:rPr>
      </w:pPr>
      <w:proofErr w:type="spellStart"/>
      <w:r>
        <w:rPr>
          <w:bCs/>
        </w:rPr>
        <w:t>Venie</w:t>
      </w:r>
      <w:proofErr w:type="spellEnd"/>
      <w:r w:rsidR="003E1349">
        <w:rPr>
          <w:bCs/>
        </w:rPr>
        <w:t xml:space="preserve"> </w:t>
      </w:r>
      <w:r w:rsidR="00517E74">
        <w:rPr>
          <w:bCs/>
        </w:rPr>
        <w:t xml:space="preserve">testified that he </w:t>
      </w:r>
      <w:r w:rsidR="003E1349">
        <w:rPr>
          <w:bCs/>
        </w:rPr>
        <w:t>had</w:t>
      </w:r>
      <w:r w:rsidR="00D4143E">
        <w:rPr>
          <w:bCs/>
        </w:rPr>
        <w:t xml:space="preserve"> </w:t>
      </w:r>
      <w:r w:rsidR="001100DD">
        <w:rPr>
          <w:bCs/>
        </w:rPr>
        <w:t>a single</w:t>
      </w:r>
      <w:r w:rsidR="005B1CA9">
        <w:rPr>
          <w:bCs/>
        </w:rPr>
        <w:t xml:space="preserve"> purpose</w:t>
      </w:r>
      <w:r w:rsidR="003E1349">
        <w:rPr>
          <w:bCs/>
        </w:rPr>
        <w:t xml:space="preserve"> in making the</w:t>
      </w:r>
      <w:r w:rsidR="005B1CA9">
        <w:rPr>
          <w:bCs/>
        </w:rPr>
        <w:t>se</w:t>
      </w:r>
      <w:r w:rsidR="003E1349">
        <w:rPr>
          <w:bCs/>
        </w:rPr>
        <w:t xml:space="preserve"> </w:t>
      </w:r>
      <w:r>
        <w:rPr>
          <w:bCs/>
        </w:rPr>
        <w:t>modifications</w:t>
      </w:r>
      <w:r w:rsidR="00774737">
        <w:rPr>
          <w:bCs/>
        </w:rPr>
        <w:t xml:space="preserve"> to the envelopes</w:t>
      </w:r>
      <w:r w:rsidR="00517E74">
        <w:rPr>
          <w:bCs/>
        </w:rPr>
        <w:t xml:space="preserve">: </w:t>
      </w:r>
      <w:r w:rsidR="00D4143E">
        <w:rPr>
          <w:bCs/>
        </w:rPr>
        <w:t xml:space="preserve">“I was trying to find some language that would get the letters delivered.  And I knew </w:t>
      </w:r>
      <w:r w:rsidR="00D4143E">
        <w:rPr>
          <w:bCs/>
        </w:rPr>
        <w:lastRenderedPageBreak/>
        <w:t xml:space="preserve">that ‘legal mail’ would get delivered, because Mr. </w:t>
      </w:r>
      <w:proofErr w:type="spellStart"/>
      <w:r w:rsidR="00D4143E">
        <w:rPr>
          <w:bCs/>
        </w:rPr>
        <w:t>Toyen</w:t>
      </w:r>
      <w:proofErr w:type="spellEnd"/>
      <w:r w:rsidR="00D4143E">
        <w:rPr>
          <w:bCs/>
        </w:rPr>
        <w:t xml:space="preserve"> told me that.  And I knew . . .</w:t>
      </w:r>
      <w:r w:rsidR="0018718F">
        <w:rPr>
          <w:bCs/>
        </w:rPr>
        <w:t xml:space="preserve"> </w:t>
      </w:r>
      <w:r w:rsidR="00D4143E">
        <w:rPr>
          <w:bCs/>
        </w:rPr>
        <w:t>if I put ‘advertisement’ on the outside of the envelope</w:t>
      </w:r>
      <w:r w:rsidR="005B1CA9">
        <w:rPr>
          <w:bCs/>
        </w:rPr>
        <w:t>, 100 percent that was going to be thrown out. . . .”</w:t>
      </w:r>
      <w:r w:rsidR="00A84A3D">
        <w:rPr>
          <w:bCs/>
        </w:rPr>
        <w:t xml:space="preserve">  </w:t>
      </w:r>
      <w:proofErr w:type="spellStart"/>
      <w:r w:rsidR="00A84A3D">
        <w:rPr>
          <w:bCs/>
        </w:rPr>
        <w:t>Venie’s</w:t>
      </w:r>
      <w:proofErr w:type="spellEnd"/>
      <w:r w:rsidR="00A84A3D">
        <w:rPr>
          <w:bCs/>
        </w:rPr>
        <w:t xml:space="preserve"> efforts to solicit business from the San Diego County inmates</w:t>
      </w:r>
      <w:r>
        <w:rPr>
          <w:bCs/>
        </w:rPr>
        <w:t xml:space="preserve"> </w:t>
      </w:r>
      <w:r w:rsidR="00A84A3D">
        <w:rPr>
          <w:bCs/>
        </w:rPr>
        <w:t xml:space="preserve">met with little or no success, and in mid-2007, he </w:t>
      </w:r>
      <w:r w:rsidR="007642B9">
        <w:rPr>
          <w:bCs/>
        </w:rPr>
        <w:t xml:space="preserve">closed his California practice and relocated to New Mexico. </w:t>
      </w:r>
    </w:p>
    <w:p w:rsidR="00A71006" w:rsidRPr="00944A84" w:rsidRDefault="00A71006" w:rsidP="00A71006">
      <w:pPr>
        <w:jc w:val="center"/>
      </w:pPr>
      <w:r w:rsidRPr="00A71006">
        <w:rPr>
          <w:b/>
          <w:bCs/>
        </w:rPr>
        <w:t>I</w:t>
      </w:r>
      <w:r w:rsidRPr="002713D5">
        <w:rPr>
          <w:b/>
          <w:bCs/>
        </w:rPr>
        <w:t xml:space="preserve">I.  </w:t>
      </w:r>
      <w:r>
        <w:rPr>
          <w:b/>
          <w:bCs/>
        </w:rPr>
        <w:t xml:space="preserve">LEGAL ANALYSIS </w:t>
      </w:r>
    </w:p>
    <w:p w:rsidR="00170F9D" w:rsidRPr="00170F9D" w:rsidRDefault="00170F9D" w:rsidP="00170F9D">
      <w:pPr>
        <w:pStyle w:val="BodyTextIndent"/>
        <w:ind w:left="0"/>
      </w:pPr>
      <w:r>
        <w:rPr>
          <w:b/>
        </w:rPr>
        <w:t>A</w:t>
      </w:r>
      <w:r w:rsidRPr="002713D5">
        <w:rPr>
          <w:b/>
        </w:rPr>
        <w:t>.</w:t>
      </w:r>
      <w:r w:rsidR="0018718F">
        <w:rPr>
          <w:b/>
        </w:rPr>
        <w:tab/>
      </w:r>
      <w:r>
        <w:rPr>
          <w:b/>
        </w:rPr>
        <w:t>First and Fourteenth Amendment Challenge to Regulation of</w:t>
      </w:r>
      <w:r w:rsidRPr="00EC06D8">
        <w:rPr>
          <w:b/>
          <w:bCs/>
          <w:iCs/>
        </w:rPr>
        <w:t xml:space="preserve"> Advertising</w:t>
      </w:r>
      <w:r>
        <w:t xml:space="preserve"> </w:t>
      </w:r>
    </w:p>
    <w:p w:rsidR="00FF253B" w:rsidRPr="007E4FEB" w:rsidRDefault="007E4FEB" w:rsidP="00EC729D">
      <w:pPr>
        <w:pStyle w:val="BodyTextIndent"/>
        <w:ind w:left="0"/>
      </w:pPr>
      <w:r>
        <w:rPr>
          <w:b/>
        </w:rPr>
        <w:tab/>
      </w:r>
      <w:proofErr w:type="spellStart"/>
      <w:r w:rsidR="007A4D62" w:rsidRPr="007A4D62">
        <w:t>Venie</w:t>
      </w:r>
      <w:proofErr w:type="spellEnd"/>
      <w:r>
        <w:t xml:space="preserve"> </w:t>
      </w:r>
      <w:r w:rsidR="00C4377F">
        <w:t>argues that his letter</w:t>
      </w:r>
      <w:r w:rsidR="00361EA9">
        <w:t>-</w:t>
      </w:r>
      <w:r w:rsidR="00C4377F">
        <w:t>writing is protected by t</w:t>
      </w:r>
      <w:r>
        <w:t>he First Amendment, as incorporated through the Fourteenth Amendment to the U</w:t>
      </w:r>
      <w:r w:rsidR="0018718F">
        <w:t xml:space="preserve">. S. </w:t>
      </w:r>
      <w:r>
        <w:t>Constitution</w:t>
      </w:r>
      <w:r w:rsidR="00C4377F">
        <w:t>.</w:t>
      </w:r>
      <w:r w:rsidR="00C4377F">
        <w:rPr>
          <w:rStyle w:val="FootnoteReference"/>
        </w:rPr>
        <w:footnoteReference w:id="7"/>
      </w:r>
      <w:r w:rsidR="00C4377F">
        <w:t xml:space="preserve">  </w:t>
      </w:r>
      <w:r w:rsidR="0056663F">
        <w:t xml:space="preserve">The </w:t>
      </w:r>
      <w:r w:rsidR="00C4377F">
        <w:t xml:space="preserve">First Amendment </w:t>
      </w:r>
      <w:r>
        <w:t>protects commercial speech</w:t>
      </w:r>
      <w:r w:rsidR="00B6696D">
        <w:t xml:space="preserve"> by attorneys</w:t>
      </w:r>
      <w:r w:rsidR="00D51A04">
        <w:t xml:space="preserve"> </w:t>
      </w:r>
      <w:r>
        <w:t>(</w:t>
      </w:r>
      <w:r w:rsidR="00080DC5" w:rsidRPr="00080DC5">
        <w:rPr>
          <w:i/>
        </w:rPr>
        <w:t xml:space="preserve">Bates v. State </w:t>
      </w:r>
      <w:r w:rsidR="0034698E">
        <w:rPr>
          <w:i/>
        </w:rPr>
        <w:t xml:space="preserve">Bar </w:t>
      </w:r>
      <w:r w:rsidR="00080DC5" w:rsidRPr="00080DC5">
        <w:rPr>
          <w:i/>
        </w:rPr>
        <w:t>of Arizona</w:t>
      </w:r>
      <w:r w:rsidR="00080DC5">
        <w:t xml:space="preserve"> (1977) 4</w:t>
      </w:r>
      <w:r w:rsidR="0034698E">
        <w:t>33</w:t>
      </w:r>
      <w:r w:rsidR="00080DC5">
        <w:t xml:space="preserve"> U.S</w:t>
      </w:r>
      <w:r w:rsidR="0042376C">
        <w:t>.</w:t>
      </w:r>
      <w:r w:rsidR="00080DC5">
        <w:t xml:space="preserve"> 350, 383)</w:t>
      </w:r>
      <w:r w:rsidR="006F08E1">
        <w:t>, as well as</w:t>
      </w:r>
      <w:r w:rsidR="00774737">
        <w:t xml:space="preserve"> </w:t>
      </w:r>
      <w:r w:rsidR="00080DC5">
        <w:t>commercial speech directed at prisoners.  (</w:t>
      </w:r>
      <w:proofErr w:type="spellStart"/>
      <w:r w:rsidR="00080DC5" w:rsidRPr="00080DC5">
        <w:rPr>
          <w:i/>
        </w:rPr>
        <w:t>Shapero</w:t>
      </w:r>
      <w:proofErr w:type="spellEnd"/>
      <w:r w:rsidR="00080DC5" w:rsidRPr="00080DC5">
        <w:rPr>
          <w:i/>
        </w:rPr>
        <w:t xml:space="preserve"> v. Kentucky Bar </w:t>
      </w:r>
      <w:proofErr w:type="spellStart"/>
      <w:r w:rsidR="00080DC5" w:rsidRPr="00080DC5">
        <w:rPr>
          <w:i/>
        </w:rPr>
        <w:t>Ass’n</w:t>
      </w:r>
      <w:proofErr w:type="spellEnd"/>
      <w:r w:rsidR="0042376C">
        <w:rPr>
          <w:i/>
        </w:rPr>
        <w:t>.</w:t>
      </w:r>
      <w:r w:rsidR="00080DC5">
        <w:t xml:space="preserve"> (1988) 486 U.S. 466, 472-473.)</w:t>
      </w:r>
      <w:r w:rsidR="00C4377F">
        <w:t xml:space="preserve">  </w:t>
      </w:r>
      <w:r w:rsidR="006F08E1">
        <w:t>However,</w:t>
      </w:r>
      <w:r w:rsidR="00080DC5">
        <w:t xml:space="preserve"> </w:t>
      </w:r>
      <w:r w:rsidR="00B6696D">
        <w:t xml:space="preserve">the </w:t>
      </w:r>
      <w:r w:rsidR="00D704E4">
        <w:t>First Amendment</w:t>
      </w:r>
      <w:r w:rsidR="00B6696D">
        <w:t xml:space="preserve"> </w:t>
      </w:r>
      <w:r w:rsidR="0042376C">
        <w:t>does</w:t>
      </w:r>
      <w:r w:rsidR="00080DC5">
        <w:t xml:space="preserve"> no</w:t>
      </w:r>
      <w:r w:rsidR="0042376C">
        <w:t>t</w:t>
      </w:r>
      <w:r w:rsidR="00080DC5">
        <w:t xml:space="preserve"> </w:t>
      </w:r>
      <w:r w:rsidR="00E61AF8">
        <w:t>proscribe regulation</w:t>
      </w:r>
      <w:r w:rsidR="006F08E1">
        <w:t xml:space="preserve"> of </w:t>
      </w:r>
      <w:r w:rsidR="00080DC5">
        <w:t xml:space="preserve">false </w:t>
      </w:r>
      <w:r w:rsidR="00CB6699">
        <w:t>or</w:t>
      </w:r>
      <w:r w:rsidR="00080DC5">
        <w:t xml:space="preserve"> misleading</w:t>
      </w:r>
      <w:r w:rsidR="006F08E1">
        <w:t xml:space="preserve"> communications</w:t>
      </w:r>
      <w:r w:rsidR="00080DC5">
        <w:t>.</w:t>
      </w:r>
      <w:r w:rsidR="00086424">
        <w:t xml:space="preserve">  </w:t>
      </w:r>
      <w:r w:rsidR="00FD43A6">
        <w:rPr>
          <w:bCs/>
          <w:iCs/>
        </w:rPr>
        <w:t>(</w:t>
      </w:r>
      <w:proofErr w:type="spellStart"/>
      <w:r w:rsidR="00FD43A6">
        <w:rPr>
          <w:i/>
        </w:rPr>
        <w:t>Leoni</w:t>
      </w:r>
      <w:proofErr w:type="spellEnd"/>
      <w:r w:rsidR="00FD43A6">
        <w:rPr>
          <w:i/>
        </w:rPr>
        <w:t xml:space="preserve"> v. State Bar</w:t>
      </w:r>
      <w:r w:rsidR="00FD43A6">
        <w:t xml:space="preserve"> (1985) 39 </w:t>
      </w:r>
      <w:proofErr w:type="spellStart"/>
      <w:r w:rsidR="00FD43A6">
        <w:t>Cal.3d</w:t>
      </w:r>
      <w:proofErr w:type="spellEnd"/>
      <w:r w:rsidR="00FD43A6">
        <w:t xml:space="preserve"> 609, 624.)  </w:t>
      </w:r>
      <w:r w:rsidR="00CB6699">
        <w:t xml:space="preserve">We accordingly reject </w:t>
      </w:r>
      <w:proofErr w:type="spellStart"/>
      <w:r w:rsidR="00CB6699">
        <w:t>Venie’s</w:t>
      </w:r>
      <w:proofErr w:type="spellEnd"/>
      <w:r w:rsidR="00CB6699">
        <w:t xml:space="preserve"> constitutional challenge to the regulation of his communications.</w:t>
      </w:r>
      <w:r w:rsidR="00C4377F">
        <w:t xml:space="preserve"> </w:t>
      </w:r>
    </w:p>
    <w:p w:rsidR="00EC06D8" w:rsidRPr="00EC06D8" w:rsidRDefault="00170F9D" w:rsidP="00EC729D">
      <w:pPr>
        <w:pStyle w:val="BodyTextIndent"/>
        <w:ind w:left="0"/>
        <w:rPr>
          <w:b/>
          <w:bCs/>
          <w:iCs/>
        </w:rPr>
      </w:pPr>
      <w:r>
        <w:rPr>
          <w:b/>
        </w:rPr>
        <w:t>B</w:t>
      </w:r>
      <w:r w:rsidR="007642B9" w:rsidRPr="002713D5">
        <w:rPr>
          <w:b/>
        </w:rPr>
        <w:t>.</w:t>
      </w:r>
      <w:r w:rsidR="0042376C">
        <w:rPr>
          <w:b/>
        </w:rPr>
        <w:tab/>
      </w:r>
      <w:r w:rsidR="007642B9" w:rsidRPr="002713D5">
        <w:rPr>
          <w:b/>
        </w:rPr>
        <w:t>Co</w:t>
      </w:r>
      <w:r w:rsidR="00EC06D8">
        <w:rPr>
          <w:b/>
        </w:rPr>
        <w:t>unt</w:t>
      </w:r>
      <w:r w:rsidR="00821930">
        <w:rPr>
          <w:b/>
        </w:rPr>
        <w:t>s</w:t>
      </w:r>
      <w:r w:rsidR="00EC06D8">
        <w:rPr>
          <w:b/>
        </w:rPr>
        <w:t xml:space="preserve"> One and Three:  </w:t>
      </w:r>
      <w:r w:rsidR="00EC06D8" w:rsidRPr="00EC06D8">
        <w:rPr>
          <w:b/>
          <w:bCs/>
          <w:iCs/>
        </w:rPr>
        <w:t>Rule 1-400(D)</w:t>
      </w:r>
      <w:r w:rsidR="00EC06D8">
        <w:rPr>
          <w:b/>
          <w:bCs/>
          <w:iCs/>
        </w:rPr>
        <w:t xml:space="preserve"> </w:t>
      </w:r>
      <w:r w:rsidR="00EC06D8" w:rsidRPr="00EC06D8">
        <w:rPr>
          <w:b/>
          <w:bCs/>
          <w:iCs/>
        </w:rPr>
        <w:t>– Misleading Advertising</w:t>
      </w:r>
    </w:p>
    <w:p w:rsidR="009950EC" w:rsidRDefault="007642B9" w:rsidP="009950EC">
      <w:pPr>
        <w:pStyle w:val="BodyTextIndent"/>
        <w:ind w:left="0" w:firstLine="720"/>
        <w:rPr>
          <w:bCs/>
          <w:iCs/>
        </w:rPr>
      </w:pPr>
      <w:r>
        <w:rPr>
          <w:bCs/>
          <w:iCs/>
        </w:rPr>
        <w:t xml:space="preserve">The </w:t>
      </w:r>
      <w:r w:rsidR="00A72E6C">
        <w:rPr>
          <w:bCs/>
          <w:iCs/>
        </w:rPr>
        <w:t xml:space="preserve">hearing judge </w:t>
      </w:r>
      <w:r w:rsidR="006F08E1">
        <w:rPr>
          <w:bCs/>
          <w:iCs/>
        </w:rPr>
        <w:t xml:space="preserve">found </w:t>
      </w:r>
      <w:r>
        <w:rPr>
          <w:bCs/>
          <w:iCs/>
        </w:rPr>
        <w:t xml:space="preserve">that </w:t>
      </w:r>
      <w:proofErr w:type="spellStart"/>
      <w:r w:rsidR="00906E9D">
        <w:rPr>
          <w:bCs/>
          <w:iCs/>
        </w:rPr>
        <w:t>Venie</w:t>
      </w:r>
      <w:proofErr w:type="spellEnd"/>
      <w:r>
        <w:rPr>
          <w:bCs/>
          <w:iCs/>
        </w:rPr>
        <w:t xml:space="preserve"> </w:t>
      </w:r>
      <w:r w:rsidR="00A72E6C">
        <w:rPr>
          <w:bCs/>
          <w:iCs/>
        </w:rPr>
        <w:t>willfully</w:t>
      </w:r>
      <w:r>
        <w:rPr>
          <w:bCs/>
          <w:iCs/>
        </w:rPr>
        <w:t xml:space="preserve"> </w:t>
      </w:r>
      <w:r w:rsidR="00A72E6C">
        <w:rPr>
          <w:bCs/>
          <w:iCs/>
        </w:rPr>
        <w:t>violated rule 1-400(D)</w:t>
      </w:r>
      <w:r w:rsidR="0042376C">
        <w:rPr>
          <w:bCs/>
          <w:iCs/>
        </w:rPr>
        <w:t>,</w:t>
      </w:r>
      <w:r w:rsidR="00A72E6C">
        <w:rPr>
          <w:bCs/>
          <w:iCs/>
        </w:rPr>
        <w:t xml:space="preserve"> </w:t>
      </w:r>
      <w:r w:rsidR="0040177C">
        <w:rPr>
          <w:bCs/>
          <w:iCs/>
        </w:rPr>
        <w:t>as charged in Counts One and Three</w:t>
      </w:r>
      <w:r w:rsidR="0042376C">
        <w:rPr>
          <w:bCs/>
          <w:iCs/>
        </w:rPr>
        <w:t>,</w:t>
      </w:r>
      <w:r w:rsidR="0040177C">
        <w:rPr>
          <w:bCs/>
          <w:iCs/>
        </w:rPr>
        <w:t xml:space="preserve"> </w:t>
      </w:r>
      <w:r>
        <w:rPr>
          <w:bCs/>
          <w:iCs/>
        </w:rPr>
        <w:t xml:space="preserve">by </w:t>
      </w:r>
      <w:r w:rsidR="00FF253B">
        <w:rPr>
          <w:bCs/>
          <w:iCs/>
        </w:rPr>
        <w:t xml:space="preserve">sending </w:t>
      </w:r>
      <w:r w:rsidR="00AC05F8">
        <w:rPr>
          <w:bCs/>
          <w:iCs/>
        </w:rPr>
        <w:t>various letters</w:t>
      </w:r>
      <w:r w:rsidR="00FF253B">
        <w:rPr>
          <w:bCs/>
          <w:iCs/>
        </w:rPr>
        <w:t xml:space="preserve"> </w:t>
      </w:r>
      <w:r w:rsidR="00F73030">
        <w:rPr>
          <w:bCs/>
          <w:iCs/>
        </w:rPr>
        <w:t>to</w:t>
      </w:r>
      <w:r w:rsidR="00361EA9">
        <w:rPr>
          <w:bCs/>
          <w:iCs/>
        </w:rPr>
        <w:t xml:space="preserve"> county jail</w:t>
      </w:r>
      <w:r w:rsidR="00F73030">
        <w:rPr>
          <w:bCs/>
          <w:iCs/>
        </w:rPr>
        <w:t xml:space="preserve"> inmates</w:t>
      </w:r>
      <w:r w:rsidR="00FF253B" w:rsidRPr="00FF253B">
        <w:rPr>
          <w:bCs/>
          <w:iCs/>
        </w:rPr>
        <w:t xml:space="preserve"> </w:t>
      </w:r>
      <w:r w:rsidR="00FF253B">
        <w:rPr>
          <w:bCs/>
          <w:iCs/>
        </w:rPr>
        <w:t xml:space="preserve">seeking professional employment </w:t>
      </w:r>
      <w:r w:rsidR="00202D33">
        <w:rPr>
          <w:bCs/>
          <w:iCs/>
        </w:rPr>
        <w:t xml:space="preserve">in </w:t>
      </w:r>
      <w:r>
        <w:rPr>
          <w:bCs/>
          <w:iCs/>
        </w:rPr>
        <w:t xml:space="preserve">a manner that </w:t>
      </w:r>
      <w:r w:rsidR="00327459">
        <w:rPr>
          <w:bCs/>
          <w:iCs/>
        </w:rPr>
        <w:t>was</w:t>
      </w:r>
      <w:r>
        <w:rPr>
          <w:bCs/>
          <w:iCs/>
        </w:rPr>
        <w:t xml:space="preserve"> false, deceptive or </w:t>
      </w:r>
      <w:r w:rsidR="00F73030">
        <w:rPr>
          <w:bCs/>
          <w:iCs/>
        </w:rPr>
        <w:t>in</w:t>
      </w:r>
      <w:r w:rsidR="0040177C">
        <w:rPr>
          <w:bCs/>
          <w:iCs/>
        </w:rPr>
        <w:t>t</w:t>
      </w:r>
      <w:r>
        <w:rPr>
          <w:bCs/>
          <w:iCs/>
        </w:rPr>
        <w:t>ended to confuse, deceive, or mislead</w:t>
      </w:r>
      <w:r w:rsidR="00202D33">
        <w:rPr>
          <w:bCs/>
          <w:iCs/>
        </w:rPr>
        <w:t>.  We agree</w:t>
      </w:r>
      <w:r w:rsidR="006F08E1">
        <w:rPr>
          <w:bCs/>
          <w:iCs/>
        </w:rPr>
        <w:t xml:space="preserve"> with </w:t>
      </w:r>
      <w:r w:rsidR="00361EA9">
        <w:rPr>
          <w:bCs/>
          <w:iCs/>
        </w:rPr>
        <w:t>t</w:t>
      </w:r>
      <w:r w:rsidR="006F08E1">
        <w:rPr>
          <w:bCs/>
          <w:iCs/>
        </w:rPr>
        <w:t>his culpability finding</w:t>
      </w:r>
      <w:r w:rsidR="00202D33">
        <w:rPr>
          <w:bCs/>
          <w:iCs/>
        </w:rPr>
        <w:t xml:space="preserve">, at least with respect to </w:t>
      </w:r>
      <w:r w:rsidR="00E00A12">
        <w:rPr>
          <w:bCs/>
          <w:iCs/>
        </w:rPr>
        <w:t>his</w:t>
      </w:r>
      <w:r w:rsidR="00202D33">
        <w:rPr>
          <w:bCs/>
          <w:iCs/>
        </w:rPr>
        <w:t xml:space="preserve"> envelopes</w:t>
      </w:r>
      <w:r w:rsidR="0040177C">
        <w:rPr>
          <w:bCs/>
          <w:iCs/>
        </w:rPr>
        <w:t>.</w:t>
      </w:r>
      <w:r w:rsidR="0040177C">
        <w:rPr>
          <w:rStyle w:val="FootnoteReference"/>
          <w:bCs/>
          <w:iCs/>
        </w:rPr>
        <w:footnoteReference w:id="8"/>
      </w:r>
      <w:r w:rsidR="0040177C">
        <w:rPr>
          <w:bCs/>
          <w:iCs/>
        </w:rPr>
        <w:t xml:space="preserve">  </w:t>
      </w:r>
      <w:r w:rsidR="005032A1">
        <w:rPr>
          <w:bCs/>
          <w:iCs/>
        </w:rPr>
        <w:t>Env</w:t>
      </w:r>
      <w:r w:rsidR="009D13FB">
        <w:rPr>
          <w:bCs/>
          <w:iCs/>
        </w:rPr>
        <w:t>e</w:t>
      </w:r>
      <w:r w:rsidR="005032A1">
        <w:rPr>
          <w:bCs/>
          <w:iCs/>
        </w:rPr>
        <w:t>lopes</w:t>
      </w:r>
      <w:r w:rsidR="00846AEE">
        <w:rPr>
          <w:bCs/>
          <w:iCs/>
        </w:rPr>
        <w:t xml:space="preserve"> that do not contain the words “</w:t>
      </w:r>
      <w:r w:rsidR="0034698E">
        <w:rPr>
          <w:bCs/>
          <w:iCs/>
        </w:rPr>
        <w:t>‘A</w:t>
      </w:r>
      <w:r w:rsidR="009950EC">
        <w:rPr>
          <w:bCs/>
          <w:iCs/>
        </w:rPr>
        <w:t>dvertisement,</w:t>
      </w:r>
      <w:r w:rsidR="0034698E">
        <w:rPr>
          <w:bCs/>
          <w:iCs/>
        </w:rPr>
        <w:t>’</w:t>
      </w:r>
      <w:r w:rsidR="009950EC">
        <w:rPr>
          <w:bCs/>
          <w:iCs/>
        </w:rPr>
        <w:t>” “</w:t>
      </w:r>
      <w:r w:rsidR="0034698E">
        <w:rPr>
          <w:bCs/>
          <w:iCs/>
        </w:rPr>
        <w:t>‘N</w:t>
      </w:r>
      <w:r w:rsidR="00846AEE">
        <w:rPr>
          <w:bCs/>
          <w:iCs/>
        </w:rPr>
        <w:t>ewsletter</w:t>
      </w:r>
      <w:r w:rsidR="0034698E">
        <w:rPr>
          <w:bCs/>
          <w:iCs/>
        </w:rPr>
        <w:t>’</w:t>
      </w:r>
      <w:r w:rsidR="00846AEE">
        <w:rPr>
          <w:bCs/>
          <w:iCs/>
        </w:rPr>
        <w:t xml:space="preserve">” </w:t>
      </w:r>
      <w:r w:rsidR="00833695">
        <w:rPr>
          <w:bCs/>
          <w:iCs/>
        </w:rPr>
        <w:t xml:space="preserve"> or “words of similar import on the </w:t>
      </w:r>
      <w:r w:rsidR="00833695">
        <w:rPr>
          <w:bCs/>
          <w:iCs/>
        </w:rPr>
        <w:lastRenderedPageBreak/>
        <w:t xml:space="preserve">outside thereof” are presumed to be in violation of rule 1-400, according to Standard 5 adopted by the Board of Governors pursuant to rule 1-400(E).  </w:t>
      </w:r>
      <w:proofErr w:type="spellStart"/>
      <w:r w:rsidR="00327459">
        <w:rPr>
          <w:bCs/>
          <w:iCs/>
        </w:rPr>
        <w:t>Venie</w:t>
      </w:r>
      <w:proofErr w:type="spellEnd"/>
      <w:r w:rsidR="00327459">
        <w:rPr>
          <w:bCs/>
          <w:iCs/>
        </w:rPr>
        <w:t xml:space="preserve"> </w:t>
      </w:r>
      <w:r w:rsidR="00202D33">
        <w:rPr>
          <w:bCs/>
          <w:iCs/>
        </w:rPr>
        <w:t>intentional</w:t>
      </w:r>
      <w:r w:rsidR="00846AEE">
        <w:rPr>
          <w:bCs/>
          <w:iCs/>
        </w:rPr>
        <w:t>ly</w:t>
      </w:r>
      <w:r w:rsidR="00833695">
        <w:rPr>
          <w:bCs/>
          <w:iCs/>
        </w:rPr>
        <w:t xml:space="preserve"> </w:t>
      </w:r>
      <w:r w:rsidR="00B74DE3">
        <w:rPr>
          <w:bCs/>
          <w:iCs/>
        </w:rPr>
        <w:t>omitted</w:t>
      </w:r>
      <w:r w:rsidR="00833695">
        <w:rPr>
          <w:bCs/>
          <w:iCs/>
        </w:rPr>
        <w:t xml:space="preserve"> the term</w:t>
      </w:r>
      <w:r w:rsidR="003C6370">
        <w:rPr>
          <w:bCs/>
          <w:iCs/>
        </w:rPr>
        <w:t>s</w:t>
      </w:r>
      <w:r w:rsidR="00833695">
        <w:rPr>
          <w:bCs/>
          <w:iCs/>
        </w:rPr>
        <w:t xml:space="preserve"> “</w:t>
      </w:r>
      <w:r w:rsidR="009950EC">
        <w:rPr>
          <w:bCs/>
          <w:iCs/>
        </w:rPr>
        <w:t>a</w:t>
      </w:r>
      <w:r w:rsidR="00833695">
        <w:rPr>
          <w:bCs/>
          <w:iCs/>
        </w:rPr>
        <w:t xml:space="preserve">dvertisement” </w:t>
      </w:r>
      <w:r w:rsidR="00A847DB">
        <w:rPr>
          <w:bCs/>
          <w:iCs/>
        </w:rPr>
        <w:t xml:space="preserve">or “solicitation” </w:t>
      </w:r>
      <w:r w:rsidR="00AE38B8">
        <w:rPr>
          <w:bCs/>
          <w:iCs/>
        </w:rPr>
        <w:t>from</w:t>
      </w:r>
      <w:r w:rsidR="00833695">
        <w:rPr>
          <w:bCs/>
          <w:iCs/>
        </w:rPr>
        <w:t xml:space="preserve"> </w:t>
      </w:r>
      <w:r w:rsidR="00812708">
        <w:rPr>
          <w:bCs/>
          <w:iCs/>
        </w:rPr>
        <w:t xml:space="preserve">all of the </w:t>
      </w:r>
      <w:r w:rsidR="00833695">
        <w:rPr>
          <w:bCs/>
          <w:iCs/>
        </w:rPr>
        <w:t>envelopes because he knew with “100 percent” certainty that us</w:t>
      </w:r>
      <w:r w:rsidR="00AE38B8">
        <w:rPr>
          <w:bCs/>
          <w:iCs/>
        </w:rPr>
        <w:t>ing</w:t>
      </w:r>
      <w:r w:rsidR="00833695">
        <w:rPr>
          <w:bCs/>
          <w:iCs/>
        </w:rPr>
        <w:t xml:space="preserve"> </w:t>
      </w:r>
      <w:r w:rsidR="003C6370">
        <w:rPr>
          <w:bCs/>
          <w:iCs/>
        </w:rPr>
        <w:t>them</w:t>
      </w:r>
      <w:r w:rsidR="00833695">
        <w:rPr>
          <w:bCs/>
          <w:iCs/>
        </w:rPr>
        <w:t xml:space="preserve"> would result in his letters being discarded</w:t>
      </w:r>
      <w:r w:rsidR="00370A7E">
        <w:rPr>
          <w:bCs/>
          <w:iCs/>
        </w:rPr>
        <w:t>.</w:t>
      </w:r>
      <w:r w:rsidR="009950EC">
        <w:rPr>
          <w:bCs/>
          <w:iCs/>
        </w:rPr>
        <w:t xml:space="preserve">  </w:t>
      </w:r>
      <w:r w:rsidR="00370A7E">
        <w:rPr>
          <w:bCs/>
          <w:iCs/>
        </w:rPr>
        <w:t xml:space="preserve">Instead, </w:t>
      </w:r>
      <w:r w:rsidR="003C6370">
        <w:rPr>
          <w:bCs/>
          <w:iCs/>
        </w:rPr>
        <w:t>he</w:t>
      </w:r>
      <w:r w:rsidR="00833695">
        <w:rPr>
          <w:bCs/>
          <w:iCs/>
        </w:rPr>
        <w:t xml:space="preserve"> </w:t>
      </w:r>
      <w:r w:rsidR="00370A7E">
        <w:rPr>
          <w:bCs/>
          <w:iCs/>
        </w:rPr>
        <w:t>devise</w:t>
      </w:r>
      <w:r w:rsidR="00615EAB">
        <w:rPr>
          <w:bCs/>
          <w:iCs/>
        </w:rPr>
        <w:t>d</w:t>
      </w:r>
      <w:r w:rsidR="00370A7E">
        <w:rPr>
          <w:bCs/>
          <w:iCs/>
        </w:rPr>
        <w:t xml:space="preserve"> various combinations of words </w:t>
      </w:r>
      <w:r w:rsidR="00846AEE">
        <w:rPr>
          <w:bCs/>
          <w:iCs/>
        </w:rPr>
        <w:t xml:space="preserve">to </w:t>
      </w:r>
      <w:r w:rsidR="00202D33">
        <w:rPr>
          <w:bCs/>
          <w:iCs/>
        </w:rPr>
        <w:t xml:space="preserve">deceive the Sheriff’s Department </w:t>
      </w:r>
      <w:r w:rsidR="00615EAB">
        <w:rPr>
          <w:bCs/>
          <w:iCs/>
        </w:rPr>
        <w:t xml:space="preserve">into </w:t>
      </w:r>
      <w:r w:rsidR="003C6370">
        <w:rPr>
          <w:bCs/>
          <w:iCs/>
        </w:rPr>
        <w:t xml:space="preserve">allowing the </w:t>
      </w:r>
      <w:r w:rsidR="00615EAB">
        <w:rPr>
          <w:bCs/>
          <w:iCs/>
        </w:rPr>
        <w:t xml:space="preserve">envelopes </w:t>
      </w:r>
      <w:r w:rsidR="003C6370">
        <w:rPr>
          <w:bCs/>
          <w:iCs/>
        </w:rPr>
        <w:t>to reach the inmates.</w:t>
      </w:r>
      <w:r w:rsidR="00EB37A5">
        <w:rPr>
          <w:bCs/>
          <w:iCs/>
        </w:rPr>
        <w:t xml:space="preserve">  </w:t>
      </w:r>
      <w:r w:rsidR="0040177C">
        <w:rPr>
          <w:bCs/>
          <w:iCs/>
        </w:rPr>
        <w:t xml:space="preserve"> </w:t>
      </w:r>
      <w:r w:rsidR="00846AEE">
        <w:rPr>
          <w:bCs/>
          <w:iCs/>
        </w:rPr>
        <w:t xml:space="preserve"> </w:t>
      </w:r>
    </w:p>
    <w:p w:rsidR="00E64CE8" w:rsidRDefault="009950EC" w:rsidP="00716122">
      <w:pPr>
        <w:pStyle w:val="BodyTextIndent"/>
        <w:ind w:left="0" w:firstLine="720"/>
        <w:rPr>
          <w:bCs/>
          <w:iCs/>
        </w:rPr>
      </w:pPr>
      <w:proofErr w:type="spellStart"/>
      <w:r>
        <w:rPr>
          <w:bCs/>
          <w:iCs/>
        </w:rPr>
        <w:t>Venie’s</w:t>
      </w:r>
      <w:proofErr w:type="spellEnd"/>
      <w:r>
        <w:rPr>
          <w:bCs/>
          <w:iCs/>
        </w:rPr>
        <w:t xml:space="preserve"> </w:t>
      </w:r>
      <w:r w:rsidR="0056663F">
        <w:rPr>
          <w:bCs/>
          <w:iCs/>
        </w:rPr>
        <w:t>claim</w:t>
      </w:r>
      <w:r w:rsidR="00436E9E">
        <w:rPr>
          <w:bCs/>
          <w:iCs/>
        </w:rPr>
        <w:t xml:space="preserve"> that he attempted</w:t>
      </w:r>
      <w:r w:rsidR="00A847DB">
        <w:rPr>
          <w:bCs/>
        </w:rPr>
        <w:t xml:space="preserve"> to</w:t>
      </w:r>
      <w:r>
        <w:rPr>
          <w:bCs/>
        </w:rPr>
        <w:t xml:space="preserve"> compl</w:t>
      </w:r>
      <w:r w:rsidR="00A847DB">
        <w:rPr>
          <w:bCs/>
        </w:rPr>
        <w:t>y</w:t>
      </w:r>
      <w:r>
        <w:rPr>
          <w:bCs/>
        </w:rPr>
        <w:t xml:space="preserve"> with rule 1-400 by adding “newsletter”</w:t>
      </w:r>
      <w:r w:rsidR="00EB37A5">
        <w:rPr>
          <w:bCs/>
        </w:rPr>
        <w:t xml:space="preserve"> </w:t>
      </w:r>
      <w:r>
        <w:rPr>
          <w:bCs/>
        </w:rPr>
        <w:t xml:space="preserve">under “legal mail” or “attorney mail” </w:t>
      </w:r>
      <w:r w:rsidR="003C6370">
        <w:rPr>
          <w:bCs/>
        </w:rPr>
        <w:t xml:space="preserve">on the envelopes </w:t>
      </w:r>
      <w:r w:rsidR="0056663F">
        <w:rPr>
          <w:bCs/>
        </w:rPr>
        <w:t xml:space="preserve">is </w:t>
      </w:r>
      <w:r>
        <w:rPr>
          <w:bCs/>
        </w:rPr>
        <w:t>unavailing</w:t>
      </w:r>
      <w:r w:rsidR="005C7109">
        <w:rPr>
          <w:bCs/>
        </w:rPr>
        <w:t xml:space="preserve"> since h</w:t>
      </w:r>
      <w:r w:rsidR="00B74DE3">
        <w:rPr>
          <w:bCs/>
        </w:rPr>
        <w:t>e</w:t>
      </w:r>
      <w:r w:rsidR="00E306AB">
        <w:rPr>
          <w:bCs/>
          <w:iCs/>
        </w:rPr>
        <w:t xml:space="preserve"> </w:t>
      </w:r>
      <w:r w:rsidR="005C41A6">
        <w:rPr>
          <w:bCs/>
          <w:iCs/>
        </w:rPr>
        <w:t xml:space="preserve">did so </w:t>
      </w:r>
      <w:r w:rsidR="00812708">
        <w:rPr>
          <w:bCs/>
          <w:iCs/>
        </w:rPr>
        <w:t xml:space="preserve">only </w:t>
      </w:r>
      <w:r w:rsidR="00E306AB">
        <w:rPr>
          <w:bCs/>
          <w:iCs/>
        </w:rPr>
        <w:t xml:space="preserve">to </w:t>
      </w:r>
      <w:r w:rsidR="00AE38B8">
        <w:rPr>
          <w:bCs/>
          <w:iCs/>
        </w:rPr>
        <w:t>circumvent</w:t>
      </w:r>
      <w:r w:rsidR="00E306AB">
        <w:rPr>
          <w:bCs/>
          <w:iCs/>
        </w:rPr>
        <w:t xml:space="preserve"> the Sheriff’s Department</w:t>
      </w:r>
      <w:r w:rsidR="00AE38B8">
        <w:rPr>
          <w:bCs/>
          <w:iCs/>
        </w:rPr>
        <w:t>’s</w:t>
      </w:r>
      <w:r w:rsidR="005C41A6">
        <w:rPr>
          <w:bCs/>
          <w:iCs/>
        </w:rPr>
        <w:t xml:space="preserve"> policy</w:t>
      </w:r>
      <w:r w:rsidR="005C7109">
        <w:rPr>
          <w:bCs/>
          <w:iCs/>
        </w:rPr>
        <w:t xml:space="preserve">.  </w:t>
      </w:r>
      <w:proofErr w:type="spellStart"/>
      <w:r w:rsidR="005C7109">
        <w:rPr>
          <w:bCs/>
          <w:iCs/>
        </w:rPr>
        <w:t>Venie</w:t>
      </w:r>
      <w:proofErr w:type="spellEnd"/>
      <w:r w:rsidR="005C7109">
        <w:rPr>
          <w:bCs/>
          <w:iCs/>
        </w:rPr>
        <w:t xml:space="preserve"> </w:t>
      </w:r>
      <w:r w:rsidR="00812708">
        <w:rPr>
          <w:bCs/>
          <w:iCs/>
        </w:rPr>
        <w:t>admitted:</w:t>
      </w:r>
      <w:r w:rsidR="005C7109">
        <w:rPr>
          <w:bCs/>
          <w:iCs/>
        </w:rPr>
        <w:t xml:space="preserve">  “I was trying to comply with the mandates of rule 1-400(D) without signaling to Mr. </w:t>
      </w:r>
      <w:proofErr w:type="spellStart"/>
      <w:r w:rsidR="005C7109">
        <w:rPr>
          <w:bCs/>
          <w:iCs/>
        </w:rPr>
        <w:t>Toyen</w:t>
      </w:r>
      <w:proofErr w:type="spellEnd"/>
      <w:r w:rsidR="005C7109">
        <w:rPr>
          <w:bCs/>
          <w:iCs/>
        </w:rPr>
        <w:t xml:space="preserve"> and the other people that this was an advertisement and would be thrown away.”</w:t>
      </w:r>
      <w:r w:rsidR="00202971">
        <w:rPr>
          <w:bCs/>
          <w:iCs/>
        </w:rPr>
        <w:t xml:space="preserve">  </w:t>
      </w:r>
      <w:r w:rsidR="002B264B">
        <w:rPr>
          <w:bCs/>
          <w:iCs/>
        </w:rPr>
        <w:t>Furthermore,</w:t>
      </w:r>
      <w:r w:rsidR="00202971">
        <w:rPr>
          <w:bCs/>
          <w:iCs/>
        </w:rPr>
        <w:t xml:space="preserve"> t</w:t>
      </w:r>
      <w:r w:rsidR="00E306AB">
        <w:rPr>
          <w:bCs/>
          <w:iCs/>
        </w:rPr>
        <w:t xml:space="preserve">he contents of the envelopes were </w:t>
      </w:r>
      <w:r w:rsidR="00E306AB" w:rsidRPr="00883B61">
        <w:rPr>
          <w:bCs/>
          <w:i/>
          <w:iCs/>
        </w:rPr>
        <w:t>not</w:t>
      </w:r>
      <w:r w:rsidR="00E306AB">
        <w:rPr>
          <w:bCs/>
          <w:iCs/>
        </w:rPr>
        <w:t xml:space="preserve"> newsletters</w:t>
      </w:r>
      <w:r w:rsidR="003C650F">
        <w:rPr>
          <w:bCs/>
          <w:iCs/>
        </w:rPr>
        <w:t>.  Rather, as he stated</w:t>
      </w:r>
      <w:r w:rsidR="00AC7EE3">
        <w:rPr>
          <w:bCs/>
          <w:iCs/>
        </w:rPr>
        <w:t>, they were “informational letter[s]. . .</w:t>
      </w:r>
      <w:r w:rsidR="00A851A0">
        <w:rPr>
          <w:bCs/>
          <w:iCs/>
        </w:rPr>
        <w:t>meant to advertise professional criminal defense attorney ser</w:t>
      </w:r>
      <w:r w:rsidR="005B3FB6">
        <w:rPr>
          <w:bCs/>
          <w:iCs/>
        </w:rPr>
        <w:t>v</w:t>
      </w:r>
      <w:r w:rsidR="00A851A0">
        <w:rPr>
          <w:bCs/>
          <w:iCs/>
        </w:rPr>
        <w:t>ices for hire</w:t>
      </w:r>
      <w:r w:rsidR="005B3FB6">
        <w:rPr>
          <w:bCs/>
          <w:iCs/>
        </w:rPr>
        <w:t>.”</w:t>
      </w:r>
      <w:r w:rsidR="00E64CE8">
        <w:rPr>
          <w:bCs/>
          <w:iCs/>
        </w:rPr>
        <w:t xml:space="preserve">  </w:t>
      </w:r>
      <w:proofErr w:type="spellStart"/>
      <w:r w:rsidR="00883B61">
        <w:rPr>
          <w:bCs/>
          <w:iCs/>
        </w:rPr>
        <w:t>Venie</w:t>
      </w:r>
      <w:proofErr w:type="spellEnd"/>
      <w:r w:rsidR="00883B61">
        <w:rPr>
          <w:bCs/>
          <w:iCs/>
        </w:rPr>
        <w:t xml:space="preserve"> </w:t>
      </w:r>
      <w:r w:rsidR="00E64CE8">
        <w:rPr>
          <w:bCs/>
          <w:iCs/>
        </w:rPr>
        <w:t xml:space="preserve">also </w:t>
      </w:r>
      <w:r w:rsidR="002B264B">
        <w:rPr>
          <w:bCs/>
          <w:iCs/>
        </w:rPr>
        <w:t>argues</w:t>
      </w:r>
      <w:r w:rsidR="00E64CE8">
        <w:rPr>
          <w:bCs/>
          <w:iCs/>
        </w:rPr>
        <w:t xml:space="preserve"> </w:t>
      </w:r>
      <w:r w:rsidR="00883B61">
        <w:rPr>
          <w:bCs/>
          <w:iCs/>
        </w:rPr>
        <w:t xml:space="preserve">that </w:t>
      </w:r>
      <w:r w:rsidR="005C41A6">
        <w:rPr>
          <w:bCs/>
          <w:iCs/>
        </w:rPr>
        <w:t>including</w:t>
      </w:r>
      <w:r w:rsidR="00DF08FF">
        <w:rPr>
          <w:bCs/>
          <w:iCs/>
        </w:rPr>
        <w:t xml:space="preserve"> the </w:t>
      </w:r>
      <w:r w:rsidR="00883B61">
        <w:rPr>
          <w:bCs/>
          <w:iCs/>
        </w:rPr>
        <w:t>terms “legal mail” “</w:t>
      </w:r>
      <w:r w:rsidR="007C0BD7">
        <w:rPr>
          <w:bCs/>
          <w:iCs/>
        </w:rPr>
        <w:t>a</w:t>
      </w:r>
      <w:r w:rsidR="00883B61">
        <w:rPr>
          <w:bCs/>
          <w:iCs/>
        </w:rPr>
        <w:t xml:space="preserve">ttorney </w:t>
      </w:r>
      <w:r w:rsidR="007C0BD7">
        <w:rPr>
          <w:bCs/>
          <w:iCs/>
        </w:rPr>
        <w:t>m</w:t>
      </w:r>
      <w:r w:rsidR="00883B61">
        <w:rPr>
          <w:bCs/>
          <w:iCs/>
        </w:rPr>
        <w:t>ail</w:t>
      </w:r>
      <w:r w:rsidR="00050757">
        <w:rPr>
          <w:bCs/>
          <w:iCs/>
        </w:rPr>
        <w:t>,</w:t>
      </w:r>
      <w:r w:rsidR="00883B61">
        <w:rPr>
          <w:bCs/>
          <w:iCs/>
        </w:rPr>
        <w:t xml:space="preserve">” </w:t>
      </w:r>
      <w:r w:rsidR="00B36E72">
        <w:rPr>
          <w:bCs/>
          <w:iCs/>
        </w:rPr>
        <w:t xml:space="preserve">and </w:t>
      </w:r>
      <w:r w:rsidR="007C0BD7">
        <w:rPr>
          <w:bCs/>
          <w:iCs/>
        </w:rPr>
        <w:t>“o</w:t>
      </w:r>
      <w:r w:rsidR="00050757">
        <w:rPr>
          <w:bCs/>
          <w:iCs/>
        </w:rPr>
        <w:t xml:space="preserve">pen </w:t>
      </w:r>
      <w:r w:rsidR="007C0BD7">
        <w:rPr>
          <w:bCs/>
          <w:iCs/>
        </w:rPr>
        <w:t>i</w:t>
      </w:r>
      <w:r w:rsidR="00050757">
        <w:rPr>
          <w:bCs/>
          <w:iCs/>
        </w:rPr>
        <w:t xml:space="preserve">mmediately” </w:t>
      </w:r>
      <w:r w:rsidR="00DF08FF">
        <w:rPr>
          <w:bCs/>
          <w:iCs/>
        </w:rPr>
        <w:t>on the envelopes</w:t>
      </w:r>
      <w:r w:rsidR="00883B61">
        <w:rPr>
          <w:bCs/>
          <w:iCs/>
        </w:rPr>
        <w:t xml:space="preserve"> satisf</w:t>
      </w:r>
      <w:r w:rsidR="006F70E1">
        <w:rPr>
          <w:bCs/>
          <w:iCs/>
        </w:rPr>
        <w:t>ied</w:t>
      </w:r>
      <w:r w:rsidR="00883B61">
        <w:rPr>
          <w:bCs/>
          <w:iCs/>
        </w:rPr>
        <w:t xml:space="preserve"> rule </w:t>
      </w:r>
      <w:r w:rsidR="00573956">
        <w:rPr>
          <w:bCs/>
          <w:iCs/>
        </w:rPr>
        <w:t>1</w:t>
      </w:r>
      <w:r w:rsidR="00883B61">
        <w:rPr>
          <w:bCs/>
          <w:iCs/>
        </w:rPr>
        <w:t>-</w:t>
      </w:r>
      <w:r w:rsidR="00573956">
        <w:rPr>
          <w:bCs/>
          <w:iCs/>
        </w:rPr>
        <w:t>4</w:t>
      </w:r>
      <w:r w:rsidR="00883B61">
        <w:rPr>
          <w:bCs/>
          <w:iCs/>
        </w:rPr>
        <w:t xml:space="preserve">00 because </w:t>
      </w:r>
      <w:r w:rsidR="006F70E1">
        <w:rPr>
          <w:bCs/>
          <w:iCs/>
        </w:rPr>
        <w:t>t</w:t>
      </w:r>
      <w:r w:rsidR="00AB2A4E">
        <w:rPr>
          <w:bCs/>
          <w:iCs/>
        </w:rPr>
        <w:t>he</w:t>
      </w:r>
      <w:r w:rsidR="005C41A6">
        <w:rPr>
          <w:bCs/>
          <w:iCs/>
        </w:rPr>
        <w:t>y</w:t>
      </w:r>
      <w:r w:rsidR="00DF08FF">
        <w:rPr>
          <w:bCs/>
          <w:iCs/>
        </w:rPr>
        <w:t xml:space="preserve"> </w:t>
      </w:r>
      <w:r w:rsidR="006F70E1">
        <w:rPr>
          <w:bCs/>
          <w:iCs/>
        </w:rPr>
        <w:t xml:space="preserve">are </w:t>
      </w:r>
      <w:r w:rsidR="00883B61">
        <w:rPr>
          <w:bCs/>
          <w:iCs/>
        </w:rPr>
        <w:t xml:space="preserve">“words of similar import” to </w:t>
      </w:r>
      <w:r w:rsidR="00050757">
        <w:rPr>
          <w:bCs/>
          <w:iCs/>
        </w:rPr>
        <w:t>“Advertisement” or “Newsletter.”  His assertion is disingenuous at best, and we reject it.</w:t>
      </w:r>
      <w:r w:rsidR="00E64CE8">
        <w:rPr>
          <w:bCs/>
          <w:iCs/>
        </w:rPr>
        <w:t xml:space="preserve">  We thus adopt </w:t>
      </w:r>
      <w:r w:rsidR="006E73FE">
        <w:rPr>
          <w:bCs/>
          <w:iCs/>
        </w:rPr>
        <w:t xml:space="preserve">the hearing judge’s </w:t>
      </w:r>
      <w:r w:rsidR="00E64CE8">
        <w:rPr>
          <w:bCs/>
          <w:iCs/>
        </w:rPr>
        <w:t xml:space="preserve">finding </w:t>
      </w:r>
      <w:r w:rsidR="007C0BD7">
        <w:rPr>
          <w:bCs/>
          <w:iCs/>
        </w:rPr>
        <w:t xml:space="preserve">that </w:t>
      </w:r>
      <w:proofErr w:type="spellStart"/>
      <w:r w:rsidR="007C0BD7">
        <w:rPr>
          <w:bCs/>
          <w:iCs/>
        </w:rPr>
        <w:t>Venie</w:t>
      </w:r>
      <w:proofErr w:type="spellEnd"/>
      <w:r w:rsidR="007C0BD7">
        <w:rPr>
          <w:bCs/>
          <w:iCs/>
        </w:rPr>
        <w:t xml:space="preserve"> violated</w:t>
      </w:r>
      <w:r w:rsidR="00716122">
        <w:rPr>
          <w:bCs/>
          <w:iCs/>
        </w:rPr>
        <w:t xml:space="preserve"> </w:t>
      </w:r>
      <w:r w:rsidR="007C0BD7">
        <w:rPr>
          <w:bCs/>
          <w:iCs/>
        </w:rPr>
        <w:t>rule 1-400</w:t>
      </w:r>
      <w:r w:rsidR="00716122">
        <w:rPr>
          <w:bCs/>
          <w:iCs/>
        </w:rPr>
        <w:t>(D)</w:t>
      </w:r>
      <w:r w:rsidR="006E73FE">
        <w:rPr>
          <w:bCs/>
          <w:iCs/>
        </w:rPr>
        <w:t xml:space="preserve"> under Count</w:t>
      </w:r>
      <w:r w:rsidR="00F43426">
        <w:rPr>
          <w:bCs/>
          <w:iCs/>
        </w:rPr>
        <w:t>s</w:t>
      </w:r>
      <w:r w:rsidR="006E73FE">
        <w:rPr>
          <w:bCs/>
          <w:iCs/>
        </w:rPr>
        <w:t xml:space="preserve"> One and Three</w:t>
      </w:r>
      <w:r w:rsidR="00E64CE8">
        <w:rPr>
          <w:bCs/>
          <w:iCs/>
        </w:rPr>
        <w:t>.</w:t>
      </w:r>
      <w:r w:rsidR="00DA7E14">
        <w:rPr>
          <w:bCs/>
          <w:iCs/>
        </w:rPr>
        <w:t xml:space="preserve">  (</w:t>
      </w:r>
      <w:proofErr w:type="spellStart"/>
      <w:r w:rsidR="00470E4C">
        <w:rPr>
          <w:i/>
        </w:rPr>
        <w:t>Leoni</w:t>
      </w:r>
      <w:proofErr w:type="spellEnd"/>
      <w:r w:rsidR="00470E4C">
        <w:rPr>
          <w:i/>
        </w:rPr>
        <w:t xml:space="preserve"> v. State Bar</w:t>
      </w:r>
      <w:r w:rsidR="00FD43A6">
        <w:rPr>
          <w:i/>
        </w:rPr>
        <w:t>, supra,</w:t>
      </w:r>
      <w:r w:rsidR="00FD43A6">
        <w:t xml:space="preserve"> </w:t>
      </w:r>
      <w:r w:rsidR="00470E4C">
        <w:t xml:space="preserve">39 </w:t>
      </w:r>
      <w:proofErr w:type="spellStart"/>
      <w:r w:rsidR="00470E4C">
        <w:t>Cal.3d</w:t>
      </w:r>
      <w:proofErr w:type="spellEnd"/>
      <w:r w:rsidR="00FD43A6">
        <w:t xml:space="preserve"> at p.</w:t>
      </w:r>
      <w:r w:rsidR="004D7CDF">
        <w:t xml:space="preserve"> </w:t>
      </w:r>
      <w:r w:rsidR="00470E4C">
        <w:t>62</w:t>
      </w:r>
      <w:r w:rsidR="004D7CDF">
        <w:t>7</w:t>
      </w:r>
      <w:r w:rsidR="00470E4C">
        <w:t xml:space="preserve"> [failure to </w:t>
      </w:r>
      <w:r w:rsidR="0003092F">
        <w:t xml:space="preserve">“clearly </w:t>
      </w:r>
      <w:r w:rsidR="00470E4C">
        <w:t>identify</w:t>
      </w:r>
      <w:r w:rsidR="0003092F">
        <w:t>”</w:t>
      </w:r>
      <w:r w:rsidR="00470E4C">
        <w:t xml:space="preserve"> letters as solicitation for employment</w:t>
      </w:r>
      <w:r w:rsidR="0003092F">
        <w:t xml:space="preserve"> violated </w:t>
      </w:r>
      <w:r w:rsidR="00815251">
        <w:t xml:space="preserve">former </w:t>
      </w:r>
      <w:r w:rsidR="0003092F">
        <w:t>rule 2-101(A)</w:t>
      </w:r>
      <w:r w:rsidR="0003092F">
        <w:rPr>
          <w:bCs/>
          <w:iCs/>
        </w:rPr>
        <w:t>].)</w:t>
      </w:r>
      <w:r w:rsidR="00E64CE8">
        <w:rPr>
          <w:bCs/>
          <w:iCs/>
        </w:rPr>
        <w:t xml:space="preserve"> </w:t>
      </w:r>
    </w:p>
    <w:p w:rsidR="00883B61" w:rsidRDefault="00B36E72" w:rsidP="00E64CE8">
      <w:pPr>
        <w:pStyle w:val="BodyTextIndent"/>
        <w:ind w:left="0" w:firstLine="720"/>
      </w:pPr>
      <w:r>
        <w:rPr>
          <w:bCs/>
          <w:iCs/>
        </w:rPr>
        <w:t>However</w:t>
      </w:r>
      <w:r w:rsidR="006E73FE">
        <w:rPr>
          <w:bCs/>
          <w:iCs/>
        </w:rPr>
        <w:t>, we find that the evidence</w:t>
      </w:r>
      <w:r w:rsidR="00050757">
        <w:rPr>
          <w:bCs/>
          <w:iCs/>
        </w:rPr>
        <w:t xml:space="preserve"> </w:t>
      </w:r>
      <w:r w:rsidR="006E73FE">
        <w:rPr>
          <w:bCs/>
          <w:iCs/>
        </w:rPr>
        <w:t>establish</w:t>
      </w:r>
      <w:r w:rsidR="00E64CE8">
        <w:rPr>
          <w:bCs/>
          <w:iCs/>
        </w:rPr>
        <w:t>ing violations of rule 1-400 under Counts One and Three is the same as that which establishes</w:t>
      </w:r>
      <w:r w:rsidR="009C3A7A">
        <w:rPr>
          <w:bCs/>
          <w:iCs/>
        </w:rPr>
        <w:t xml:space="preserve"> </w:t>
      </w:r>
      <w:r w:rsidR="00F43426">
        <w:rPr>
          <w:bCs/>
          <w:iCs/>
        </w:rPr>
        <w:t xml:space="preserve">moral turpitude in </w:t>
      </w:r>
      <w:r w:rsidR="006E73FE">
        <w:rPr>
          <w:bCs/>
          <w:iCs/>
        </w:rPr>
        <w:t xml:space="preserve">violation </w:t>
      </w:r>
      <w:r w:rsidR="00573956">
        <w:rPr>
          <w:bCs/>
          <w:iCs/>
        </w:rPr>
        <w:t xml:space="preserve">of </w:t>
      </w:r>
      <w:r w:rsidR="007C0BD7">
        <w:rPr>
          <w:bCs/>
          <w:iCs/>
        </w:rPr>
        <w:t>section 6106</w:t>
      </w:r>
      <w:r w:rsidR="00573956">
        <w:rPr>
          <w:bCs/>
          <w:iCs/>
        </w:rPr>
        <w:t>,</w:t>
      </w:r>
      <w:r w:rsidR="007C0BD7">
        <w:rPr>
          <w:bCs/>
          <w:iCs/>
        </w:rPr>
        <w:t xml:space="preserve"> as alleged</w:t>
      </w:r>
      <w:r w:rsidR="009C3A7A">
        <w:rPr>
          <w:bCs/>
          <w:iCs/>
        </w:rPr>
        <w:t xml:space="preserve"> in Count</w:t>
      </w:r>
      <w:r w:rsidR="007C0BD7">
        <w:rPr>
          <w:bCs/>
          <w:iCs/>
        </w:rPr>
        <w:t>s</w:t>
      </w:r>
      <w:r w:rsidR="009C3A7A">
        <w:rPr>
          <w:bCs/>
          <w:iCs/>
        </w:rPr>
        <w:t xml:space="preserve"> </w:t>
      </w:r>
      <w:r w:rsidR="005C41A6">
        <w:rPr>
          <w:bCs/>
          <w:iCs/>
        </w:rPr>
        <w:t>Two</w:t>
      </w:r>
      <w:r w:rsidR="009C3A7A">
        <w:rPr>
          <w:bCs/>
          <w:iCs/>
        </w:rPr>
        <w:t xml:space="preserve"> and </w:t>
      </w:r>
      <w:r w:rsidR="005C41A6">
        <w:rPr>
          <w:bCs/>
          <w:iCs/>
        </w:rPr>
        <w:t>Four</w:t>
      </w:r>
      <w:r w:rsidR="009C3A7A">
        <w:rPr>
          <w:bCs/>
          <w:iCs/>
        </w:rPr>
        <w:t>.</w:t>
      </w:r>
      <w:r w:rsidR="009D13FB">
        <w:t xml:space="preserve"> </w:t>
      </w:r>
      <w:r w:rsidR="009C3A7A">
        <w:t xml:space="preserve"> We therefore </w:t>
      </w:r>
      <w:r w:rsidR="00F43426">
        <w:t xml:space="preserve">find </w:t>
      </w:r>
      <w:r w:rsidR="009C3A7A">
        <w:t xml:space="preserve">Counts One and Three </w:t>
      </w:r>
      <w:r w:rsidR="005C41A6">
        <w:t>to be</w:t>
      </w:r>
      <w:r w:rsidR="00F43426">
        <w:t xml:space="preserve"> </w:t>
      </w:r>
      <w:r w:rsidR="009C3A7A">
        <w:t>duplicative</w:t>
      </w:r>
      <w:r>
        <w:t xml:space="preserve"> and allot</w:t>
      </w:r>
      <w:r w:rsidR="00F43426">
        <w:t xml:space="preserve"> no additional weight for</w:t>
      </w:r>
      <w:r w:rsidR="006D558B">
        <w:t xml:space="preserve"> </w:t>
      </w:r>
      <w:r w:rsidR="00F43426">
        <w:t>the rule</w:t>
      </w:r>
      <w:r w:rsidR="006D558B">
        <w:t xml:space="preserve"> 1-400 violations</w:t>
      </w:r>
      <w:r w:rsidR="005C41A6">
        <w:t xml:space="preserve"> in determining the level of discipline</w:t>
      </w:r>
      <w:r w:rsidR="009C3A7A">
        <w:t xml:space="preserve">.  </w:t>
      </w:r>
      <w:r w:rsidR="006E3BB4">
        <w:t>(</w:t>
      </w:r>
      <w:r w:rsidR="006E3BB4">
        <w:rPr>
          <w:i/>
        </w:rPr>
        <w:t>In the Matter of Wolff</w:t>
      </w:r>
      <w:r w:rsidR="006E3BB4">
        <w:t xml:space="preserve"> (Review Dept. 2006) 5</w:t>
      </w:r>
      <w:r w:rsidR="0034698E">
        <w:t xml:space="preserve"> Cal. State Bar Ct. </w:t>
      </w:r>
      <w:proofErr w:type="spellStart"/>
      <w:r w:rsidR="0034698E">
        <w:t>Rptr</w:t>
      </w:r>
      <w:proofErr w:type="spellEnd"/>
      <w:r w:rsidR="0034698E">
        <w:t xml:space="preserve">. 1, </w:t>
      </w:r>
      <w:r w:rsidR="006E3BB4">
        <w:t>11.)</w:t>
      </w:r>
    </w:p>
    <w:p w:rsidR="007642B9" w:rsidRDefault="00B6696D" w:rsidP="006D31CD">
      <w:pPr>
        <w:pStyle w:val="BodyTextIndent"/>
        <w:ind w:left="0"/>
        <w:rPr>
          <w:b/>
          <w:bCs/>
          <w:i/>
          <w:iCs/>
        </w:rPr>
      </w:pPr>
      <w:r>
        <w:rPr>
          <w:b/>
        </w:rPr>
        <w:lastRenderedPageBreak/>
        <w:t>C</w:t>
      </w:r>
      <w:r w:rsidR="00CB086F" w:rsidRPr="002713D5">
        <w:rPr>
          <w:b/>
        </w:rPr>
        <w:t>.</w:t>
      </w:r>
      <w:r w:rsidR="00573956">
        <w:rPr>
          <w:b/>
        </w:rPr>
        <w:tab/>
      </w:r>
      <w:r w:rsidR="00CB086F" w:rsidRPr="002713D5">
        <w:rPr>
          <w:b/>
        </w:rPr>
        <w:t>Co</w:t>
      </w:r>
      <w:r w:rsidR="00CB086F">
        <w:rPr>
          <w:b/>
        </w:rPr>
        <w:t>unts Two and Four</w:t>
      </w:r>
      <w:r w:rsidR="006D31CD">
        <w:rPr>
          <w:b/>
        </w:rPr>
        <w:t xml:space="preserve">:  </w:t>
      </w:r>
      <w:r w:rsidR="007642B9" w:rsidRPr="006D31CD">
        <w:rPr>
          <w:b/>
          <w:bCs/>
          <w:iCs/>
        </w:rPr>
        <w:t>Section 6106</w:t>
      </w:r>
      <w:r w:rsidR="0034698E">
        <w:rPr>
          <w:b/>
          <w:bCs/>
          <w:iCs/>
        </w:rPr>
        <w:t xml:space="preserve"> – Moral </w:t>
      </w:r>
      <w:r w:rsidR="007642B9" w:rsidRPr="006D31CD">
        <w:rPr>
          <w:b/>
          <w:bCs/>
          <w:iCs/>
        </w:rPr>
        <w:t>Turpitude</w:t>
      </w:r>
    </w:p>
    <w:p w:rsidR="00CD58BB" w:rsidRDefault="008E32BC" w:rsidP="00CD58BB">
      <w:pPr>
        <w:pStyle w:val="BodyTextIndent"/>
        <w:ind w:left="0" w:firstLine="720"/>
        <w:rPr>
          <w:bCs/>
        </w:rPr>
      </w:pPr>
      <w:r>
        <w:rPr>
          <w:bCs/>
        </w:rPr>
        <w:t xml:space="preserve">The hearing judge found that </w:t>
      </w:r>
      <w:proofErr w:type="spellStart"/>
      <w:r w:rsidR="00CD58BB">
        <w:rPr>
          <w:bCs/>
        </w:rPr>
        <w:t>Venie</w:t>
      </w:r>
      <w:proofErr w:type="spellEnd"/>
      <w:r w:rsidR="00CD58BB">
        <w:rPr>
          <w:bCs/>
        </w:rPr>
        <w:t xml:space="preserve"> used the words “attorney client mail,” “legal mail,” and “attorney mail” on the front of</w:t>
      </w:r>
      <w:r w:rsidR="0010134A">
        <w:rPr>
          <w:bCs/>
        </w:rPr>
        <w:t xml:space="preserve"> his</w:t>
      </w:r>
      <w:r w:rsidR="00CD58BB">
        <w:rPr>
          <w:bCs/>
        </w:rPr>
        <w:t xml:space="preserve"> envelopes</w:t>
      </w:r>
      <w:r w:rsidR="00BD6A6B">
        <w:rPr>
          <w:bCs/>
        </w:rPr>
        <w:t xml:space="preserve"> </w:t>
      </w:r>
      <w:r w:rsidR="00CD58BB">
        <w:rPr>
          <w:bCs/>
        </w:rPr>
        <w:t xml:space="preserve">in an </w:t>
      </w:r>
      <w:r w:rsidR="00BD6A6B">
        <w:rPr>
          <w:bCs/>
        </w:rPr>
        <w:t>intentional effort</w:t>
      </w:r>
      <w:r w:rsidR="00CD58BB">
        <w:rPr>
          <w:bCs/>
        </w:rPr>
        <w:t xml:space="preserve"> to deceive Sheriff</w:t>
      </w:r>
      <w:r w:rsidR="00573956">
        <w:rPr>
          <w:bCs/>
        </w:rPr>
        <w:t>’s</w:t>
      </w:r>
      <w:r w:rsidR="00CD58BB">
        <w:rPr>
          <w:bCs/>
        </w:rPr>
        <w:t xml:space="preserve"> Department officials</w:t>
      </w:r>
      <w:r w:rsidR="00573956">
        <w:rPr>
          <w:bCs/>
        </w:rPr>
        <w:t>,</w:t>
      </w:r>
      <w:r w:rsidR="00AB5D80">
        <w:rPr>
          <w:bCs/>
        </w:rPr>
        <w:t xml:space="preserve"> thereby </w:t>
      </w:r>
      <w:r w:rsidR="00190771">
        <w:t>willfully</w:t>
      </w:r>
      <w:r w:rsidR="00AB5D80">
        <w:t xml:space="preserve"> committ</w:t>
      </w:r>
      <w:r w:rsidR="00190771">
        <w:t xml:space="preserve">ing acts </w:t>
      </w:r>
      <w:r w:rsidR="00AB5D80">
        <w:t>of moral turpitude</w:t>
      </w:r>
      <w:r w:rsidR="00190771">
        <w:t xml:space="preserve"> </w:t>
      </w:r>
      <w:r w:rsidR="00AB5D80">
        <w:t>in violation of</w:t>
      </w:r>
      <w:r w:rsidR="00190771">
        <w:t xml:space="preserve"> </w:t>
      </w:r>
      <w:r w:rsidR="00AB5D80">
        <w:t>section 6106</w:t>
      </w:r>
      <w:r w:rsidR="00190771">
        <w:t>.</w:t>
      </w:r>
      <w:r w:rsidR="00190771">
        <w:rPr>
          <w:rStyle w:val="FootnoteReference"/>
        </w:rPr>
        <w:footnoteReference w:id="9"/>
      </w:r>
      <w:r w:rsidR="00190771">
        <w:t xml:space="preserve">  </w:t>
      </w:r>
      <w:r>
        <w:rPr>
          <w:bCs/>
        </w:rPr>
        <w:t xml:space="preserve">He further found that </w:t>
      </w:r>
      <w:proofErr w:type="spellStart"/>
      <w:r w:rsidR="00CD58BB">
        <w:rPr>
          <w:bCs/>
        </w:rPr>
        <w:t>Venie’s</w:t>
      </w:r>
      <w:proofErr w:type="spellEnd"/>
      <w:r w:rsidR="00CD58BB">
        <w:rPr>
          <w:bCs/>
        </w:rPr>
        <w:t xml:space="preserve"> testimony </w:t>
      </w:r>
      <w:r>
        <w:rPr>
          <w:bCs/>
        </w:rPr>
        <w:t>about</w:t>
      </w:r>
      <w:r w:rsidR="00CD58BB">
        <w:rPr>
          <w:bCs/>
        </w:rPr>
        <w:t xml:space="preserve"> </w:t>
      </w:r>
      <w:r w:rsidR="00B36E72">
        <w:rPr>
          <w:bCs/>
        </w:rPr>
        <w:t>his</w:t>
      </w:r>
      <w:r w:rsidR="00CD58BB">
        <w:rPr>
          <w:bCs/>
        </w:rPr>
        <w:t xml:space="preserve"> legal reasoning </w:t>
      </w:r>
      <w:r w:rsidR="001B6001">
        <w:rPr>
          <w:bCs/>
        </w:rPr>
        <w:t xml:space="preserve">to </w:t>
      </w:r>
      <w:r>
        <w:rPr>
          <w:bCs/>
        </w:rPr>
        <w:t xml:space="preserve">justify </w:t>
      </w:r>
      <w:r w:rsidR="001B6001">
        <w:rPr>
          <w:bCs/>
        </w:rPr>
        <w:t>using</w:t>
      </w:r>
      <w:r>
        <w:rPr>
          <w:bCs/>
        </w:rPr>
        <w:t xml:space="preserve"> these terms was self-serving and </w:t>
      </w:r>
      <w:r w:rsidR="00CD58BB">
        <w:rPr>
          <w:bCs/>
        </w:rPr>
        <w:t>not credible.</w:t>
      </w:r>
      <w:r w:rsidR="0010134A">
        <w:rPr>
          <w:rStyle w:val="FootnoteReference"/>
          <w:bCs/>
        </w:rPr>
        <w:footnoteReference w:id="10"/>
      </w:r>
      <w:r w:rsidR="0010134A">
        <w:rPr>
          <w:bCs/>
        </w:rPr>
        <w:t xml:space="preserve"> </w:t>
      </w:r>
      <w:r w:rsidR="00CD58BB">
        <w:rPr>
          <w:bCs/>
        </w:rPr>
        <w:t xml:space="preserve"> </w:t>
      </w:r>
      <w:r w:rsidR="00EF0D43">
        <w:rPr>
          <w:bCs/>
        </w:rPr>
        <w:t xml:space="preserve">We give </w:t>
      </w:r>
      <w:r w:rsidR="00EF0D43" w:rsidRPr="00814B07">
        <w:t>great weight to the hearing judge’s credibility</w:t>
      </w:r>
      <w:r w:rsidR="00EF0D43">
        <w:t xml:space="preserve"> determination and find no basis to disturb it</w:t>
      </w:r>
      <w:r w:rsidR="00EF0D43" w:rsidRPr="00814B07">
        <w:t xml:space="preserve">.  </w:t>
      </w:r>
      <w:r w:rsidR="00EF0D43">
        <w:t xml:space="preserve">(Rules </w:t>
      </w:r>
      <w:r w:rsidR="00EF0D43" w:rsidRPr="00814B07">
        <w:t xml:space="preserve">Proc. of State Bar, rule 305(a); </w:t>
      </w:r>
      <w:r w:rsidR="00EF0D43" w:rsidRPr="00814B07">
        <w:rPr>
          <w:i/>
        </w:rPr>
        <w:t>Marquette v. State Bar</w:t>
      </w:r>
      <w:r w:rsidR="00EF0D43">
        <w:rPr>
          <w:i/>
        </w:rPr>
        <w:t xml:space="preserve"> </w:t>
      </w:r>
      <w:r w:rsidR="00EF0D43" w:rsidRPr="00814B07">
        <w:t xml:space="preserve">(1988) 44 </w:t>
      </w:r>
      <w:proofErr w:type="spellStart"/>
      <w:r w:rsidR="00EF0D43" w:rsidRPr="00814B07">
        <w:t>Cal.3d</w:t>
      </w:r>
      <w:proofErr w:type="spellEnd"/>
      <w:r w:rsidR="00EF0D43" w:rsidRPr="00814B07">
        <w:t xml:space="preserve"> 253, 260-261</w:t>
      </w:r>
      <w:r w:rsidR="00EF0D43">
        <w:t>.)  As the hearing judge correctly observed:  “</w:t>
      </w:r>
      <w:proofErr w:type="spellStart"/>
      <w:r w:rsidR="00CD58BB">
        <w:rPr>
          <w:bCs/>
        </w:rPr>
        <w:t>Venie</w:t>
      </w:r>
      <w:proofErr w:type="spellEnd"/>
      <w:r w:rsidR="00CD58BB">
        <w:rPr>
          <w:bCs/>
        </w:rPr>
        <w:t xml:space="preserve"> was faced with a dilemma: properly identify his mail to inmates as a newsletter/advertisement for professional employment, which would be discarded, or falsely identify his letters as legal mail that would reach an inmate and, hopefully, result in a client.  In a strictly economic decision, </w:t>
      </w:r>
      <w:proofErr w:type="spellStart"/>
      <w:r w:rsidR="00CD58BB">
        <w:rPr>
          <w:bCs/>
        </w:rPr>
        <w:t>Venie</w:t>
      </w:r>
      <w:proofErr w:type="spellEnd"/>
      <w:r w:rsidR="00CD58BB">
        <w:rPr>
          <w:bCs/>
        </w:rPr>
        <w:t xml:space="preserve"> chose dishonesty over his ethical obligations.</w:t>
      </w:r>
      <w:r w:rsidR="009950EC">
        <w:rPr>
          <w:bCs/>
        </w:rPr>
        <w:t xml:space="preserve">”  </w:t>
      </w:r>
      <w:r w:rsidR="00690DFC">
        <w:rPr>
          <w:bCs/>
        </w:rPr>
        <w:t>Whatever</w:t>
      </w:r>
      <w:r w:rsidR="00B6696D">
        <w:rPr>
          <w:bCs/>
        </w:rPr>
        <w:t xml:space="preserve"> </w:t>
      </w:r>
      <w:r w:rsidR="00237D77">
        <w:rPr>
          <w:bCs/>
        </w:rPr>
        <w:t>else</w:t>
      </w:r>
      <w:r w:rsidR="00C96210">
        <w:rPr>
          <w:bCs/>
        </w:rPr>
        <w:t xml:space="preserve"> </w:t>
      </w:r>
      <w:r w:rsidR="00690DFC">
        <w:rPr>
          <w:bCs/>
        </w:rPr>
        <w:t>may be encompassed by the term “moral turpitude</w:t>
      </w:r>
      <w:r w:rsidR="001B6001">
        <w:rPr>
          <w:bCs/>
        </w:rPr>
        <w:t>,</w:t>
      </w:r>
      <w:r w:rsidR="00690DFC">
        <w:rPr>
          <w:bCs/>
        </w:rPr>
        <w:t xml:space="preserve">” it most assuredly </w:t>
      </w:r>
      <w:r w:rsidR="00C96210">
        <w:rPr>
          <w:bCs/>
        </w:rPr>
        <w:t xml:space="preserve">includes </w:t>
      </w:r>
      <w:r w:rsidR="00E82FE7">
        <w:rPr>
          <w:bCs/>
        </w:rPr>
        <w:t xml:space="preserve">the use of </w:t>
      </w:r>
      <w:r w:rsidR="00690DFC">
        <w:rPr>
          <w:bCs/>
        </w:rPr>
        <w:t>deception</w:t>
      </w:r>
      <w:r w:rsidR="000271CC">
        <w:rPr>
          <w:bCs/>
        </w:rPr>
        <w:t xml:space="preserve"> to attempt</w:t>
      </w:r>
      <w:r w:rsidR="00690DFC">
        <w:rPr>
          <w:bCs/>
        </w:rPr>
        <w:t xml:space="preserve"> </w:t>
      </w:r>
      <w:r w:rsidR="00E82FE7">
        <w:rPr>
          <w:bCs/>
        </w:rPr>
        <w:t xml:space="preserve">to </w:t>
      </w:r>
      <w:r w:rsidR="000271CC">
        <w:rPr>
          <w:bCs/>
        </w:rPr>
        <w:t>gain employment</w:t>
      </w:r>
      <w:r w:rsidR="0010134A">
        <w:rPr>
          <w:bCs/>
        </w:rPr>
        <w:t>.</w:t>
      </w:r>
      <w:r w:rsidR="000271CC">
        <w:rPr>
          <w:bCs/>
        </w:rPr>
        <w:t xml:space="preserve">  </w:t>
      </w:r>
      <w:r w:rsidR="00237D77">
        <w:rPr>
          <w:bCs/>
        </w:rPr>
        <w:t>(</w:t>
      </w:r>
      <w:r w:rsidR="009E2482">
        <w:rPr>
          <w:bCs/>
          <w:i/>
        </w:rPr>
        <w:t>In the Matter of Mitchell</w:t>
      </w:r>
      <w:r w:rsidR="009E2482">
        <w:rPr>
          <w:bCs/>
        </w:rPr>
        <w:t xml:space="preserve"> (Review Dept. 1991) 1 Cal. State Bar Ct. </w:t>
      </w:r>
      <w:proofErr w:type="spellStart"/>
      <w:r w:rsidR="009E2482">
        <w:rPr>
          <w:bCs/>
        </w:rPr>
        <w:t>Rptr</w:t>
      </w:r>
      <w:proofErr w:type="spellEnd"/>
      <w:r w:rsidR="009E2482">
        <w:rPr>
          <w:bCs/>
        </w:rPr>
        <w:t xml:space="preserve">. 332, 341 [deliberate misrepresentation on resume to </w:t>
      </w:r>
      <w:r w:rsidR="00EF2E59">
        <w:rPr>
          <w:bCs/>
        </w:rPr>
        <w:t>gain</w:t>
      </w:r>
      <w:r w:rsidR="009E2482">
        <w:rPr>
          <w:bCs/>
        </w:rPr>
        <w:t xml:space="preserve"> employment by law firm constitute</w:t>
      </w:r>
      <w:r w:rsidR="007A4D62">
        <w:rPr>
          <w:bCs/>
        </w:rPr>
        <w:t>s</w:t>
      </w:r>
      <w:r w:rsidR="009E2482">
        <w:rPr>
          <w:bCs/>
        </w:rPr>
        <w:t xml:space="preserve"> moral turpitude].)  </w:t>
      </w:r>
      <w:r w:rsidR="00C96210">
        <w:rPr>
          <w:bCs/>
        </w:rPr>
        <w:t xml:space="preserve">  </w:t>
      </w:r>
    </w:p>
    <w:p w:rsidR="007642B9" w:rsidRPr="002713D5" w:rsidRDefault="007642B9" w:rsidP="007642B9">
      <w:pPr>
        <w:pStyle w:val="BodyTextIndent"/>
        <w:ind w:left="0"/>
        <w:jc w:val="center"/>
        <w:rPr>
          <w:b/>
        </w:rPr>
      </w:pPr>
      <w:r w:rsidRPr="002713D5">
        <w:rPr>
          <w:b/>
        </w:rPr>
        <w:t>I</w:t>
      </w:r>
      <w:r w:rsidR="00C96210">
        <w:rPr>
          <w:b/>
        </w:rPr>
        <w:t>II</w:t>
      </w:r>
      <w:r w:rsidRPr="002713D5">
        <w:rPr>
          <w:b/>
        </w:rPr>
        <w:t xml:space="preserve">. </w:t>
      </w:r>
      <w:r>
        <w:rPr>
          <w:b/>
        </w:rPr>
        <w:t xml:space="preserve"> </w:t>
      </w:r>
      <w:r w:rsidR="00530E2F">
        <w:rPr>
          <w:b/>
        </w:rPr>
        <w:t>DISCIPLINE ANALYSIS</w:t>
      </w:r>
    </w:p>
    <w:p w:rsidR="001711C0" w:rsidRDefault="00530E2F" w:rsidP="007642B9">
      <w:pPr>
        <w:ind w:firstLine="720"/>
      </w:pPr>
      <w:r>
        <w:t xml:space="preserve">In </w:t>
      </w:r>
      <w:r w:rsidR="001A4000">
        <w:t>determining</w:t>
      </w:r>
      <w:r>
        <w:t xml:space="preserve"> the appropriate level of discipline, we first consider evidence in aggravation and mitigation.  </w:t>
      </w:r>
      <w:r w:rsidR="008A701F" w:rsidRPr="002713D5">
        <w:t xml:space="preserve">(Rule Proc. of State Bar, tit. IV, </w:t>
      </w:r>
      <w:proofErr w:type="spellStart"/>
      <w:r w:rsidR="008A701F" w:rsidRPr="002713D5">
        <w:t>Stds</w:t>
      </w:r>
      <w:proofErr w:type="spellEnd"/>
      <w:r w:rsidR="001B6001">
        <w:t>.</w:t>
      </w:r>
      <w:r w:rsidR="008A701F" w:rsidRPr="002713D5">
        <w:t xml:space="preserve"> for Att</w:t>
      </w:r>
      <w:r w:rsidR="008A701F">
        <w:t xml:space="preserve">y. Sanctions </w:t>
      </w:r>
      <w:r w:rsidR="00DC7A67">
        <w:t>for</w:t>
      </w:r>
      <w:r w:rsidR="008A701F">
        <w:t xml:space="preserve"> Prof</w:t>
      </w:r>
      <w:r w:rsidR="00DC7A67">
        <w:t>.</w:t>
      </w:r>
      <w:r w:rsidR="008A701F">
        <w:t xml:space="preserve"> </w:t>
      </w:r>
      <w:r w:rsidR="008A701F">
        <w:lastRenderedPageBreak/>
        <w:t>Misconduct</w:t>
      </w:r>
      <w:r w:rsidR="008A701F" w:rsidRPr="002713D5">
        <w:t>, std. 1.2</w:t>
      </w:r>
      <w:r w:rsidR="008A701F">
        <w:t>(b) an</w:t>
      </w:r>
      <w:r w:rsidR="00D43D1C">
        <w:t>d</w:t>
      </w:r>
      <w:r w:rsidR="008A701F">
        <w:t xml:space="preserve"> (</w:t>
      </w:r>
      <w:r w:rsidR="0034698E">
        <w:t>e</w:t>
      </w:r>
      <w:r w:rsidR="008A701F">
        <w:t>)</w:t>
      </w:r>
      <w:r w:rsidR="009A41B2">
        <w:t>.</w:t>
      </w:r>
      <w:r w:rsidR="008A701F">
        <w:t>)</w:t>
      </w:r>
      <w:r w:rsidR="009A41B2">
        <w:t xml:space="preserve">  This evidence</w:t>
      </w:r>
      <w:r w:rsidR="001A4000">
        <w:t xml:space="preserve"> must be balanced against</w:t>
      </w:r>
      <w:r w:rsidR="0070414E">
        <w:t xml:space="preserve"> </w:t>
      </w:r>
      <w:proofErr w:type="spellStart"/>
      <w:r w:rsidR="0070414E">
        <w:t>Venie’s</w:t>
      </w:r>
      <w:proofErr w:type="spellEnd"/>
      <w:r w:rsidR="00873829" w:rsidRPr="002713D5">
        <w:t xml:space="preserve"> particular violation</w:t>
      </w:r>
      <w:r w:rsidR="001A4000">
        <w:t>s.</w:t>
      </w:r>
      <w:r w:rsidR="008A701F">
        <w:t xml:space="preserve">  </w:t>
      </w:r>
      <w:r w:rsidR="001A4000">
        <w:t xml:space="preserve">(Std. </w:t>
      </w:r>
      <w:r w:rsidR="001A4000" w:rsidRPr="002713D5">
        <w:t>1.6(b)</w:t>
      </w:r>
      <w:r w:rsidR="001A4000">
        <w:t>.)</w:t>
      </w:r>
    </w:p>
    <w:p w:rsidR="00BD1B5D" w:rsidRPr="00BD1B5D" w:rsidRDefault="00BD1B5D" w:rsidP="00BD1B5D">
      <w:pPr>
        <w:rPr>
          <w:b/>
        </w:rPr>
      </w:pPr>
      <w:r w:rsidRPr="00BD1B5D">
        <w:rPr>
          <w:b/>
        </w:rPr>
        <w:t>A.</w:t>
      </w:r>
      <w:r w:rsidRPr="00BD1B5D">
        <w:rPr>
          <w:b/>
        </w:rPr>
        <w:tab/>
        <w:t>Mitigation</w:t>
      </w:r>
    </w:p>
    <w:p w:rsidR="00D870A4" w:rsidRDefault="006A6C13" w:rsidP="00CD4AF1">
      <w:pPr>
        <w:ind w:firstLine="720"/>
      </w:pPr>
      <w:proofErr w:type="spellStart"/>
      <w:r>
        <w:t>Venie</w:t>
      </w:r>
      <w:proofErr w:type="spellEnd"/>
      <w:r w:rsidR="00BF51C3">
        <w:t xml:space="preserve"> practiced </w:t>
      </w:r>
      <w:r w:rsidR="00595C98">
        <w:t xml:space="preserve">law </w:t>
      </w:r>
      <w:r w:rsidR="00BF51C3">
        <w:t xml:space="preserve">for </w:t>
      </w:r>
      <w:r w:rsidR="007642B9">
        <w:t xml:space="preserve">six years </w:t>
      </w:r>
      <w:r w:rsidR="004031E0">
        <w:t xml:space="preserve">without discipline </w:t>
      </w:r>
      <w:r w:rsidR="007642B9">
        <w:t xml:space="preserve">prior to the commencement of </w:t>
      </w:r>
      <w:r w:rsidR="00D43D1C">
        <w:t>his</w:t>
      </w:r>
      <w:r w:rsidR="007642B9">
        <w:t xml:space="preserve"> </w:t>
      </w:r>
      <w:r w:rsidR="00BF51C3">
        <w:t xml:space="preserve">misconduct, </w:t>
      </w:r>
      <w:r>
        <w:t xml:space="preserve">but this </w:t>
      </w:r>
      <w:r w:rsidR="00547AF4">
        <w:t>entitle</w:t>
      </w:r>
      <w:r w:rsidR="001B6001">
        <w:t>s</w:t>
      </w:r>
      <w:r w:rsidR="00547AF4">
        <w:t xml:space="preserve"> </w:t>
      </w:r>
      <w:r w:rsidR="001B6001">
        <w:t xml:space="preserve">him </w:t>
      </w:r>
      <w:r w:rsidR="00547AF4">
        <w:t xml:space="preserve">to </w:t>
      </w:r>
      <w:r w:rsidR="004031E0">
        <w:t>very little</w:t>
      </w:r>
      <w:r w:rsidR="007642B9">
        <w:t xml:space="preserve"> weight</w:t>
      </w:r>
      <w:r>
        <w:t xml:space="preserve"> in mitigation.  (Std.</w:t>
      </w:r>
      <w:r w:rsidR="0023444D">
        <w:t xml:space="preserve"> </w:t>
      </w:r>
      <w:r w:rsidRPr="002713D5">
        <w:t>1.2(e)</w:t>
      </w:r>
      <w:r>
        <w:t>(</w:t>
      </w:r>
      <w:proofErr w:type="spellStart"/>
      <w:r>
        <w:t>i</w:t>
      </w:r>
      <w:proofErr w:type="spellEnd"/>
      <w:r>
        <w:t xml:space="preserve">); </w:t>
      </w:r>
      <w:r w:rsidR="004031E0" w:rsidRPr="004031E0">
        <w:rPr>
          <w:bCs/>
          <w:i/>
        </w:rPr>
        <w:t>Smith v. State Bar</w:t>
      </w:r>
      <w:r w:rsidR="0034698E">
        <w:rPr>
          <w:bCs/>
          <w:i/>
        </w:rPr>
        <w:t xml:space="preserve"> </w:t>
      </w:r>
      <w:r w:rsidR="004031E0">
        <w:rPr>
          <w:bCs/>
        </w:rPr>
        <w:t>(1985)</w:t>
      </w:r>
      <w:r w:rsidR="004031E0" w:rsidRPr="004031E0">
        <w:rPr>
          <w:bCs/>
        </w:rPr>
        <w:t xml:space="preserve"> 38 </w:t>
      </w:r>
      <w:proofErr w:type="spellStart"/>
      <w:r w:rsidR="004031E0" w:rsidRPr="004031E0">
        <w:rPr>
          <w:bCs/>
        </w:rPr>
        <w:t>Cal.3d</w:t>
      </w:r>
      <w:proofErr w:type="spellEnd"/>
      <w:r w:rsidR="004031E0" w:rsidRPr="004031E0">
        <w:rPr>
          <w:bCs/>
        </w:rPr>
        <w:t xml:space="preserve"> 525</w:t>
      </w:r>
      <w:r w:rsidR="004031E0">
        <w:rPr>
          <w:bCs/>
        </w:rPr>
        <w:t>, 540</w:t>
      </w:r>
      <w:r w:rsidR="004031E0">
        <w:t xml:space="preserve"> [six years of blemish-free practice </w:t>
      </w:r>
      <w:r w:rsidR="00946046">
        <w:t>“</w:t>
      </w:r>
      <w:r w:rsidR="004031E0">
        <w:t>not a strong mitigating factor</w:t>
      </w:r>
      <w:r w:rsidR="00946046">
        <w:t>”</w:t>
      </w:r>
      <w:r w:rsidR="004031E0">
        <w:t xml:space="preserve">]; </w:t>
      </w:r>
      <w:r w:rsidR="00946046">
        <w:rPr>
          <w:i/>
        </w:rPr>
        <w:t>In the Matter of Greenwood</w:t>
      </w:r>
      <w:r w:rsidR="00946046">
        <w:t xml:space="preserve"> (Review Dept. 1998) 3 Cal. State Bar Ct. </w:t>
      </w:r>
      <w:proofErr w:type="spellStart"/>
      <w:r w:rsidR="00946046">
        <w:t>Rptr</w:t>
      </w:r>
      <w:proofErr w:type="spellEnd"/>
      <w:r w:rsidR="00946046">
        <w:t xml:space="preserve">. 831, 837 [six years of blemish-free practice entitled to no </w:t>
      </w:r>
      <w:proofErr w:type="spellStart"/>
      <w:r w:rsidR="00946046">
        <w:t>mitigative</w:t>
      </w:r>
      <w:proofErr w:type="spellEnd"/>
      <w:r w:rsidR="00946046">
        <w:t xml:space="preserve"> weight]</w:t>
      </w:r>
      <w:r w:rsidR="00001D4B">
        <w:t xml:space="preserve">.)  </w:t>
      </w:r>
      <w:proofErr w:type="spellStart"/>
      <w:r w:rsidR="00547AF4">
        <w:t>Venie</w:t>
      </w:r>
      <w:proofErr w:type="spellEnd"/>
      <w:r w:rsidR="00547AF4">
        <w:t xml:space="preserve"> </w:t>
      </w:r>
      <w:r w:rsidR="005E43B6">
        <w:t>contends</w:t>
      </w:r>
      <w:r w:rsidR="00547AF4">
        <w:t xml:space="preserve"> that he</w:t>
      </w:r>
      <w:r w:rsidRPr="006A6C13">
        <w:t xml:space="preserve"> </w:t>
      </w:r>
      <w:r>
        <w:t>also</w:t>
      </w:r>
      <w:r w:rsidR="00547AF4">
        <w:t xml:space="preserve"> is entitled to mitigation </w:t>
      </w:r>
      <w:r w:rsidR="006C3AA0">
        <w:t>for</w:t>
      </w:r>
      <w:r w:rsidR="00547AF4">
        <w:t xml:space="preserve"> his good faith effort</w:t>
      </w:r>
      <w:r w:rsidR="005E43B6" w:rsidRPr="005E43B6">
        <w:t xml:space="preserve"> </w:t>
      </w:r>
      <w:r w:rsidR="005E43B6">
        <w:t xml:space="preserve">to seek guidance </w:t>
      </w:r>
      <w:r w:rsidR="006C3AA0">
        <w:t xml:space="preserve">from the State Bar investigator </w:t>
      </w:r>
      <w:r w:rsidR="0010134A">
        <w:t>about the format of his letters</w:t>
      </w:r>
      <w:r w:rsidR="005E43B6">
        <w:t xml:space="preserve">.  </w:t>
      </w:r>
      <w:r w:rsidR="00F30D97">
        <w:t xml:space="preserve">We decline to give </w:t>
      </w:r>
      <w:r w:rsidR="006C3AA0">
        <w:t xml:space="preserve">this any </w:t>
      </w:r>
      <w:proofErr w:type="spellStart"/>
      <w:r w:rsidR="006C3AA0">
        <w:t>mitigative</w:t>
      </w:r>
      <w:proofErr w:type="spellEnd"/>
      <w:r w:rsidR="006C3AA0">
        <w:t xml:space="preserve"> </w:t>
      </w:r>
      <w:r w:rsidR="00F30D97">
        <w:t>weight since i</w:t>
      </w:r>
      <w:r w:rsidR="005E43B6">
        <w:t xml:space="preserve">t was not the proper function of the State Bar to advise </w:t>
      </w:r>
      <w:proofErr w:type="spellStart"/>
      <w:r w:rsidR="006C3AA0">
        <w:t>Venie</w:t>
      </w:r>
      <w:proofErr w:type="spellEnd"/>
      <w:r w:rsidR="006C3AA0">
        <w:t xml:space="preserve"> </w:t>
      </w:r>
      <w:r w:rsidR="005E43B6">
        <w:t xml:space="preserve">how </w:t>
      </w:r>
      <w:r w:rsidR="006C3AA0">
        <w:t>to</w:t>
      </w:r>
      <w:r w:rsidR="005E43B6">
        <w:t xml:space="preserve"> make his communications compliant with the rules.  (</w:t>
      </w:r>
      <w:r w:rsidR="00F30D97">
        <w:rPr>
          <w:i/>
        </w:rPr>
        <w:t>In re Morse, supra</w:t>
      </w:r>
      <w:r w:rsidR="00F30D97">
        <w:t xml:space="preserve">, 11 </w:t>
      </w:r>
      <w:proofErr w:type="spellStart"/>
      <w:r w:rsidR="00F30D97">
        <w:t>Cal.4</w:t>
      </w:r>
      <w:r w:rsidR="00F30D97" w:rsidRPr="00C5533C">
        <w:rPr>
          <w:vertAlign w:val="superscript"/>
        </w:rPr>
        <w:t>th</w:t>
      </w:r>
      <w:proofErr w:type="spellEnd"/>
      <w:r w:rsidR="00F30D97">
        <w:t xml:space="preserve"> </w:t>
      </w:r>
      <w:r w:rsidR="0010134A">
        <w:t>at p.</w:t>
      </w:r>
      <w:r w:rsidR="00F30D97">
        <w:t xml:space="preserve"> 211.)</w:t>
      </w:r>
    </w:p>
    <w:p w:rsidR="001711C0" w:rsidRPr="00547AF4" w:rsidRDefault="00F30D97" w:rsidP="00CD4AF1">
      <w:pPr>
        <w:ind w:firstLine="720"/>
      </w:pPr>
      <w:proofErr w:type="spellStart"/>
      <w:r>
        <w:t>Venie</w:t>
      </w:r>
      <w:proofErr w:type="spellEnd"/>
      <w:r>
        <w:t xml:space="preserve"> further asserts that he is entitled to good faith mitigation because of </w:t>
      </w:r>
      <w:r w:rsidR="005E43B6">
        <w:t xml:space="preserve">his </w:t>
      </w:r>
      <w:r>
        <w:t xml:space="preserve">numerous </w:t>
      </w:r>
      <w:r w:rsidR="00547AF4">
        <w:t>revis</w:t>
      </w:r>
      <w:r>
        <w:t>ions to</w:t>
      </w:r>
      <w:r w:rsidR="00547AF4">
        <w:t xml:space="preserve"> his communications </w:t>
      </w:r>
      <w:r w:rsidR="00BC64A9">
        <w:t xml:space="preserve">in an </w:t>
      </w:r>
      <w:r w:rsidR="0015628A">
        <w:t>attemp</w:t>
      </w:r>
      <w:r w:rsidR="00CB2C72">
        <w:t>t</w:t>
      </w:r>
      <w:r w:rsidR="00BC64A9">
        <w:t xml:space="preserve"> </w:t>
      </w:r>
      <w:r>
        <w:t>to comply with rule 1-400</w:t>
      </w:r>
      <w:r w:rsidR="00547AF4">
        <w:t>.  (</w:t>
      </w:r>
      <w:r w:rsidR="00D43D1C">
        <w:t xml:space="preserve">Std. </w:t>
      </w:r>
      <w:r w:rsidR="00547AF4">
        <w:t xml:space="preserve">1.2(e)(ii).)  </w:t>
      </w:r>
      <w:r>
        <w:t>We reject this argument.  I</w:t>
      </w:r>
      <w:r w:rsidR="00547AF4">
        <w:t xml:space="preserve">n order to establish good faith mitigation, </w:t>
      </w:r>
      <w:proofErr w:type="spellStart"/>
      <w:r w:rsidR="00547AF4">
        <w:t>Venie</w:t>
      </w:r>
      <w:proofErr w:type="spellEnd"/>
      <w:r w:rsidR="00547AF4">
        <w:t xml:space="preserve"> must prove </w:t>
      </w:r>
      <w:r w:rsidR="00D43D1C">
        <w:t xml:space="preserve">that </w:t>
      </w:r>
      <w:r w:rsidR="00547AF4">
        <w:t xml:space="preserve">his efforts were both honest </w:t>
      </w:r>
      <w:r w:rsidR="00547AF4" w:rsidRPr="00547AF4">
        <w:rPr>
          <w:i/>
        </w:rPr>
        <w:t>and</w:t>
      </w:r>
      <w:r w:rsidR="00547AF4">
        <w:t xml:space="preserve"> reasonable.  (</w:t>
      </w:r>
      <w:r w:rsidR="00547AF4">
        <w:rPr>
          <w:i/>
        </w:rPr>
        <w:t xml:space="preserve">In the Matter of </w:t>
      </w:r>
      <w:r w:rsidR="0034698E">
        <w:rPr>
          <w:i/>
        </w:rPr>
        <w:t>Rose</w:t>
      </w:r>
      <w:r w:rsidR="00547AF4">
        <w:t xml:space="preserve"> (Review Dept. 199</w:t>
      </w:r>
      <w:r w:rsidR="0034698E">
        <w:t>7</w:t>
      </w:r>
      <w:r w:rsidR="00547AF4">
        <w:t xml:space="preserve">) </w:t>
      </w:r>
      <w:r w:rsidR="0034698E">
        <w:t>3</w:t>
      </w:r>
      <w:r w:rsidR="00547AF4">
        <w:t xml:space="preserve"> Cal. State Bar Ct. </w:t>
      </w:r>
      <w:proofErr w:type="spellStart"/>
      <w:r w:rsidR="00547AF4">
        <w:t>Rptr</w:t>
      </w:r>
      <w:proofErr w:type="spellEnd"/>
      <w:r w:rsidR="00547AF4">
        <w:t>. 6</w:t>
      </w:r>
      <w:r w:rsidR="0034698E">
        <w:t>46, 653</w:t>
      </w:r>
      <w:r w:rsidR="00CD4AF1">
        <w:t>.</w:t>
      </w:r>
      <w:r w:rsidR="009D16CF">
        <w:t>)</w:t>
      </w:r>
      <w:r w:rsidR="00CD4AF1">
        <w:t xml:space="preserve">  </w:t>
      </w:r>
      <w:r w:rsidR="0070414E">
        <w:t>T</w:t>
      </w:r>
      <w:r w:rsidR="00CD4AF1">
        <w:t>he Sheriff’s Department’s restriction on deliver</w:t>
      </w:r>
      <w:r w:rsidR="00FA0E11">
        <w:t>ing</w:t>
      </w:r>
      <w:r w:rsidR="00CD4AF1">
        <w:t xml:space="preserve"> advertisements was “</w:t>
      </w:r>
      <w:r w:rsidR="00CD4AF1">
        <w:rPr>
          <w:bCs/>
        </w:rPr>
        <w:t xml:space="preserve">one of necessity” to ensure that important mail such as attorney/client communications would be timely </w:t>
      </w:r>
      <w:r w:rsidR="00FA0E11">
        <w:rPr>
          <w:bCs/>
        </w:rPr>
        <w:t>received by</w:t>
      </w:r>
      <w:r w:rsidR="00CD4AF1">
        <w:rPr>
          <w:bCs/>
        </w:rPr>
        <w:t xml:space="preserve"> inmates</w:t>
      </w:r>
      <w:r w:rsidR="0070414E">
        <w:rPr>
          <w:bCs/>
        </w:rPr>
        <w:t xml:space="preserve">.  Accordingly, </w:t>
      </w:r>
      <w:r w:rsidR="00CD4AF1">
        <w:rPr>
          <w:bCs/>
        </w:rPr>
        <w:t xml:space="preserve">it was unreasonable that </w:t>
      </w:r>
      <w:proofErr w:type="spellStart"/>
      <w:r w:rsidR="00CD4AF1">
        <w:rPr>
          <w:bCs/>
        </w:rPr>
        <w:t>Venie</w:t>
      </w:r>
      <w:proofErr w:type="spellEnd"/>
      <w:r w:rsidR="00CD4AF1">
        <w:rPr>
          <w:bCs/>
        </w:rPr>
        <w:t xml:space="preserve"> </w:t>
      </w:r>
      <w:r w:rsidR="00CD4AF1" w:rsidRPr="00CD4AF1">
        <w:t xml:space="preserve">took </w:t>
      </w:r>
      <w:r w:rsidR="0070414E">
        <w:t xml:space="preserve">matters into his own hands rather than </w:t>
      </w:r>
      <w:r w:rsidR="000A034A">
        <w:t>pursue</w:t>
      </w:r>
      <w:r w:rsidR="00CD4AF1" w:rsidRPr="00CD4AF1">
        <w:t xml:space="preserve"> an appropriate legal challenge</w:t>
      </w:r>
      <w:r w:rsidR="0070414E">
        <w:t xml:space="preserve"> or </w:t>
      </w:r>
      <w:r w:rsidR="000A034A">
        <w:t>otherwise seek modification of</w:t>
      </w:r>
      <w:r w:rsidR="00CD4AF1" w:rsidRPr="00CD4AF1">
        <w:t xml:space="preserve"> the </w:t>
      </w:r>
      <w:r w:rsidR="000A034A">
        <w:t>Sheriff’s Department’s p</w:t>
      </w:r>
      <w:r w:rsidR="00CD4AF1" w:rsidRPr="00CD4AF1">
        <w:t>olicy</w:t>
      </w:r>
      <w:r w:rsidR="000A034A">
        <w:t>.</w:t>
      </w:r>
      <w:r w:rsidR="00CD4AF1" w:rsidRPr="00774737">
        <w:rPr>
          <w:b/>
        </w:rPr>
        <w:t xml:space="preserve">  </w:t>
      </w:r>
      <w:r w:rsidR="00CD4AF1" w:rsidRPr="00CD4AF1">
        <w:t xml:space="preserve">(See </w:t>
      </w:r>
      <w:r w:rsidR="00CD4AF1" w:rsidRPr="00CD4AF1">
        <w:rPr>
          <w:i/>
        </w:rPr>
        <w:t>In the Matter of Klein</w:t>
      </w:r>
      <w:r w:rsidR="00CD4AF1" w:rsidRPr="00CD4AF1">
        <w:t xml:space="preserve"> (Review Dept. 1994) 3 Cal. State Bar Ct. </w:t>
      </w:r>
      <w:proofErr w:type="spellStart"/>
      <w:r w:rsidR="00CD4AF1" w:rsidRPr="00CD4AF1">
        <w:t>Rptr</w:t>
      </w:r>
      <w:proofErr w:type="spellEnd"/>
      <w:r w:rsidR="00CD4AF1" w:rsidRPr="00CD4AF1">
        <w:t>. 1, 9 [attorney obligated to obey court order even if he believed it was in error unless steps taken to have it modified or vacated].)</w:t>
      </w:r>
      <w:r w:rsidR="00CD4AF1">
        <w:t xml:space="preserve">  </w:t>
      </w:r>
      <w:r w:rsidR="005C7109">
        <w:t>Moreover,</w:t>
      </w:r>
      <w:r w:rsidR="001B6493">
        <w:t xml:space="preserve"> g</w:t>
      </w:r>
      <w:r w:rsidR="009D16CF">
        <w:t xml:space="preserve">iven that </w:t>
      </w:r>
      <w:proofErr w:type="spellStart"/>
      <w:r w:rsidR="00CD4AF1">
        <w:t>Venie’s</w:t>
      </w:r>
      <w:proofErr w:type="spellEnd"/>
      <w:r w:rsidR="00CD4AF1">
        <w:t xml:space="preserve"> </w:t>
      </w:r>
      <w:r w:rsidR="009D16CF">
        <w:t xml:space="preserve">primary </w:t>
      </w:r>
      <w:r w:rsidR="00692B49">
        <w:t>goal</w:t>
      </w:r>
      <w:r w:rsidR="009D16CF">
        <w:t xml:space="preserve"> in </w:t>
      </w:r>
      <w:r w:rsidR="009D16CF">
        <w:lastRenderedPageBreak/>
        <w:t xml:space="preserve">revising his communications was to evade detection by the Sheriff’s Department, we find </w:t>
      </w:r>
      <w:r w:rsidR="00D43D1C">
        <w:t xml:space="preserve">that </w:t>
      </w:r>
      <w:r w:rsidR="009D16CF">
        <w:t xml:space="preserve">his efforts were </w:t>
      </w:r>
      <w:r w:rsidR="00692B49">
        <w:t>dis</w:t>
      </w:r>
      <w:r w:rsidR="009D16CF">
        <w:t>honest</w:t>
      </w:r>
      <w:r w:rsidR="00957B32">
        <w:t xml:space="preserve"> and </w:t>
      </w:r>
      <w:r w:rsidR="00AE5D6F">
        <w:t>lacked</w:t>
      </w:r>
      <w:r w:rsidR="00957B32">
        <w:t xml:space="preserve"> good faith</w:t>
      </w:r>
      <w:r w:rsidR="00162374">
        <w:t>.</w:t>
      </w:r>
      <w:r w:rsidR="001B6493">
        <w:rPr>
          <w:bCs/>
        </w:rPr>
        <w:t xml:space="preserve"> </w:t>
      </w:r>
    </w:p>
    <w:p w:rsidR="007642B9" w:rsidRPr="002713D5" w:rsidRDefault="00BD1B5D" w:rsidP="007642B9">
      <w:pPr>
        <w:rPr>
          <w:b/>
        </w:rPr>
      </w:pPr>
      <w:r>
        <w:rPr>
          <w:b/>
        </w:rPr>
        <w:t>B.</w:t>
      </w:r>
      <w:r w:rsidR="00D43D1C">
        <w:rPr>
          <w:b/>
        </w:rPr>
        <w:tab/>
      </w:r>
      <w:r w:rsidR="007642B9" w:rsidRPr="002713D5">
        <w:rPr>
          <w:b/>
        </w:rPr>
        <w:t>Aggravation</w:t>
      </w:r>
    </w:p>
    <w:p w:rsidR="0070414E" w:rsidRDefault="007642B9" w:rsidP="007642B9">
      <w:pPr>
        <w:ind w:firstLine="720"/>
      </w:pPr>
      <w:r w:rsidRPr="002713D5">
        <w:t xml:space="preserve">The record establishes </w:t>
      </w:r>
      <w:r>
        <w:t>two</w:t>
      </w:r>
      <w:r w:rsidRPr="002713D5">
        <w:t xml:space="preserve"> factors in aggravation.</w:t>
      </w:r>
      <w:r w:rsidR="00BF51C3">
        <w:t xml:space="preserve">  Most significantly, </w:t>
      </w:r>
      <w:proofErr w:type="spellStart"/>
      <w:r w:rsidR="00906E9D">
        <w:t>Venie</w:t>
      </w:r>
      <w:r w:rsidR="00BF51C3">
        <w:t>’s</w:t>
      </w:r>
      <w:proofErr w:type="spellEnd"/>
      <w:r w:rsidR="00BF51C3">
        <w:t xml:space="preserve"> letter</w:t>
      </w:r>
      <w:r w:rsidR="00D43D1C">
        <w:t>-</w:t>
      </w:r>
      <w:r w:rsidR="00BF51C3">
        <w:t>writing efforts</w:t>
      </w:r>
      <w:r w:rsidR="00492905">
        <w:t xml:space="preserve"> constitute</w:t>
      </w:r>
      <w:r>
        <w:t xml:space="preserve"> multiple acts of misconduct.  (Std</w:t>
      </w:r>
      <w:r w:rsidR="00BC49BC">
        <w:t>.</w:t>
      </w:r>
      <w:r>
        <w:t xml:space="preserve"> 1.2(b)(ii).)</w:t>
      </w:r>
      <w:r w:rsidR="00BF51C3">
        <w:t xml:space="preserve">  </w:t>
      </w:r>
      <w:r w:rsidR="003759D4">
        <w:t xml:space="preserve">He did </w:t>
      </w:r>
      <w:r w:rsidR="00BF51C3">
        <w:t xml:space="preserve">not </w:t>
      </w:r>
      <w:r w:rsidR="003759D4">
        <w:t>send</w:t>
      </w:r>
      <w:r w:rsidR="0074598B">
        <w:t xml:space="preserve"> just</w:t>
      </w:r>
      <w:r w:rsidR="003759D4">
        <w:t xml:space="preserve"> </w:t>
      </w:r>
      <w:r w:rsidR="00BF51C3">
        <w:t xml:space="preserve">one or two solicitations but </w:t>
      </w:r>
      <w:r w:rsidR="003759D4">
        <w:t xml:space="preserve">made </w:t>
      </w:r>
      <w:r w:rsidR="00BF51C3">
        <w:t xml:space="preserve">at least </w:t>
      </w:r>
      <w:r w:rsidR="003759D4">
        <w:t>23</w:t>
      </w:r>
      <w:r w:rsidR="00BF51C3">
        <w:t xml:space="preserve"> separate </w:t>
      </w:r>
      <w:r w:rsidR="008C3084">
        <w:t xml:space="preserve">attempts </w:t>
      </w:r>
      <w:r w:rsidR="00D919E7">
        <w:t xml:space="preserve">to evade detection by the Sheriff’s Department.  </w:t>
      </w:r>
      <w:proofErr w:type="spellStart"/>
      <w:r w:rsidR="00906E9D">
        <w:t>Venie</w:t>
      </w:r>
      <w:proofErr w:type="spellEnd"/>
      <w:r>
        <w:t xml:space="preserve"> </w:t>
      </w:r>
      <w:r w:rsidR="00D919E7">
        <w:t xml:space="preserve">also </w:t>
      </w:r>
      <w:r>
        <w:t>demonstrate</w:t>
      </w:r>
      <w:r w:rsidR="00641660">
        <w:t>d</w:t>
      </w:r>
      <w:r w:rsidR="00957B32">
        <w:t xml:space="preserve"> a lack of appreciation of the nature of his wrongdoing and </w:t>
      </w:r>
      <w:r>
        <w:t xml:space="preserve">indifference </w:t>
      </w:r>
      <w:r w:rsidR="00692B49">
        <w:t xml:space="preserve">to </w:t>
      </w:r>
      <w:r w:rsidR="00957B32">
        <w:t>its</w:t>
      </w:r>
      <w:r>
        <w:t xml:space="preserve"> consequences</w:t>
      </w:r>
      <w:r w:rsidR="00957B32">
        <w:t xml:space="preserve">.  </w:t>
      </w:r>
      <w:r>
        <w:t xml:space="preserve">(Std. 1.2(b)(v).)  </w:t>
      </w:r>
      <w:r w:rsidR="00C67800">
        <w:t xml:space="preserve">Although he was twice informed of the Sheriff’s Department policy against sending unsolicited advertising to inmates, </w:t>
      </w:r>
      <w:proofErr w:type="spellStart"/>
      <w:r w:rsidR="00C67800">
        <w:t>Venie</w:t>
      </w:r>
      <w:proofErr w:type="spellEnd"/>
      <w:r w:rsidR="00C67800">
        <w:t xml:space="preserve"> continued to </w:t>
      </w:r>
      <w:r w:rsidR="00641660">
        <w:t>send the advertisements by</w:t>
      </w:r>
      <w:r w:rsidR="00692B49">
        <w:t xml:space="preserve"> </w:t>
      </w:r>
      <w:r w:rsidR="00C67800">
        <w:t>camouflag</w:t>
      </w:r>
      <w:r w:rsidR="00692B49">
        <w:t>ing</w:t>
      </w:r>
      <w:r w:rsidR="00C67800">
        <w:t xml:space="preserve"> the envelopes as legal mail</w:t>
      </w:r>
      <w:r w:rsidR="00692B49">
        <w:t>.</w:t>
      </w:r>
      <w:r w:rsidR="00C67800">
        <w:t xml:space="preserve">  He stopped</w:t>
      </w:r>
      <w:r w:rsidR="00692B49">
        <w:t xml:space="preserve"> his efforts</w:t>
      </w:r>
      <w:r w:rsidR="00C67800">
        <w:t xml:space="preserve"> only because he was unsuccessful in obtaining clients and eventually closed his California practice.  </w:t>
      </w:r>
    </w:p>
    <w:p w:rsidR="007642B9" w:rsidRPr="002713D5" w:rsidRDefault="00BD1B5D" w:rsidP="00D919E7">
      <w:r>
        <w:rPr>
          <w:b/>
        </w:rPr>
        <w:t>C</w:t>
      </w:r>
      <w:r w:rsidR="00D919E7">
        <w:rPr>
          <w:b/>
        </w:rPr>
        <w:t>.</w:t>
      </w:r>
      <w:r w:rsidR="003759D4">
        <w:rPr>
          <w:b/>
        </w:rPr>
        <w:tab/>
      </w:r>
      <w:r w:rsidR="00D919E7">
        <w:rPr>
          <w:b/>
        </w:rPr>
        <w:t>Level of Discipline</w:t>
      </w:r>
    </w:p>
    <w:p w:rsidR="007642B9" w:rsidRPr="002713D5" w:rsidRDefault="002962D4" w:rsidP="007642B9">
      <w:pPr>
        <w:ind w:firstLine="720"/>
      </w:pPr>
      <w:r>
        <w:t>In determining the degree of discipline, w</w:t>
      </w:r>
      <w:r w:rsidR="009A41B2">
        <w:t>e</w:t>
      </w:r>
      <w:r w:rsidR="00D919E7">
        <w:t xml:space="preserve"> first consider the standards</w:t>
      </w:r>
      <w:r w:rsidR="009A41B2">
        <w:t>, which</w:t>
      </w:r>
      <w:r w:rsidR="007879C6">
        <w:t xml:space="preserve">, although </w:t>
      </w:r>
      <w:r w:rsidR="007F6144" w:rsidRPr="002713D5">
        <w:t>not binding, are entitled to great weight.  (</w:t>
      </w:r>
      <w:r w:rsidR="007F6144" w:rsidRPr="00434D31">
        <w:rPr>
          <w:i/>
        </w:rPr>
        <w:t>In re Silverton</w:t>
      </w:r>
      <w:r w:rsidR="007F6144" w:rsidRPr="002713D5">
        <w:t xml:space="preserve"> (2005) 36 </w:t>
      </w:r>
      <w:proofErr w:type="spellStart"/>
      <w:r w:rsidR="007F6144" w:rsidRPr="002713D5">
        <w:t>Cal.4th</w:t>
      </w:r>
      <w:proofErr w:type="spellEnd"/>
      <w:r w:rsidR="007F6144" w:rsidRPr="002713D5">
        <w:t xml:space="preserve"> 81, 92.)</w:t>
      </w:r>
      <w:r>
        <w:t xml:space="preserve"> </w:t>
      </w:r>
      <w:r w:rsidR="007F6144" w:rsidRPr="002713D5">
        <w:t xml:space="preserve"> </w:t>
      </w:r>
      <w:r w:rsidR="007642B9" w:rsidRPr="002713D5">
        <w:t xml:space="preserve">Standard 1.3 </w:t>
      </w:r>
      <w:r w:rsidR="007F6144">
        <w:t>sets forth</w:t>
      </w:r>
      <w:r w:rsidR="00D919E7">
        <w:t xml:space="preserve"> the purpose</w:t>
      </w:r>
      <w:r>
        <w:t>s</w:t>
      </w:r>
      <w:r w:rsidR="00D919E7">
        <w:t xml:space="preserve"> </w:t>
      </w:r>
      <w:r w:rsidR="007642B9" w:rsidRPr="002713D5">
        <w:t>of discipli</w:t>
      </w:r>
      <w:r w:rsidR="00873829">
        <w:t>nary proceedings</w:t>
      </w:r>
      <w:r>
        <w:t>, which</w:t>
      </w:r>
      <w:r w:rsidR="00873829">
        <w:t xml:space="preserve"> are</w:t>
      </w:r>
      <w:r w:rsidR="007642B9" w:rsidRPr="002713D5">
        <w:t xml:space="preserve"> “the protection of the public, the courts and the legal profession; the maintenance of high professional standards by attorneys and the preservation of public confidence in the legal profession.”  </w:t>
      </w:r>
    </w:p>
    <w:p w:rsidR="00BC64A9" w:rsidRPr="00DA0319" w:rsidRDefault="00873829" w:rsidP="007642B9">
      <w:pPr>
        <w:ind w:firstLine="720"/>
        <w:rPr>
          <w:rFonts w:eastAsiaTheme="minorEastAsia"/>
          <w:b/>
        </w:rPr>
      </w:pPr>
      <w:r w:rsidRPr="00CA24DC">
        <w:rPr>
          <w:sz w:val="26"/>
        </w:rPr>
        <w:t>We</w:t>
      </w:r>
      <w:r>
        <w:t xml:space="preserve"> have found </w:t>
      </w:r>
      <w:proofErr w:type="spellStart"/>
      <w:r>
        <w:t>Venie</w:t>
      </w:r>
      <w:proofErr w:type="spellEnd"/>
      <w:r>
        <w:t xml:space="preserve"> culpable of </w:t>
      </w:r>
      <w:r w:rsidR="00162374">
        <w:t xml:space="preserve">conduct involving </w:t>
      </w:r>
      <w:r>
        <w:t>moral turpitude.</w:t>
      </w:r>
      <w:r w:rsidR="007642B9" w:rsidRPr="002713D5">
        <w:t xml:space="preserve">  </w:t>
      </w:r>
      <w:r>
        <w:t>S</w:t>
      </w:r>
      <w:r w:rsidR="007642B9" w:rsidRPr="00757FEB">
        <w:rPr>
          <w:rFonts w:eastAsiaTheme="minorEastAsia"/>
        </w:rPr>
        <w:t>tandard 2.3</w:t>
      </w:r>
      <w:r w:rsidR="007879C6">
        <w:rPr>
          <w:rFonts w:eastAsiaTheme="minorEastAsia"/>
        </w:rPr>
        <w:t xml:space="preserve">, which </w:t>
      </w:r>
      <w:r w:rsidR="0070414E">
        <w:rPr>
          <w:rFonts w:eastAsiaTheme="minorEastAsia"/>
        </w:rPr>
        <w:t xml:space="preserve">applies to </w:t>
      </w:r>
      <w:r w:rsidR="007642B9" w:rsidRPr="00757FEB">
        <w:rPr>
          <w:rFonts w:eastAsiaTheme="minorEastAsia"/>
        </w:rPr>
        <w:t>act</w:t>
      </w:r>
      <w:r w:rsidR="00F51B9F">
        <w:rPr>
          <w:rFonts w:eastAsiaTheme="minorEastAsia"/>
        </w:rPr>
        <w:t>s</w:t>
      </w:r>
      <w:r w:rsidR="007642B9" w:rsidRPr="00757FEB">
        <w:rPr>
          <w:rFonts w:eastAsiaTheme="minorEastAsia"/>
        </w:rPr>
        <w:t xml:space="preserve"> of moral turpitude, fraud, </w:t>
      </w:r>
      <w:r w:rsidR="00F51B9F">
        <w:rPr>
          <w:rFonts w:eastAsiaTheme="minorEastAsia"/>
        </w:rPr>
        <w:t xml:space="preserve">or </w:t>
      </w:r>
      <w:r w:rsidR="007642B9" w:rsidRPr="00757FEB">
        <w:rPr>
          <w:rFonts w:eastAsiaTheme="minorEastAsia"/>
        </w:rPr>
        <w:t>intentional dishonesty</w:t>
      </w:r>
      <w:r w:rsidR="007879C6">
        <w:rPr>
          <w:rFonts w:eastAsiaTheme="minorEastAsia"/>
        </w:rPr>
        <w:t xml:space="preserve">, </w:t>
      </w:r>
      <w:r w:rsidR="0070414E">
        <w:rPr>
          <w:rFonts w:eastAsiaTheme="minorEastAsia"/>
        </w:rPr>
        <w:t>suggests</w:t>
      </w:r>
      <w:r w:rsidR="008C3084">
        <w:rPr>
          <w:rFonts w:eastAsiaTheme="minorEastAsia"/>
        </w:rPr>
        <w:t xml:space="preserve"> a broad range of discipline</w:t>
      </w:r>
      <w:r w:rsidR="00E96445">
        <w:rPr>
          <w:rFonts w:eastAsiaTheme="minorEastAsia"/>
        </w:rPr>
        <w:t xml:space="preserve"> from</w:t>
      </w:r>
      <w:r w:rsidR="0070414E">
        <w:rPr>
          <w:rFonts w:eastAsiaTheme="minorEastAsia"/>
        </w:rPr>
        <w:t xml:space="preserve"> </w:t>
      </w:r>
      <w:r w:rsidR="0070414E" w:rsidRPr="00757FEB">
        <w:rPr>
          <w:rFonts w:eastAsiaTheme="minorEastAsia"/>
        </w:rPr>
        <w:t xml:space="preserve">actual suspension </w:t>
      </w:r>
      <w:r w:rsidR="00E96445">
        <w:rPr>
          <w:rFonts w:eastAsiaTheme="minorEastAsia"/>
        </w:rPr>
        <w:t>t</w:t>
      </w:r>
      <w:r w:rsidR="0070414E" w:rsidRPr="00757FEB">
        <w:rPr>
          <w:rFonts w:eastAsiaTheme="minorEastAsia"/>
        </w:rPr>
        <w:t>o disbarment</w:t>
      </w:r>
      <w:r w:rsidR="007642B9" w:rsidRPr="00757FEB">
        <w:rPr>
          <w:rFonts w:eastAsiaTheme="minorEastAsia"/>
        </w:rPr>
        <w:t xml:space="preserve">, depending </w:t>
      </w:r>
      <w:r w:rsidR="008C3084">
        <w:rPr>
          <w:rFonts w:eastAsiaTheme="minorEastAsia"/>
        </w:rPr>
        <w:t>up</w:t>
      </w:r>
      <w:r w:rsidR="007642B9" w:rsidRPr="00757FEB">
        <w:rPr>
          <w:rFonts w:eastAsiaTheme="minorEastAsia"/>
        </w:rPr>
        <w:t xml:space="preserve">on the extent to which the misconduct harmed or misled </w:t>
      </w:r>
      <w:r w:rsidR="00F51B9F">
        <w:rPr>
          <w:rFonts w:eastAsiaTheme="minorEastAsia"/>
        </w:rPr>
        <w:t xml:space="preserve">an individual </w:t>
      </w:r>
      <w:r w:rsidR="007642B9" w:rsidRPr="00757FEB">
        <w:rPr>
          <w:rFonts w:eastAsiaTheme="minorEastAsia"/>
        </w:rPr>
        <w:t>and upon the magnitude of the misconduct and the degree to which it relates to the attorney</w:t>
      </w:r>
      <w:r w:rsidR="003759D4">
        <w:rPr>
          <w:rFonts w:eastAsiaTheme="minorEastAsia"/>
        </w:rPr>
        <w:t>’</w:t>
      </w:r>
      <w:r w:rsidR="007642B9" w:rsidRPr="00757FEB">
        <w:rPr>
          <w:rFonts w:eastAsiaTheme="minorEastAsia"/>
        </w:rPr>
        <w:t>s practice of law.</w:t>
      </w:r>
      <w:r w:rsidR="00F51B9F">
        <w:rPr>
          <w:rFonts w:eastAsiaTheme="minorEastAsia"/>
        </w:rPr>
        <w:t xml:space="preserve">  </w:t>
      </w:r>
      <w:r w:rsidR="001711C0">
        <w:rPr>
          <w:rFonts w:eastAsiaTheme="minorEastAsia"/>
        </w:rPr>
        <w:t>T</w:t>
      </w:r>
      <w:r w:rsidR="006A69E2" w:rsidRPr="006A69E2">
        <w:rPr>
          <w:rFonts w:eastAsiaTheme="minorEastAsia"/>
        </w:rPr>
        <w:t xml:space="preserve">he record is silent as to whether anyone was harmed or misled by </w:t>
      </w:r>
      <w:proofErr w:type="spellStart"/>
      <w:r w:rsidR="00C95806">
        <w:rPr>
          <w:rFonts w:eastAsiaTheme="minorEastAsia"/>
        </w:rPr>
        <w:t>Venie’s</w:t>
      </w:r>
      <w:proofErr w:type="spellEnd"/>
      <w:r w:rsidR="006A69E2" w:rsidRPr="006A69E2">
        <w:rPr>
          <w:rFonts w:eastAsiaTheme="minorEastAsia"/>
        </w:rPr>
        <w:t xml:space="preserve"> letter</w:t>
      </w:r>
      <w:r w:rsidR="00014A52">
        <w:rPr>
          <w:rFonts w:eastAsiaTheme="minorEastAsia"/>
        </w:rPr>
        <w:t>-</w:t>
      </w:r>
      <w:r w:rsidR="006A69E2" w:rsidRPr="006A69E2">
        <w:rPr>
          <w:rFonts w:eastAsiaTheme="minorEastAsia"/>
        </w:rPr>
        <w:t>writing campaign</w:t>
      </w:r>
      <w:r w:rsidR="003608A2">
        <w:rPr>
          <w:rFonts w:eastAsiaTheme="minorEastAsia"/>
        </w:rPr>
        <w:t xml:space="preserve">, </w:t>
      </w:r>
      <w:r w:rsidR="004F2C20">
        <w:rPr>
          <w:rFonts w:eastAsiaTheme="minorEastAsia"/>
        </w:rPr>
        <w:t xml:space="preserve">and </w:t>
      </w:r>
      <w:r w:rsidR="001711C0">
        <w:rPr>
          <w:rFonts w:eastAsiaTheme="minorEastAsia"/>
        </w:rPr>
        <w:t xml:space="preserve">we find that </w:t>
      </w:r>
      <w:r w:rsidR="00C95806">
        <w:rPr>
          <w:rFonts w:eastAsiaTheme="minorEastAsia"/>
        </w:rPr>
        <w:t xml:space="preserve">his </w:t>
      </w:r>
      <w:r w:rsidR="00DA0319" w:rsidRPr="006A69E2">
        <w:rPr>
          <w:rFonts w:eastAsiaTheme="minorEastAsia"/>
        </w:rPr>
        <w:lastRenderedPageBreak/>
        <w:t>mis</w:t>
      </w:r>
      <w:r w:rsidR="002962D4" w:rsidRPr="006A69E2">
        <w:rPr>
          <w:rFonts w:eastAsiaTheme="minorEastAsia"/>
        </w:rPr>
        <w:t>conduct</w:t>
      </w:r>
      <w:r w:rsidR="003608A2">
        <w:rPr>
          <w:rFonts w:eastAsiaTheme="minorEastAsia"/>
        </w:rPr>
        <w:t xml:space="preserve"> was</w:t>
      </w:r>
      <w:r w:rsidR="00595C98">
        <w:rPr>
          <w:rFonts w:eastAsiaTheme="minorEastAsia"/>
        </w:rPr>
        <w:t xml:space="preserve">, at most, </w:t>
      </w:r>
      <w:r w:rsidR="00DA0319" w:rsidRPr="006A69E2">
        <w:rPr>
          <w:rFonts w:eastAsiaTheme="minorEastAsia"/>
        </w:rPr>
        <w:t xml:space="preserve">indirectly related to </w:t>
      </w:r>
      <w:r w:rsidR="004F2C20">
        <w:rPr>
          <w:rFonts w:eastAsiaTheme="minorEastAsia"/>
        </w:rPr>
        <w:t>the</w:t>
      </w:r>
      <w:r w:rsidR="002962D4" w:rsidRPr="006A69E2">
        <w:rPr>
          <w:rFonts w:eastAsiaTheme="minorEastAsia"/>
        </w:rPr>
        <w:t xml:space="preserve"> practice</w:t>
      </w:r>
      <w:r w:rsidR="004F2C20">
        <w:rPr>
          <w:rFonts w:eastAsiaTheme="minorEastAsia"/>
        </w:rPr>
        <w:t xml:space="preserve"> of </w:t>
      </w:r>
      <w:r w:rsidR="004F2C20" w:rsidRPr="006A69E2">
        <w:rPr>
          <w:rFonts w:eastAsiaTheme="minorEastAsia"/>
        </w:rPr>
        <w:t>law</w:t>
      </w:r>
      <w:r w:rsidR="004F2C20">
        <w:rPr>
          <w:rFonts w:eastAsiaTheme="minorEastAsia"/>
        </w:rPr>
        <w:t xml:space="preserve">.  </w:t>
      </w:r>
      <w:r w:rsidR="006A69E2">
        <w:rPr>
          <w:rFonts w:eastAsiaTheme="minorEastAsia"/>
        </w:rPr>
        <w:t>(</w:t>
      </w:r>
      <w:r w:rsidR="006A69E2">
        <w:rPr>
          <w:bCs/>
          <w:i/>
        </w:rPr>
        <w:t xml:space="preserve">In the Matter of Mitchell, supra, </w:t>
      </w:r>
      <w:r w:rsidR="006A69E2">
        <w:rPr>
          <w:bCs/>
        </w:rPr>
        <w:t xml:space="preserve">1 Cal. State Bar Ct. </w:t>
      </w:r>
      <w:proofErr w:type="spellStart"/>
      <w:r w:rsidR="006A69E2">
        <w:rPr>
          <w:bCs/>
        </w:rPr>
        <w:t>Rptr</w:t>
      </w:r>
      <w:proofErr w:type="spellEnd"/>
      <w:r w:rsidR="006A69E2">
        <w:rPr>
          <w:bCs/>
        </w:rPr>
        <w:t xml:space="preserve">. at p. 339) [distribution of false resumes to obtain employment “did not occur during the actual practice of law”].) </w:t>
      </w:r>
      <w:r w:rsidR="002962D4" w:rsidRPr="00DA0319">
        <w:rPr>
          <w:rFonts w:eastAsiaTheme="minorEastAsia"/>
          <w:b/>
        </w:rPr>
        <w:t xml:space="preserve"> </w:t>
      </w:r>
    </w:p>
    <w:p w:rsidR="00B650D6" w:rsidRPr="00CF64DA" w:rsidRDefault="00CF64DA" w:rsidP="007642B9">
      <w:pPr>
        <w:ind w:firstLine="720"/>
      </w:pPr>
      <w:r>
        <w:rPr>
          <w:rFonts w:eastAsiaTheme="minorEastAsia"/>
        </w:rPr>
        <w:t>We consider t</w:t>
      </w:r>
      <w:r w:rsidR="00E96445">
        <w:rPr>
          <w:rFonts w:eastAsiaTheme="minorEastAsia"/>
        </w:rPr>
        <w:t>hree</w:t>
      </w:r>
      <w:r w:rsidR="00C95806">
        <w:rPr>
          <w:rFonts w:eastAsiaTheme="minorEastAsia"/>
        </w:rPr>
        <w:t xml:space="preserve"> discipline</w:t>
      </w:r>
      <w:r w:rsidR="00E96445">
        <w:rPr>
          <w:rFonts w:eastAsiaTheme="minorEastAsia"/>
        </w:rPr>
        <w:t xml:space="preserve"> cases involving deceptive </w:t>
      </w:r>
      <w:r w:rsidR="00C22692">
        <w:rPr>
          <w:rFonts w:eastAsiaTheme="minorEastAsia"/>
        </w:rPr>
        <w:t xml:space="preserve">written </w:t>
      </w:r>
      <w:r w:rsidR="00E96445">
        <w:rPr>
          <w:rFonts w:eastAsiaTheme="minorEastAsia"/>
        </w:rPr>
        <w:t>solicitation</w:t>
      </w:r>
      <w:r w:rsidR="00C22692">
        <w:rPr>
          <w:rFonts w:eastAsiaTheme="minorEastAsia"/>
        </w:rPr>
        <w:t>s</w:t>
      </w:r>
      <w:r w:rsidR="00E96445">
        <w:rPr>
          <w:rFonts w:eastAsiaTheme="minorEastAsia"/>
        </w:rPr>
        <w:t xml:space="preserve"> for professional employment.  </w:t>
      </w:r>
      <w:r w:rsidR="00751049">
        <w:rPr>
          <w:rFonts w:eastAsiaTheme="minorEastAsia"/>
        </w:rPr>
        <w:t>T</w:t>
      </w:r>
      <w:r w:rsidR="004B0560">
        <w:rPr>
          <w:rFonts w:eastAsiaTheme="minorEastAsia"/>
        </w:rPr>
        <w:t xml:space="preserve">he most lenient is </w:t>
      </w:r>
      <w:proofErr w:type="spellStart"/>
      <w:r w:rsidR="00B539FD">
        <w:rPr>
          <w:i/>
        </w:rPr>
        <w:t>Leoni</w:t>
      </w:r>
      <w:proofErr w:type="spellEnd"/>
      <w:r w:rsidR="00B539FD">
        <w:rPr>
          <w:i/>
        </w:rPr>
        <w:t xml:space="preserve"> v. State Bar, supra,</w:t>
      </w:r>
      <w:r w:rsidR="00B539FD">
        <w:t xml:space="preserve"> 39 </w:t>
      </w:r>
      <w:proofErr w:type="spellStart"/>
      <w:r w:rsidR="00B539FD">
        <w:t>Cal.3</w:t>
      </w:r>
      <w:r w:rsidR="00E96445">
        <w:t>d</w:t>
      </w:r>
      <w:proofErr w:type="spellEnd"/>
      <w:r w:rsidR="00E96445">
        <w:t xml:space="preserve"> 609, </w:t>
      </w:r>
      <w:r w:rsidR="00B00132">
        <w:t xml:space="preserve">wherein </w:t>
      </w:r>
      <w:r w:rsidR="00B650D6">
        <w:t>two attorneys engaged in a massive solicitation campaign that lasted over a year and a half and involved over 250,000 letters</w:t>
      </w:r>
      <w:r w:rsidR="00176848">
        <w:t xml:space="preserve"> </w:t>
      </w:r>
      <w:r w:rsidR="00C22692">
        <w:t xml:space="preserve">and informational brochures </w:t>
      </w:r>
      <w:r w:rsidR="00B650D6">
        <w:t xml:space="preserve">sent to </w:t>
      </w:r>
      <w:r w:rsidR="00176848">
        <w:t xml:space="preserve">individuals who were in foreclosure or </w:t>
      </w:r>
      <w:r w:rsidR="00751049">
        <w:t xml:space="preserve">otherwise had </w:t>
      </w:r>
      <w:r w:rsidR="00176848">
        <w:t xml:space="preserve">debt-related problems.  </w:t>
      </w:r>
      <w:r w:rsidR="00A77C46">
        <w:t>The Supreme Court</w:t>
      </w:r>
      <w:r w:rsidR="003B4965">
        <w:t xml:space="preserve"> found the</w:t>
      </w:r>
      <w:r w:rsidR="00B00132">
        <w:t>se</w:t>
      </w:r>
      <w:r w:rsidR="003B4965">
        <w:t xml:space="preserve"> letters were misleading</w:t>
      </w:r>
      <w:r w:rsidR="007306C3">
        <w:t xml:space="preserve"> </w:t>
      </w:r>
      <w:r w:rsidR="003B4965">
        <w:t>and violated former rule 2-101 (the predecessor to rule 1-400)</w:t>
      </w:r>
      <w:r w:rsidR="008B5EC9">
        <w:t xml:space="preserve"> because, among other things, they did not “clearly identify the message as a communication for employment</w:t>
      </w:r>
      <w:r w:rsidR="008C3084">
        <w:t xml:space="preserve"> </w:t>
      </w:r>
      <w:r w:rsidR="008B5EC9">
        <w:t>. . . .”  (</w:t>
      </w:r>
      <w:r w:rsidR="008B5EC9" w:rsidRPr="008B5EC9">
        <w:rPr>
          <w:i/>
        </w:rPr>
        <w:t>Id</w:t>
      </w:r>
      <w:r w:rsidR="008B5EC9">
        <w:t>. at p. 627.)</w:t>
      </w:r>
      <w:r w:rsidR="00A77C46">
        <w:t xml:space="preserve">  </w:t>
      </w:r>
      <w:r w:rsidR="008B5EC9">
        <w:t xml:space="preserve">Notwithstanding the immense scope of the </w:t>
      </w:r>
      <w:r w:rsidR="00C22692">
        <w:t>letter-writing</w:t>
      </w:r>
      <w:r w:rsidR="008B5EC9">
        <w:t xml:space="preserve"> campaign</w:t>
      </w:r>
      <w:r w:rsidR="004B0560">
        <w:t xml:space="preserve"> and th</w:t>
      </w:r>
      <w:r w:rsidR="00751049">
        <w:t>e</w:t>
      </w:r>
      <w:r w:rsidR="004B0560">
        <w:t xml:space="preserve"> seven complaints filed with the State Bar</w:t>
      </w:r>
      <w:r w:rsidR="008B5EC9">
        <w:t xml:space="preserve">, </w:t>
      </w:r>
      <w:r w:rsidR="003B4965">
        <w:t>t</w:t>
      </w:r>
      <w:r w:rsidR="00176848">
        <w:t xml:space="preserve">he </w:t>
      </w:r>
      <w:r w:rsidR="00751049">
        <w:t>c</w:t>
      </w:r>
      <w:r w:rsidR="00176848">
        <w:t>ourt</w:t>
      </w:r>
      <w:r w:rsidR="003B4965">
        <w:t xml:space="preserve"> imposed only a</w:t>
      </w:r>
      <w:r w:rsidR="00A77C46">
        <w:t xml:space="preserve"> public reprimand for </w:t>
      </w:r>
      <w:r w:rsidR="008B5EC9">
        <w:t>four</w:t>
      </w:r>
      <w:r w:rsidR="00A77C46">
        <w:t xml:space="preserve"> </w:t>
      </w:r>
      <w:r w:rsidR="003B4965">
        <w:t>reasons</w:t>
      </w:r>
      <w:r w:rsidR="009A23FC">
        <w:t xml:space="preserve">, none of which is </w:t>
      </w:r>
      <w:r w:rsidR="003B4965">
        <w:t xml:space="preserve">present </w:t>
      </w:r>
      <w:r w:rsidR="00751049">
        <w:t>here</w:t>
      </w:r>
      <w:r w:rsidR="003B4965">
        <w:t>.  First</w:t>
      </w:r>
      <w:r w:rsidR="00A77C46">
        <w:t>,</w:t>
      </w:r>
      <w:r w:rsidR="003B4965">
        <w:t xml:space="preserve"> the Supreme Court</w:t>
      </w:r>
      <w:r w:rsidR="00176848">
        <w:t xml:space="preserve"> </w:t>
      </w:r>
      <w:r w:rsidR="00E2791B">
        <w:t>f</w:t>
      </w:r>
      <w:r w:rsidR="00162374">
        <w:t>ound that</w:t>
      </w:r>
      <w:r w:rsidR="00751049">
        <w:t xml:space="preserve"> despite being</w:t>
      </w:r>
      <w:r w:rsidR="00162374">
        <w:t xml:space="preserve"> misleading</w:t>
      </w:r>
      <w:r w:rsidR="00751049">
        <w:t>, the letters</w:t>
      </w:r>
      <w:r w:rsidR="00162374" w:rsidRPr="00162374">
        <w:t xml:space="preserve"> </w:t>
      </w:r>
      <w:r w:rsidR="00162374">
        <w:t>did not contain false or untrue statements.  (</w:t>
      </w:r>
      <w:r w:rsidR="00162374" w:rsidRPr="008B5EC9">
        <w:rPr>
          <w:i/>
        </w:rPr>
        <w:t>Id</w:t>
      </w:r>
      <w:r w:rsidR="00162374" w:rsidRPr="008B5EC9">
        <w:t>. at</w:t>
      </w:r>
      <w:r w:rsidR="00162374">
        <w:t xml:space="preserve"> p. 627.)  Accordingly, </w:t>
      </w:r>
      <w:r w:rsidR="00EE68F9">
        <w:t>moral turpitude</w:t>
      </w:r>
      <w:r w:rsidR="00751049">
        <w:t xml:space="preserve"> was not found</w:t>
      </w:r>
      <w:r w:rsidR="00EE68F9">
        <w:t>.</w:t>
      </w:r>
      <w:r w:rsidR="00BC49BC">
        <w:t xml:space="preserve">  (</w:t>
      </w:r>
      <w:r w:rsidR="00BC49BC">
        <w:rPr>
          <w:i/>
        </w:rPr>
        <w:t>Id.</w:t>
      </w:r>
      <w:r w:rsidR="00BC49BC">
        <w:t xml:space="preserve"> at p. 628.)</w:t>
      </w:r>
      <w:r w:rsidR="00EE68F9">
        <w:t xml:space="preserve">  </w:t>
      </w:r>
      <w:r w:rsidR="00BC64A9">
        <w:t>Second, t</w:t>
      </w:r>
      <w:r w:rsidR="00EE68F9">
        <w:t xml:space="preserve">he </w:t>
      </w:r>
      <w:r w:rsidR="00751049">
        <w:t>c</w:t>
      </w:r>
      <w:r w:rsidR="00EE68F9">
        <w:t xml:space="preserve">ourt considered as </w:t>
      </w:r>
      <w:r w:rsidR="00AB2927">
        <w:t>mitigati</w:t>
      </w:r>
      <w:r w:rsidR="00EE68F9">
        <w:t xml:space="preserve">ng </w:t>
      </w:r>
      <w:r w:rsidR="00BC49BC">
        <w:t>each</w:t>
      </w:r>
      <w:r w:rsidR="00AB2927">
        <w:t xml:space="preserve"> attorneys</w:t>
      </w:r>
      <w:r w:rsidR="00EE68F9">
        <w:t xml:space="preserve">’ </w:t>
      </w:r>
      <w:r w:rsidR="00AB2927">
        <w:t>30 years of discipline-free p</w:t>
      </w:r>
      <w:r w:rsidR="00EE68F9">
        <w:t>r</w:t>
      </w:r>
      <w:r w:rsidR="00AB2927">
        <w:t>actice</w:t>
      </w:r>
      <w:r w:rsidR="00BC64A9">
        <w:t xml:space="preserve">.  Third, the </w:t>
      </w:r>
      <w:r w:rsidR="00751049">
        <w:t>c</w:t>
      </w:r>
      <w:r w:rsidR="00BC64A9">
        <w:t xml:space="preserve">ourt found the attorneys </w:t>
      </w:r>
      <w:r w:rsidR="00AB2927">
        <w:t>made a good faith effort to modify the letter</w:t>
      </w:r>
      <w:r w:rsidR="005520AE">
        <w:t>s</w:t>
      </w:r>
      <w:r w:rsidR="00AB2927">
        <w:t xml:space="preserve"> so as to make them truthful and not misleading.  (</w:t>
      </w:r>
      <w:r w:rsidR="00AB2927" w:rsidRPr="009C08BA">
        <w:rPr>
          <w:i/>
        </w:rPr>
        <w:t>I</w:t>
      </w:r>
      <w:r w:rsidR="00BC49BC">
        <w:rPr>
          <w:i/>
        </w:rPr>
        <w:t>bi</w:t>
      </w:r>
      <w:r w:rsidR="00AB2927" w:rsidRPr="009C08BA">
        <w:rPr>
          <w:i/>
        </w:rPr>
        <w:t>d</w:t>
      </w:r>
      <w:r w:rsidR="00AB2927">
        <w:t>.</w:t>
      </w:r>
      <w:r w:rsidR="009C08BA">
        <w:t>)</w:t>
      </w:r>
      <w:r w:rsidR="00EE68F9">
        <w:t xml:space="preserve">  </w:t>
      </w:r>
      <w:r w:rsidR="00BC64A9">
        <w:t>Fourth, and m</w:t>
      </w:r>
      <w:r w:rsidR="00EE68F9">
        <w:t xml:space="preserve">ost importantly, </w:t>
      </w:r>
      <w:r w:rsidR="00BC64A9">
        <w:t xml:space="preserve">the </w:t>
      </w:r>
      <w:r w:rsidR="00751049">
        <w:t>c</w:t>
      </w:r>
      <w:r w:rsidR="00BC64A9">
        <w:t>ourt found that actual suspension would be “inappropriately harsh”</w:t>
      </w:r>
      <w:r w:rsidR="00C22692">
        <w:t xml:space="preserve"> because, at the time of its decision, the regulation of attorney advertising was “an evolving area of law.” </w:t>
      </w:r>
      <w:r w:rsidR="00BC64A9">
        <w:t xml:space="preserve"> (</w:t>
      </w:r>
      <w:r w:rsidR="00BC64A9" w:rsidRPr="00BC64A9">
        <w:rPr>
          <w:i/>
        </w:rPr>
        <w:t>Id</w:t>
      </w:r>
      <w:r w:rsidR="00BC64A9">
        <w:t xml:space="preserve">. at </w:t>
      </w:r>
      <w:r w:rsidR="00C22692">
        <w:t xml:space="preserve">p. </w:t>
      </w:r>
      <w:r w:rsidR="00BC64A9">
        <w:t>614.)</w:t>
      </w:r>
      <w:r>
        <w:t xml:space="preserve">  We thus find that </w:t>
      </w:r>
      <w:proofErr w:type="spellStart"/>
      <w:r>
        <w:rPr>
          <w:i/>
        </w:rPr>
        <w:t>Leoni</w:t>
      </w:r>
      <w:proofErr w:type="spellEnd"/>
      <w:r>
        <w:t xml:space="preserve"> is distinguishable from the instant case.  </w:t>
      </w:r>
    </w:p>
    <w:p w:rsidR="00914120" w:rsidRDefault="005520AE" w:rsidP="007642B9">
      <w:pPr>
        <w:ind w:firstLine="720"/>
      </w:pPr>
      <w:r>
        <w:rPr>
          <w:iCs/>
        </w:rPr>
        <w:t xml:space="preserve">In </w:t>
      </w:r>
      <w:proofErr w:type="spellStart"/>
      <w:r w:rsidR="004B0560">
        <w:rPr>
          <w:i/>
          <w:iCs/>
        </w:rPr>
        <w:t>In</w:t>
      </w:r>
      <w:proofErr w:type="spellEnd"/>
      <w:r w:rsidR="004B0560">
        <w:rPr>
          <w:i/>
          <w:iCs/>
        </w:rPr>
        <w:t xml:space="preserve"> re Morse, supra, </w:t>
      </w:r>
      <w:r w:rsidR="004B0560">
        <w:t xml:space="preserve">11 </w:t>
      </w:r>
      <w:proofErr w:type="spellStart"/>
      <w:r w:rsidR="004B0560">
        <w:t>Cal.4th</w:t>
      </w:r>
      <w:proofErr w:type="spellEnd"/>
      <w:r w:rsidR="004B0560">
        <w:t xml:space="preserve"> 184</w:t>
      </w:r>
      <w:r>
        <w:t>,</w:t>
      </w:r>
      <w:r w:rsidR="00FB6293">
        <w:t xml:space="preserve"> </w:t>
      </w:r>
      <w:r w:rsidR="00403A7E">
        <w:t>the Supreme Court imposed a three</w:t>
      </w:r>
      <w:r>
        <w:t>-</w:t>
      </w:r>
      <w:r w:rsidR="00403A7E">
        <w:t xml:space="preserve">year actual suspension on an attorney who mailed solicitations </w:t>
      </w:r>
      <w:r w:rsidR="00276C5F">
        <w:t xml:space="preserve">for his services </w:t>
      </w:r>
      <w:r w:rsidR="00403A7E">
        <w:t xml:space="preserve">in envelopes labeled </w:t>
      </w:r>
      <w:r w:rsidR="00276C5F">
        <w:t xml:space="preserve">so as </w:t>
      </w:r>
      <w:r w:rsidR="00403A7E">
        <w:t>to deceive the recipient that the communication came from his or her lender, rather than from the attorney.  (</w:t>
      </w:r>
      <w:r w:rsidR="00403A7E" w:rsidRPr="00686A43">
        <w:rPr>
          <w:i/>
        </w:rPr>
        <w:t>Id</w:t>
      </w:r>
      <w:r w:rsidR="00403A7E">
        <w:t xml:space="preserve">. at. p. 202.)  </w:t>
      </w:r>
      <w:r w:rsidR="00FD0438">
        <w:t>N</w:t>
      </w:r>
      <w:r w:rsidR="007642B9">
        <w:t xml:space="preserve">o mitigating factors </w:t>
      </w:r>
      <w:r w:rsidR="00FD0438">
        <w:t xml:space="preserve">applied, </w:t>
      </w:r>
      <w:r w:rsidR="007642B9">
        <w:t xml:space="preserve">other than six years of blemish-free </w:t>
      </w:r>
      <w:r w:rsidR="007642B9">
        <w:lastRenderedPageBreak/>
        <w:t xml:space="preserve">practice, which was afforded </w:t>
      </w:r>
      <w:r w:rsidR="00AB05B3">
        <w:t>“</w:t>
      </w:r>
      <w:r w:rsidR="007642B9">
        <w:t>minimal</w:t>
      </w:r>
      <w:r w:rsidR="00AB05B3">
        <w:t>”</w:t>
      </w:r>
      <w:r w:rsidR="007642B9">
        <w:t xml:space="preserve"> weight.</w:t>
      </w:r>
      <w:r w:rsidR="00AB05B3">
        <w:t xml:space="preserve"> </w:t>
      </w:r>
      <w:r w:rsidR="007642B9">
        <w:t xml:space="preserve"> </w:t>
      </w:r>
      <w:r w:rsidR="00AB05B3">
        <w:t>(</w:t>
      </w:r>
      <w:r w:rsidR="00AB05B3" w:rsidRPr="00AB05B3">
        <w:rPr>
          <w:i/>
        </w:rPr>
        <w:t>Id.</w:t>
      </w:r>
      <w:r w:rsidR="00AB05B3">
        <w:t xml:space="preserve"> at p. 198.)</w:t>
      </w:r>
      <w:r w:rsidR="00276C5F">
        <w:t xml:space="preserve">  </w:t>
      </w:r>
      <w:r w:rsidR="007642B9">
        <w:t>Aggravating factors included multiple acts of misconduct</w:t>
      </w:r>
      <w:r w:rsidR="00AB05B3">
        <w:t xml:space="preserve"> attributable to the </w:t>
      </w:r>
      <w:r w:rsidR="00477292">
        <w:t>quantity</w:t>
      </w:r>
      <w:r w:rsidR="00AB05B3">
        <w:t xml:space="preserve"> of letters</w:t>
      </w:r>
      <w:r w:rsidR="00BC49BC">
        <w:t>, bad faith</w:t>
      </w:r>
      <w:r w:rsidR="00AB05B3">
        <w:t xml:space="preserve"> and indifference</w:t>
      </w:r>
      <w:r w:rsidR="007642B9">
        <w:t xml:space="preserve"> toward rectification</w:t>
      </w:r>
      <w:r w:rsidR="00F772BD">
        <w:t>.</w:t>
      </w:r>
      <w:r w:rsidR="007642B9">
        <w:t xml:space="preserve"> </w:t>
      </w:r>
      <w:r w:rsidR="00AB05B3">
        <w:t xml:space="preserve"> </w:t>
      </w:r>
      <w:r w:rsidR="00F772BD">
        <w:t>(</w:t>
      </w:r>
      <w:r w:rsidR="00F772BD" w:rsidRPr="00F772BD">
        <w:rPr>
          <w:i/>
        </w:rPr>
        <w:t>Id</w:t>
      </w:r>
      <w:r w:rsidR="00F772BD">
        <w:t xml:space="preserve">. at </w:t>
      </w:r>
      <w:r w:rsidR="00BC49BC">
        <w:t>p</w:t>
      </w:r>
      <w:r w:rsidR="00F772BD">
        <w:t>p. 197-198</w:t>
      </w:r>
      <w:r w:rsidR="00BC49BC">
        <w:t>, 206</w:t>
      </w:r>
      <w:r w:rsidR="00F772BD">
        <w:t xml:space="preserve">.)  </w:t>
      </w:r>
      <w:r w:rsidR="00AB05B3">
        <w:t xml:space="preserve">Additional uncharged misconduct was found in aggravation </w:t>
      </w:r>
      <w:r w:rsidR="00FD0438">
        <w:t>for</w:t>
      </w:r>
      <w:r w:rsidR="00AB05B3">
        <w:t xml:space="preserve"> evidence of additional mailings </w:t>
      </w:r>
      <w:r w:rsidR="00FD0438">
        <w:t xml:space="preserve">from </w:t>
      </w:r>
      <w:r w:rsidR="00AB05B3">
        <w:t>an earlier time period tha</w:t>
      </w:r>
      <w:r w:rsidR="00435EDA">
        <w:t>n</w:t>
      </w:r>
      <w:r w:rsidR="00AB05B3">
        <w:t xml:space="preserve"> that </w:t>
      </w:r>
      <w:r w:rsidR="00FD0438">
        <w:t>addressed</w:t>
      </w:r>
      <w:r w:rsidR="00AB05B3">
        <w:t xml:space="preserve"> in the </w:t>
      </w:r>
      <w:proofErr w:type="spellStart"/>
      <w:r w:rsidR="00AB05B3">
        <w:t>NDC</w:t>
      </w:r>
      <w:proofErr w:type="spellEnd"/>
      <w:r w:rsidR="00AB05B3">
        <w:t xml:space="preserve">.  </w:t>
      </w:r>
      <w:r w:rsidR="00BC49BC">
        <w:t>(</w:t>
      </w:r>
      <w:r w:rsidR="00BC49BC">
        <w:rPr>
          <w:i/>
        </w:rPr>
        <w:t>Id.</w:t>
      </w:r>
      <w:r w:rsidR="00BC49BC">
        <w:t xml:space="preserve"> at p. 197.)  </w:t>
      </w:r>
      <w:r w:rsidR="00435EDA">
        <w:t>T</w:t>
      </w:r>
      <w:r w:rsidR="00435EDA" w:rsidRPr="002E3771">
        <w:t>he</w:t>
      </w:r>
      <w:r w:rsidR="00435EDA">
        <w:t xml:space="preserve"> Supreme Court imposed three years’ actual suspension because of the </w:t>
      </w:r>
      <w:r w:rsidR="008F4C5B">
        <w:t xml:space="preserve">broad </w:t>
      </w:r>
      <w:r w:rsidR="00435EDA">
        <w:t>scope of the</w:t>
      </w:r>
      <w:r w:rsidR="008F4C5B">
        <w:t xml:space="preserve"> misconduct</w:t>
      </w:r>
      <w:r w:rsidR="00435EDA">
        <w:t xml:space="preserve"> and the numerous aggravating factors</w:t>
      </w:r>
      <w:r w:rsidR="00150B57">
        <w:t>.</w:t>
      </w:r>
      <w:r w:rsidR="00435EDA">
        <w:rPr>
          <w:b/>
        </w:rPr>
        <w:t xml:space="preserve"> </w:t>
      </w:r>
      <w:r w:rsidR="00435EDA">
        <w:t xml:space="preserve"> (</w:t>
      </w:r>
      <w:r w:rsidR="00435EDA" w:rsidRPr="00081473">
        <w:rPr>
          <w:i/>
        </w:rPr>
        <w:t>Id</w:t>
      </w:r>
      <w:r w:rsidR="00435EDA">
        <w:t>. at p. 190.)</w:t>
      </w:r>
      <w:r w:rsidR="002054F4">
        <w:t xml:space="preserve">  These facts are similar to this case, but </w:t>
      </w:r>
      <w:r w:rsidR="002054F4">
        <w:rPr>
          <w:i/>
          <w:iCs/>
        </w:rPr>
        <w:t>In re Morse</w:t>
      </w:r>
      <w:r w:rsidR="002054F4">
        <w:rPr>
          <w:iCs/>
        </w:rPr>
        <w:t xml:space="preserve"> </w:t>
      </w:r>
      <w:r w:rsidR="002054F4">
        <w:t xml:space="preserve">is distinguishable in that the attorney sent over four million deceptive letters over </w:t>
      </w:r>
      <w:r w:rsidR="00BC49BC">
        <w:t>more than four ye</w:t>
      </w:r>
      <w:r w:rsidR="002054F4">
        <w:t xml:space="preserve">ars.  </w:t>
      </w:r>
      <w:r w:rsidR="00435EDA">
        <w:t xml:space="preserve">  </w:t>
      </w:r>
    </w:p>
    <w:p w:rsidR="00523016" w:rsidRDefault="00BF1F9B" w:rsidP="007642B9">
      <w:pPr>
        <w:ind w:firstLine="720"/>
        <w:rPr>
          <w:bCs/>
        </w:rPr>
      </w:pPr>
      <w:r>
        <w:t>Perhaps close</w:t>
      </w:r>
      <w:r w:rsidR="00B539FD">
        <w:t xml:space="preserve">st </w:t>
      </w:r>
      <w:r>
        <w:t>to the mark is the</w:t>
      </w:r>
      <w:r w:rsidR="00B539FD">
        <w:t xml:space="preserve"> case of </w:t>
      </w:r>
      <w:r w:rsidR="00B539FD">
        <w:rPr>
          <w:bCs/>
          <w:i/>
        </w:rPr>
        <w:t>In the Matter of Mitche</w:t>
      </w:r>
      <w:r w:rsidR="006D1DDF">
        <w:rPr>
          <w:bCs/>
          <w:i/>
        </w:rPr>
        <w:t>l</w:t>
      </w:r>
      <w:r w:rsidR="00B539FD">
        <w:rPr>
          <w:bCs/>
          <w:i/>
        </w:rPr>
        <w:t>l</w:t>
      </w:r>
      <w:r w:rsidR="006D1DDF">
        <w:rPr>
          <w:bCs/>
          <w:i/>
        </w:rPr>
        <w:t xml:space="preserve">, supra, </w:t>
      </w:r>
      <w:r w:rsidR="00B539FD">
        <w:rPr>
          <w:bCs/>
        </w:rPr>
        <w:t xml:space="preserve">1 Cal. State Bar Ct. </w:t>
      </w:r>
      <w:proofErr w:type="spellStart"/>
      <w:r w:rsidR="00B539FD">
        <w:rPr>
          <w:bCs/>
        </w:rPr>
        <w:t>Rptr</w:t>
      </w:r>
      <w:proofErr w:type="spellEnd"/>
      <w:r w:rsidR="00B539FD">
        <w:rPr>
          <w:bCs/>
        </w:rPr>
        <w:t>. 332</w:t>
      </w:r>
      <w:r w:rsidR="00061668">
        <w:rPr>
          <w:bCs/>
        </w:rPr>
        <w:t>,</w:t>
      </w:r>
      <w:r w:rsidR="007B2351">
        <w:rPr>
          <w:bCs/>
        </w:rPr>
        <w:t xml:space="preserve"> where an attorney</w:t>
      </w:r>
      <w:r w:rsidR="00061668">
        <w:rPr>
          <w:bCs/>
        </w:rPr>
        <w:t xml:space="preserve"> seeking professional employment </w:t>
      </w:r>
      <w:r w:rsidR="006812CA">
        <w:rPr>
          <w:bCs/>
        </w:rPr>
        <w:t xml:space="preserve">distributed </w:t>
      </w:r>
      <w:r w:rsidR="00061668">
        <w:rPr>
          <w:bCs/>
        </w:rPr>
        <w:t>his resume</w:t>
      </w:r>
      <w:r w:rsidR="00276C5F">
        <w:rPr>
          <w:bCs/>
        </w:rPr>
        <w:t xml:space="preserve"> c</w:t>
      </w:r>
      <w:r w:rsidR="00061668">
        <w:rPr>
          <w:bCs/>
        </w:rPr>
        <w:t>ontain</w:t>
      </w:r>
      <w:r w:rsidR="00276C5F">
        <w:rPr>
          <w:bCs/>
        </w:rPr>
        <w:t xml:space="preserve">ing </w:t>
      </w:r>
      <w:r w:rsidR="008378AE">
        <w:rPr>
          <w:bCs/>
        </w:rPr>
        <w:t>misleading</w:t>
      </w:r>
      <w:r w:rsidR="00061668">
        <w:rPr>
          <w:bCs/>
        </w:rPr>
        <w:t xml:space="preserve"> information about his education</w:t>
      </w:r>
      <w:r w:rsidR="008378AE">
        <w:rPr>
          <w:bCs/>
        </w:rPr>
        <w:t>al background</w:t>
      </w:r>
      <w:r w:rsidR="00061668">
        <w:rPr>
          <w:bCs/>
        </w:rPr>
        <w:t xml:space="preserve"> to various law firms over a three</w:t>
      </w:r>
      <w:r w:rsidR="00477292">
        <w:rPr>
          <w:bCs/>
        </w:rPr>
        <w:t>-</w:t>
      </w:r>
      <w:r w:rsidR="00061668">
        <w:rPr>
          <w:bCs/>
        </w:rPr>
        <w:t>year period</w:t>
      </w:r>
      <w:r w:rsidR="00382C53">
        <w:rPr>
          <w:bCs/>
        </w:rPr>
        <w:t xml:space="preserve">. </w:t>
      </w:r>
      <w:r w:rsidR="00BC49BC">
        <w:rPr>
          <w:bCs/>
        </w:rPr>
        <w:t xml:space="preserve"> (</w:t>
      </w:r>
      <w:r w:rsidR="00BC49BC">
        <w:rPr>
          <w:bCs/>
          <w:i/>
        </w:rPr>
        <w:t>Id.</w:t>
      </w:r>
      <w:r w:rsidR="00BC49BC">
        <w:rPr>
          <w:bCs/>
        </w:rPr>
        <w:t xml:space="preserve"> at p. 340.) </w:t>
      </w:r>
      <w:r w:rsidR="00382C53">
        <w:rPr>
          <w:bCs/>
        </w:rPr>
        <w:t xml:space="preserve"> </w:t>
      </w:r>
      <w:r w:rsidR="008378AE">
        <w:rPr>
          <w:bCs/>
        </w:rPr>
        <w:t xml:space="preserve">The attorney also provided untruthful responses to the State Bar’s interrogatories.  </w:t>
      </w:r>
      <w:r w:rsidR="00477292">
        <w:rPr>
          <w:bCs/>
        </w:rPr>
        <w:t>He</w:t>
      </w:r>
      <w:r w:rsidR="00083C11">
        <w:rPr>
          <w:bCs/>
        </w:rPr>
        <w:t xml:space="preserve"> </w:t>
      </w:r>
      <w:r w:rsidR="000E521F">
        <w:rPr>
          <w:bCs/>
        </w:rPr>
        <w:t>testi</w:t>
      </w:r>
      <w:r w:rsidR="00EE3BCB">
        <w:rPr>
          <w:bCs/>
        </w:rPr>
        <w:t>fied “that he did not intend to deceive anyone. . . .</w:t>
      </w:r>
      <w:r w:rsidR="00477292">
        <w:rPr>
          <w:bCs/>
        </w:rPr>
        <w:t xml:space="preserve"> </w:t>
      </w:r>
      <w:r w:rsidR="00EE3BCB">
        <w:rPr>
          <w:bCs/>
        </w:rPr>
        <w:t>He was merely attempting to get an interview [for a position with a law firm].” (</w:t>
      </w:r>
      <w:r w:rsidR="00EE3BCB" w:rsidRPr="00EE3BCB">
        <w:rPr>
          <w:bCs/>
          <w:i/>
        </w:rPr>
        <w:t>I</w:t>
      </w:r>
      <w:r w:rsidR="00BC49BC">
        <w:rPr>
          <w:bCs/>
          <w:i/>
        </w:rPr>
        <w:t>bi</w:t>
      </w:r>
      <w:r w:rsidR="00EE3BCB" w:rsidRPr="00EE3BCB">
        <w:rPr>
          <w:bCs/>
          <w:i/>
        </w:rPr>
        <w:t>d</w:t>
      </w:r>
      <w:r w:rsidR="00EE3BCB">
        <w:rPr>
          <w:bCs/>
        </w:rPr>
        <w:t xml:space="preserve">.) </w:t>
      </w:r>
      <w:r w:rsidR="00477292">
        <w:rPr>
          <w:bCs/>
        </w:rPr>
        <w:t xml:space="preserve"> </w:t>
      </w:r>
      <w:r w:rsidR="006812CA">
        <w:rPr>
          <w:bCs/>
        </w:rPr>
        <w:t xml:space="preserve">We </w:t>
      </w:r>
      <w:r w:rsidR="00EE3BCB">
        <w:rPr>
          <w:bCs/>
        </w:rPr>
        <w:t>observed that</w:t>
      </w:r>
      <w:r w:rsidR="006812CA">
        <w:rPr>
          <w:bCs/>
        </w:rPr>
        <w:t xml:space="preserve"> </w:t>
      </w:r>
      <w:r w:rsidR="00EE3BCB">
        <w:rPr>
          <w:bCs/>
        </w:rPr>
        <w:t>such testimony “evidences a lack of understanding of the inherent dishonesty involved in circulating a knowingly false resume</w:t>
      </w:r>
      <w:r w:rsidR="007C54D7">
        <w:rPr>
          <w:bCs/>
        </w:rPr>
        <w:t>.</w:t>
      </w:r>
      <w:r w:rsidR="00EE3BCB">
        <w:rPr>
          <w:bCs/>
        </w:rPr>
        <w:t>” (</w:t>
      </w:r>
      <w:r w:rsidR="00EE3BCB" w:rsidRPr="00EE3BCB">
        <w:rPr>
          <w:bCs/>
          <w:i/>
        </w:rPr>
        <w:t>Ibid</w:t>
      </w:r>
      <w:r w:rsidR="00EE3BCB">
        <w:rPr>
          <w:bCs/>
        </w:rPr>
        <w:t>.)</w:t>
      </w:r>
      <w:r w:rsidR="007C54D7">
        <w:rPr>
          <w:bCs/>
        </w:rPr>
        <w:t xml:space="preserve">  W</w:t>
      </w:r>
      <w:r w:rsidR="00EE3BCB">
        <w:rPr>
          <w:bCs/>
        </w:rPr>
        <w:t>e found him</w:t>
      </w:r>
      <w:r w:rsidR="006812CA">
        <w:rPr>
          <w:bCs/>
        </w:rPr>
        <w:t xml:space="preserve"> culpable of </w:t>
      </w:r>
      <w:r w:rsidR="00413D07">
        <w:rPr>
          <w:bCs/>
        </w:rPr>
        <w:t xml:space="preserve">multiple </w:t>
      </w:r>
      <w:r w:rsidR="006812CA">
        <w:rPr>
          <w:bCs/>
        </w:rPr>
        <w:t xml:space="preserve">acts of </w:t>
      </w:r>
      <w:r w:rsidR="00413D07">
        <w:rPr>
          <w:bCs/>
        </w:rPr>
        <w:t xml:space="preserve">dishonesty </w:t>
      </w:r>
      <w:r w:rsidR="006812CA">
        <w:rPr>
          <w:bCs/>
        </w:rPr>
        <w:t>in violation of section 6106</w:t>
      </w:r>
      <w:r w:rsidR="007C54D7">
        <w:rPr>
          <w:bCs/>
        </w:rPr>
        <w:t xml:space="preserve">, </w:t>
      </w:r>
      <w:r w:rsidR="00413D07">
        <w:rPr>
          <w:bCs/>
        </w:rPr>
        <w:t xml:space="preserve">which </w:t>
      </w:r>
      <w:r w:rsidR="00EE3BCB">
        <w:rPr>
          <w:bCs/>
        </w:rPr>
        <w:t>w</w:t>
      </w:r>
      <w:r w:rsidR="005520AE">
        <w:rPr>
          <w:bCs/>
        </w:rPr>
        <w:t>as</w:t>
      </w:r>
      <w:r w:rsidR="00413D07">
        <w:rPr>
          <w:bCs/>
        </w:rPr>
        <w:t xml:space="preserve"> mitigated by his emotional stress </w:t>
      </w:r>
      <w:r w:rsidR="00EE3BCB">
        <w:rPr>
          <w:bCs/>
        </w:rPr>
        <w:t>due to</w:t>
      </w:r>
      <w:r w:rsidR="00413D07">
        <w:rPr>
          <w:bCs/>
        </w:rPr>
        <w:t xml:space="preserve"> family problems.</w:t>
      </w:r>
      <w:r w:rsidR="007C54D7">
        <w:rPr>
          <w:bCs/>
        </w:rPr>
        <w:t xml:space="preserve">  (</w:t>
      </w:r>
      <w:r w:rsidR="007C54D7" w:rsidRPr="007C54D7">
        <w:rPr>
          <w:bCs/>
          <w:i/>
        </w:rPr>
        <w:t>Id</w:t>
      </w:r>
      <w:r w:rsidR="00BC49BC">
        <w:rPr>
          <w:bCs/>
        </w:rPr>
        <w:t>. at p. 341</w:t>
      </w:r>
      <w:r w:rsidR="007C54D7">
        <w:rPr>
          <w:bCs/>
        </w:rPr>
        <w:t>.)</w:t>
      </w:r>
      <w:r w:rsidR="00413D07">
        <w:rPr>
          <w:bCs/>
        </w:rPr>
        <w:t xml:space="preserve">  </w:t>
      </w:r>
      <w:r w:rsidR="00935523">
        <w:rPr>
          <w:bCs/>
        </w:rPr>
        <w:t>In looking to</w:t>
      </w:r>
      <w:r w:rsidR="00413D07">
        <w:rPr>
          <w:bCs/>
        </w:rPr>
        <w:t xml:space="preserve"> standard 2.3</w:t>
      </w:r>
      <w:r w:rsidR="00935523">
        <w:rPr>
          <w:bCs/>
        </w:rPr>
        <w:t xml:space="preserve"> for guidance, </w:t>
      </w:r>
      <w:r w:rsidR="00413D07">
        <w:rPr>
          <w:bCs/>
        </w:rPr>
        <w:t xml:space="preserve">we </w:t>
      </w:r>
      <w:r w:rsidR="007C54D7">
        <w:rPr>
          <w:bCs/>
        </w:rPr>
        <w:t>concluded that</w:t>
      </w:r>
      <w:r w:rsidR="008378AE">
        <w:rPr>
          <w:bCs/>
        </w:rPr>
        <w:t xml:space="preserve"> 60 days</w:t>
      </w:r>
      <w:r w:rsidR="00477292">
        <w:rPr>
          <w:bCs/>
        </w:rPr>
        <w:t>’</w:t>
      </w:r>
      <w:r w:rsidR="008378AE">
        <w:rPr>
          <w:bCs/>
        </w:rPr>
        <w:t xml:space="preserve"> actual suspension</w:t>
      </w:r>
      <w:r w:rsidR="00413D07">
        <w:rPr>
          <w:bCs/>
        </w:rPr>
        <w:t xml:space="preserve"> </w:t>
      </w:r>
      <w:r w:rsidR="00935523">
        <w:rPr>
          <w:bCs/>
        </w:rPr>
        <w:t xml:space="preserve">was appropriate, considering </w:t>
      </w:r>
      <w:r w:rsidR="00413D07">
        <w:rPr>
          <w:bCs/>
        </w:rPr>
        <w:t xml:space="preserve">there was no evidence that the </w:t>
      </w:r>
      <w:r w:rsidR="002B1BC0">
        <w:rPr>
          <w:bCs/>
        </w:rPr>
        <w:t>inaccurate</w:t>
      </w:r>
      <w:r w:rsidR="00413D07">
        <w:rPr>
          <w:bCs/>
        </w:rPr>
        <w:t xml:space="preserve"> resumes affected any hiring decisions</w:t>
      </w:r>
      <w:r w:rsidR="00276C5F">
        <w:rPr>
          <w:bCs/>
        </w:rPr>
        <w:t xml:space="preserve">.  </w:t>
      </w:r>
      <w:r w:rsidR="006A69E2">
        <w:rPr>
          <w:bCs/>
        </w:rPr>
        <w:t>(</w:t>
      </w:r>
      <w:r w:rsidR="006A69E2" w:rsidRPr="006A69E2">
        <w:rPr>
          <w:bCs/>
          <w:i/>
        </w:rPr>
        <w:t>Id</w:t>
      </w:r>
      <w:r w:rsidR="006A69E2">
        <w:rPr>
          <w:bCs/>
        </w:rPr>
        <w:t xml:space="preserve">. at </w:t>
      </w:r>
      <w:r w:rsidR="00BC49BC">
        <w:rPr>
          <w:bCs/>
        </w:rPr>
        <w:t>p</w:t>
      </w:r>
      <w:r w:rsidR="006A69E2">
        <w:rPr>
          <w:bCs/>
        </w:rPr>
        <w:t>p. 339</w:t>
      </w:r>
      <w:r w:rsidR="00BC49BC">
        <w:rPr>
          <w:bCs/>
        </w:rPr>
        <w:t>, 341</w:t>
      </w:r>
      <w:r w:rsidR="006A69E2">
        <w:rPr>
          <w:bCs/>
        </w:rPr>
        <w:t>.)</w:t>
      </w:r>
    </w:p>
    <w:p w:rsidR="00EC2CC1" w:rsidRDefault="00523016" w:rsidP="007642B9">
      <w:pPr>
        <w:ind w:firstLine="720"/>
        <w:rPr>
          <w:bCs/>
        </w:rPr>
      </w:pPr>
      <w:r>
        <w:rPr>
          <w:bCs/>
        </w:rPr>
        <w:t xml:space="preserve">Our observation in </w:t>
      </w:r>
      <w:r w:rsidRPr="00EC2CC1">
        <w:rPr>
          <w:bCs/>
          <w:i/>
        </w:rPr>
        <w:t>Mitchell</w:t>
      </w:r>
      <w:r>
        <w:rPr>
          <w:bCs/>
        </w:rPr>
        <w:t xml:space="preserve"> about </w:t>
      </w:r>
      <w:r w:rsidR="00F0430B">
        <w:rPr>
          <w:bCs/>
        </w:rPr>
        <w:t>an attorney’s dishonesty in seeking employment</w:t>
      </w:r>
      <w:r w:rsidR="00C46870">
        <w:rPr>
          <w:bCs/>
        </w:rPr>
        <w:t xml:space="preserve"> to further his career is</w:t>
      </w:r>
      <w:r>
        <w:rPr>
          <w:bCs/>
        </w:rPr>
        <w:t xml:space="preserve"> particularly apt in this instance: </w:t>
      </w:r>
      <w:r w:rsidR="00EC04AB">
        <w:rPr>
          <w:bCs/>
        </w:rPr>
        <w:t xml:space="preserve"> </w:t>
      </w:r>
      <w:r>
        <w:rPr>
          <w:bCs/>
        </w:rPr>
        <w:t>“[W]e deem very serious an attorney’s deliberate use of dishonesty to further attempts to gain employment, particularly as a lawyer.  An attorney is not just another job</w:t>
      </w:r>
      <w:r w:rsidR="00BC49BC">
        <w:rPr>
          <w:bCs/>
        </w:rPr>
        <w:t>-</w:t>
      </w:r>
      <w:r>
        <w:rPr>
          <w:bCs/>
        </w:rPr>
        <w:t>holder or job</w:t>
      </w:r>
      <w:r w:rsidR="00BC49BC">
        <w:rPr>
          <w:bCs/>
        </w:rPr>
        <w:t>-</w:t>
      </w:r>
      <w:r>
        <w:rPr>
          <w:bCs/>
        </w:rPr>
        <w:t xml:space="preserve">seeker.  For years, our Supreme Court has </w:t>
      </w:r>
      <w:r>
        <w:rPr>
          <w:bCs/>
        </w:rPr>
        <w:lastRenderedPageBreak/>
        <w:t xml:space="preserve">recognized the high duties of honesty and professional responsibility with which attorneys in this state are charged.  </w:t>
      </w:r>
      <w:r w:rsidR="00BC49BC">
        <w:rPr>
          <w:bCs/>
        </w:rPr>
        <w:t>[</w:t>
      </w:r>
      <w:r>
        <w:rPr>
          <w:bCs/>
        </w:rPr>
        <w:t>Citations</w:t>
      </w:r>
      <w:r w:rsidR="00BC49BC">
        <w:rPr>
          <w:bCs/>
        </w:rPr>
        <w:t>.]</w:t>
      </w:r>
      <w:r>
        <w:rPr>
          <w:bCs/>
        </w:rPr>
        <w:t>”</w:t>
      </w:r>
      <w:r w:rsidR="00EC04AB">
        <w:rPr>
          <w:bCs/>
        </w:rPr>
        <w:t xml:space="preserve"> </w:t>
      </w:r>
      <w:r w:rsidR="00EC2CC1">
        <w:rPr>
          <w:bCs/>
        </w:rPr>
        <w:t xml:space="preserve"> (</w:t>
      </w:r>
      <w:r w:rsidR="00EC2CC1">
        <w:rPr>
          <w:bCs/>
          <w:i/>
        </w:rPr>
        <w:t xml:space="preserve">In the Matter of Mitchell, supra, </w:t>
      </w:r>
      <w:r w:rsidR="00EC2CC1">
        <w:rPr>
          <w:bCs/>
        </w:rPr>
        <w:t xml:space="preserve">1 Cal. State Bar Ct. </w:t>
      </w:r>
      <w:proofErr w:type="spellStart"/>
      <w:r w:rsidR="00EC2CC1">
        <w:rPr>
          <w:bCs/>
        </w:rPr>
        <w:t>Rptr</w:t>
      </w:r>
      <w:proofErr w:type="spellEnd"/>
      <w:r w:rsidR="00EC2CC1">
        <w:rPr>
          <w:bCs/>
        </w:rPr>
        <w:t>. at p. 341.)</w:t>
      </w:r>
    </w:p>
    <w:p w:rsidR="00705117" w:rsidRDefault="00EC04AB" w:rsidP="0053138B">
      <w:pPr>
        <w:ind w:firstLine="720"/>
      </w:pPr>
      <w:r>
        <w:rPr>
          <w:bCs/>
        </w:rPr>
        <w:t>The mis</w:t>
      </w:r>
      <w:r w:rsidR="00D062AE">
        <w:rPr>
          <w:bCs/>
        </w:rPr>
        <w:t xml:space="preserve">representations </w:t>
      </w:r>
      <w:r>
        <w:rPr>
          <w:bCs/>
        </w:rPr>
        <w:t xml:space="preserve">here </w:t>
      </w:r>
      <w:r w:rsidR="00D062AE">
        <w:rPr>
          <w:bCs/>
        </w:rPr>
        <w:t>were</w:t>
      </w:r>
      <w:r w:rsidR="001652AA">
        <w:rPr>
          <w:bCs/>
        </w:rPr>
        <w:t xml:space="preserve"> </w:t>
      </w:r>
      <w:r>
        <w:rPr>
          <w:bCs/>
        </w:rPr>
        <w:t>more serious</w:t>
      </w:r>
      <w:r w:rsidR="001652AA">
        <w:rPr>
          <w:bCs/>
        </w:rPr>
        <w:t xml:space="preserve"> than in </w:t>
      </w:r>
      <w:r w:rsidR="001652AA">
        <w:rPr>
          <w:bCs/>
          <w:i/>
        </w:rPr>
        <w:t>Mitchell</w:t>
      </w:r>
      <w:r w:rsidR="001652AA">
        <w:rPr>
          <w:bCs/>
        </w:rPr>
        <w:t xml:space="preserve"> </w:t>
      </w:r>
      <w:r>
        <w:rPr>
          <w:bCs/>
        </w:rPr>
        <w:t>because</w:t>
      </w:r>
      <w:r w:rsidR="00D062AE">
        <w:rPr>
          <w:bCs/>
        </w:rPr>
        <w:t xml:space="preserve"> they were directed at </w:t>
      </w:r>
      <w:r>
        <w:rPr>
          <w:bCs/>
        </w:rPr>
        <w:t xml:space="preserve">vulnerable inmates and </w:t>
      </w:r>
      <w:r w:rsidR="00D062AE">
        <w:rPr>
          <w:bCs/>
        </w:rPr>
        <w:t>were intended to</w:t>
      </w:r>
      <w:r>
        <w:rPr>
          <w:bCs/>
        </w:rPr>
        <w:t xml:space="preserve"> thwart a policy</w:t>
      </w:r>
      <w:r w:rsidR="00EE43D0">
        <w:rPr>
          <w:bCs/>
        </w:rPr>
        <w:t xml:space="preserve"> </w:t>
      </w:r>
      <w:r w:rsidR="001B40A2">
        <w:rPr>
          <w:bCs/>
        </w:rPr>
        <w:t>of</w:t>
      </w:r>
      <w:r w:rsidR="001652AA">
        <w:rPr>
          <w:bCs/>
        </w:rPr>
        <w:t xml:space="preserve"> “necessity</w:t>
      </w:r>
      <w:r w:rsidR="005520AE">
        <w:rPr>
          <w:bCs/>
        </w:rPr>
        <w:t>.</w:t>
      </w:r>
      <w:r w:rsidR="001B40A2">
        <w:rPr>
          <w:bCs/>
        </w:rPr>
        <w:t>”</w:t>
      </w:r>
      <w:r w:rsidR="001652AA">
        <w:rPr>
          <w:bCs/>
        </w:rPr>
        <w:t xml:space="preserve"> </w:t>
      </w:r>
      <w:r w:rsidR="00D062AE">
        <w:rPr>
          <w:bCs/>
        </w:rPr>
        <w:t xml:space="preserve"> </w:t>
      </w:r>
      <w:r w:rsidR="00595C98">
        <w:rPr>
          <w:bCs/>
        </w:rPr>
        <w:t>T</w:t>
      </w:r>
      <w:r w:rsidR="00D062AE">
        <w:rPr>
          <w:bCs/>
        </w:rPr>
        <w:t>he Sheriff’s Department</w:t>
      </w:r>
      <w:r w:rsidR="00595C98">
        <w:rPr>
          <w:bCs/>
        </w:rPr>
        <w:t xml:space="preserve"> </w:t>
      </w:r>
      <w:r w:rsidR="005520AE">
        <w:rPr>
          <w:bCs/>
        </w:rPr>
        <w:t>policy</w:t>
      </w:r>
      <w:r w:rsidR="00D062AE">
        <w:rPr>
          <w:bCs/>
        </w:rPr>
        <w:t xml:space="preserve"> </w:t>
      </w:r>
      <w:r w:rsidR="00595C98">
        <w:rPr>
          <w:bCs/>
        </w:rPr>
        <w:t>had been</w:t>
      </w:r>
      <w:r w:rsidR="00D062AE">
        <w:rPr>
          <w:bCs/>
        </w:rPr>
        <w:t xml:space="preserve"> implemented</w:t>
      </w:r>
      <w:r w:rsidR="00523016">
        <w:rPr>
          <w:bCs/>
        </w:rPr>
        <w:t xml:space="preserve"> so that</w:t>
      </w:r>
      <w:r w:rsidR="00D062AE">
        <w:rPr>
          <w:bCs/>
        </w:rPr>
        <w:t xml:space="preserve"> </w:t>
      </w:r>
      <w:r w:rsidR="001652AA">
        <w:rPr>
          <w:bCs/>
        </w:rPr>
        <w:t>the</w:t>
      </w:r>
      <w:r w:rsidR="00E071FB">
        <w:rPr>
          <w:bCs/>
        </w:rPr>
        <w:t xml:space="preserve"> </w:t>
      </w:r>
      <w:r w:rsidR="00D062AE">
        <w:rPr>
          <w:bCs/>
        </w:rPr>
        <w:t>j</w:t>
      </w:r>
      <w:r w:rsidR="00E071FB" w:rsidRPr="00E071FB">
        <w:rPr>
          <w:bCs/>
        </w:rPr>
        <w:t>ails</w:t>
      </w:r>
      <w:r w:rsidR="00523016">
        <w:rPr>
          <w:bCs/>
        </w:rPr>
        <w:t xml:space="preserve"> would not be</w:t>
      </w:r>
      <w:r w:rsidR="00D062AE">
        <w:rPr>
          <w:bCs/>
        </w:rPr>
        <w:t xml:space="preserve"> “</w:t>
      </w:r>
      <w:r w:rsidR="00E071FB" w:rsidRPr="00E071FB">
        <w:rPr>
          <w:bCs/>
        </w:rPr>
        <w:t xml:space="preserve">flooded with such advertisements mailed to inmates and the distribution of important non-advertising mail would </w:t>
      </w:r>
      <w:r w:rsidR="00523016">
        <w:rPr>
          <w:bCs/>
        </w:rPr>
        <w:t xml:space="preserve">[not] </w:t>
      </w:r>
      <w:r w:rsidR="00E071FB" w:rsidRPr="00E071FB">
        <w:rPr>
          <w:bCs/>
        </w:rPr>
        <w:t>be significantly slowed</w:t>
      </w:r>
      <w:r w:rsidR="001652AA">
        <w:rPr>
          <w:bCs/>
        </w:rPr>
        <w:t xml:space="preserve">.”  </w:t>
      </w:r>
      <w:r w:rsidR="00E071FB">
        <w:rPr>
          <w:bCs/>
        </w:rPr>
        <w:t>A</w:t>
      </w:r>
      <w:r w:rsidR="00995C07">
        <w:rPr>
          <w:bCs/>
        </w:rPr>
        <w:t>ccordingly</w:t>
      </w:r>
      <w:r w:rsidR="00E071FB">
        <w:rPr>
          <w:bCs/>
        </w:rPr>
        <w:t>,</w:t>
      </w:r>
      <w:r w:rsidR="00995C07">
        <w:rPr>
          <w:bCs/>
        </w:rPr>
        <w:t xml:space="preserve"> </w:t>
      </w:r>
      <w:r w:rsidR="00E071FB">
        <w:rPr>
          <w:bCs/>
        </w:rPr>
        <w:t xml:space="preserve">we </w:t>
      </w:r>
      <w:r w:rsidR="00705117">
        <w:rPr>
          <w:bCs/>
        </w:rPr>
        <w:t xml:space="preserve">adopt the discipline recommendations of the hearing judge, with the exception that we find that </w:t>
      </w:r>
      <w:r w:rsidR="00F06342">
        <w:rPr>
          <w:bCs/>
        </w:rPr>
        <w:t>9</w:t>
      </w:r>
      <w:r w:rsidR="00705117">
        <w:rPr>
          <w:bCs/>
        </w:rPr>
        <w:t>0 days</w:t>
      </w:r>
      <w:r w:rsidR="005443D3">
        <w:rPr>
          <w:bCs/>
        </w:rPr>
        <w:t>’</w:t>
      </w:r>
      <w:r w:rsidR="00705117">
        <w:rPr>
          <w:bCs/>
        </w:rPr>
        <w:t xml:space="preserve"> actual suspension is more </w:t>
      </w:r>
      <w:r w:rsidR="00F06342">
        <w:rPr>
          <w:bCs/>
        </w:rPr>
        <w:t xml:space="preserve">appropriate, given </w:t>
      </w:r>
      <w:r w:rsidR="0075654D">
        <w:rPr>
          <w:bCs/>
        </w:rPr>
        <w:t>the context</w:t>
      </w:r>
      <w:r w:rsidR="00F06342">
        <w:rPr>
          <w:bCs/>
        </w:rPr>
        <w:t xml:space="preserve"> of </w:t>
      </w:r>
      <w:proofErr w:type="spellStart"/>
      <w:r w:rsidR="00E071FB">
        <w:rPr>
          <w:bCs/>
        </w:rPr>
        <w:t>Venie’s</w:t>
      </w:r>
      <w:proofErr w:type="spellEnd"/>
      <w:r w:rsidR="00F06342">
        <w:rPr>
          <w:bCs/>
        </w:rPr>
        <w:t xml:space="preserve"> decepti</w:t>
      </w:r>
      <w:r w:rsidR="00E071FB">
        <w:rPr>
          <w:bCs/>
        </w:rPr>
        <w:t xml:space="preserve">ve letter-writing campaign, </w:t>
      </w:r>
      <w:r w:rsidR="001B40A2">
        <w:rPr>
          <w:bCs/>
        </w:rPr>
        <w:t xml:space="preserve">its potential for mischief and the fact that </w:t>
      </w:r>
      <w:proofErr w:type="spellStart"/>
      <w:r w:rsidR="001B40A2">
        <w:rPr>
          <w:bCs/>
        </w:rPr>
        <w:t>Venie</w:t>
      </w:r>
      <w:proofErr w:type="spellEnd"/>
      <w:r w:rsidR="001B40A2">
        <w:rPr>
          <w:bCs/>
        </w:rPr>
        <w:t xml:space="preserve"> </w:t>
      </w:r>
      <w:r w:rsidR="00F06342">
        <w:rPr>
          <w:bCs/>
        </w:rPr>
        <w:t>continued</w:t>
      </w:r>
      <w:r w:rsidR="001B40A2">
        <w:rPr>
          <w:bCs/>
        </w:rPr>
        <w:t xml:space="preserve"> with his solicitations</w:t>
      </w:r>
      <w:r w:rsidR="00F06342">
        <w:rPr>
          <w:bCs/>
        </w:rPr>
        <w:t xml:space="preserve"> even after </w:t>
      </w:r>
      <w:r w:rsidR="001B40A2">
        <w:rPr>
          <w:bCs/>
        </w:rPr>
        <w:t>he</w:t>
      </w:r>
      <w:r w:rsidR="00F06342">
        <w:rPr>
          <w:bCs/>
        </w:rPr>
        <w:t xml:space="preserve"> was warned that </w:t>
      </w:r>
      <w:r w:rsidR="00E071FB">
        <w:rPr>
          <w:bCs/>
        </w:rPr>
        <w:t>the matter would be referred to the State Bar</w:t>
      </w:r>
      <w:r w:rsidR="001B40A2">
        <w:rPr>
          <w:bCs/>
        </w:rPr>
        <w:t xml:space="preserve"> if he did not stop</w:t>
      </w:r>
      <w:r w:rsidR="00E071FB">
        <w:rPr>
          <w:bCs/>
        </w:rPr>
        <w:t xml:space="preserve">.  </w:t>
      </w:r>
    </w:p>
    <w:p w:rsidR="007642B9" w:rsidRDefault="00BD1B5D" w:rsidP="007642B9">
      <w:pPr>
        <w:jc w:val="center"/>
        <w:rPr>
          <w:b/>
        </w:rPr>
      </w:pPr>
      <w:r>
        <w:rPr>
          <w:b/>
        </w:rPr>
        <w:t>I</w:t>
      </w:r>
      <w:r w:rsidR="007642B9" w:rsidRPr="002713D5">
        <w:rPr>
          <w:b/>
        </w:rPr>
        <w:t>V.  RECOMMENDED DISCIPLINE</w:t>
      </w:r>
    </w:p>
    <w:p w:rsidR="007642B9" w:rsidRDefault="00BD1B5D" w:rsidP="008D4366">
      <w:pPr>
        <w:widowControl w:val="0"/>
        <w:ind w:firstLine="720"/>
      </w:pPr>
      <w:r>
        <w:t>We hereby recommend</w:t>
      </w:r>
      <w:r w:rsidR="007642B9">
        <w:t xml:space="preserve"> that </w:t>
      </w:r>
      <w:r w:rsidR="007642B9" w:rsidRPr="00BD1B5D">
        <w:t xml:space="preserve">DAVID </w:t>
      </w:r>
      <w:proofErr w:type="spellStart"/>
      <w:r w:rsidR="007642B9" w:rsidRPr="00BD1B5D">
        <w:t>C</w:t>
      </w:r>
      <w:r w:rsidR="00BC49BC">
        <w:t>HIPMAN</w:t>
      </w:r>
      <w:proofErr w:type="spellEnd"/>
      <w:r w:rsidR="007642B9" w:rsidRPr="00BD1B5D">
        <w:t xml:space="preserve"> </w:t>
      </w:r>
      <w:proofErr w:type="spellStart"/>
      <w:r w:rsidR="007642B9" w:rsidRPr="00BD1B5D">
        <w:t>VENIE</w:t>
      </w:r>
      <w:proofErr w:type="spellEnd"/>
      <w:r>
        <w:t xml:space="preserve"> </w:t>
      </w:r>
      <w:r w:rsidR="007642B9">
        <w:t>be suspended from t</w:t>
      </w:r>
      <w:r w:rsidR="00AF4C40">
        <w:t>he practice of law for one yea</w:t>
      </w:r>
      <w:r w:rsidR="00595C98">
        <w:t>r,</w:t>
      </w:r>
      <w:r w:rsidR="007642B9">
        <w:t xml:space="preserve"> that execution of that suspension be stayed, and that </w:t>
      </w:r>
      <w:r>
        <w:t>he</w:t>
      </w:r>
      <w:r w:rsidR="007642B9">
        <w:t xml:space="preserve"> be placed o</w:t>
      </w:r>
      <w:r w:rsidR="003851FE">
        <w:t xml:space="preserve">n probation for two years, on </w:t>
      </w:r>
      <w:r w:rsidR="007642B9">
        <w:t>the following conditions:</w:t>
      </w:r>
    </w:p>
    <w:p w:rsidR="006C16D9" w:rsidRDefault="007642B9">
      <w:pPr>
        <w:widowControl w:val="0"/>
        <w:spacing w:line="240" w:lineRule="auto"/>
        <w:ind w:left="288" w:hanging="288"/>
      </w:pPr>
      <w:r>
        <w:t xml:space="preserve">1.  </w:t>
      </w:r>
      <w:proofErr w:type="spellStart"/>
      <w:r w:rsidR="00906E9D">
        <w:t>Venie</w:t>
      </w:r>
      <w:proofErr w:type="spellEnd"/>
      <w:r w:rsidR="003851FE">
        <w:t xml:space="preserve"> must</w:t>
      </w:r>
      <w:r>
        <w:t xml:space="preserve"> be actually suspended from the practice of law for the first </w:t>
      </w:r>
      <w:r w:rsidR="005520AE">
        <w:t>9</w:t>
      </w:r>
      <w:r w:rsidR="00705117">
        <w:t>0</w:t>
      </w:r>
      <w:r>
        <w:t xml:space="preserve"> days of</w:t>
      </w:r>
      <w:r w:rsidR="003851FE">
        <w:t xml:space="preserve"> the period of his</w:t>
      </w:r>
      <w:r>
        <w:t xml:space="preserve"> probation;</w:t>
      </w:r>
    </w:p>
    <w:p w:rsidR="005443D3" w:rsidRDefault="005443D3" w:rsidP="005443D3">
      <w:pPr>
        <w:widowControl w:val="0"/>
        <w:spacing w:line="240" w:lineRule="auto"/>
      </w:pPr>
    </w:p>
    <w:p w:rsidR="006C16D9" w:rsidRDefault="007642B9">
      <w:pPr>
        <w:widowControl w:val="0"/>
        <w:spacing w:line="240" w:lineRule="auto"/>
        <w:ind w:left="288" w:hanging="288"/>
      </w:pPr>
      <w:r>
        <w:t xml:space="preserve">2.  </w:t>
      </w:r>
      <w:r w:rsidR="003851FE">
        <w:t>He must comply with the provisions of the State Bar Act, the Rules of Professional Conduct, and all of the conditions of his probation</w:t>
      </w:r>
      <w:r>
        <w:t>;</w:t>
      </w:r>
    </w:p>
    <w:p w:rsidR="005443D3" w:rsidRDefault="005443D3" w:rsidP="005443D3">
      <w:pPr>
        <w:widowControl w:val="0"/>
        <w:spacing w:line="240" w:lineRule="auto"/>
      </w:pPr>
    </w:p>
    <w:p w:rsidR="006C16D9" w:rsidRDefault="003851FE">
      <w:pPr>
        <w:widowControl w:val="0"/>
        <w:spacing w:line="240" w:lineRule="auto"/>
        <w:ind w:left="288" w:hanging="288"/>
      </w:pPr>
      <w:r>
        <w:t>3.  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rsidR="005443D3" w:rsidRDefault="005443D3" w:rsidP="005443D3">
      <w:pPr>
        <w:widowControl w:val="0"/>
        <w:spacing w:line="240" w:lineRule="auto"/>
        <w:ind w:left="288" w:hanging="288"/>
      </w:pPr>
    </w:p>
    <w:p w:rsidR="006C16D9" w:rsidRDefault="007642B9">
      <w:pPr>
        <w:widowControl w:val="0"/>
        <w:spacing w:line="240" w:lineRule="auto"/>
        <w:ind w:left="288" w:hanging="288"/>
      </w:pPr>
      <w:r>
        <w:t xml:space="preserve">4.  </w:t>
      </w:r>
      <w:r w:rsidR="003851FE" w:rsidRPr="003851FE">
        <w:t xml:space="preserve">He must submit written quarterly reports to the Office of Probation on each January 10, </w:t>
      </w:r>
      <w:r w:rsidR="005520AE">
        <w:t xml:space="preserve">  </w:t>
      </w:r>
      <w:r w:rsidR="003851FE" w:rsidRPr="003851FE">
        <w:t xml:space="preserve">April 10, July 10, and October 10 of the period of probation.  Under penalty of perjury, he must state whether he has complied with the State Bar Act, the Rules of Professional Conduct, </w:t>
      </w:r>
      <w:r w:rsidR="003851FE" w:rsidRPr="003851FE">
        <w:lastRenderedPageBreak/>
        <w:t>and all of the conditions of his probation during the preceding calendar quarter.  In addition to all quarterly reports, a final report, containing the same information, is due no earlier than 20 days before the last day of the probation period and no later than the l</w:t>
      </w:r>
      <w:r w:rsidR="003851FE">
        <w:t>ast day of the probation period;</w:t>
      </w:r>
    </w:p>
    <w:p w:rsidR="00A708D5" w:rsidRDefault="00A708D5" w:rsidP="005443D3">
      <w:pPr>
        <w:widowControl w:val="0"/>
        <w:spacing w:line="240" w:lineRule="auto"/>
      </w:pPr>
    </w:p>
    <w:p w:rsidR="006C16D9" w:rsidRDefault="007642B9">
      <w:pPr>
        <w:widowControl w:val="0"/>
        <w:spacing w:line="240" w:lineRule="auto"/>
        <w:ind w:left="288" w:hanging="288"/>
      </w:pPr>
      <w:r>
        <w:t xml:space="preserve">5.  </w:t>
      </w:r>
      <w:r w:rsidR="003851FE">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rsidR="003851FE" w:rsidRDefault="003851FE" w:rsidP="005443D3">
      <w:pPr>
        <w:widowControl w:val="0"/>
        <w:spacing w:line="240" w:lineRule="auto"/>
      </w:pPr>
    </w:p>
    <w:p w:rsidR="006C16D9" w:rsidRDefault="007642B9">
      <w:pPr>
        <w:widowControl w:val="0"/>
        <w:spacing w:line="240" w:lineRule="auto"/>
        <w:ind w:left="288" w:hanging="288"/>
      </w:pPr>
      <w:r>
        <w:t xml:space="preserve">6.  </w:t>
      </w:r>
      <w:r w:rsidR="0023444D">
        <w:t>Within one year after the effective date of the discipline herein, he must submit to the Office of Probation satisfactory evidence of completion the State Bar’s Ethics School</w:t>
      </w:r>
      <w:r w:rsidR="0023444D">
        <w:rPr>
          <w:rStyle w:val="FootnoteReference"/>
          <w:rFonts w:eastAsiaTheme="majorEastAsia"/>
        </w:rPr>
        <w:footnoteReference w:id="11"/>
      </w:r>
      <w:r w:rsidR="0023444D">
        <w:t xml:space="preserve"> and passage of the test given at the end of that session.  This requirement is separate from any Minimum Continuing Legal Education (</w:t>
      </w:r>
      <w:proofErr w:type="spellStart"/>
      <w:r w:rsidR="0023444D">
        <w:t>MCLE</w:t>
      </w:r>
      <w:proofErr w:type="spellEnd"/>
      <w:r w:rsidR="0023444D">
        <w:t xml:space="preserve">) requirement, and he shall not receive </w:t>
      </w:r>
      <w:proofErr w:type="spellStart"/>
      <w:r w:rsidR="0023444D">
        <w:t>MCLE</w:t>
      </w:r>
      <w:proofErr w:type="spellEnd"/>
      <w:r w:rsidR="0023444D">
        <w:t xml:space="preserve"> credit for attending Ethics School.  (Rules Proc. of State Bar, rule 3201</w:t>
      </w:r>
      <w:r w:rsidR="009A53D8">
        <w:t>)</w:t>
      </w:r>
      <w:r w:rsidR="0023444D">
        <w:t>;</w:t>
      </w:r>
    </w:p>
    <w:p w:rsidR="0023444D" w:rsidRDefault="0023444D" w:rsidP="005443D3">
      <w:pPr>
        <w:widowControl w:val="0"/>
        <w:spacing w:line="240" w:lineRule="auto"/>
      </w:pPr>
    </w:p>
    <w:p w:rsidR="006C16D9" w:rsidRDefault="007642B9">
      <w:pPr>
        <w:widowControl w:val="0"/>
        <w:spacing w:line="240" w:lineRule="auto"/>
        <w:ind w:left="288" w:hanging="288"/>
      </w:pPr>
      <w:r>
        <w:t xml:space="preserve">7.  </w:t>
      </w:r>
      <w:r w:rsidR="0023444D">
        <w:t>The period of probation will commence on the effective date of the Supreme Court order imposing discipline in this matter.  At the expiration of the period of probation, if he has complied with all conditions of probation, the one-year period of stayed suspension will be satisfied and that suspension will be terminated</w:t>
      </w:r>
      <w:r w:rsidR="005520AE">
        <w:t>.</w:t>
      </w:r>
    </w:p>
    <w:p w:rsidR="006C16D9" w:rsidRDefault="006C16D9">
      <w:pPr>
        <w:widowControl w:val="0"/>
        <w:spacing w:line="240" w:lineRule="auto"/>
      </w:pPr>
    </w:p>
    <w:p w:rsidR="00453072" w:rsidRPr="008D4366" w:rsidRDefault="00453072" w:rsidP="00453072">
      <w:pPr>
        <w:widowControl w:val="0"/>
        <w:jc w:val="center"/>
        <w:rPr>
          <w:b/>
        </w:rPr>
      </w:pPr>
      <w:r w:rsidRPr="008D4366">
        <w:rPr>
          <w:b/>
        </w:rPr>
        <w:t>V.  PROFESSIONAL RESPONSIBILITY EXAMINATION</w:t>
      </w:r>
    </w:p>
    <w:p w:rsidR="00A708D5" w:rsidRDefault="0023444D" w:rsidP="0023444D">
      <w:pPr>
        <w:pStyle w:val="ListParagraph"/>
        <w:tabs>
          <w:tab w:val="left" w:pos="720"/>
        </w:tabs>
        <w:ind w:left="0" w:firstLine="720"/>
      </w:pPr>
      <w:r>
        <w:t xml:space="preserve">We further recommend that DAVID </w:t>
      </w:r>
      <w:proofErr w:type="spellStart"/>
      <w:r>
        <w:t>C</w:t>
      </w:r>
      <w:r w:rsidR="009A53D8">
        <w:t>HIPMAN</w:t>
      </w:r>
      <w:proofErr w:type="spellEnd"/>
      <w:r>
        <w:t xml:space="preserve"> </w:t>
      </w:r>
      <w:proofErr w:type="spellStart"/>
      <w:r>
        <w:t>VENIE</w:t>
      </w:r>
      <w:proofErr w:type="spellEnd"/>
      <w:r>
        <w:t xml:space="preserve">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w:t>
      </w:r>
      <w:r w:rsidRPr="006A1F63">
        <w:t>Failure to do so may result in an automatic suspension.  (Cal. Rules of Court, rule 9.10(b).)</w:t>
      </w:r>
    </w:p>
    <w:p w:rsidR="00A708D5" w:rsidRDefault="00A708D5">
      <w:pPr>
        <w:spacing w:after="200" w:line="276" w:lineRule="auto"/>
      </w:pPr>
      <w:r>
        <w:br w:type="page"/>
      </w:r>
    </w:p>
    <w:p w:rsidR="009A53D8" w:rsidRDefault="009A53D8" w:rsidP="007642B9">
      <w:pPr>
        <w:pStyle w:val="Heading1"/>
      </w:pPr>
      <w:r>
        <w:lastRenderedPageBreak/>
        <w:t>VI.  RULE 9.20</w:t>
      </w:r>
    </w:p>
    <w:p w:rsidR="009A53D8" w:rsidRDefault="009A53D8" w:rsidP="009A53D8">
      <w:pPr>
        <w:pStyle w:val="ListParagraph"/>
        <w:tabs>
          <w:tab w:val="left" w:pos="720"/>
        </w:tabs>
        <w:ind w:left="0" w:firstLine="720"/>
      </w:pPr>
      <w:r>
        <w:t xml:space="preserve">We further recommend that DAVID </w:t>
      </w:r>
      <w:proofErr w:type="spellStart"/>
      <w:r>
        <w:t>CHIPMAN</w:t>
      </w:r>
      <w:proofErr w:type="spellEnd"/>
      <w:r>
        <w:t xml:space="preserve"> </w:t>
      </w:r>
      <w:proofErr w:type="spellStart"/>
      <w:r>
        <w:t>VENIE</w:t>
      </w:r>
      <w:proofErr w:type="spellEnd"/>
      <w:r>
        <w:t xml:space="preserve"> be ordered to comply with rule 9.20 of the California Rules of Court, and to perform the acts specified in subdivisions (a) and (c) of that rule, within 30 and 40 days, respectively, from the effective date of the Supreme Court order.  Failure to do so may result in disbarment or suspension.</w:t>
      </w:r>
    </w:p>
    <w:p w:rsidR="007642B9" w:rsidRPr="002713D5" w:rsidRDefault="007642B9" w:rsidP="007642B9">
      <w:pPr>
        <w:pStyle w:val="Heading1"/>
      </w:pPr>
      <w:r w:rsidRPr="002713D5">
        <w:t>V</w:t>
      </w:r>
      <w:r w:rsidR="009A53D8">
        <w:t>I</w:t>
      </w:r>
      <w:r w:rsidRPr="002713D5">
        <w:t>I.  C</w:t>
      </w:r>
      <w:r>
        <w:t>OSTS</w:t>
      </w:r>
    </w:p>
    <w:p w:rsidR="0023444D" w:rsidRDefault="0023444D" w:rsidP="0023444D">
      <w:pPr>
        <w:ind w:firstLine="720"/>
      </w:pPr>
      <w:r>
        <w:t>We further recommend that costs be awarded to the State Bar in accordance with Business and Professions Code section 6086.10, such costs being enforceable both as provided in section 6140.7 and as a money judgment.</w:t>
      </w:r>
    </w:p>
    <w:p w:rsidR="00783AF1" w:rsidRDefault="007768C9" w:rsidP="00C11CC8">
      <w:r w:rsidRPr="007768C9">
        <w:tab/>
      </w:r>
      <w:r w:rsidRPr="007768C9">
        <w:tab/>
      </w:r>
      <w:r w:rsidRPr="007768C9">
        <w:tab/>
      </w:r>
      <w:r w:rsidRPr="007768C9">
        <w:tab/>
      </w:r>
      <w:r w:rsidRPr="007768C9">
        <w:tab/>
      </w:r>
      <w:r w:rsidRPr="007768C9">
        <w:tab/>
      </w:r>
      <w:r w:rsidRPr="007768C9">
        <w:tab/>
      </w:r>
      <w:bookmarkStart w:id="5" w:name="judge"/>
      <w:bookmarkEnd w:id="5"/>
      <w:r w:rsidR="001B5DEC">
        <w:t>EPSTEIN, J.</w:t>
      </w:r>
    </w:p>
    <w:p w:rsidR="000A21FD" w:rsidRDefault="000A21FD" w:rsidP="00C11CC8">
      <w:r>
        <w:t>We concur:</w:t>
      </w:r>
    </w:p>
    <w:p w:rsidR="000A21FD" w:rsidRDefault="00453072" w:rsidP="00C11CC8">
      <w:r>
        <w:t>REMKE, P. J.</w:t>
      </w:r>
    </w:p>
    <w:p w:rsidR="00453072" w:rsidRDefault="00453072" w:rsidP="00C11CC8">
      <w:r>
        <w:t>PURCELL, J.</w:t>
      </w:r>
    </w:p>
    <w:p w:rsidR="008D4366" w:rsidRPr="008A154E" w:rsidRDefault="008D4366" w:rsidP="00C11CC8"/>
    <w:sectPr w:rsidR="008D4366" w:rsidRPr="008A154E" w:rsidSect="0051500E">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BC" w:rsidRDefault="00BC49BC" w:rsidP="00783AF1">
      <w:pPr>
        <w:spacing w:line="240" w:lineRule="auto"/>
      </w:pPr>
      <w:r>
        <w:separator/>
      </w:r>
    </w:p>
  </w:endnote>
  <w:endnote w:type="continuationSeparator" w:id="0">
    <w:p w:rsidR="00BC49BC" w:rsidRDefault="00BC49BC"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BC" w:rsidRDefault="00BC49BC" w:rsidP="00783AF1">
    <w:pPr>
      <w:pStyle w:val="Footer"/>
      <w:spacing w:before="120" w:line="240" w:lineRule="auto"/>
      <w:jc w:val="center"/>
    </w:pPr>
    <w:r>
      <w:t>-</w:t>
    </w:r>
    <w:fldSimple w:instr=" PAGE   \* MERGEFORMAT ">
      <w:r w:rsidR="001B4BB0">
        <w:rPr>
          <w:noProof/>
        </w:rPr>
        <w:t>14</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BC" w:rsidRDefault="00BC49BC" w:rsidP="00783AF1">
      <w:pPr>
        <w:spacing w:line="240" w:lineRule="auto"/>
      </w:pPr>
      <w:r>
        <w:separator/>
      </w:r>
    </w:p>
  </w:footnote>
  <w:footnote w:type="continuationSeparator" w:id="0">
    <w:p w:rsidR="00BC49BC" w:rsidRDefault="00BC49BC" w:rsidP="00783AF1">
      <w:pPr>
        <w:spacing w:line="240" w:lineRule="auto"/>
      </w:pPr>
      <w:r>
        <w:continuationSeparator/>
      </w:r>
    </w:p>
  </w:footnote>
  <w:footnote w:type="continuationNotice" w:id="1">
    <w:p w:rsidR="00BC49BC" w:rsidRDefault="00BC49BC">
      <w:pPr>
        <w:spacing w:line="240" w:lineRule="auto"/>
      </w:pPr>
    </w:p>
  </w:footnote>
  <w:footnote w:id="2">
    <w:p w:rsidR="00BC49BC" w:rsidRDefault="00BC49BC" w:rsidP="003A2336">
      <w:pPr>
        <w:spacing w:after="120" w:line="240" w:lineRule="auto"/>
        <w:ind w:firstLine="720"/>
      </w:pPr>
      <w:r>
        <w:rPr>
          <w:rStyle w:val="FootnoteReference"/>
        </w:rPr>
        <w:footnoteRef/>
      </w:r>
      <w:r>
        <w:t xml:space="preserve">All further references to “rule(s)” are to the Rules of Professional Conduct, unless otherwise noted. </w:t>
      </w:r>
    </w:p>
  </w:footnote>
  <w:footnote w:id="3">
    <w:p w:rsidR="00BC49BC" w:rsidRDefault="00BC49BC" w:rsidP="00FA4543">
      <w:pPr>
        <w:spacing w:line="240" w:lineRule="auto"/>
        <w:ind w:firstLine="720"/>
      </w:pPr>
      <w:r>
        <w:rPr>
          <w:rStyle w:val="FootnoteReference"/>
        </w:rPr>
        <w:footnoteRef/>
      </w:r>
      <w:r>
        <w:t xml:space="preserve">All further references to “section(s)” are to the Business and Professions Code, unless otherwise noted. </w:t>
      </w:r>
    </w:p>
  </w:footnote>
  <w:footnote w:id="4">
    <w:p w:rsidR="00BC49BC" w:rsidRDefault="00BC49BC" w:rsidP="0034698E">
      <w:pPr>
        <w:spacing w:after="120" w:line="240" w:lineRule="auto"/>
        <w:ind w:firstLine="720"/>
      </w:pPr>
      <w:r>
        <w:rPr>
          <w:rStyle w:val="FootnoteReference"/>
          <w:rFonts w:eastAsiaTheme="majorEastAsia"/>
        </w:rPr>
        <w:footnoteRef/>
      </w:r>
      <w:r>
        <w:t>A</w:t>
      </w:r>
      <w:r w:rsidRPr="0034698E">
        <w:t>ll further references to “standard(s)” are to the Rules of Procedure of the State Bar, title IV, Standards for Attorney Sanctions for Professional Misconduct</w:t>
      </w:r>
      <w:r>
        <w:t>, unless otherwise noted</w:t>
      </w:r>
      <w:r w:rsidRPr="0034698E">
        <w:t xml:space="preserve">. </w:t>
      </w:r>
    </w:p>
  </w:footnote>
  <w:footnote w:id="5">
    <w:p w:rsidR="00BC49BC" w:rsidRPr="003A2336" w:rsidRDefault="00BC49BC" w:rsidP="003A2336">
      <w:pPr>
        <w:pStyle w:val="BodyTextIndent"/>
        <w:spacing w:line="240" w:lineRule="auto"/>
        <w:ind w:left="0" w:firstLine="720"/>
        <w:rPr>
          <w:bCs/>
        </w:rPr>
      </w:pPr>
      <w:r>
        <w:rPr>
          <w:rStyle w:val="FootnoteReference"/>
        </w:rPr>
        <w:footnoteRef/>
      </w:r>
      <w:r>
        <w:rPr>
          <w:bCs/>
        </w:rPr>
        <w:t xml:space="preserve">The Sheriff’s Department’s Manual of Policies and Procedures provides:  “Advertisements mailed to inmates will not be delivered. . . .”  Advertisements are defined as “materials for which the apparent primary purpose is to . . . promote products and/or services for the purpose of entering into a commercial transaction.”  The Department inspects all incoming mail addressed to inmates, and discards all advertising. </w:t>
      </w:r>
    </w:p>
  </w:footnote>
  <w:footnote w:id="6">
    <w:p w:rsidR="00BC49BC" w:rsidRDefault="00BC49BC" w:rsidP="00F6159D">
      <w:pPr>
        <w:pStyle w:val="FootnoteText"/>
      </w:pPr>
      <w:r>
        <w:rPr>
          <w:rStyle w:val="FootnoteReference"/>
        </w:rPr>
        <w:footnoteRef/>
      </w:r>
      <w:r>
        <w:t xml:space="preserve">The record contains 12 solicitation letters and examples of 21 envelopes sent to inmates at the </w:t>
      </w:r>
      <w:r>
        <w:rPr>
          <w:bCs/>
        </w:rPr>
        <w:t>Las Colinas jail</w:t>
      </w:r>
      <w:r>
        <w:t xml:space="preserve">.  None of these inmates were </w:t>
      </w:r>
      <w:proofErr w:type="spellStart"/>
      <w:r>
        <w:t>Venie’s</w:t>
      </w:r>
      <w:proofErr w:type="spellEnd"/>
      <w:r>
        <w:t xml:space="preserve"> clients.  </w:t>
      </w:r>
    </w:p>
  </w:footnote>
  <w:footnote w:id="7">
    <w:p w:rsidR="00BC49BC" w:rsidRPr="00B10D98" w:rsidRDefault="00BC49BC" w:rsidP="00F6159D">
      <w:pPr>
        <w:pStyle w:val="FootnoteText"/>
        <w:spacing w:after="120"/>
        <w:rPr>
          <w:b/>
        </w:rPr>
      </w:pPr>
      <w:r>
        <w:rPr>
          <w:rStyle w:val="FootnoteReference"/>
        </w:rPr>
        <w:footnoteRef/>
      </w:r>
      <w:proofErr w:type="spellStart"/>
      <w:r>
        <w:t>Venie</w:t>
      </w:r>
      <w:proofErr w:type="spellEnd"/>
      <w:r>
        <w:t xml:space="preserve"> also claims that the Policy and Procedures of the Sheriff’s Office with respect to delivery of advertising violates the First Amendment, but we decline to make any determination on this claim.  Regardless of his untested belief that the Policy and Procedures are unconstitutional, the focus of our disciplinary concern is his intentional deception. </w:t>
      </w:r>
    </w:p>
  </w:footnote>
  <w:footnote w:id="8">
    <w:p w:rsidR="00BC49BC" w:rsidRDefault="00BC49BC" w:rsidP="00F6159D">
      <w:pPr>
        <w:pStyle w:val="FootnoteText"/>
      </w:pPr>
      <w:r>
        <w:rPr>
          <w:rStyle w:val="FootnoteReference"/>
        </w:rPr>
        <w:footnoteRef/>
      </w:r>
      <w:r>
        <w:t>The letters present a more questionable basis on which to find culpability for a violation of rule 1-400(D)(4).  With two exceptions, they expressly stated on each first page that they were “meant to advertise professional criminal defense service for hire.”  While these statements were set forth in small typeface in footnotes,</w:t>
      </w:r>
      <w:r w:rsidRPr="004A699C">
        <w:t xml:space="preserve"> </w:t>
      </w:r>
      <w:r>
        <w:t xml:space="preserve">we do not find clear and convincing evidence that this presentation was misleading or deceptive.   </w:t>
      </w:r>
    </w:p>
  </w:footnote>
  <w:footnote w:id="9">
    <w:p w:rsidR="00BC49BC" w:rsidRDefault="00BC49BC" w:rsidP="00F6159D">
      <w:pPr>
        <w:pStyle w:val="FootnoteText"/>
        <w:spacing w:after="120"/>
      </w:pPr>
      <w:r>
        <w:rPr>
          <w:rStyle w:val="FootnoteReference"/>
        </w:rPr>
        <w:footnoteRef/>
      </w:r>
      <w:r>
        <w:t xml:space="preserve">Section 6106 provides for </w:t>
      </w:r>
      <w:r w:rsidRPr="00CA3BB2">
        <w:t xml:space="preserve">disbarment or suspension </w:t>
      </w:r>
      <w:r>
        <w:t xml:space="preserve">for the commission of </w:t>
      </w:r>
      <w:r w:rsidRPr="00CA3BB2">
        <w:t xml:space="preserve">any act involving moral turpitude, dishonesty or corruption, whether </w:t>
      </w:r>
      <w:r>
        <w:t xml:space="preserve">or not </w:t>
      </w:r>
      <w:r w:rsidRPr="00CA3BB2">
        <w:t xml:space="preserve">the act is committed in the course of his </w:t>
      </w:r>
      <w:r w:rsidRPr="00737D50">
        <w:t>relations</w:t>
      </w:r>
      <w:r w:rsidRPr="00CA3BB2">
        <w:t xml:space="preserve"> as an attorney</w:t>
      </w:r>
      <w:r>
        <w:t xml:space="preserve">.  </w:t>
      </w:r>
    </w:p>
  </w:footnote>
  <w:footnote w:id="10">
    <w:p w:rsidR="00BC49BC" w:rsidRDefault="00BC49BC" w:rsidP="008C3084">
      <w:pPr>
        <w:pStyle w:val="BodyTextIndent"/>
        <w:spacing w:line="240" w:lineRule="auto"/>
        <w:ind w:left="0" w:right="720" w:firstLine="720"/>
      </w:pPr>
      <w:r>
        <w:rPr>
          <w:rStyle w:val="FootnoteReference"/>
        </w:rPr>
        <w:footnoteRef/>
      </w:r>
      <w:proofErr w:type="spellStart"/>
      <w:r>
        <w:t>Venie’s</w:t>
      </w:r>
      <w:proofErr w:type="spellEnd"/>
      <w:r>
        <w:t xml:space="preserve"> reliance on </w:t>
      </w:r>
      <w:r w:rsidRPr="002A7562">
        <w:rPr>
          <w:i/>
        </w:rPr>
        <w:t>Wolff v. McDonnell</w:t>
      </w:r>
      <w:r>
        <w:t xml:space="preserve"> (1974) 418 U.S. 539 is misplaced.  The </w:t>
      </w:r>
      <w:r w:rsidRPr="005153C3">
        <w:rPr>
          <w:i/>
        </w:rPr>
        <w:t>Wolff</w:t>
      </w:r>
      <w:r>
        <w:t xml:space="preserve"> decision addressed the circumstances under which confidential attorney-client privileged mail (including “legal mail”) may be delivered to inmates and how such mail should be identified to ensure its confidentiality.  The </w:t>
      </w:r>
      <w:r w:rsidRPr="002A7562">
        <w:rPr>
          <w:i/>
        </w:rPr>
        <w:t>Wolff</w:t>
      </w:r>
      <w:r>
        <w:t xml:space="preserve"> decision has no relevance to a determination of whether a letter constitutes a misleading advertisement in violation of rule 1-400 or section 6106. </w:t>
      </w:r>
    </w:p>
  </w:footnote>
  <w:footnote w:id="11">
    <w:p w:rsidR="00BC49BC" w:rsidRDefault="00BC49BC" w:rsidP="0023444D">
      <w:pPr>
        <w:spacing w:line="240" w:lineRule="auto"/>
        <w:ind w:firstLine="720"/>
      </w:pPr>
      <w:r>
        <w:rPr>
          <w:rStyle w:val="FootnoteReference"/>
          <w:rFonts w:eastAsiaTheme="majorEastAsia"/>
        </w:rPr>
        <w:footnoteRef/>
      </w:r>
      <w:proofErr w:type="spellStart"/>
      <w:r>
        <w:t>Venie’s</w:t>
      </w:r>
      <w:proofErr w:type="spellEnd"/>
      <w:r>
        <w:t xml:space="preserve"> official address i</w:t>
      </w:r>
      <w:r w:rsidRPr="00602DD5">
        <w:t xml:space="preserve">s in </w:t>
      </w:r>
      <w:r>
        <w:t>New Mexico</w:t>
      </w:r>
      <w:r w:rsidRPr="00602DD5">
        <w:t xml:space="preserve">.  Rule 290(b) of the Rules of Procedure </w:t>
      </w:r>
      <w:r w:rsidR="009A53D8">
        <w:t xml:space="preserve">of the State Bar </w:t>
      </w:r>
      <w:r w:rsidRPr="00602DD5">
        <w:t xml:space="preserve">provides that if an attorney resides in another jurisdiction and is unable to attend State Bar Ethics School, </w:t>
      </w:r>
      <w:r>
        <w:t>he or she</w:t>
      </w:r>
      <w:r w:rsidRPr="00602DD5">
        <w:t xml:space="preserve"> may seek authorization to attend a comparable remedial education course offered through a certified provider in the other jurisdiction by obtaining the prior approval of the Office of the Chief Trial Counsel of the State Bar of California and final approval of the State Bar Court.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D5F"/>
    <w:multiLevelType w:val="hybridMultilevel"/>
    <w:tmpl w:val="402C3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E10B6"/>
    <w:multiLevelType w:val="hybridMultilevel"/>
    <w:tmpl w:val="71B21FD6"/>
    <w:lvl w:ilvl="0" w:tplc="8F0078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E4FFD"/>
    <w:multiLevelType w:val="hybridMultilevel"/>
    <w:tmpl w:val="3A14A290"/>
    <w:lvl w:ilvl="0" w:tplc="BE2AD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D743D4"/>
    <w:rsid w:val="00001B48"/>
    <w:rsid w:val="00001D4B"/>
    <w:rsid w:val="00004BA6"/>
    <w:rsid w:val="00014A52"/>
    <w:rsid w:val="00026C53"/>
    <w:rsid w:val="000271CC"/>
    <w:rsid w:val="0003092F"/>
    <w:rsid w:val="000321E0"/>
    <w:rsid w:val="000367FE"/>
    <w:rsid w:val="00050757"/>
    <w:rsid w:val="00051B32"/>
    <w:rsid w:val="00052781"/>
    <w:rsid w:val="00056248"/>
    <w:rsid w:val="00060D33"/>
    <w:rsid w:val="00060FAA"/>
    <w:rsid w:val="00061668"/>
    <w:rsid w:val="0008022D"/>
    <w:rsid w:val="00080DC5"/>
    <w:rsid w:val="00081473"/>
    <w:rsid w:val="00083C11"/>
    <w:rsid w:val="00086424"/>
    <w:rsid w:val="000910AC"/>
    <w:rsid w:val="00096BE0"/>
    <w:rsid w:val="000A034A"/>
    <w:rsid w:val="000A21FD"/>
    <w:rsid w:val="000A3B5B"/>
    <w:rsid w:val="000B6842"/>
    <w:rsid w:val="000B79EB"/>
    <w:rsid w:val="000B7FE2"/>
    <w:rsid w:val="000C00BD"/>
    <w:rsid w:val="000E521F"/>
    <w:rsid w:val="000F0F74"/>
    <w:rsid w:val="0010134A"/>
    <w:rsid w:val="001013D0"/>
    <w:rsid w:val="0010276C"/>
    <w:rsid w:val="001100DD"/>
    <w:rsid w:val="00110BF3"/>
    <w:rsid w:val="00114AFE"/>
    <w:rsid w:val="00114E59"/>
    <w:rsid w:val="00122BE1"/>
    <w:rsid w:val="0013637D"/>
    <w:rsid w:val="00150B57"/>
    <w:rsid w:val="00150EF9"/>
    <w:rsid w:val="001535F5"/>
    <w:rsid w:val="00154004"/>
    <w:rsid w:val="0015628A"/>
    <w:rsid w:val="00162374"/>
    <w:rsid w:val="001652AA"/>
    <w:rsid w:val="00170F9D"/>
    <w:rsid w:val="001711C0"/>
    <w:rsid w:val="0017653E"/>
    <w:rsid w:val="00176848"/>
    <w:rsid w:val="0018718F"/>
    <w:rsid w:val="0018793E"/>
    <w:rsid w:val="00190771"/>
    <w:rsid w:val="001A4000"/>
    <w:rsid w:val="001A6A5A"/>
    <w:rsid w:val="001B40A2"/>
    <w:rsid w:val="001B4BB0"/>
    <w:rsid w:val="001B5DEC"/>
    <w:rsid w:val="001B6001"/>
    <w:rsid w:val="001B6493"/>
    <w:rsid w:val="001C5319"/>
    <w:rsid w:val="001C5653"/>
    <w:rsid w:val="001F6DDA"/>
    <w:rsid w:val="00202971"/>
    <w:rsid w:val="00202D33"/>
    <w:rsid w:val="002054F4"/>
    <w:rsid w:val="00207FCE"/>
    <w:rsid w:val="00211743"/>
    <w:rsid w:val="0022396B"/>
    <w:rsid w:val="002242E1"/>
    <w:rsid w:val="0022511C"/>
    <w:rsid w:val="00227A4C"/>
    <w:rsid w:val="002338DE"/>
    <w:rsid w:val="0023444D"/>
    <w:rsid w:val="00237D77"/>
    <w:rsid w:val="00247F91"/>
    <w:rsid w:val="00255C02"/>
    <w:rsid w:val="0026123C"/>
    <w:rsid w:val="00263D17"/>
    <w:rsid w:val="002745E8"/>
    <w:rsid w:val="00276C5F"/>
    <w:rsid w:val="00282B50"/>
    <w:rsid w:val="00285EAC"/>
    <w:rsid w:val="00293A3C"/>
    <w:rsid w:val="00293E84"/>
    <w:rsid w:val="002962D4"/>
    <w:rsid w:val="002A1C5B"/>
    <w:rsid w:val="002A25D7"/>
    <w:rsid w:val="002A7562"/>
    <w:rsid w:val="002B10A8"/>
    <w:rsid w:val="002B1BC0"/>
    <w:rsid w:val="002B264B"/>
    <w:rsid w:val="002B5920"/>
    <w:rsid w:val="002C0233"/>
    <w:rsid w:val="002C17D4"/>
    <w:rsid w:val="002C3942"/>
    <w:rsid w:val="002E14A4"/>
    <w:rsid w:val="002E3771"/>
    <w:rsid w:val="002E7623"/>
    <w:rsid w:val="003019DB"/>
    <w:rsid w:val="003123BE"/>
    <w:rsid w:val="00317559"/>
    <w:rsid w:val="0032305F"/>
    <w:rsid w:val="00327459"/>
    <w:rsid w:val="00327E2A"/>
    <w:rsid w:val="00331D85"/>
    <w:rsid w:val="00333416"/>
    <w:rsid w:val="00334DA4"/>
    <w:rsid w:val="00342EA8"/>
    <w:rsid w:val="0034698E"/>
    <w:rsid w:val="00353785"/>
    <w:rsid w:val="003608A2"/>
    <w:rsid w:val="00361EA9"/>
    <w:rsid w:val="00370A7E"/>
    <w:rsid w:val="003759D4"/>
    <w:rsid w:val="00382C53"/>
    <w:rsid w:val="003851FE"/>
    <w:rsid w:val="00385484"/>
    <w:rsid w:val="00391494"/>
    <w:rsid w:val="00392908"/>
    <w:rsid w:val="00393577"/>
    <w:rsid w:val="003A0638"/>
    <w:rsid w:val="003A1323"/>
    <w:rsid w:val="003A2336"/>
    <w:rsid w:val="003A4AF9"/>
    <w:rsid w:val="003A7931"/>
    <w:rsid w:val="003B46EE"/>
    <w:rsid w:val="003B4965"/>
    <w:rsid w:val="003B51A4"/>
    <w:rsid w:val="003C6370"/>
    <w:rsid w:val="003C650F"/>
    <w:rsid w:val="003D0144"/>
    <w:rsid w:val="003E1349"/>
    <w:rsid w:val="003E3172"/>
    <w:rsid w:val="003E3D84"/>
    <w:rsid w:val="003E4315"/>
    <w:rsid w:val="0040177C"/>
    <w:rsid w:val="004031E0"/>
    <w:rsid w:val="00403A7E"/>
    <w:rsid w:val="00407976"/>
    <w:rsid w:val="00411BD5"/>
    <w:rsid w:val="00413D07"/>
    <w:rsid w:val="0042376C"/>
    <w:rsid w:val="00423A15"/>
    <w:rsid w:val="00423B10"/>
    <w:rsid w:val="00424409"/>
    <w:rsid w:val="004310E7"/>
    <w:rsid w:val="00435EDA"/>
    <w:rsid w:val="00436E9E"/>
    <w:rsid w:val="00440332"/>
    <w:rsid w:val="00452DB6"/>
    <w:rsid w:val="00453072"/>
    <w:rsid w:val="00462C08"/>
    <w:rsid w:val="004630CF"/>
    <w:rsid w:val="00470848"/>
    <w:rsid w:val="00470E4C"/>
    <w:rsid w:val="00477292"/>
    <w:rsid w:val="0048126D"/>
    <w:rsid w:val="00492113"/>
    <w:rsid w:val="004927C6"/>
    <w:rsid w:val="00492905"/>
    <w:rsid w:val="00495595"/>
    <w:rsid w:val="004958E2"/>
    <w:rsid w:val="00497A94"/>
    <w:rsid w:val="004A699C"/>
    <w:rsid w:val="004B0560"/>
    <w:rsid w:val="004D1062"/>
    <w:rsid w:val="004D4245"/>
    <w:rsid w:val="004D7CDF"/>
    <w:rsid w:val="004F2C20"/>
    <w:rsid w:val="005032A1"/>
    <w:rsid w:val="005038C3"/>
    <w:rsid w:val="00505128"/>
    <w:rsid w:val="00510677"/>
    <w:rsid w:val="005119D8"/>
    <w:rsid w:val="00513391"/>
    <w:rsid w:val="0051500E"/>
    <w:rsid w:val="005153C3"/>
    <w:rsid w:val="00517E74"/>
    <w:rsid w:val="00523016"/>
    <w:rsid w:val="005264F8"/>
    <w:rsid w:val="00530E2F"/>
    <w:rsid w:val="0053138B"/>
    <w:rsid w:val="00541D15"/>
    <w:rsid w:val="00542EEC"/>
    <w:rsid w:val="005443D3"/>
    <w:rsid w:val="00547AF4"/>
    <w:rsid w:val="005520AE"/>
    <w:rsid w:val="0056663F"/>
    <w:rsid w:val="00573956"/>
    <w:rsid w:val="0057623C"/>
    <w:rsid w:val="005903C4"/>
    <w:rsid w:val="00595C98"/>
    <w:rsid w:val="005A3015"/>
    <w:rsid w:val="005A362C"/>
    <w:rsid w:val="005B1CA9"/>
    <w:rsid w:val="005B3FB6"/>
    <w:rsid w:val="005C41A6"/>
    <w:rsid w:val="005C7109"/>
    <w:rsid w:val="005D4322"/>
    <w:rsid w:val="005D6D6F"/>
    <w:rsid w:val="005E43B6"/>
    <w:rsid w:val="005E6AE7"/>
    <w:rsid w:val="005F1A58"/>
    <w:rsid w:val="00601762"/>
    <w:rsid w:val="00610FA3"/>
    <w:rsid w:val="0061282A"/>
    <w:rsid w:val="00615EAB"/>
    <w:rsid w:val="006278C7"/>
    <w:rsid w:val="006406E7"/>
    <w:rsid w:val="00641660"/>
    <w:rsid w:val="0064700E"/>
    <w:rsid w:val="006506B3"/>
    <w:rsid w:val="006524C7"/>
    <w:rsid w:val="00655C54"/>
    <w:rsid w:val="006637F8"/>
    <w:rsid w:val="00663970"/>
    <w:rsid w:val="006652BB"/>
    <w:rsid w:val="00667969"/>
    <w:rsid w:val="006812CA"/>
    <w:rsid w:val="0068453D"/>
    <w:rsid w:val="00686A43"/>
    <w:rsid w:val="00690DFC"/>
    <w:rsid w:val="00691D9B"/>
    <w:rsid w:val="00692B49"/>
    <w:rsid w:val="006A262B"/>
    <w:rsid w:val="006A69E2"/>
    <w:rsid w:val="006A6C13"/>
    <w:rsid w:val="006C16D9"/>
    <w:rsid w:val="006C296F"/>
    <w:rsid w:val="006C3AA0"/>
    <w:rsid w:val="006D1DDF"/>
    <w:rsid w:val="006D31CD"/>
    <w:rsid w:val="006D4A49"/>
    <w:rsid w:val="006D558B"/>
    <w:rsid w:val="006D62F8"/>
    <w:rsid w:val="006E3BB4"/>
    <w:rsid w:val="006E69AF"/>
    <w:rsid w:val="006E73FE"/>
    <w:rsid w:val="006F08E1"/>
    <w:rsid w:val="006F70E1"/>
    <w:rsid w:val="00702AA9"/>
    <w:rsid w:val="00702FD0"/>
    <w:rsid w:val="0070414E"/>
    <w:rsid w:val="00705117"/>
    <w:rsid w:val="00716122"/>
    <w:rsid w:val="00721BEF"/>
    <w:rsid w:val="00726FE6"/>
    <w:rsid w:val="007306C3"/>
    <w:rsid w:val="00733F23"/>
    <w:rsid w:val="00737D50"/>
    <w:rsid w:val="007444A4"/>
    <w:rsid w:val="007446DD"/>
    <w:rsid w:val="0074598B"/>
    <w:rsid w:val="00751049"/>
    <w:rsid w:val="00751A21"/>
    <w:rsid w:val="00753956"/>
    <w:rsid w:val="0075432A"/>
    <w:rsid w:val="0075654D"/>
    <w:rsid w:val="007566B2"/>
    <w:rsid w:val="007623D7"/>
    <w:rsid w:val="00762D35"/>
    <w:rsid w:val="007642B9"/>
    <w:rsid w:val="00774737"/>
    <w:rsid w:val="007768C9"/>
    <w:rsid w:val="00782004"/>
    <w:rsid w:val="00783AF1"/>
    <w:rsid w:val="007879C6"/>
    <w:rsid w:val="007927FB"/>
    <w:rsid w:val="00794B52"/>
    <w:rsid w:val="007A4D62"/>
    <w:rsid w:val="007B2351"/>
    <w:rsid w:val="007B5DEB"/>
    <w:rsid w:val="007C0BD7"/>
    <w:rsid w:val="007C401C"/>
    <w:rsid w:val="007C4D0F"/>
    <w:rsid w:val="007C54D7"/>
    <w:rsid w:val="007C5CA0"/>
    <w:rsid w:val="007E4FEB"/>
    <w:rsid w:val="007E7491"/>
    <w:rsid w:val="007F537A"/>
    <w:rsid w:val="007F554E"/>
    <w:rsid w:val="007F6144"/>
    <w:rsid w:val="0080484D"/>
    <w:rsid w:val="0080517E"/>
    <w:rsid w:val="00806273"/>
    <w:rsid w:val="00812708"/>
    <w:rsid w:val="00815251"/>
    <w:rsid w:val="008156A1"/>
    <w:rsid w:val="00821512"/>
    <w:rsid w:val="00821930"/>
    <w:rsid w:val="0083358B"/>
    <w:rsid w:val="00833695"/>
    <w:rsid w:val="00833B6E"/>
    <w:rsid w:val="00835F54"/>
    <w:rsid w:val="008378AE"/>
    <w:rsid w:val="00846AEE"/>
    <w:rsid w:val="008602C8"/>
    <w:rsid w:val="00872089"/>
    <w:rsid w:val="00873829"/>
    <w:rsid w:val="00877583"/>
    <w:rsid w:val="00883B61"/>
    <w:rsid w:val="00885550"/>
    <w:rsid w:val="00891EE0"/>
    <w:rsid w:val="008A154E"/>
    <w:rsid w:val="008A361C"/>
    <w:rsid w:val="008A701F"/>
    <w:rsid w:val="008B1231"/>
    <w:rsid w:val="008B5EC9"/>
    <w:rsid w:val="008B708F"/>
    <w:rsid w:val="008C3084"/>
    <w:rsid w:val="008C51CE"/>
    <w:rsid w:val="008C71D7"/>
    <w:rsid w:val="008D005F"/>
    <w:rsid w:val="008D4366"/>
    <w:rsid w:val="008E073C"/>
    <w:rsid w:val="008E32BC"/>
    <w:rsid w:val="008E3541"/>
    <w:rsid w:val="008E4725"/>
    <w:rsid w:val="008F4C5B"/>
    <w:rsid w:val="00906E9D"/>
    <w:rsid w:val="00913CB4"/>
    <w:rsid w:val="00914120"/>
    <w:rsid w:val="00915DFF"/>
    <w:rsid w:val="0092010F"/>
    <w:rsid w:val="009202DA"/>
    <w:rsid w:val="009216E0"/>
    <w:rsid w:val="00935523"/>
    <w:rsid w:val="00943631"/>
    <w:rsid w:val="00943692"/>
    <w:rsid w:val="0094539B"/>
    <w:rsid w:val="00946046"/>
    <w:rsid w:val="00957B32"/>
    <w:rsid w:val="0097193A"/>
    <w:rsid w:val="00972BCD"/>
    <w:rsid w:val="00975FFC"/>
    <w:rsid w:val="0097724D"/>
    <w:rsid w:val="00980565"/>
    <w:rsid w:val="009914C1"/>
    <w:rsid w:val="009950EC"/>
    <w:rsid w:val="00995C07"/>
    <w:rsid w:val="009A23FC"/>
    <w:rsid w:val="009A2432"/>
    <w:rsid w:val="009A41B2"/>
    <w:rsid w:val="009A53D8"/>
    <w:rsid w:val="009B3A2B"/>
    <w:rsid w:val="009C08BA"/>
    <w:rsid w:val="009C3651"/>
    <w:rsid w:val="009C3A7A"/>
    <w:rsid w:val="009D13FB"/>
    <w:rsid w:val="009D16CF"/>
    <w:rsid w:val="009E2482"/>
    <w:rsid w:val="009E3081"/>
    <w:rsid w:val="00A0033D"/>
    <w:rsid w:val="00A0068D"/>
    <w:rsid w:val="00A07497"/>
    <w:rsid w:val="00A2746D"/>
    <w:rsid w:val="00A30779"/>
    <w:rsid w:val="00A417DA"/>
    <w:rsid w:val="00A41F4E"/>
    <w:rsid w:val="00A55F8B"/>
    <w:rsid w:val="00A62763"/>
    <w:rsid w:val="00A66F64"/>
    <w:rsid w:val="00A708D5"/>
    <w:rsid w:val="00A71006"/>
    <w:rsid w:val="00A72554"/>
    <w:rsid w:val="00A72E6C"/>
    <w:rsid w:val="00A77C46"/>
    <w:rsid w:val="00A800FF"/>
    <w:rsid w:val="00A847DB"/>
    <w:rsid w:val="00A84A3D"/>
    <w:rsid w:val="00A851A0"/>
    <w:rsid w:val="00A875AB"/>
    <w:rsid w:val="00A97CBA"/>
    <w:rsid w:val="00AB05B3"/>
    <w:rsid w:val="00AB17E7"/>
    <w:rsid w:val="00AB2927"/>
    <w:rsid w:val="00AB2A4E"/>
    <w:rsid w:val="00AB5D80"/>
    <w:rsid w:val="00AC05F8"/>
    <w:rsid w:val="00AC7EE3"/>
    <w:rsid w:val="00AD3508"/>
    <w:rsid w:val="00AD3D4A"/>
    <w:rsid w:val="00AE253D"/>
    <w:rsid w:val="00AE38B8"/>
    <w:rsid w:val="00AE5D6F"/>
    <w:rsid w:val="00AF39DE"/>
    <w:rsid w:val="00AF4C40"/>
    <w:rsid w:val="00AF604C"/>
    <w:rsid w:val="00AF67A6"/>
    <w:rsid w:val="00B00132"/>
    <w:rsid w:val="00B06B36"/>
    <w:rsid w:val="00B10D98"/>
    <w:rsid w:val="00B1288A"/>
    <w:rsid w:val="00B15221"/>
    <w:rsid w:val="00B17F17"/>
    <w:rsid w:val="00B20581"/>
    <w:rsid w:val="00B3250F"/>
    <w:rsid w:val="00B32B26"/>
    <w:rsid w:val="00B36E72"/>
    <w:rsid w:val="00B421AC"/>
    <w:rsid w:val="00B539FD"/>
    <w:rsid w:val="00B57FF3"/>
    <w:rsid w:val="00B64A7C"/>
    <w:rsid w:val="00B650D6"/>
    <w:rsid w:val="00B65A6F"/>
    <w:rsid w:val="00B6696D"/>
    <w:rsid w:val="00B72AEC"/>
    <w:rsid w:val="00B74DE3"/>
    <w:rsid w:val="00B92324"/>
    <w:rsid w:val="00B92689"/>
    <w:rsid w:val="00BC49BC"/>
    <w:rsid w:val="00BC64A9"/>
    <w:rsid w:val="00BD1B5D"/>
    <w:rsid w:val="00BD3BF9"/>
    <w:rsid w:val="00BD61B6"/>
    <w:rsid w:val="00BD6A6B"/>
    <w:rsid w:val="00BD74A8"/>
    <w:rsid w:val="00BE2A57"/>
    <w:rsid w:val="00BF140D"/>
    <w:rsid w:val="00BF1F9B"/>
    <w:rsid w:val="00BF51C3"/>
    <w:rsid w:val="00C070D0"/>
    <w:rsid w:val="00C11CC8"/>
    <w:rsid w:val="00C12AF0"/>
    <w:rsid w:val="00C17B13"/>
    <w:rsid w:val="00C22692"/>
    <w:rsid w:val="00C234B3"/>
    <w:rsid w:val="00C2402F"/>
    <w:rsid w:val="00C241DF"/>
    <w:rsid w:val="00C27BAC"/>
    <w:rsid w:val="00C374AD"/>
    <w:rsid w:val="00C41FBF"/>
    <w:rsid w:val="00C4323A"/>
    <w:rsid w:val="00C4377F"/>
    <w:rsid w:val="00C4380C"/>
    <w:rsid w:val="00C46870"/>
    <w:rsid w:val="00C51DAC"/>
    <w:rsid w:val="00C614A8"/>
    <w:rsid w:val="00C67800"/>
    <w:rsid w:val="00C67DDE"/>
    <w:rsid w:val="00C80E87"/>
    <w:rsid w:val="00C87253"/>
    <w:rsid w:val="00C95806"/>
    <w:rsid w:val="00C96210"/>
    <w:rsid w:val="00CA24DC"/>
    <w:rsid w:val="00CB086F"/>
    <w:rsid w:val="00CB2C72"/>
    <w:rsid w:val="00CB3E86"/>
    <w:rsid w:val="00CB583B"/>
    <w:rsid w:val="00CB6699"/>
    <w:rsid w:val="00CD1B56"/>
    <w:rsid w:val="00CD4AF1"/>
    <w:rsid w:val="00CD58BB"/>
    <w:rsid w:val="00CD6B3C"/>
    <w:rsid w:val="00CE1C7E"/>
    <w:rsid w:val="00CE7EAE"/>
    <w:rsid w:val="00CF3F13"/>
    <w:rsid w:val="00CF63ED"/>
    <w:rsid w:val="00CF64DA"/>
    <w:rsid w:val="00D03AFC"/>
    <w:rsid w:val="00D062AE"/>
    <w:rsid w:val="00D13EB4"/>
    <w:rsid w:val="00D150B0"/>
    <w:rsid w:val="00D26AB5"/>
    <w:rsid w:val="00D27129"/>
    <w:rsid w:val="00D35DD4"/>
    <w:rsid w:val="00D36BDC"/>
    <w:rsid w:val="00D4143E"/>
    <w:rsid w:val="00D43D1C"/>
    <w:rsid w:val="00D455E4"/>
    <w:rsid w:val="00D465B3"/>
    <w:rsid w:val="00D51A04"/>
    <w:rsid w:val="00D531A4"/>
    <w:rsid w:val="00D57AD0"/>
    <w:rsid w:val="00D704E4"/>
    <w:rsid w:val="00D743D4"/>
    <w:rsid w:val="00D84B0A"/>
    <w:rsid w:val="00D870A4"/>
    <w:rsid w:val="00D91225"/>
    <w:rsid w:val="00D919E7"/>
    <w:rsid w:val="00DA0319"/>
    <w:rsid w:val="00DA3918"/>
    <w:rsid w:val="00DA7E14"/>
    <w:rsid w:val="00DB6D15"/>
    <w:rsid w:val="00DC0D07"/>
    <w:rsid w:val="00DC2902"/>
    <w:rsid w:val="00DC7A67"/>
    <w:rsid w:val="00DD1F9A"/>
    <w:rsid w:val="00DF08FF"/>
    <w:rsid w:val="00E00A12"/>
    <w:rsid w:val="00E071FB"/>
    <w:rsid w:val="00E13DFC"/>
    <w:rsid w:val="00E20835"/>
    <w:rsid w:val="00E26EE5"/>
    <w:rsid w:val="00E2791B"/>
    <w:rsid w:val="00E306AB"/>
    <w:rsid w:val="00E30EB9"/>
    <w:rsid w:val="00E3504A"/>
    <w:rsid w:val="00E41354"/>
    <w:rsid w:val="00E426F2"/>
    <w:rsid w:val="00E61AF8"/>
    <w:rsid w:val="00E64CE8"/>
    <w:rsid w:val="00E72D7C"/>
    <w:rsid w:val="00E81D6C"/>
    <w:rsid w:val="00E82FE7"/>
    <w:rsid w:val="00E8736D"/>
    <w:rsid w:val="00E96445"/>
    <w:rsid w:val="00EA2748"/>
    <w:rsid w:val="00EA3BAC"/>
    <w:rsid w:val="00EA4090"/>
    <w:rsid w:val="00EA520C"/>
    <w:rsid w:val="00EA553D"/>
    <w:rsid w:val="00EB37A5"/>
    <w:rsid w:val="00EB7E8D"/>
    <w:rsid w:val="00EC04AB"/>
    <w:rsid w:val="00EC06D8"/>
    <w:rsid w:val="00EC2CC1"/>
    <w:rsid w:val="00EC2D62"/>
    <w:rsid w:val="00EC4A1B"/>
    <w:rsid w:val="00EC729D"/>
    <w:rsid w:val="00ED4DB8"/>
    <w:rsid w:val="00EE3BCB"/>
    <w:rsid w:val="00EE43D0"/>
    <w:rsid w:val="00EE4E7F"/>
    <w:rsid w:val="00EE6223"/>
    <w:rsid w:val="00EE68F9"/>
    <w:rsid w:val="00EE725B"/>
    <w:rsid w:val="00EE7D7C"/>
    <w:rsid w:val="00EF05A2"/>
    <w:rsid w:val="00EF0D43"/>
    <w:rsid w:val="00EF2E59"/>
    <w:rsid w:val="00EF5AD7"/>
    <w:rsid w:val="00EF6E36"/>
    <w:rsid w:val="00F00288"/>
    <w:rsid w:val="00F00899"/>
    <w:rsid w:val="00F0430B"/>
    <w:rsid w:val="00F06342"/>
    <w:rsid w:val="00F07966"/>
    <w:rsid w:val="00F20A07"/>
    <w:rsid w:val="00F2525A"/>
    <w:rsid w:val="00F30D97"/>
    <w:rsid w:val="00F37005"/>
    <w:rsid w:val="00F42CE2"/>
    <w:rsid w:val="00F43426"/>
    <w:rsid w:val="00F44818"/>
    <w:rsid w:val="00F46D99"/>
    <w:rsid w:val="00F51B9F"/>
    <w:rsid w:val="00F5356F"/>
    <w:rsid w:val="00F613FE"/>
    <w:rsid w:val="00F6159D"/>
    <w:rsid w:val="00F7171C"/>
    <w:rsid w:val="00F73030"/>
    <w:rsid w:val="00F745A0"/>
    <w:rsid w:val="00F772BD"/>
    <w:rsid w:val="00F81073"/>
    <w:rsid w:val="00FA0E11"/>
    <w:rsid w:val="00FA0EA2"/>
    <w:rsid w:val="00FA4543"/>
    <w:rsid w:val="00FB1FFB"/>
    <w:rsid w:val="00FB6293"/>
    <w:rsid w:val="00FC39A5"/>
    <w:rsid w:val="00FC710A"/>
    <w:rsid w:val="00FD0438"/>
    <w:rsid w:val="00FD43A6"/>
    <w:rsid w:val="00FE0BEB"/>
    <w:rsid w:val="00FF2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F6159D"/>
    <w:pPr>
      <w:keepLines/>
      <w:spacing w:line="240" w:lineRule="auto"/>
      <w:ind w:firstLine="720"/>
    </w:pPr>
  </w:style>
  <w:style w:type="character" w:customStyle="1" w:styleId="FootnoteTextChar">
    <w:name w:val="Footnote Text Char"/>
    <w:basedOn w:val="DefaultParagraphFont"/>
    <w:link w:val="FootnoteText"/>
    <w:rsid w:val="00F6159D"/>
  </w:style>
  <w:style w:type="paragraph" w:customStyle="1" w:styleId="Footnote">
    <w:name w:val="Footnote"/>
    <w:basedOn w:val="Normal"/>
    <w:link w:val="FootnoteChar"/>
    <w:autoRedefine/>
    <w:qFormat/>
    <w:rsid w:val="00497A94"/>
    <w:pPr>
      <w:spacing w:after="120" w:line="240" w:lineRule="auto"/>
    </w:pPr>
    <w:rPr>
      <w:rFonts w:cstheme="minorBidi"/>
      <w:b/>
    </w:rPr>
  </w:style>
  <w:style w:type="character" w:customStyle="1" w:styleId="FootnoteChar">
    <w:name w:val="Footnote Char"/>
    <w:basedOn w:val="DefaultParagraphFont"/>
    <w:link w:val="Footnote"/>
    <w:rsid w:val="00497A94"/>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783AF1"/>
    <w:rPr>
      <w:vertAlign w:val="superscript"/>
    </w:rPr>
  </w:style>
  <w:style w:type="paragraph" w:styleId="Header">
    <w:name w:val="header"/>
    <w:basedOn w:val="Normal"/>
    <w:link w:val="HeaderChar"/>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BodyTextIndent">
    <w:name w:val="Body Text Indent"/>
    <w:basedOn w:val="Normal"/>
    <w:link w:val="BodyTextIndentChar"/>
    <w:semiHidden/>
    <w:rsid w:val="007642B9"/>
    <w:pPr>
      <w:ind w:left="360"/>
    </w:pPr>
  </w:style>
  <w:style w:type="character" w:customStyle="1" w:styleId="BodyTextIndentChar">
    <w:name w:val="Body Text Indent Char"/>
    <w:basedOn w:val="DefaultParagraphFont"/>
    <w:link w:val="BodyTextIndent"/>
    <w:semiHidden/>
    <w:rsid w:val="007642B9"/>
  </w:style>
  <w:style w:type="paragraph" w:styleId="ListParagraph">
    <w:name w:val="List Paragraph"/>
    <w:basedOn w:val="Normal"/>
    <w:uiPriority w:val="99"/>
    <w:qFormat/>
    <w:rsid w:val="0023444D"/>
    <w:pPr>
      <w:ind w:left="720"/>
    </w:pPr>
  </w:style>
  <w:style w:type="paragraph" w:styleId="BalloonText">
    <w:name w:val="Balloon Text"/>
    <w:basedOn w:val="Normal"/>
    <w:link w:val="BalloonTextChar"/>
    <w:uiPriority w:val="99"/>
    <w:semiHidden/>
    <w:unhideWhenUsed/>
    <w:rsid w:val="00255C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613F-6786-418B-8E31-D2F7BC44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1</TotalTime>
  <Pages>14</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Mina Ruiz</cp:lastModifiedBy>
  <cp:revision>3</cp:revision>
  <cp:lastPrinted>2010-06-30T20:40:00Z</cp:lastPrinted>
  <dcterms:created xsi:type="dcterms:W3CDTF">2010-08-09T22:39:00Z</dcterms:created>
  <dcterms:modified xsi:type="dcterms:W3CDTF">2010-08-13T23:15:00Z</dcterms:modified>
</cp:coreProperties>
</file>