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DA" w:rsidRPr="00CB2A15" w:rsidRDefault="00CB2A15" w:rsidP="00CB2A15">
      <w:pPr>
        <w:jc w:val="right"/>
        <w:rPr>
          <w:b/>
          <w:sz w:val="36"/>
        </w:rPr>
      </w:pPr>
      <w:r w:rsidRPr="00CB2A15">
        <w:rPr>
          <w:b/>
        </w:rPr>
        <w:t>FILED OCTOBER 13, 2009</w:t>
      </w:r>
    </w:p>
    <w:p w:rsidR="00B775D1" w:rsidRDefault="00B775D1"/>
    <w:p w:rsidR="003259DA" w:rsidRDefault="003259DA"/>
    <w:p w:rsidR="003259DA" w:rsidRDefault="003259DA"/>
    <w:p w:rsidR="003259DA" w:rsidRDefault="003259DA"/>
    <w:p w:rsidR="003259DA" w:rsidRDefault="003259DA"/>
    <w:p w:rsidR="003259DA" w:rsidRDefault="003259DA">
      <w:pPr>
        <w:pStyle w:val="Heading1"/>
      </w:pPr>
      <w:r>
        <w:t>STATE BAR COURT OF CALIFORNIA</w:t>
      </w:r>
    </w:p>
    <w:p w:rsidR="003259DA" w:rsidRDefault="003259DA">
      <w:pPr>
        <w:spacing w:line="480" w:lineRule="auto"/>
        <w:jc w:val="center"/>
        <w:rPr>
          <w:b/>
          <w:bCs/>
        </w:rPr>
      </w:pPr>
      <w:r>
        <w:rPr>
          <w:b/>
          <w:bCs/>
        </w:rPr>
        <w:t xml:space="preserve">HEARING DEPARTMENT – </w:t>
      </w:r>
      <w:bookmarkStart w:id="0" w:name="venue"/>
      <w:bookmarkEnd w:id="0"/>
      <w:r w:rsidR="007B3AEE">
        <w:rPr>
          <w:b/>
          <w:bCs/>
        </w:rPr>
        <w:t>LOS ANGELES</w:t>
      </w:r>
    </w:p>
    <w:p w:rsidR="003259DA" w:rsidRDefault="003259DA">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259DA">
        <w:tblPrEx>
          <w:tblCellMar>
            <w:top w:w="0" w:type="dxa"/>
            <w:bottom w:w="0" w:type="dxa"/>
          </w:tblCellMar>
        </w:tblPrEx>
        <w:trPr>
          <w:cantSplit/>
          <w:trHeight w:val="462"/>
        </w:trPr>
        <w:tc>
          <w:tcPr>
            <w:tcW w:w="4378" w:type="dxa"/>
            <w:vMerge w:val="restart"/>
          </w:tcPr>
          <w:p w:rsidR="003259DA" w:rsidRDefault="003259DA">
            <w:r>
              <w:t>In the Matter of</w:t>
            </w:r>
          </w:p>
          <w:p w:rsidR="003259DA" w:rsidRDefault="003259DA">
            <w:pPr>
              <w:rPr>
                <w:b/>
                <w:bCs/>
              </w:rPr>
            </w:pPr>
          </w:p>
          <w:p w:rsidR="003259DA" w:rsidRDefault="00B775D1">
            <w:pPr>
              <w:rPr>
                <w:b/>
                <w:bCs/>
              </w:rPr>
            </w:pPr>
            <w:bookmarkStart w:id="1" w:name="resp"/>
            <w:bookmarkEnd w:id="1"/>
            <w:r>
              <w:rPr>
                <w:b/>
                <w:bCs/>
              </w:rPr>
              <w:t>ROBERT DUANE GEORGE</w:t>
            </w:r>
            <w:r w:rsidR="003259DA">
              <w:rPr>
                <w:b/>
                <w:bCs/>
              </w:rPr>
              <w:t>,</w:t>
            </w:r>
          </w:p>
          <w:p w:rsidR="003259DA" w:rsidRDefault="003259DA">
            <w:pPr>
              <w:rPr>
                <w:b/>
                <w:bCs/>
              </w:rPr>
            </w:pPr>
          </w:p>
          <w:p w:rsidR="003259DA" w:rsidRDefault="003259DA">
            <w:pPr>
              <w:rPr>
                <w:b/>
                <w:bCs/>
              </w:rPr>
            </w:pPr>
            <w:r>
              <w:rPr>
                <w:b/>
                <w:bCs/>
              </w:rPr>
              <w:t xml:space="preserve">Member No.  </w:t>
            </w:r>
            <w:bookmarkStart w:id="2" w:name="member"/>
            <w:bookmarkEnd w:id="2"/>
            <w:r w:rsidR="00B775D1">
              <w:rPr>
                <w:b/>
                <w:bCs/>
              </w:rPr>
              <w:t>185306</w:t>
            </w:r>
            <w:r>
              <w:rPr>
                <w:b/>
                <w:bCs/>
              </w:rPr>
              <w:t>,</w:t>
            </w:r>
          </w:p>
          <w:p w:rsidR="003259DA" w:rsidRDefault="003259DA">
            <w:pPr>
              <w:rPr>
                <w:b/>
                <w:bCs/>
              </w:rPr>
            </w:pPr>
          </w:p>
          <w:p w:rsidR="003259DA" w:rsidRDefault="003259DA">
            <w:bookmarkStart w:id="3" w:name="type"/>
            <w:bookmarkEnd w:id="3"/>
            <w:r>
              <w:t>A Member of the State Bar.</w:t>
            </w:r>
          </w:p>
        </w:tc>
        <w:tc>
          <w:tcPr>
            <w:tcW w:w="182" w:type="dxa"/>
            <w:vMerge w:val="restart"/>
            <w:tcBorders>
              <w:bottom w:val="nil"/>
            </w:tcBorders>
          </w:tcPr>
          <w:p w:rsidR="003259DA" w:rsidRDefault="003259DA">
            <w:pPr>
              <w:rPr>
                <w:b/>
                <w:bCs/>
              </w:rPr>
            </w:pPr>
            <w:r>
              <w:rPr>
                <w:b/>
                <w:bCs/>
              </w:rPr>
              <w:t>)</w:t>
            </w:r>
          </w:p>
          <w:p w:rsidR="003259DA" w:rsidRDefault="003259DA">
            <w:pPr>
              <w:rPr>
                <w:b/>
                <w:bCs/>
              </w:rPr>
            </w:pPr>
            <w:r>
              <w:rPr>
                <w:b/>
                <w:bCs/>
              </w:rPr>
              <w:t>)</w:t>
            </w:r>
          </w:p>
          <w:p w:rsidR="003259DA" w:rsidRDefault="003259DA">
            <w:pPr>
              <w:rPr>
                <w:b/>
                <w:bCs/>
              </w:rPr>
            </w:pPr>
            <w:r>
              <w:rPr>
                <w:b/>
                <w:bCs/>
              </w:rPr>
              <w:t>)</w:t>
            </w:r>
          </w:p>
          <w:p w:rsidR="003259DA" w:rsidRDefault="003259DA">
            <w:pPr>
              <w:rPr>
                <w:b/>
                <w:bCs/>
              </w:rPr>
            </w:pPr>
            <w:r>
              <w:rPr>
                <w:b/>
                <w:bCs/>
              </w:rPr>
              <w:t>)</w:t>
            </w:r>
          </w:p>
          <w:p w:rsidR="003259DA" w:rsidRDefault="003259DA">
            <w:pPr>
              <w:rPr>
                <w:b/>
                <w:bCs/>
              </w:rPr>
            </w:pPr>
            <w:r>
              <w:rPr>
                <w:b/>
                <w:bCs/>
              </w:rPr>
              <w:t>)</w:t>
            </w:r>
          </w:p>
          <w:p w:rsidR="003259DA" w:rsidRDefault="003259DA">
            <w:pPr>
              <w:rPr>
                <w:b/>
                <w:bCs/>
              </w:rPr>
            </w:pPr>
            <w:r>
              <w:rPr>
                <w:b/>
                <w:bCs/>
              </w:rPr>
              <w:t>)</w:t>
            </w:r>
          </w:p>
          <w:p w:rsidR="003259DA" w:rsidRDefault="003259DA">
            <w:pPr>
              <w:rPr>
                <w:b/>
                <w:bCs/>
              </w:rPr>
            </w:pPr>
            <w:r>
              <w:rPr>
                <w:b/>
                <w:bCs/>
              </w:rPr>
              <w:t>)</w:t>
            </w:r>
          </w:p>
        </w:tc>
        <w:tc>
          <w:tcPr>
            <w:tcW w:w="240" w:type="dxa"/>
            <w:vMerge w:val="restart"/>
            <w:tcBorders>
              <w:bottom w:val="nil"/>
            </w:tcBorders>
          </w:tcPr>
          <w:p w:rsidR="003259DA" w:rsidRDefault="003259DA">
            <w:pPr>
              <w:rPr>
                <w:b/>
                <w:bCs/>
              </w:rPr>
            </w:pPr>
          </w:p>
        </w:tc>
        <w:tc>
          <w:tcPr>
            <w:tcW w:w="1097" w:type="dxa"/>
            <w:tcBorders>
              <w:bottom w:val="nil"/>
            </w:tcBorders>
          </w:tcPr>
          <w:p w:rsidR="003259DA" w:rsidRDefault="003259DA">
            <w:r>
              <w:t>Case No.:</w:t>
            </w:r>
          </w:p>
        </w:tc>
        <w:tc>
          <w:tcPr>
            <w:tcW w:w="3468" w:type="dxa"/>
          </w:tcPr>
          <w:p w:rsidR="003259DA" w:rsidRDefault="003259DA" w:rsidP="00B775D1">
            <w:pPr>
              <w:rPr>
                <w:b/>
                <w:bCs/>
              </w:rPr>
            </w:pPr>
            <w:bookmarkStart w:id="4" w:name="caseno"/>
            <w:bookmarkEnd w:id="4"/>
            <w:r>
              <w:rPr>
                <w:b/>
                <w:bCs/>
              </w:rPr>
              <w:t>0</w:t>
            </w:r>
            <w:r w:rsidR="00B775D1">
              <w:rPr>
                <w:b/>
                <w:bCs/>
              </w:rPr>
              <w:t>8</w:t>
            </w:r>
            <w:r>
              <w:rPr>
                <w:b/>
                <w:bCs/>
              </w:rPr>
              <w:t>-</w:t>
            </w:r>
            <w:r w:rsidR="007603CC">
              <w:rPr>
                <w:b/>
                <w:bCs/>
              </w:rPr>
              <w:t>O</w:t>
            </w:r>
            <w:r>
              <w:rPr>
                <w:b/>
                <w:bCs/>
              </w:rPr>
              <w:t>-</w:t>
            </w:r>
            <w:r w:rsidR="00874B8B">
              <w:rPr>
                <w:b/>
                <w:bCs/>
              </w:rPr>
              <w:t>1</w:t>
            </w:r>
            <w:r w:rsidR="00B775D1">
              <w:rPr>
                <w:b/>
                <w:bCs/>
              </w:rPr>
              <w:t>2789</w:t>
            </w:r>
            <w:r w:rsidR="001513F3">
              <w:rPr>
                <w:b/>
                <w:bCs/>
              </w:rPr>
              <w:t>-DFM</w:t>
            </w:r>
          </w:p>
        </w:tc>
      </w:tr>
      <w:tr w:rsidR="003259DA">
        <w:tblPrEx>
          <w:tblCellMar>
            <w:top w:w="0" w:type="dxa"/>
            <w:bottom w:w="0" w:type="dxa"/>
          </w:tblCellMar>
        </w:tblPrEx>
        <w:trPr>
          <w:cantSplit/>
          <w:trHeight w:val="1480"/>
        </w:trPr>
        <w:tc>
          <w:tcPr>
            <w:tcW w:w="4378" w:type="dxa"/>
            <w:vMerge/>
          </w:tcPr>
          <w:p w:rsidR="003259DA" w:rsidRDefault="003259DA"/>
        </w:tc>
        <w:tc>
          <w:tcPr>
            <w:tcW w:w="182" w:type="dxa"/>
            <w:vMerge/>
            <w:tcBorders>
              <w:bottom w:val="nil"/>
            </w:tcBorders>
          </w:tcPr>
          <w:p w:rsidR="003259DA" w:rsidRDefault="003259DA">
            <w:pPr>
              <w:rPr>
                <w:b/>
                <w:bCs/>
              </w:rPr>
            </w:pPr>
          </w:p>
        </w:tc>
        <w:tc>
          <w:tcPr>
            <w:tcW w:w="240" w:type="dxa"/>
            <w:vMerge/>
            <w:tcBorders>
              <w:bottom w:val="nil"/>
            </w:tcBorders>
          </w:tcPr>
          <w:p w:rsidR="003259DA" w:rsidRDefault="003259DA">
            <w:pPr>
              <w:rPr>
                <w:b/>
                <w:bCs/>
              </w:rPr>
            </w:pPr>
          </w:p>
        </w:tc>
        <w:tc>
          <w:tcPr>
            <w:tcW w:w="4565" w:type="dxa"/>
            <w:gridSpan w:val="2"/>
            <w:tcBorders>
              <w:bottom w:val="nil"/>
            </w:tcBorders>
          </w:tcPr>
          <w:p w:rsidR="003259DA" w:rsidRDefault="003259DA">
            <w:pPr>
              <w:rPr>
                <w:b/>
                <w:bCs/>
              </w:rPr>
            </w:pPr>
            <w:bookmarkStart w:id="5" w:name="title"/>
            <w:bookmarkEnd w:id="5"/>
          </w:p>
          <w:p w:rsidR="007603CC" w:rsidRDefault="003259DA" w:rsidP="007603CC">
            <w:pPr>
              <w:rPr>
                <w:b/>
                <w:bCs/>
              </w:rPr>
            </w:pPr>
            <w:r>
              <w:rPr>
                <w:b/>
                <w:bCs/>
              </w:rPr>
              <w:t xml:space="preserve">DECISION </w:t>
            </w:r>
          </w:p>
          <w:p w:rsidR="003259DA" w:rsidRDefault="003259DA">
            <w:pPr>
              <w:rPr>
                <w:b/>
                <w:bCs/>
              </w:rPr>
            </w:pPr>
          </w:p>
        </w:tc>
      </w:tr>
    </w:tbl>
    <w:p w:rsidR="00FC710D" w:rsidRDefault="00FC710D" w:rsidP="00FC710D">
      <w:pPr>
        <w:pStyle w:val="Heading1"/>
        <w:spacing w:line="240" w:lineRule="auto"/>
      </w:pPr>
    </w:p>
    <w:p w:rsidR="009D27CD" w:rsidRPr="009D27CD" w:rsidRDefault="009D27CD" w:rsidP="009D27CD"/>
    <w:p w:rsidR="003259DA" w:rsidRDefault="00692143" w:rsidP="00FC710D">
      <w:pPr>
        <w:pStyle w:val="Heading1"/>
        <w:spacing w:line="240" w:lineRule="auto"/>
      </w:pPr>
      <w:r w:rsidRPr="001513F3">
        <w:t>INTRODUCTION</w:t>
      </w:r>
    </w:p>
    <w:p w:rsidR="00FC710D" w:rsidRPr="00FC710D" w:rsidRDefault="00FC710D" w:rsidP="00FC710D"/>
    <w:p w:rsidR="003259DA" w:rsidRDefault="003259DA">
      <w:pPr>
        <w:spacing w:line="480" w:lineRule="auto"/>
      </w:pPr>
      <w:r>
        <w:tab/>
        <w:t xml:space="preserve">In this </w:t>
      </w:r>
      <w:r w:rsidR="007603CC">
        <w:t xml:space="preserve">original disciplinary </w:t>
      </w:r>
      <w:r>
        <w:t xml:space="preserve">proceeding, which proceeded by default, </w:t>
      </w:r>
      <w:r w:rsidR="003B6DDD">
        <w:t xml:space="preserve">Deputy </w:t>
      </w:r>
      <w:r>
        <w:t xml:space="preserve">Trial Counsel </w:t>
      </w:r>
      <w:r w:rsidR="00B775D1">
        <w:t>Mia R. Ellis</w:t>
      </w:r>
      <w:r w:rsidR="003B6DDD">
        <w:t xml:space="preserve"> </w:t>
      </w:r>
      <w:r w:rsidR="007E6FC5">
        <w:t>(</w:t>
      </w:r>
      <w:r w:rsidR="003B6DDD">
        <w:t>D</w:t>
      </w:r>
      <w:r w:rsidR="00874B8B">
        <w:t xml:space="preserve">TC </w:t>
      </w:r>
      <w:r w:rsidR="00B775D1">
        <w:t>Ellis</w:t>
      </w:r>
      <w:r w:rsidR="007E6FC5">
        <w:t xml:space="preserve">) </w:t>
      </w:r>
      <w:r>
        <w:t xml:space="preserve">appeared for the Office of the Chief Trial Counsel of the State Bar of California (State Bar).  Respondent </w:t>
      </w:r>
      <w:r w:rsidR="00B775D1">
        <w:rPr>
          <w:b/>
        </w:rPr>
        <w:t xml:space="preserve">ROBERT DUANE GEORGE </w:t>
      </w:r>
      <w:r>
        <w:t>did not appear in person or by coun</w:t>
      </w:r>
      <w:r w:rsidR="0058234C">
        <w:t>sel</w:t>
      </w:r>
      <w:r w:rsidR="00A03971">
        <w:t>.</w:t>
      </w:r>
      <w:r w:rsidR="001959D1">
        <w:t xml:space="preserve"> </w:t>
      </w:r>
    </w:p>
    <w:p w:rsidR="001E0426" w:rsidRPr="001E0426" w:rsidRDefault="003259DA" w:rsidP="001E0426">
      <w:pPr>
        <w:spacing w:line="480" w:lineRule="auto"/>
      </w:pPr>
      <w:r>
        <w:tab/>
      </w:r>
      <w:r w:rsidR="001513F3">
        <w:t xml:space="preserve">In </w:t>
      </w:r>
      <w:r w:rsidR="0026339A">
        <w:t xml:space="preserve">the </w:t>
      </w:r>
      <w:r w:rsidR="007C745C">
        <w:t>notice of disciplinary charges (</w:t>
      </w:r>
      <w:r w:rsidR="001513F3">
        <w:t>NDC</w:t>
      </w:r>
      <w:r w:rsidR="007C745C">
        <w:t>)</w:t>
      </w:r>
      <w:r w:rsidR="001513F3">
        <w:t xml:space="preserve">, the State Bar charges respondent </w:t>
      </w:r>
      <w:r w:rsidR="007603CC">
        <w:t xml:space="preserve">with </w:t>
      </w:r>
      <w:r w:rsidR="00A03971">
        <w:t xml:space="preserve">five </w:t>
      </w:r>
      <w:r w:rsidR="007603CC">
        <w:t>counts of professional misconduct in</w:t>
      </w:r>
      <w:r w:rsidR="00A03971">
        <w:t xml:space="preserve"> a</w:t>
      </w:r>
      <w:r w:rsidR="007603CC">
        <w:t xml:space="preserve"> single client matter</w:t>
      </w:r>
      <w:r w:rsidR="00A03971">
        <w:t xml:space="preserve"> </w:t>
      </w:r>
      <w:r w:rsidR="00D8488A">
        <w:t xml:space="preserve">and </w:t>
      </w:r>
      <w:r w:rsidR="00672675">
        <w:t xml:space="preserve">with </w:t>
      </w:r>
      <w:r w:rsidR="00A03971">
        <w:t>one count of failing to cooperate in a State Bar disciplinary investigation.  A</w:t>
      </w:r>
      <w:r w:rsidR="00740BD3">
        <w:t xml:space="preserve">s set forth </w:t>
      </w:r>
      <w:r w:rsidR="001513F3" w:rsidRPr="000E494A">
        <w:rPr>
          <w:i/>
        </w:rPr>
        <w:t>post</w:t>
      </w:r>
      <w:r w:rsidR="001513F3">
        <w:t>,</w:t>
      </w:r>
      <w:r w:rsidR="00740BD3">
        <w:t xml:space="preserve"> the </w:t>
      </w:r>
      <w:r w:rsidR="001E0426" w:rsidRPr="001E0426">
        <w:t>court finds</w:t>
      </w:r>
      <w:r w:rsidR="00FC710D">
        <w:t xml:space="preserve"> </w:t>
      </w:r>
      <w:r w:rsidR="001E0426" w:rsidRPr="001E0426">
        <w:t xml:space="preserve">that respondent </w:t>
      </w:r>
      <w:r w:rsidR="00EB236E">
        <w:t xml:space="preserve">is culpable on </w:t>
      </w:r>
      <w:r w:rsidR="00BE7F94">
        <w:t xml:space="preserve">all </w:t>
      </w:r>
      <w:r w:rsidR="00A03971">
        <w:t xml:space="preserve">six </w:t>
      </w:r>
      <w:r w:rsidR="0058234C">
        <w:t>c</w:t>
      </w:r>
      <w:r w:rsidR="00EB236E">
        <w:t xml:space="preserve">ounts and </w:t>
      </w:r>
      <w:r w:rsidR="001E0426" w:rsidRPr="001E0426">
        <w:t xml:space="preserve">concludes that the appropriate </w:t>
      </w:r>
      <w:r w:rsidR="001E0426">
        <w:t xml:space="preserve">level of </w:t>
      </w:r>
      <w:r w:rsidR="001E0426" w:rsidRPr="001E0426">
        <w:t xml:space="preserve">discipline </w:t>
      </w:r>
      <w:r w:rsidR="00672675">
        <w:t xml:space="preserve">includes </w:t>
      </w:r>
      <w:r w:rsidR="009B444A">
        <w:t xml:space="preserve">a </w:t>
      </w:r>
      <w:r w:rsidR="00A03971">
        <w:t>ninety</w:t>
      </w:r>
      <w:r w:rsidR="009B444A">
        <w:t>-</w:t>
      </w:r>
      <w:r w:rsidR="00EB236E">
        <w:t>day</w:t>
      </w:r>
      <w:r w:rsidR="00B548B6">
        <w:t xml:space="preserve"> </w:t>
      </w:r>
      <w:r w:rsidR="005C00DC">
        <w:t xml:space="preserve">actual </w:t>
      </w:r>
      <w:r w:rsidR="00EB236E">
        <w:t>suspension continu</w:t>
      </w:r>
      <w:r w:rsidR="00D8488A">
        <w:t>ing</w:t>
      </w:r>
      <w:r w:rsidR="00EB236E">
        <w:t xml:space="preserve"> until</w:t>
      </w:r>
      <w:r w:rsidR="00A03971">
        <w:t xml:space="preserve"> (1) </w:t>
      </w:r>
      <w:r w:rsidR="00EB236E">
        <w:t xml:space="preserve">respondent makes </w:t>
      </w:r>
      <w:r w:rsidR="00A03971">
        <w:t>restitution of $5,000 (</w:t>
      </w:r>
      <w:r w:rsidR="00672675">
        <w:t>plus</w:t>
      </w:r>
      <w:r w:rsidR="00123D1D">
        <w:t xml:space="preserve"> interest) to the</w:t>
      </w:r>
      <w:r w:rsidR="00A03971">
        <w:t xml:space="preserve"> former client </w:t>
      </w:r>
      <w:r w:rsidR="00EB236E">
        <w:t xml:space="preserve">and </w:t>
      </w:r>
      <w:r w:rsidR="00A03971">
        <w:t xml:space="preserve">(2) respondent makes and </w:t>
      </w:r>
      <w:r w:rsidR="00EB236E">
        <w:t>the State Bar Court grants a motion to terminate h</w:t>
      </w:r>
      <w:r w:rsidR="00A03971">
        <w:t>is</w:t>
      </w:r>
      <w:r w:rsidR="009B444A">
        <w:t xml:space="preserve"> </w:t>
      </w:r>
      <w:r w:rsidR="00EB236E">
        <w:t>suspension (Rules Proc. of State Bar, rule 205).</w:t>
      </w:r>
    </w:p>
    <w:p w:rsidR="003259DA" w:rsidRDefault="00692143" w:rsidP="001C2158">
      <w:pPr>
        <w:pStyle w:val="Heading1"/>
      </w:pPr>
      <w:r>
        <w:lastRenderedPageBreak/>
        <w:t>PERTINENT</w:t>
      </w:r>
      <w:r w:rsidRPr="001C2158">
        <w:t xml:space="preserve"> PROCEDURAL HISTORY</w:t>
      </w:r>
    </w:p>
    <w:p w:rsidR="001914B0" w:rsidRDefault="001914B0" w:rsidP="001914B0">
      <w:pPr>
        <w:spacing w:line="480" w:lineRule="auto"/>
        <w:ind w:firstLine="720"/>
      </w:pPr>
      <w:r>
        <w:t xml:space="preserve">On </w:t>
      </w:r>
      <w:r w:rsidR="00A03971">
        <w:t xml:space="preserve">March </w:t>
      </w:r>
      <w:r>
        <w:t>2</w:t>
      </w:r>
      <w:r w:rsidR="00A03971">
        <w:t>6</w:t>
      </w:r>
      <w:r>
        <w:t>, 2009, the State Bar filed the NDC in this proceeding and properly served a copy of it on respondent by certified mail, return receipt requested, at h</w:t>
      </w:r>
      <w:r w:rsidR="00A03971">
        <w:t xml:space="preserve">is </w:t>
      </w:r>
      <w:r>
        <w:t xml:space="preserve">latest address shown on the official membership records of the State Bar </w:t>
      </w:r>
      <w:r w:rsidR="009B444A">
        <w:t xml:space="preserve">of California </w:t>
      </w:r>
      <w:r>
        <w:t xml:space="preserve">(official address).  (Bus. </w:t>
      </w:r>
      <w:proofErr w:type="gramStart"/>
      <w:r>
        <w:t>&amp; Prof. Code, § 6002.1, subd.</w:t>
      </w:r>
      <w:proofErr w:type="gramEnd"/>
      <w:r>
        <w:t xml:space="preserve"> </w:t>
      </w:r>
      <w:proofErr w:type="gramStart"/>
      <w:r>
        <w:t>(c);</w:t>
      </w:r>
      <w:r w:rsidR="004763B1">
        <w:rPr>
          <w:rStyle w:val="FootnoteReference"/>
        </w:rPr>
        <w:footnoteReference w:id="1"/>
      </w:r>
      <w:r w:rsidR="00A03971">
        <w:t xml:space="preserve"> </w:t>
      </w:r>
      <w:r>
        <w:t>Rules Proc. of State Bar, rule 60(b).)</w:t>
      </w:r>
      <w:proofErr w:type="gramEnd"/>
    </w:p>
    <w:p w:rsidR="001914B0" w:rsidRDefault="001914B0" w:rsidP="001914B0">
      <w:pPr>
        <w:spacing w:line="480" w:lineRule="auto"/>
        <w:ind w:firstLine="720"/>
      </w:pPr>
      <w:r>
        <w:t xml:space="preserve">On </w:t>
      </w:r>
      <w:r w:rsidR="00A03971">
        <w:t>March 28</w:t>
      </w:r>
      <w:r>
        <w:t xml:space="preserve">, 2009, the State Bar received, from the United States Postal Service (Postal Service), a return receipt (i.e., a green card) for the copy of </w:t>
      </w:r>
      <w:r w:rsidR="00E23C82">
        <w:t xml:space="preserve">the </w:t>
      </w:r>
      <w:r>
        <w:t xml:space="preserve">NDC that was served on respondent.  That return receipt establishes that the copy of the NDC that was </w:t>
      </w:r>
      <w:r w:rsidR="00457E6B">
        <w:t xml:space="preserve">served on </w:t>
      </w:r>
      <w:r>
        <w:t xml:space="preserve">respondent was actually delivered </w:t>
      </w:r>
      <w:r w:rsidR="00457E6B">
        <w:t xml:space="preserve">to respondent’s official address where it was signed for by </w:t>
      </w:r>
      <w:r w:rsidR="00A03971">
        <w:t>S</w:t>
      </w:r>
      <w:r w:rsidR="00457E6B">
        <w:t xml:space="preserve">. </w:t>
      </w:r>
      <w:r w:rsidR="00A03971">
        <w:t>Lunsford.</w:t>
      </w:r>
    </w:p>
    <w:p w:rsidR="001914B0" w:rsidRDefault="001914B0" w:rsidP="001914B0">
      <w:pPr>
        <w:spacing w:line="480" w:lineRule="auto"/>
        <w:ind w:firstLine="720"/>
      </w:pPr>
      <w:r>
        <w:t xml:space="preserve">Respondent’s response to the NDC was due no later than </w:t>
      </w:r>
      <w:r w:rsidR="005066E8">
        <w:t>April 20</w:t>
      </w:r>
      <w:r>
        <w:t xml:space="preserve">, 2009.  (Rules Proc. of State Bar, rule 103(a); see also Rules Proc. of State Bar, rule 63 [computation of time].)  Respondent failed to file a response.  Accordingly, on </w:t>
      </w:r>
      <w:r w:rsidR="005066E8">
        <w:t xml:space="preserve">June 5, </w:t>
      </w:r>
      <w:r>
        <w:t>2009, the State Bar filed a motion for the entry of respondent's default and properly served a copy of that motion on respondent at h</w:t>
      </w:r>
      <w:r w:rsidR="005066E8">
        <w:t>is</w:t>
      </w:r>
      <w:r w:rsidR="00457E6B">
        <w:t xml:space="preserve"> </w:t>
      </w:r>
      <w:r>
        <w:t>official address by certified mail, return receipt requested.  Respondent, however, never filed a response to that motion or to the NDC.</w:t>
      </w:r>
    </w:p>
    <w:p w:rsidR="001914B0" w:rsidRDefault="001914B0" w:rsidP="001914B0">
      <w:pPr>
        <w:spacing w:line="480" w:lineRule="auto"/>
        <w:ind w:firstLine="720"/>
      </w:pPr>
      <w:r>
        <w:t xml:space="preserve">The declaration of DTC </w:t>
      </w:r>
      <w:r w:rsidR="005066E8">
        <w:t xml:space="preserve">Ellis, </w:t>
      </w:r>
      <w:r>
        <w:t xml:space="preserve">which </w:t>
      </w:r>
      <w:r w:rsidR="005066E8">
        <w:t xml:space="preserve">is an </w:t>
      </w:r>
      <w:r>
        <w:t xml:space="preserve">exhibit to the State Bar's </w:t>
      </w:r>
      <w:r w:rsidR="00C049D8">
        <w:t>June 5</w:t>
      </w:r>
      <w:r>
        <w:t xml:space="preserve">, 2009, motion </w:t>
      </w:r>
      <w:r w:rsidR="00457E6B">
        <w:t>for entry of default</w:t>
      </w:r>
      <w:r w:rsidR="00C049D8">
        <w:t xml:space="preserve">, </w:t>
      </w:r>
      <w:r w:rsidR="00457E6B">
        <w:t>establish</w:t>
      </w:r>
      <w:r w:rsidR="00C049D8">
        <w:t>es</w:t>
      </w:r>
      <w:r>
        <w:t xml:space="preserve"> that, in addition to performing its </w:t>
      </w:r>
      <w:r w:rsidR="00457E6B">
        <w:t xml:space="preserve">minimum </w:t>
      </w:r>
      <w:r>
        <w:t xml:space="preserve">statutory duty to serve a copy of the NDC on respondent </w:t>
      </w:r>
      <w:r w:rsidR="009B444A">
        <w:t xml:space="preserve">by mail to </w:t>
      </w:r>
      <w:r>
        <w:t>h</w:t>
      </w:r>
      <w:r w:rsidR="00C049D8">
        <w:t xml:space="preserve">is </w:t>
      </w:r>
      <w:r>
        <w:t>official address</w:t>
      </w:r>
      <w:r w:rsidR="00457E6B">
        <w:t xml:space="preserve">, the State Bar undertook additional measures </w:t>
      </w:r>
      <w:r w:rsidR="00C049D8">
        <w:t xml:space="preserve">in an attempt </w:t>
      </w:r>
      <w:r w:rsidR="00457E6B">
        <w:t xml:space="preserve">to </w:t>
      </w:r>
      <w:r w:rsidR="00C049D8">
        <w:t xml:space="preserve">provide </w:t>
      </w:r>
      <w:r w:rsidR="00457E6B">
        <w:t xml:space="preserve">respondent </w:t>
      </w:r>
      <w:r w:rsidR="00C049D8">
        <w:t xml:space="preserve">with </w:t>
      </w:r>
      <w:r w:rsidR="00457E6B">
        <w:t>actual knowledge of this</w:t>
      </w:r>
      <w:r w:rsidR="009F26F0">
        <w:t xml:space="preserve"> proceeding.  </w:t>
      </w:r>
      <w:r w:rsidR="00123D1D">
        <w:t>I</w:t>
      </w:r>
      <w:r w:rsidR="00C049D8">
        <w:t xml:space="preserve">t is clear that </w:t>
      </w:r>
      <w:r w:rsidR="009F26F0">
        <w:t xml:space="preserve">respondent </w:t>
      </w:r>
      <w:r w:rsidR="009B444A">
        <w:t xml:space="preserve">was </w:t>
      </w:r>
      <w:r>
        <w:t xml:space="preserve">given adequate notice of this proceeding.  </w:t>
      </w:r>
      <w:proofErr w:type="gramStart"/>
      <w:r>
        <w:t>(§</w:t>
      </w:r>
      <w:r w:rsidR="009B444A">
        <w:t> </w:t>
      </w:r>
      <w:r>
        <w:t>6002.1, subd.</w:t>
      </w:r>
      <w:proofErr w:type="gramEnd"/>
      <w:r>
        <w:t xml:space="preserve"> (</w:t>
      </w:r>
      <w:proofErr w:type="gramStart"/>
      <w:r>
        <w:t>c</w:t>
      </w:r>
      <w:proofErr w:type="gramEnd"/>
      <w:r>
        <w:t xml:space="preserve">); </w:t>
      </w:r>
      <w:r w:rsidRPr="009F26F0">
        <w:rPr>
          <w:i/>
        </w:rPr>
        <w:t>Bowles v. State Bar</w:t>
      </w:r>
      <w:r>
        <w:t xml:space="preserve"> (1989) 48 Cal.3d 100, 107-108; see also </w:t>
      </w:r>
      <w:r w:rsidRPr="009F26F0">
        <w:rPr>
          <w:i/>
        </w:rPr>
        <w:t>Jones v. Flowers</w:t>
      </w:r>
      <w:r>
        <w:t xml:space="preserve"> (2006) 547 U.S. 220, 224-227, 234.)</w:t>
      </w:r>
    </w:p>
    <w:p w:rsidR="003259DA" w:rsidRDefault="00123D1D">
      <w:pPr>
        <w:spacing w:line="480" w:lineRule="auto"/>
        <w:ind w:firstLine="720"/>
      </w:pPr>
      <w:r>
        <w:lastRenderedPageBreak/>
        <w:t>O</w:t>
      </w:r>
      <w:r w:rsidR="001914B0">
        <w:t xml:space="preserve">n </w:t>
      </w:r>
      <w:r w:rsidR="00C049D8">
        <w:t>June 24</w:t>
      </w:r>
      <w:r w:rsidR="001914B0">
        <w:t xml:space="preserve">, 2009, </w:t>
      </w:r>
      <w:r>
        <w:t xml:space="preserve">this court </w:t>
      </w:r>
      <w:r w:rsidR="001914B0">
        <w:t>e</w:t>
      </w:r>
      <w:r>
        <w:t>ntered respondent's default and</w:t>
      </w:r>
      <w:r w:rsidR="001914B0">
        <w:t xml:space="preserve"> ordered that he be involuntarily enrolled as an inactive member of the State Bar of California effective </w:t>
      </w:r>
      <w:r w:rsidR="00C049D8">
        <w:t>June 2</w:t>
      </w:r>
      <w:r w:rsidR="004D692A">
        <w:t>7</w:t>
      </w:r>
      <w:r w:rsidR="001914B0">
        <w:t>, 2009</w:t>
      </w:r>
      <w:r w:rsidR="004D692A">
        <w:t>)</w:t>
      </w:r>
      <w:r w:rsidR="001914B0">
        <w:t>.</w:t>
      </w:r>
      <w:r w:rsidRPr="00123D1D">
        <w:t xml:space="preserve"> </w:t>
      </w:r>
      <w:r>
        <w:t xml:space="preserve">(Section 6007, </w:t>
      </w:r>
      <w:proofErr w:type="spellStart"/>
      <w:r>
        <w:t>subd</w:t>
      </w:r>
      <w:proofErr w:type="spellEnd"/>
      <w:proofErr w:type="gramStart"/>
      <w:r>
        <w:t>.(</w:t>
      </w:r>
      <w:proofErr w:type="gramEnd"/>
      <w:r>
        <w:t xml:space="preserve">e)(1).)  </w:t>
      </w:r>
      <w:r w:rsidR="003259DA">
        <w:t xml:space="preserve">On </w:t>
      </w:r>
      <w:r w:rsidR="004D692A">
        <w:t>Ju</w:t>
      </w:r>
      <w:r w:rsidR="00C049D8">
        <w:t>ly 14</w:t>
      </w:r>
      <w:r w:rsidR="003259DA">
        <w:t>, 200</w:t>
      </w:r>
      <w:r w:rsidR="00DD0752">
        <w:t>9</w:t>
      </w:r>
      <w:r w:rsidR="003259DA">
        <w:t xml:space="preserve">, the State Bar filed a </w:t>
      </w:r>
      <w:r w:rsidR="00C049D8">
        <w:t xml:space="preserve">request for </w:t>
      </w:r>
      <w:r w:rsidR="003259DA">
        <w:t xml:space="preserve">waiver of default hearing and brief </w:t>
      </w:r>
      <w:r w:rsidR="00C049D8">
        <w:t xml:space="preserve">on </w:t>
      </w:r>
      <w:r w:rsidR="003259DA">
        <w:t>culpability and discipline</w:t>
      </w:r>
      <w:r w:rsidR="00E8676D">
        <w:t xml:space="preserve">.  </w:t>
      </w:r>
    </w:p>
    <w:p w:rsidR="003259DA" w:rsidRPr="00920DC3" w:rsidRDefault="00692143" w:rsidP="003B6DDD">
      <w:pPr>
        <w:pStyle w:val="Heading1"/>
        <w:rPr>
          <w:u w:val="single"/>
        </w:rPr>
      </w:pPr>
      <w:r w:rsidRPr="003B6DDD">
        <w:t xml:space="preserve">FINDINGS </w:t>
      </w:r>
      <w:r>
        <w:t>O</w:t>
      </w:r>
      <w:r w:rsidRPr="003B6DDD">
        <w:t xml:space="preserve">F FACT </w:t>
      </w:r>
      <w:r>
        <w:t>A</w:t>
      </w:r>
      <w:r w:rsidRPr="003B6DDD">
        <w:t xml:space="preserve">ND CONCLUSIONS </w:t>
      </w:r>
      <w:r>
        <w:t>O</w:t>
      </w:r>
      <w:r w:rsidRPr="003B6DDD">
        <w:t>F LAW</w:t>
      </w:r>
    </w:p>
    <w:p w:rsidR="00FC468D" w:rsidRDefault="003259DA" w:rsidP="00FC468D">
      <w:pPr>
        <w:spacing w:line="480" w:lineRule="auto"/>
      </w:pPr>
      <w:r>
        <w:tab/>
        <w:t xml:space="preserve">The court's findings are based on (1) the allegations contained in the NDC, which </w:t>
      </w:r>
      <w:r w:rsidR="0034457E">
        <w:t xml:space="preserve">have been </w:t>
      </w:r>
      <w:r>
        <w:t xml:space="preserve">deemed admitted by the entry of respondent's default (§ 6088; Rules Proc. of State Bar, rule 200(d)(1)(A)) and </w:t>
      </w:r>
      <w:r w:rsidR="003D49DE">
        <w:t xml:space="preserve">(2) </w:t>
      </w:r>
      <w:r>
        <w:t>the facts in this court's official file in this matter</w:t>
      </w:r>
      <w:r w:rsidR="00FC468D">
        <w:t xml:space="preserve"> (Rules Proc. of State Bar, rule 585)</w:t>
      </w:r>
      <w:r>
        <w:t>.</w:t>
      </w:r>
    </w:p>
    <w:p w:rsidR="009B444A" w:rsidRDefault="009B444A" w:rsidP="00FC468D">
      <w:pPr>
        <w:spacing w:line="480" w:lineRule="auto"/>
      </w:pPr>
      <w:r w:rsidRPr="009B444A">
        <w:rPr>
          <w:b/>
        </w:rPr>
        <w:t>Jurisdiction</w:t>
      </w:r>
    </w:p>
    <w:p w:rsidR="009B444A" w:rsidRDefault="009B444A" w:rsidP="00FC468D">
      <w:pPr>
        <w:spacing w:line="480" w:lineRule="auto"/>
      </w:pPr>
      <w:r>
        <w:tab/>
      </w:r>
      <w:r w:rsidR="00A03971">
        <w:t xml:space="preserve">Respondent </w:t>
      </w:r>
      <w:r>
        <w:t xml:space="preserve">was admitted </w:t>
      </w:r>
      <w:r w:rsidR="005B2535">
        <w:t xml:space="preserve">to the practice of law </w:t>
      </w:r>
      <w:r w:rsidR="00A03971">
        <w:t xml:space="preserve">in this state </w:t>
      </w:r>
      <w:r>
        <w:t>on December 1</w:t>
      </w:r>
      <w:r w:rsidR="00A03971">
        <w:t>0</w:t>
      </w:r>
      <w:r>
        <w:t>, 19</w:t>
      </w:r>
      <w:r w:rsidR="00A03971">
        <w:t>96</w:t>
      </w:r>
      <w:r>
        <w:t xml:space="preserve">, </w:t>
      </w:r>
      <w:r w:rsidRPr="00B355F0">
        <w:t>and has been a member of the State Bar</w:t>
      </w:r>
      <w:r>
        <w:t xml:space="preserve"> of California since that time</w:t>
      </w:r>
      <w:r w:rsidR="005B2535">
        <w:t>.</w:t>
      </w:r>
    </w:p>
    <w:p w:rsidR="00A03971" w:rsidRPr="00F940DF" w:rsidRDefault="00A03971" w:rsidP="00A03971">
      <w:pPr>
        <w:spacing w:line="480" w:lineRule="auto"/>
        <w:rPr>
          <w:b/>
        </w:rPr>
      </w:pPr>
      <w:r w:rsidRPr="00F940DF">
        <w:rPr>
          <w:b/>
        </w:rPr>
        <w:t>Gutman Client Matter</w:t>
      </w:r>
    </w:p>
    <w:p w:rsidR="00A03971" w:rsidRDefault="00A03971" w:rsidP="00A03971">
      <w:pPr>
        <w:spacing w:line="480" w:lineRule="auto"/>
      </w:pPr>
      <w:r>
        <w:tab/>
        <w:t xml:space="preserve">On about September 5, 2007, Georgia Gutman employed respondent to help her administer her deceased husband's trust.  At about that same time, Gutman paid respondent $5,000 </w:t>
      </w:r>
      <w:r w:rsidR="00672675">
        <w:t xml:space="preserve">as an </w:t>
      </w:r>
      <w:r>
        <w:t xml:space="preserve">advance </w:t>
      </w:r>
      <w:r w:rsidR="00672675">
        <w:t xml:space="preserve">for </w:t>
      </w:r>
      <w:r>
        <w:t>legal fees.</w:t>
      </w:r>
      <w:r>
        <w:cr/>
      </w:r>
      <w:r>
        <w:tab/>
        <w:t>On about October 22, 2007, Mary Rempola, who was Gutman's caregiver, telephoned respondent and left a message for him</w:t>
      </w:r>
      <w:r w:rsidR="00123D1D">
        <w:t>,</w:t>
      </w:r>
      <w:r>
        <w:t xml:space="preserve"> notifying him that Gutman and Ruth Harte (Gutman's sister) wanted to make an appointment to meet with him and </w:t>
      </w:r>
      <w:r w:rsidR="00123D1D">
        <w:t xml:space="preserve">discuss the trust.  Respondent </w:t>
      </w:r>
      <w:r>
        <w:t xml:space="preserve">never responded to </w:t>
      </w:r>
      <w:proofErr w:type="spellStart"/>
      <w:r>
        <w:t>Rempola’s</w:t>
      </w:r>
      <w:proofErr w:type="spellEnd"/>
      <w:r>
        <w:t xml:space="preserve"> message.</w:t>
      </w:r>
    </w:p>
    <w:p w:rsidR="00A03971" w:rsidRDefault="00CB31BE" w:rsidP="00A03971">
      <w:pPr>
        <w:spacing w:line="480" w:lineRule="auto"/>
      </w:pPr>
      <w:r>
        <w:tab/>
      </w:r>
      <w:r w:rsidR="00A03971">
        <w:t xml:space="preserve">On numerous occasions between late October 2007 and about mid-March 2008, Rempola and Harte telephoned respondent for Gutman and left messages for respondent asking to meet with him about the trust.  Respondent, however, never responded to Rempola’s or Harte’s numerous messages.  </w:t>
      </w:r>
      <w:r w:rsidR="00123D1D">
        <w:t>O</w:t>
      </w:r>
      <w:r w:rsidR="00A03971">
        <w:t xml:space="preserve">n about March 11, 2008, Rempola faxed respondent a letter asking him to </w:t>
      </w:r>
      <w:r w:rsidR="00A03971">
        <w:lastRenderedPageBreak/>
        <w:t xml:space="preserve">call Gutman and schedule a meeting with Gutman and Harte.  Even though respondent received Rempola’s March 11 letter, </w:t>
      </w:r>
      <w:r w:rsidR="00123D1D">
        <w:t>he</w:t>
      </w:r>
      <w:r w:rsidR="00A03971">
        <w:t xml:space="preserve"> never responded to it.</w:t>
      </w:r>
    </w:p>
    <w:p w:rsidR="00A03971" w:rsidRDefault="00CB31BE" w:rsidP="00A03971">
      <w:pPr>
        <w:spacing w:line="480" w:lineRule="auto"/>
      </w:pPr>
      <w:r>
        <w:tab/>
      </w:r>
      <w:r w:rsidR="00A03971">
        <w:t>In March or April 2008, Gutman terminated respondent's emp</w:t>
      </w:r>
      <w:r w:rsidR="00123D1D">
        <w:t>loyment and hired a</w:t>
      </w:r>
      <w:r w:rsidR="00A03971">
        <w:t>ttorney Richard Glasner to replace him and to assist her with the trust.  Respondent never completed any legal service that advanced the trust’s administration.  Nor did respondent earn any portion of the $5,000 advance</w:t>
      </w:r>
      <w:r w:rsidR="00672675">
        <w:t>d</w:t>
      </w:r>
      <w:r w:rsidR="00A03971">
        <w:t xml:space="preserve"> fee.</w:t>
      </w:r>
      <w:r w:rsidR="006F6492">
        <w:t xml:space="preserve"> </w:t>
      </w:r>
    </w:p>
    <w:p w:rsidR="00A03971" w:rsidRDefault="00CB31BE" w:rsidP="00A03971">
      <w:pPr>
        <w:spacing w:line="480" w:lineRule="auto"/>
      </w:pPr>
      <w:r>
        <w:tab/>
      </w:r>
      <w:r w:rsidR="00A03971">
        <w:t>On about April 9, 2008, Gutman sent respondent a letter requesting that respondent account for the $5,000 advanced fee, that he refund the unearned portion of the fee, and t</w:t>
      </w:r>
      <w:r w:rsidR="00123D1D">
        <w:t>hat he send her client file to a</w:t>
      </w:r>
      <w:r w:rsidR="00A03971">
        <w:t>ttorney Glasner.  Even though respondent received Gutman’s April 9 letter,</w:t>
      </w:r>
      <w:r w:rsidR="00123D1D">
        <w:t xml:space="preserve"> he</w:t>
      </w:r>
      <w:r w:rsidR="00A03971">
        <w:t xml:space="preserve"> never responded to it.  Moreover, respondent did not otherwise account for the advanced fee, refund any portion of it, or send Gutman’s file to Attorney Glasner (or to Gutman).</w:t>
      </w:r>
    </w:p>
    <w:p w:rsidR="00A03971" w:rsidRDefault="00CB31BE" w:rsidP="00A03971">
      <w:pPr>
        <w:spacing w:line="480" w:lineRule="auto"/>
      </w:pPr>
      <w:r>
        <w:tab/>
      </w:r>
      <w:r w:rsidR="00A03971">
        <w:t>On April</w:t>
      </w:r>
      <w:r w:rsidR="00C96C1A">
        <w:t xml:space="preserve"> </w:t>
      </w:r>
      <w:r w:rsidR="00A03971">
        <w:t xml:space="preserve">10, 2008, </w:t>
      </w:r>
      <w:r w:rsidR="00123D1D">
        <w:t>a</w:t>
      </w:r>
      <w:r w:rsidR="00A03971">
        <w:t xml:space="preserve">ttorney Glasner sent respondent, by certified mail, return receipt requested, a letter requesting that respondent refund the unearned portion of the $5,000 advance fee and send Gutman’s file to him (i.e., Glasner).  On about April 11, 2008, the United </w:t>
      </w:r>
      <w:r w:rsidR="00123D1D">
        <w:t>States Postal Service returned a</w:t>
      </w:r>
      <w:r w:rsidR="00A03971">
        <w:t>ttorney Glasner’s April 10 letter to him because respondent refused to accept delivery of</w:t>
      </w:r>
      <w:r w:rsidR="00123D1D">
        <w:t xml:space="preserve"> it.  Then, on April 16, 2008, a</w:t>
      </w:r>
      <w:r w:rsidR="00A03971">
        <w:t>ttorney Glasner faxed his April 10 letter to respondent.  Responden</w:t>
      </w:r>
      <w:r w:rsidR="00123D1D">
        <w:t>t, however, never responded to a</w:t>
      </w:r>
      <w:r w:rsidR="00A03971">
        <w:t>ttorney Glasner’s request for a refund of the unearned advanced fee and for Gutman’s file.  Nor did respondent otherwise ever refund any portion of the unearned $5,000 advanced fee or send Gutman’s file to</w:t>
      </w:r>
      <w:r>
        <w:t xml:space="preserve"> Glasner (or Gutman).</w:t>
      </w:r>
    </w:p>
    <w:p w:rsidR="00A03971" w:rsidRDefault="00CB31BE" w:rsidP="00A03971">
      <w:pPr>
        <w:spacing w:line="480" w:lineRule="auto"/>
      </w:pPr>
      <w:r>
        <w:tab/>
      </w:r>
      <w:r w:rsidR="00A03971">
        <w:t xml:space="preserve">On July 24, 2008, a State Bar investigator sent respondent a letter asking respondent to respond in writing, no later than August 7, 2008, to specific allegations of misconduct that Gutman </w:t>
      </w:r>
      <w:r w:rsidR="00123D1D">
        <w:t xml:space="preserve">had </w:t>
      </w:r>
      <w:r w:rsidR="00A03971">
        <w:t>made against him.  Re</w:t>
      </w:r>
      <w:r w:rsidR="00123D1D">
        <w:t>spondent received the letter a</w:t>
      </w:r>
      <w:r w:rsidR="00A03971">
        <w:t xml:space="preserve">nd, on August 6, 2008, faxed the investigator a letter requesting an extension to August 21, 2008 to respond.  That same day, the </w:t>
      </w:r>
      <w:r w:rsidR="00A03971">
        <w:lastRenderedPageBreak/>
        <w:t>investigator sent respondent a letter granting respondent’s requested extension.  Re</w:t>
      </w:r>
      <w:r>
        <w:t>spondent received that letter.</w:t>
      </w:r>
    </w:p>
    <w:p w:rsidR="00A03971" w:rsidRDefault="00CB31BE" w:rsidP="00A03971">
      <w:pPr>
        <w:spacing w:line="480" w:lineRule="auto"/>
      </w:pPr>
      <w:r>
        <w:tab/>
      </w:r>
      <w:r w:rsidR="00A03971">
        <w:t>Respondent did not respond to the investigator's July 24, 2008, letter by August 21, 2008.  Accordingly, on August 29, 2008, the investigator telephoned respondent, but respondent’s telephone was disconnected.  Thus, on August 29, 2008, the investigator also sent respondent an email notifying respondent that his response to the investigator’s July 24, 2008, letter was past due and asking respondent to contact the investigator immediately.  Respondent did not respond to that email.  No</w:t>
      </w:r>
      <w:r w:rsidR="007362FE">
        <w:t>r</w:t>
      </w:r>
      <w:r w:rsidR="00A03971">
        <w:t xml:space="preserve"> did respondent othe</w:t>
      </w:r>
      <w:r>
        <w:t>rwise contact the investigator.</w:t>
      </w:r>
    </w:p>
    <w:p w:rsidR="00A03971" w:rsidRDefault="00CB31BE" w:rsidP="00A03971">
      <w:pPr>
        <w:spacing w:line="480" w:lineRule="auto"/>
      </w:pPr>
      <w:r>
        <w:tab/>
      </w:r>
      <w:r w:rsidR="00A03971">
        <w:t>On September 16, 2008, the investigator telephoned respondent multiple times, but r</w:t>
      </w:r>
      <w:r w:rsidR="00123D1D">
        <w:t>espondent’s telephone number rang</w:t>
      </w:r>
      <w:r w:rsidR="00A03971">
        <w:t xml:space="preserve"> busy.   The investigator again telephoned respondent on October 9, 2008, but respondent's telephone was again disconnected. </w:t>
      </w:r>
    </w:p>
    <w:p w:rsidR="00A03971" w:rsidRPr="00CB31BE" w:rsidRDefault="00CB31BE" w:rsidP="00A03971">
      <w:pPr>
        <w:spacing w:line="480" w:lineRule="auto"/>
        <w:rPr>
          <w:b/>
          <w:i/>
        </w:rPr>
      </w:pPr>
      <w:r>
        <w:tab/>
      </w:r>
      <w:proofErr w:type="gramStart"/>
      <w:r w:rsidRPr="00CB31BE">
        <w:rPr>
          <w:b/>
          <w:i/>
        </w:rPr>
        <w:t>Count 1 – Failure to Communicate (§ 6068, subd.</w:t>
      </w:r>
      <w:proofErr w:type="gramEnd"/>
      <w:r w:rsidRPr="00CB31BE">
        <w:rPr>
          <w:b/>
          <w:i/>
        </w:rPr>
        <w:t xml:space="preserve"> (m))</w:t>
      </w:r>
    </w:p>
    <w:p w:rsidR="00573AD2" w:rsidRDefault="00CB31BE" w:rsidP="00A03971">
      <w:pPr>
        <w:spacing w:line="480" w:lineRule="auto"/>
      </w:pPr>
      <w:r>
        <w:tab/>
        <w:t>In count 1, the State Bar charges that respondent willfully violated his duty, under s</w:t>
      </w:r>
      <w:r w:rsidR="00573AD2">
        <w:t>ection 6068, subdivision (m), “</w:t>
      </w:r>
      <w:r w:rsidR="00573AD2" w:rsidRPr="00573AD2">
        <w:t>To respond promptly to reasonable status inquiries of clients</w:t>
      </w:r>
      <w:r w:rsidR="00573AD2">
        <w:t xml:space="preserve">. . . .”  The record clearly establishes that respondent willfully violated section 6068, subdivision (m) when he failed to respond to (1) </w:t>
      </w:r>
      <w:r w:rsidR="00A03971">
        <w:t xml:space="preserve">Rempola’s October 22, 2007, message; </w:t>
      </w:r>
      <w:r w:rsidR="00573AD2">
        <w:t xml:space="preserve">(2) </w:t>
      </w:r>
      <w:r w:rsidR="00A03971">
        <w:t xml:space="preserve">the numerous messages that Rempola and Harte left for respondent </w:t>
      </w:r>
      <w:r w:rsidR="00573AD2">
        <w:t>between late October 2007 and about mid-March 2008; and (3)</w:t>
      </w:r>
      <w:r w:rsidR="00A03971">
        <w:t xml:space="preserve"> Rempola’s March 11, 2008, faxed letter</w:t>
      </w:r>
      <w:r w:rsidR="00573AD2">
        <w:t>.</w:t>
      </w:r>
    </w:p>
    <w:p w:rsidR="00C96C1A" w:rsidRPr="00E22478" w:rsidRDefault="00C96C1A" w:rsidP="00C96C1A">
      <w:pPr>
        <w:spacing w:line="480" w:lineRule="auto"/>
      </w:pPr>
      <w:r>
        <w:tab/>
      </w:r>
      <w:r w:rsidRPr="00BD2A6E">
        <w:rPr>
          <w:b/>
          <w:i/>
        </w:rPr>
        <w:t xml:space="preserve">Count </w:t>
      </w:r>
      <w:r>
        <w:rPr>
          <w:b/>
          <w:i/>
        </w:rPr>
        <w:t>2</w:t>
      </w:r>
      <w:r w:rsidRPr="00BD2A6E">
        <w:rPr>
          <w:b/>
          <w:i/>
        </w:rPr>
        <w:t xml:space="preserve"> – </w:t>
      </w:r>
      <w:r>
        <w:rPr>
          <w:b/>
          <w:i/>
        </w:rPr>
        <w:t xml:space="preserve">Failure to Perform Competently </w:t>
      </w:r>
      <w:r w:rsidRPr="00B4184F">
        <w:rPr>
          <w:b/>
          <w:i/>
        </w:rPr>
        <w:t xml:space="preserve">(Rule </w:t>
      </w:r>
      <w:r>
        <w:rPr>
          <w:b/>
          <w:i/>
        </w:rPr>
        <w:t>3</w:t>
      </w:r>
      <w:r w:rsidRPr="00B4184F">
        <w:rPr>
          <w:b/>
          <w:i/>
        </w:rPr>
        <w:t>-1</w:t>
      </w:r>
      <w:r>
        <w:rPr>
          <w:b/>
          <w:i/>
        </w:rPr>
        <w:t>1</w:t>
      </w:r>
      <w:r w:rsidRPr="00B4184F">
        <w:rPr>
          <w:b/>
          <w:i/>
        </w:rPr>
        <w:t>0(A)</w:t>
      </w:r>
      <w:r>
        <w:rPr>
          <w:b/>
          <w:i/>
        </w:rPr>
        <w:t>)</w:t>
      </w:r>
    </w:p>
    <w:p w:rsidR="000F1EF8" w:rsidRPr="000F1EF8" w:rsidRDefault="00C96C1A" w:rsidP="000F1EF8">
      <w:pPr>
        <w:spacing w:line="480" w:lineRule="auto"/>
      </w:pPr>
      <w:r>
        <w:tab/>
        <w:t>In count 2, the State Bar charges that respondent willfully violated rule 3</w:t>
      </w:r>
      <w:r>
        <w:noBreakHyphen/>
      </w:r>
      <w:proofErr w:type="gramStart"/>
      <w:r>
        <w:t>110(</w:t>
      </w:r>
      <w:proofErr w:type="gramEnd"/>
      <w:r>
        <w:t>A) of the Rules of Professional Conduct of the State Bar of California</w:t>
      </w:r>
      <w:r w:rsidR="000F1EF8">
        <w:t>,</w:t>
      </w:r>
      <w:r w:rsidR="000F1EF8">
        <w:rPr>
          <w:rStyle w:val="FootnoteReference"/>
        </w:rPr>
        <w:footnoteReference w:id="2"/>
      </w:r>
      <w:r w:rsidR="000F1EF8">
        <w:t xml:space="preserve"> </w:t>
      </w:r>
      <w:r w:rsidR="000F1EF8" w:rsidRPr="000F1EF8">
        <w:t xml:space="preserve">which provides:  “A member shall not intentionally, recklessly, or repeatedly fail to perform legal services with competence.”  </w:t>
      </w:r>
      <w:r w:rsidR="000F1EF8" w:rsidRPr="000F1EF8">
        <w:lastRenderedPageBreak/>
        <w:t>Spec</w:t>
      </w:r>
      <w:r w:rsidR="000F1EF8">
        <w:t xml:space="preserve">ifically, the State Bar charges respondent </w:t>
      </w:r>
      <w:r w:rsidR="00F34AA0">
        <w:t xml:space="preserve">with </w:t>
      </w:r>
      <w:r w:rsidR="000F1EF8">
        <w:t>willfully violat</w:t>
      </w:r>
      <w:r w:rsidR="00F34AA0">
        <w:t xml:space="preserve">ing </w:t>
      </w:r>
      <w:r w:rsidR="006F6492">
        <w:t>rule 3</w:t>
      </w:r>
      <w:r w:rsidR="006F6492">
        <w:noBreakHyphen/>
      </w:r>
      <w:proofErr w:type="gramStart"/>
      <w:r w:rsidR="006F6492">
        <w:t>1</w:t>
      </w:r>
      <w:r w:rsidR="000F1EF8">
        <w:t>10(</w:t>
      </w:r>
      <w:proofErr w:type="gramEnd"/>
      <w:r w:rsidR="000F1EF8">
        <w:t xml:space="preserve">A) “By not completing any legal services to advance the administration of the trust for Gutman.”  </w:t>
      </w:r>
      <w:r w:rsidR="000F1EF8" w:rsidRPr="000F1EF8">
        <w:t>The record clearly establishes th</w:t>
      </w:r>
      <w:r w:rsidR="000F1EF8">
        <w:t>is charged violation</w:t>
      </w:r>
      <w:r w:rsidR="000F1EF8" w:rsidRPr="000F1EF8">
        <w:t xml:space="preserve"> of rule 3</w:t>
      </w:r>
      <w:r w:rsidR="00F34AA0">
        <w:noBreakHyphen/>
      </w:r>
      <w:proofErr w:type="gramStart"/>
      <w:r w:rsidR="000F1EF8" w:rsidRPr="000F1EF8">
        <w:t>110(</w:t>
      </w:r>
      <w:proofErr w:type="gramEnd"/>
      <w:r w:rsidR="000F1EF8">
        <w:t>A</w:t>
      </w:r>
      <w:r w:rsidR="000F1EF8" w:rsidRPr="000F1EF8">
        <w:t>)</w:t>
      </w:r>
      <w:r w:rsidR="000F1EF8">
        <w:t xml:space="preserve">.  </w:t>
      </w:r>
      <w:r w:rsidR="000F1EF8" w:rsidRPr="000F1EF8">
        <w:t xml:space="preserve">Respondent’s failure to perform </w:t>
      </w:r>
      <w:r w:rsidR="000F1EF8">
        <w:t xml:space="preserve">any </w:t>
      </w:r>
      <w:r w:rsidR="000F1EF8" w:rsidRPr="000F1EF8">
        <w:t>legal services</w:t>
      </w:r>
      <w:r w:rsidR="000F1EF8">
        <w:t xml:space="preserve"> of value to Gutman or the trust </w:t>
      </w:r>
      <w:r w:rsidR="000F1EF8" w:rsidRPr="000F1EF8">
        <w:t>w</w:t>
      </w:r>
      <w:r w:rsidR="000F1EF8">
        <w:t>as</w:t>
      </w:r>
      <w:r w:rsidR="006F6492">
        <w:t>, at a minimum,</w:t>
      </w:r>
      <w:r w:rsidR="000F1EF8">
        <w:t xml:space="preserve"> </w:t>
      </w:r>
      <w:r w:rsidR="000F1EF8" w:rsidRPr="000F1EF8">
        <w:t>clearly repeated.</w:t>
      </w:r>
    </w:p>
    <w:p w:rsidR="000F1EF8" w:rsidRPr="000F1EF8" w:rsidRDefault="000F1EF8" w:rsidP="00C96C1A">
      <w:pPr>
        <w:spacing w:line="480" w:lineRule="auto"/>
        <w:rPr>
          <w:b/>
          <w:i/>
        </w:rPr>
      </w:pPr>
      <w:r>
        <w:tab/>
      </w:r>
      <w:r w:rsidRPr="000F1EF8">
        <w:rPr>
          <w:b/>
          <w:i/>
        </w:rPr>
        <w:t>Count 3 – Failure to Account (Rule 4</w:t>
      </w:r>
      <w:r w:rsidRPr="000F1EF8">
        <w:rPr>
          <w:b/>
          <w:i/>
        </w:rPr>
        <w:noBreakHyphen/>
      </w:r>
      <w:proofErr w:type="gramStart"/>
      <w:r w:rsidRPr="000F1EF8">
        <w:rPr>
          <w:b/>
          <w:i/>
        </w:rPr>
        <w:t>100(</w:t>
      </w:r>
      <w:proofErr w:type="gramEnd"/>
      <w:r w:rsidRPr="000F1EF8">
        <w:rPr>
          <w:b/>
          <w:i/>
        </w:rPr>
        <w:t>B)(3))</w:t>
      </w:r>
    </w:p>
    <w:p w:rsidR="00BE7F94" w:rsidRDefault="000F1EF8" w:rsidP="00A03971">
      <w:pPr>
        <w:spacing w:line="480" w:lineRule="auto"/>
      </w:pPr>
      <w:r>
        <w:tab/>
        <w:t>In count 3, the State Bar charges that respondent willfully violated r</w:t>
      </w:r>
      <w:r w:rsidRPr="000F1EF8">
        <w:t>ule 4</w:t>
      </w:r>
      <w:r>
        <w:noBreakHyphen/>
      </w:r>
      <w:r w:rsidRPr="000F1EF8">
        <w:t>100(B)(3)</w:t>
      </w:r>
      <w:r>
        <w:t>, which provides, in part, that attorneys</w:t>
      </w:r>
      <w:r w:rsidR="00592277">
        <w:t xml:space="preserve"> must </w:t>
      </w:r>
      <w:r>
        <w:t>“</w:t>
      </w:r>
      <w:r w:rsidRPr="000F1EF8">
        <w:t xml:space="preserve">Maintain complete records of all funds, securities, and other properties of a client coming into the possession of the </w:t>
      </w:r>
      <w:r w:rsidR="00592277">
        <w:t>[attorney]</w:t>
      </w:r>
      <w:r w:rsidRPr="000F1EF8">
        <w:t xml:space="preserve"> or law firm and render appropriate accoun</w:t>
      </w:r>
      <w:r>
        <w:t xml:space="preserve">ts to the client regarding them. . . .”  Specifically, the State Bar charges that </w:t>
      </w:r>
      <w:r w:rsidR="00465E56">
        <w:t>respondent willfully violated r</w:t>
      </w:r>
      <w:r w:rsidR="00465E56" w:rsidRPr="000F1EF8">
        <w:t>ule 4</w:t>
      </w:r>
      <w:r w:rsidR="00465E56">
        <w:noBreakHyphen/>
      </w:r>
      <w:proofErr w:type="gramStart"/>
      <w:r w:rsidR="00465E56" w:rsidRPr="000F1EF8">
        <w:t>100(</w:t>
      </w:r>
      <w:proofErr w:type="gramEnd"/>
      <w:r w:rsidR="00465E56" w:rsidRPr="000F1EF8">
        <w:t>B)(3)</w:t>
      </w:r>
      <w:r w:rsidR="00465E56">
        <w:t xml:space="preserve"> “By not providing an accounting for the $5,000 [advanced fee] to Gutman.”  The record</w:t>
      </w:r>
      <w:r w:rsidR="00BE7F94">
        <w:t xml:space="preserve"> </w:t>
      </w:r>
      <w:r w:rsidR="00173AEE">
        <w:t xml:space="preserve">clearly </w:t>
      </w:r>
      <w:r w:rsidR="00465E56">
        <w:t>establish</w:t>
      </w:r>
      <w:r w:rsidR="00BE7F94">
        <w:t>es</w:t>
      </w:r>
      <w:r w:rsidR="00465E56">
        <w:t xml:space="preserve"> this charged violation.  </w:t>
      </w:r>
      <w:r w:rsidR="00BE7F94">
        <w:t>Even though r</w:t>
      </w:r>
      <w:r w:rsidR="00465E56">
        <w:t>espondent did not earn any portion of the $5,000 advanced fee</w:t>
      </w:r>
      <w:r w:rsidR="00BE7F94">
        <w:t xml:space="preserve">, he </w:t>
      </w:r>
      <w:r w:rsidR="00FD0AA4">
        <w:t>h</w:t>
      </w:r>
      <w:r w:rsidR="00BE7F94">
        <w:t>a</w:t>
      </w:r>
      <w:r w:rsidR="00725B71">
        <w:t>d</w:t>
      </w:r>
      <w:r w:rsidR="00BE7F94">
        <w:t xml:space="preserve"> duty to </w:t>
      </w:r>
      <w:r w:rsidR="00DD0C6F">
        <w:t>notify his client of that fact when the client requested an accounting.</w:t>
      </w:r>
    </w:p>
    <w:p w:rsidR="00465E56" w:rsidRPr="00465E56" w:rsidRDefault="00465E56" w:rsidP="00A03971">
      <w:pPr>
        <w:spacing w:line="480" w:lineRule="auto"/>
        <w:rPr>
          <w:b/>
          <w:i/>
        </w:rPr>
      </w:pPr>
      <w:r>
        <w:tab/>
      </w:r>
      <w:r w:rsidRPr="00465E56">
        <w:rPr>
          <w:b/>
          <w:i/>
        </w:rPr>
        <w:t>Count 4 – Failure to Refund Unearned Fee (Rule 3</w:t>
      </w:r>
      <w:r w:rsidRPr="00465E56">
        <w:rPr>
          <w:b/>
          <w:i/>
        </w:rPr>
        <w:noBreakHyphen/>
      </w:r>
      <w:proofErr w:type="gramStart"/>
      <w:r w:rsidRPr="00465E56">
        <w:rPr>
          <w:b/>
          <w:i/>
        </w:rPr>
        <w:t>700(</w:t>
      </w:r>
      <w:proofErr w:type="gramEnd"/>
      <w:r w:rsidRPr="00465E56">
        <w:rPr>
          <w:b/>
          <w:i/>
        </w:rPr>
        <w:t>D)(2))</w:t>
      </w:r>
    </w:p>
    <w:p w:rsidR="00D8488A" w:rsidRDefault="00D8488A" w:rsidP="00A03971">
      <w:pPr>
        <w:spacing w:line="480" w:lineRule="auto"/>
      </w:pPr>
      <w:r>
        <w:tab/>
        <w:t>In count 4, the State Bar charges that respondent willfully violated r</w:t>
      </w:r>
      <w:r w:rsidRPr="000F1EF8">
        <w:t xml:space="preserve">ule </w:t>
      </w:r>
      <w:r>
        <w:t>3</w:t>
      </w:r>
      <w:r>
        <w:noBreakHyphen/>
      </w:r>
      <w:proofErr w:type="gramStart"/>
      <w:r>
        <w:t>7</w:t>
      </w:r>
      <w:r w:rsidRPr="000F1EF8">
        <w:t>00(</w:t>
      </w:r>
      <w:proofErr w:type="gramEnd"/>
      <w:r>
        <w:t>D)(2</w:t>
      </w:r>
      <w:r w:rsidRPr="000F1EF8">
        <w:t>)</w:t>
      </w:r>
      <w:r>
        <w:t>, which provides, in part, that, upon termination of their employment, attorneys must “</w:t>
      </w:r>
      <w:r w:rsidRPr="00D8488A">
        <w:t>Promptly refund any part of a fee paid in advance that has not been earned.</w:t>
      </w:r>
      <w:r>
        <w:t>”</w:t>
      </w:r>
      <w:r w:rsidR="00C35FBF">
        <w:t xml:space="preserve">  Specifically, the State Bar charges that respondent willfully violated rule 3</w:t>
      </w:r>
      <w:r w:rsidR="00C35FBF">
        <w:noBreakHyphen/>
      </w:r>
      <w:proofErr w:type="gramStart"/>
      <w:r w:rsidR="00C35FBF">
        <w:t>7</w:t>
      </w:r>
      <w:r w:rsidR="00C35FBF" w:rsidRPr="000F1EF8">
        <w:t>00(</w:t>
      </w:r>
      <w:proofErr w:type="gramEnd"/>
      <w:r w:rsidR="00C35FBF">
        <w:t>D)(2</w:t>
      </w:r>
      <w:r w:rsidR="00C35FBF" w:rsidRPr="000F1EF8">
        <w:t>)</w:t>
      </w:r>
      <w:r w:rsidR="00C35FBF">
        <w:t xml:space="preserve"> “By not providing any refund of the $5,000 advance fee to Gutman. . . .”  The record clearly establishes this charged violation.</w:t>
      </w:r>
    </w:p>
    <w:p w:rsidR="00C35FBF" w:rsidRPr="00465E56" w:rsidRDefault="00C35FBF" w:rsidP="00C35FBF">
      <w:pPr>
        <w:spacing w:line="480" w:lineRule="auto"/>
        <w:rPr>
          <w:b/>
          <w:i/>
        </w:rPr>
      </w:pPr>
      <w:r>
        <w:rPr>
          <w:b/>
          <w:i/>
        </w:rPr>
        <w:tab/>
      </w:r>
      <w:r w:rsidRPr="00465E56">
        <w:rPr>
          <w:b/>
          <w:i/>
        </w:rPr>
        <w:t>Count</w:t>
      </w:r>
      <w:r>
        <w:rPr>
          <w:b/>
          <w:i/>
        </w:rPr>
        <w:t xml:space="preserve"> 5</w:t>
      </w:r>
      <w:r w:rsidRPr="00465E56">
        <w:rPr>
          <w:b/>
          <w:i/>
        </w:rPr>
        <w:t xml:space="preserve"> – Failure to Re</w:t>
      </w:r>
      <w:r>
        <w:rPr>
          <w:b/>
          <w:i/>
        </w:rPr>
        <w:t xml:space="preserve">lease Client File </w:t>
      </w:r>
      <w:r w:rsidRPr="00465E56">
        <w:rPr>
          <w:b/>
          <w:i/>
        </w:rPr>
        <w:t>(Rule 3</w:t>
      </w:r>
      <w:r w:rsidRPr="00465E56">
        <w:rPr>
          <w:b/>
          <w:i/>
        </w:rPr>
        <w:noBreakHyphen/>
      </w:r>
      <w:proofErr w:type="gramStart"/>
      <w:r w:rsidRPr="00465E56">
        <w:rPr>
          <w:b/>
          <w:i/>
        </w:rPr>
        <w:t>700(</w:t>
      </w:r>
      <w:proofErr w:type="gramEnd"/>
      <w:r w:rsidRPr="00465E56">
        <w:rPr>
          <w:b/>
          <w:i/>
        </w:rPr>
        <w:t>D)(</w:t>
      </w:r>
      <w:r>
        <w:rPr>
          <w:b/>
          <w:i/>
        </w:rPr>
        <w:t>1</w:t>
      </w:r>
      <w:r w:rsidRPr="00465E56">
        <w:rPr>
          <w:b/>
          <w:i/>
        </w:rPr>
        <w:t>))</w:t>
      </w:r>
    </w:p>
    <w:p w:rsidR="00C35FBF" w:rsidRDefault="00C35FBF" w:rsidP="00C35FBF">
      <w:pPr>
        <w:spacing w:line="480" w:lineRule="auto"/>
      </w:pPr>
      <w:r>
        <w:tab/>
        <w:t>In count 5, the State Bar charges that respondent willfully violated r</w:t>
      </w:r>
      <w:r w:rsidRPr="000F1EF8">
        <w:t xml:space="preserve">ule </w:t>
      </w:r>
      <w:r>
        <w:t>3</w:t>
      </w:r>
      <w:r>
        <w:noBreakHyphen/>
        <w:t>7</w:t>
      </w:r>
      <w:r w:rsidRPr="000F1EF8">
        <w:t>00(</w:t>
      </w:r>
      <w:r>
        <w:t>D)(1</w:t>
      </w:r>
      <w:r w:rsidRPr="000F1EF8">
        <w:t>)</w:t>
      </w:r>
      <w:r>
        <w:t>, which provides, in part, that, upon termination of their employment, attorneys must, “</w:t>
      </w:r>
      <w:r w:rsidRPr="00C35FBF">
        <w:t>Subject to any protective order or non-disclosure agreement, promptly release to the client, at the request of the client, all the client papers and property.</w:t>
      </w:r>
      <w:r>
        <w:t xml:space="preserve">”  Specifically, the State Bar charges that respondent </w:t>
      </w:r>
      <w:r>
        <w:lastRenderedPageBreak/>
        <w:t>willfully violated rule 3</w:t>
      </w:r>
      <w:r>
        <w:noBreakHyphen/>
      </w:r>
      <w:proofErr w:type="gramStart"/>
      <w:r>
        <w:t>7</w:t>
      </w:r>
      <w:r w:rsidRPr="000F1EF8">
        <w:t>00(</w:t>
      </w:r>
      <w:proofErr w:type="gramEnd"/>
      <w:r>
        <w:t>D)(1</w:t>
      </w:r>
      <w:r w:rsidRPr="000F1EF8">
        <w:t>)</w:t>
      </w:r>
      <w:r>
        <w:t xml:space="preserve"> by not providing Gutman’s file to either Gutman or Attorney Glasner in response to their requests that he do</w:t>
      </w:r>
      <w:r w:rsidR="00F34AA0">
        <w:t xml:space="preserve"> so</w:t>
      </w:r>
      <w:r>
        <w:t>.   Again, the record clearly establishes this charged violation.</w:t>
      </w:r>
    </w:p>
    <w:p w:rsidR="00753F07" w:rsidRPr="00753F07" w:rsidRDefault="00753F07" w:rsidP="00753F07">
      <w:pPr>
        <w:spacing w:line="480" w:lineRule="auto"/>
        <w:rPr>
          <w:b/>
          <w:bCs/>
          <w:i/>
          <w:iCs/>
        </w:rPr>
      </w:pPr>
      <w:r>
        <w:rPr>
          <w:b/>
          <w:bCs/>
          <w:i/>
          <w:iCs/>
        </w:rPr>
        <w:tab/>
      </w:r>
      <w:proofErr w:type="gramStart"/>
      <w:r w:rsidRPr="00753F07">
        <w:rPr>
          <w:b/>
          <w:bCs/>
          <w:i/>
          <w:iCs/>
        </w:rPr>
        <w:t>Count 6 -- Failure to Cooperate with State Bar (§ 6068, subd.</w:t>
      </w:r>
      <w:proofErr w:type="gramEnd"/>
      <w:r w:rsidRPr="00753F07">
        <w:rPr>
          <w:b/>
          <w:bCs/>
          <w:i/>
          <w:iCs/>
        </w:rPr>
        <w:t xml:space="preserve"> (</w:t>
      </w:r>
      <w:proofErr w:type="gramStart"/>
      <w:r w:rsidRPr="00753F07">
        <w:rPr>
          <w:b/>
          <w:bCs/>
          <w:i/>
          <w:iCs/>
        </w:rPr>
        <w:t>i</w:t>
      </w:r>
      <w:proofErr w:type="gramEnd"/>
      <w:r w:rsidRPr="00753F07">
        <w:rPr>
          <w:b/>
          <w:bCs/>
          <w:i/>
          <w:iCs/>
        </w:rPr>
        <w:t>))</w:t>
      </w:r>
    </w:p>
    <w:p w:rsidR="00567DD4" w:rsidRDefault="00753F07" w:rsidP="00753F07">
      <w:pPr>
        <w:spacing w:line="480" w:lineRule="auto"/>
      </w:pPr>
      <w:r w:rsidRPr="00753F07">
        <w:tab/>
        <w:t xml:space="preserve">In count 6, the State Bar charges that respondent willfully violated section 6068, subdivision (i), which requires that an attorney “cooperate and participate in any disciplinary investigation or other regulatory or disciplinary proceeding pending against himself or herself. . . .”  The record clearly establishes that respondent willfully violated section 6068, subdivision (i) by deliberately failing to respond to the State Bar investigator’s </w:t>
      </w:r>
      <w:r>
        <w:t>July 24</w:t>
      </w:r>
      <w:r w:rsidRPr="00753F07">
        <w:t>, 200</w:t>
      </w:r>
      <w:r>
        <w:t>8</w:t>
      </w:r>
      <w:r w:rsidR="006F6492">
        <w:t>, letter</w:t>
      </w:r>
      <w:r w:rsidRPr="00753F07">
        <w:t xml:space="preserve"> regarding the </w:t>
      </w:r>
      <w:r>
        <w:t xml:space="preserve">Gutman </w:t>
      </w:r>
      <w:r w:rsidRPr="00753F07">
        <w:t xml:space="preserve">client matter.  Such </w:t>
      </w:r>
      <w:r>
        <w:t xml:space="preserve">a </w:t>
      </w:r>
      <w:r w:rsidRPr="00753F07">
        <w:t>deliberate failure</w:t>
      </w:r>
      <w:r>
        <w:t xml:space="preserve"> to cooperate is </w:t>
      </w:r>
      <w:r w:rsidRPr="00753F07">
        <w:t>serious misconduct.</w:t>
      </w:r>
    </w:p>
    <w:p w:rsidR="00EA2D8F" w:rsidRPr="00070C4D" w:rsidRDefault="00692143" w:rsidP="00070C4D">
      <w:pPr>
        <w:spacing w:line="480" w:lineRule="auto"/>
        <w:jc w:val="center"/>
        <w:rPr>
          <w:b/>
        </w:rPr>
      </w:pPr>
      <w:r w:rsidRPr="00070C4D">
        <w:rPr>
          <w:b/>
        </w:rPr>
        <w:t xml:space="preserve">AGGRAVATING </w:t>
      </w:r>
      <w:r>
        <w:rPr>
          <w:b/>
        </w:rPr>
        <w:t xml:space="preserve">AND </w:t>
      </w:r>
      <w:r w:rsidRPr="00070C4D">
        <w:rPr>
          <w:b/>
        </w:rPr>
        <w:t>MITIGATING CIRCUMSTANCES</w:t>
      </w:r>
    </w:p>
    <w:p w:rsidR="00B94C6F" w:rsidRPr="00840038" w:rsidRDefault="00B94C6F" w:rsidP="00B94C6F">
      <w:pPr>
        <w:spacing w:line="480" w:lineRule="auto"/>
        <w:rPr>
          <w:b/>
        </w:rPr>
      </w:pPr>
      <w:r w:rsidRPr="00840038">
        <w:rPr>
          <w:b/>
        </w:rPr>
        <w:t>Aggravation</w:t>
      </w:r>
    </w:p>
    <w:p w:rsidR="00F06ADC" w:rsidRPr="00F06ADC" w:rsidRDefault="00B94C6F" w:rsidP="00F06ADC">
      <w:pPr>
        <w:spacing w:line="480" w:lineRule="auto"/>
      </w:pPr>
      <w:r>
        <w:tab/>
      </w:r>
      <w:r w:rsidRPr="00F06ADC">
        <w:t>The State Bar bears the burden of proving aggravating circumstances by clear and convincing evidence.  (Rules Proc. of State Bar, tit. IV, Stds. for Atty. Sanctions for Prof. Misconduct, std. 1.2(b).)</w:t>
      </w:r>
      <w:r w:rsidRPr="00F06ADC">
        <w:rPr>
          <w:vertAlign w:val="superscript"/>
        </w:rPr>
        <w:footnoteReference w:id="3"/>
      </w:r>
    </w:p>
    <w:p w:rsidR="00F06ADC" w:rsidRPr="00F06ADC" w:rsidRDefault="00F06ADC" w:rsidP="00F06ADC">
      <w:pPr>
        <w:spacing w:line="480" w:lineRule="auto"/>
        <w:rPr>
          <w:b/>
        </w:rPr>
      </w:pPr>
      <w:r w:rsidRPr="00F06ADC">
        <w:tab/>
      </w:r>
      <w:r w:rsidRPr="00F06ADC">
        <w:rPr>
          <w:b/>
        </w:rPr>
        <w:t>Multiple Acts of Misconduct</w:t>
      </w:r>
    </w:p>
    <w:p w:rsidR="00F06ADC" w:rsidRDefault="00F06ADC" w:rsidP="00F06ADC">
      <w:pPr>
        <w:spacing w:line="480" w:lineRule="auto"/>
      </w:pPr>
      <w:r w:rsidRPr="00F06ADC">
        <w:tab/>
        <w:t>Respondent’s misconduct in the present proceeding involves multiple acts of misconduct.  (Std 1.2(b</w:t>
      </w:r>
      <w:proofErr w:type="gramStart"/>
      <w:r w:rsidRPr="00F06ADC">
        <w:t>)(</w:t>
      </w:r>
      <w:proofErr w:type="gramEnd"/>
      <w:r w:rsidRPr="00F06ADC">
        <w:t>ii).)</w:t>
      </w:r>
    </w:p>
    <w:p w:rsidR="00567DD4" w:rsidRPr="00567DD4" w:rsidRDefault="00567DD4" w:rsidP="00F06ADC">
      <w:pPr>
        <w:spacing w:line="480" w:lineRule="auto"/>
        <w:rPr>
          <w:b/>
        </w:rPr>
      </w:pPr>
      <w:r>
        <w:tab/>
      </w:r>
      <w:r w:rsidRPr="00567DD4">
        <w:rPr>
          <w:b/>
        </w:rPr>
        <w:t>Significant Client Harm</w:t>
      </w:r>
    </w:p>
    <w:p w:rsidR="00567DD4" w:rsidRDefault="00567DD4" w:rsidP="00F06ADC">
      <w:pPr>
        <w:spacing w:line="480" w:lineRule="auto"/>
      </w:pPr>
      <w:r>
        <w:tab/>
        <w:t>R</w:t>
      </w:r>
      <w:r w:rsidRPr="00567DD4">
        <w:t>espondent’s misconduct caused significant client harm.  (Std. 1.2(b</w:t>
      </w:r>
      <w:proofErr w:type="gramStart"/>
      <w:r w:rsidRPr="00567DD4">
        <w:t>)(</w:t>
      </w:r>
      <w:proofErr w:type="gramEnd"/>
      <w:r w:rsidRPr="00567DD4">
        <w:t xml:space="preserve">iv).)  </w:t>
      </w:r>
      <w:r>
        <w:t xml:space="preserve">Respondent has </w:t>
      </w:r>
      <w:r w:rsidR="00BE7F94">
        <w:t xml:space="preserve">wrongfully </w:t>
      </w:r>
      <w:r>
        <w:t>deprived Gutman of her $5,000</w:t>
      </w:r>
      <w:r w:rsidR="00BE7F94">
        <w:t xml:space="preserve"> since March or April 2008</w:t>
      </w:r>
      <w:r>
        <w:t>.</w:t>
      </w:r>
    </w:p>
    <w:p w:rsidR="00DD0C6F" w:rsidRPr="00F06ADC" w:rsidRDefault="00DD0C6F" w:rsidP="00F06ADC">
      <w:pPr>
        <w:spacing w:line="480" w:lineRule="auto"/>
      </w:pPr>
    </w:p>
    <w:p w:rsidR="003259DA" w:rsidRPr="00F06ADC" w:rsidRDefault="00B94C6F" w:rsidP="00F06ADC">
      <w:pPr>
        <w:spacing w:line="480" w:lineRule="auto"/>
        <w:rPr>
          <w:b/>
          <w:bCs/>
        </w:rPr>
      </w:pPr>
      <w:r w:rsidRPr="00F06ADC">
        <w:lastRenderedPageBreak/>
        <w:tab/>
      </w:r>
      <w:r w:rsidR="003259DA" w:rsidRPr="00F06ADC">
        <w:rPr>
          <w:b/>
          <w:bCs/>
        </w:rPr>
        <w:t>Failure to File a Response to the NDC</w:t>
      </w:r>
    </w:p>
    <w:p w:rsidR="00F06ADC" w:rsidRDefault="00F06ADC" w:rsidP="00F06ADC">
      <w:pPr>
        <w:spacing w:line="480" w:lineRule="auto"/>
      </w:pPr>
      <w:r>
        <w:tab/>
      </w:r>
      <w:r w:rsidR="003259DA" w:rsidRPr="00F06ADC">
        <w:t>Respondent's failure to file a response to the NDC in the present proceeding, which allowed h</w:t>
      </w:r>
      <w:r>
        <w:t xml:space="preserve">is </w:t>
      </w:r>
      <w:r w:rsidR="003259DA" w:rsidRPr="00F06ADC">
        <w:t xml:space="preserve">default to be entered, is an aggravating circumstance.  </w:t>
      </w:r>
      <w:proofErr w:type="gramStart"/>
      <w:r w:rsidR="003259DA" w:rsidRPr="00F06ADC">
        <w:t xml:space="preserve">(See </w:t>
      </w:r>
      <w:r w:rsidR="003259DA" w:rsidRPr="00F06ADC">
        <w:rPr>
          <w:i/>
          <w:iCs/>
        </w:rPr>
        <w:t>Conroy v. State Bar</w:t>
      </w:r>
      <w:r w:rsidR="003259DA" w:rsidRPr="00F06ADC">
        <w:t xml:space="preserve"> (1990) 51 Cal.3d 799, 805.)</w:t>
      </w:r>
      <w:proofErr w:type="gramEnd"/>
      <w:r>
        <w:t xml:space="preserve">  </w:t>
      </w:r>
      <w:r w:rsidRPr="00F06ADC">
        <w:t>However, its weight in aggravation is limited because the conduct relied on for this aggravating factor closely equals the misconduct relied on to find respondent culpable of violating section 6068, subdivision (i) and to enter his default.  (</w:t>
      </w:r>
      <w:r w:rsidRPr="00F06ADC">
        <w:rPr>
          <w:i/>
        </w:rPr>
        <w:t>In the Matter of Bailey</w:t>
      </w:r>
      <w:r w:rsidRPr="00F06ADC">
        <w:t xml:space="preserve"> (Review Dept. 2001) 4 Cal. </w:t>
      </w:r>
      <w:proofErr w:type="gramStart"/>
      <w:r w:rsidRPr="00F06ADC">
        <w:t>State</w:t>
      </w:r>
      <w:proofErr w:type="gramEnd"/>
      <w:r w:rsidRPr="00F06ADC">
        <w:t xml:space="preserve"> Bar Ct. Rptr. 220, 225.)</w:t>
      </w:r>
      <w:r w:rsidR="003259DA" w:rsidRPr="00F06ADC">
        <w:t xml:space="preserve">  </w:t>
      </w:r>
    </w:p>
    <w:p w:rsidR="00B94C6F" w:rsidRDefault="00B94C6F" w:rsidP="00B94C6F">
      <w:pPr>
        <w:spacing w:line="480" w:lineRule="auto"/>
        <w:rPr>
          <w:b/>
        </w:rPr>
      </w:pPr>
      <w:r w:rsidRPr="00B94C6F">
        <w:rPr>
          <w:b/>
        </w:rPr>
        <w:t>Mitigation</w:t>
      </w:r>
    </w:p>
    <w:p w:rsidR="007D06AF" w:rsidRDefault="00B94C6F" w:rsidP="007D06AF">
      <w:pPr>
        <w:spacing w:line="480" w:lineRule="auto"/>
      </w:pPr>
      <w:r>
        <w:tab/>
      </w:r>
      <w:r w:rsidR="00BE5FB2">
        <w:t>T</w:t>
      </w:r>
      <w:r w:rsidR="007D06AF">
        <w:t>he State Bar</w:t>
      </w:r>
      <w:r w:rsidR="00BE5FB2">
        <w:t xml:space="preserve"> of California</w:t>
      </w:r>
      <w:r w:rsidR="007D06AF">
        <w:t>'s official membership records</w:t>
      </w:r>
      <w:r w:rsidR="00BE5FB2">
        <w:t>, of which this court takes judicial notice</w:t>
      </w:r>
      <w:r w:rsidR="00E17F15">
        <w:t>,</w:t>
      </w:r>
      <w:r w:rsidR="00BE5FB2">
        <w:t xml:space="preserve"> </w:t>
      </w:r>
      <w:r w:rsidR="007D06AF">
        <w:t xml:space="preserve">show that </w:t>
      </w:r>
      <w:r w:rsidR="007D06AF" w:rsidRPr="002712C8">
        <w:t xml:space="preserve">respondent </w:t>
      </w:r>
      <w:r w:rsidR="007D06AF">
        <w:t>has no prior record of discipline</w:t>
      </w:r>
      <w:r w:rsidR="00BE5FB2">
        <w:t xml:space="preserve"> and that</w:t>
      </w:r>
      <w:r w:rsidR="00AF5F2D">
        <w:t>, except for a six-day period in 1998 when he was su</w:t>
      </w:r>
      <w:r w:rsidR="00567DD4">
        <w:t>s</w:t>
      </w:r>
      <w:r w:rsidR="00AF5F2D">
        <w:t xml:space="preserve">pended for failing to timely pay his </w:t>
      </w:r>
      <w:r w:rsidR="00567DD4">
        <w:t xml:space="preserve">Bar </w:t>
      </w:r>
      <w:r w:rsidR="00AF5F2D">
        <w:t>membership fees, r</w:t>
      </w:r>
      <w:r w:rsidR="007D06AF">
        <w:t xml:space="preserve">espondent was </w:t>
      </w:r>
      <w:r w:rsidR="007D06AF" w:rsidRPr="002712C8">
        <w:t>continu</w:t>
      </w:r>
      <w:r w:rsidR="007D06AF">
        <w:t xml:space="preserve">ously </w:t>
      </w:r>
      <w:r w:rsidR="007D06AF" w:rsidRPr="002712C8">
        <w:t>an active member of the State Bar</w:t>
      </w:r>
      <w:r w:rsidR="007D06AF">
        <w:t xml:space="preserve"> from h</w:t>
      </w:r>
      <w:r w:rsidR="00AF5F2D">
        <w:t xml:space="preserve">is </w:t>
      </w:r>
      <w:r w:rsidR="007D06AF">
        <w:t>admission in December 19</w:t>
      </w:r>
      <w:r w:rsidR="00AF5F2D">
        <w:t>96</w:t>
      </w:r>
      <w:r w:rsidR="007D06AF">
        <w:t xml:space="preserve"> through </w:t>
      </w:r>
      <w:r w:rsidR="00AF5F2D">
        <w:t>June 27</w:t>
      </w:r>
      <w:r w:rsidR="007D06AF">
        <w:t>, 200</w:t>
      </w:r>
      <w:r w:rsidR="00AF5F2D">
        <w:t>9</w:t>
      </w:r>
      <w:r w:rsidR="007D06AF">
        <w:t xml:space="preserve">, when he was suspended for not </w:t>
      </w:r>
      <w:r w:rsidR="00AF5F2D">
        <w:t>filing a response to the NDC in this proceeding.</w:t>
      </w:r>
      <w:r w:rsidR="00E23C82">
        <w:t xml:space="preserve"> </w:t>
      </w:r>
      <w:r w:rsidR="007D06AF">
        <w:t xml:space="preserve"> </w:t>
      </w:r>
      <w:r w:rsidR="00E23C82">
        <w:t>Accordingly</w:t>
      </w:r>
      <w:r w:rsidR="007D06AF">
        <w:t xml:space="preserve">, </w:t>
      </w:r>
      <w:r w:rsidR="00BE5FB2">
        <w:t>respondent is entitled to mitigation for h</w:t>
      </w:r>
      <w:r w:rsidR="00AF5F2D">
        <w:t xml:space="preserve">is </w:t>
      </w:r>
      <w:r w:rsidR="00BE5FB2">
        <w:t>almost 1</w:t>
      </w:r>
      <w:r w:rsidR="00AF5F2D">
        <w:t>1</w:t>
      </w:r>
      <w:r w:rsidR="00BE5FB2">
        <w:t xml:space="preserve"> years</w:t>
      </w:r>
      <w:r w:rsidR="007D06AF">
        <w:t xml:space="preserve"> (from D</w:t>
      </w:r>
      <w:r w:rsidR="00BE5FB2">
        <w:t>ecember 19</w:t>
      </w:r>
      <w:r w:rsidR="00AF5F2D">
        <w:t>96</w:t>
      </w:r>
      <w:r w:rsidR="00BE5FB2">
        <w:t xml:space="preserve"> to </w:t>
      </w:r>
      <w:r w:rsidR="00AF5F2D">
        <w:t xml:space="preserve">October </w:t>
      </w:r>
      <w:r w:rsidR="00BE5FB2">
        <w:t>200</w:t>
      </w:r>
      <w:r w:rsidR="00AF5F2D">
        <w:t>7</w:t>
      </w:r>
      <w:r w:rsidR="00BE5FB2">
        <w:t>) of discipline-free practice</w:t>
      </w:r>
      <w:r w:rsidR="00E17F15">
        <w:t>.</w:t>
      </w:r>
      <w:r w:rsidR="00E23C82">
        <w:t xml:space="preserve">  (S</w:t>
      </w:r>
      <w:r w:rsidR="00E23C82" w:rsidRPr="001F1A78">
        <w:t>td 1.2(</w:t>
      </w:r>
      <w:r w:rsidR="00E23C82">
        <w:t>e</w:t>
      </w:r>
      <w:proofErr w:type="gramStart"/>
      <w:r w:rsidR="00E23C82" w:rsidRPr="001F1A78">
        <w:t>)(</w:t>
      </w:r>
      <w:proofErr w:type="gramEnd"/>
      <w:r w:rsidR="00E23C82" w:rsidRPr="001F1A78">
        <w:t xml:space="preserve">i).)  </w:t>
      </w:r>
    </w:p>
    <w:p w:rsidR="003259DA" w:rsidRPr="00B94C6F" w:rsidRDefault="00692143" w:rsidP="00B94C6F">
      <w:pPr>
        <w:spacing w:line="480" w:lineRule="auto"/>
        <w:jc w:val="center"/>
        <w:rPr>
          <w:b/>
        </w:rPr>
      </w:pPr>
      <w:r w:rsidRPr="00B94C6F">
        <w:rPr>
          <w:b/>
        </w:rPr>
        <w:t>DISCUSSION</w:t>
      </w:r>
    </w:p>
    <w:p w:rsidR="004938D6" w:rsidRDefault="00040D48" w:rsidP="004938D6">
      <w:pPr>
        <w:spacing w:line="480" w:lineRule="auto"/>
        <w:rPr>
          <w:b/>
        </w:rPr>
      </w:pPr>
      <w:r>
        <w:tab/>
      </w:r>
      <w:r w:rsidR="004938D6">
        <w:t xml:space="preserve">Standard 1.3 provides that the primary purposes of discipline are to protect the public, the courts, and the legal profession; to maintain the highest possible professional standards for attorneys; and to preserve public confidence in the legal profession.  </w:t>
      </w:r>
      <w:proofErr w:type="gramStart"/>
      <w:r w:rsidR="004938D6">
        <w:t>(</w:t>
      </w:r>
      <w:r w:rsidR="004938D6">
        <w:rPr>
          <w:i/>
          <w:iCs/>
        </w:rPr>
        <w:t>Chadwick v. State Bar</w:t>
      </w:r>
      <w:r w:rsidR="004938D6">
        <w:t xml:space="preserve"> (1989) 49 Cal.3d 103, 111.)</w:t>
      </w:r>
      <w:proofErr w:type="gramEnd"/>
    </w:p>
    <w:p w:rsidR="004938D6" w:rsidRDefault="004938D6" w:rsidP="004938D6">
      <w:pPr>
        <w:spacing w:line="480" w:lineRule="auto"/>
      </w:pPr>
      <w:r>
        <w:rPr>
          <w:b/>
        </w:rPr>
        <w:tab/>
      </w:r>
      <w:r>
        <w:t>In determining the appropriate level of discipline, this court looks first to the standards for guidance.  (</w:t>
      </w:r>
      <w:r>
        <w:rPr>
          <w:i/>
          <w:iCs/>
        </w:rPr>
        <w:t>Drociak v. State Bar</w:t>
      </w:r>
      <w:r>
        <w:t xml:space="preserve"> (1991) 52 Cal.3d 1095, 1090; </w:t>
      </w:r>
      <w:r>
        <w:rPr>
          <w:i/>
          <w:iCs/>
        </w:rPr>
        <w:t>In the Matter of Koehler</w:t>
      </w:r>
      <w:r>
        <w:t xml:space="preserve"> (Review Dept. 1991) 1 Cal. State Bar Ct. Rptr. 615, 628.)  Second, the court looks to decisional law.  </w:t>
      </w:r>
      <w:proofErr w:type="gramStart"/>
      <w:r>
        <w:t>(</w:t>
      </w:r>
      <w:r>
        <w:rPr>
          <w:i/>
          <w:iCs/>
        </w:rPr>
        <w:t>Snyder v. State Bar</w:t>
      </w:r>
      <w:r>
        <w:t xml:space="preserve"> (1990) 49 Cal.3d 1302, 1310</w:t>
      </w:r>
      <w:r>
        <w:noBreakHyphen/>
        <w:t xml:space="preserve">1311; </w:t>
      </w:r>
      <w:r w:rsidRPr="00CF574E">
        <w:rPr>
          <w:i/>
        </w:rPr>
        <w:t>In the Matter of Taylor</w:t>
      </w:r>
      <w:r>
        <w:t xml:space="preserve"> (Review </w:t>
      </w:r>
      <w:r>
        <w:lastRenderedPageBreak/>
        <w:t>Dept. 1991) 1 Cal. State Bar Ct. Rptr. 563, 580.)</w:t>
      </w:r>
      <w:proofErr w:type="gramEnd"/>
      <w:r w:rsidR="00371039">
        <w:t xml:space="preserve">  </w:t>
      </w:r>
      <w:r w:rsidR="00371039" w:rsidRPr="00371039">
        <w:t>As the review department noted more than 1</w:t>
      </w:r>
      <w:r w:rsidR="00371039">
        <w:t>8</w:t>
      </w:r>
      <w:r w:rsidR="00371039" w:rsidRPr="00371039">
        <w:t xml:space="preserve"> years ago in </w:t>
      </w:r>
      <w:r w:rsidR="00371039" w:rsidRPr="00371039">
        <w:rPr>
          <w:i/>
        </w:rPr>
        <w:t>In the Matter of Bouyer</w:t>
      </w:r>
      <w:r w:rsidR="00371039" w:rsidRPr="00371039">
        <w:t xml:space="preserve"> (Review Dept. 1991) 1 Cal. State Bar Ct. Rptr. 404, 419, even though the standards are not be applied in a talismanic fashion, they are to be followed unless there is a compelling reason that justifies not do so.  </w:t>
      </w:r>
      <w:proofErr w:type="gramStart"/>
      <w:r w:rsidR="00371039" w:rsidRPr="00371039">
        <w:t xml:space="preserve">(Accord, </w:t>
      </w:r>
      <w:r w:rsidR="00371039" w:rsidRPr="00371039">
        <w:rPr>
          <w:i/>
        </w:rPr>
        <w:t>In re Silverton</w:t>
      </w:r>
      <w:r w:rsidR="00371039" w:rsidRPr="00371039">
        <w:t xml:space="preserve"> (2005) 36 Cal.4th 81, 91; </w:t>
      </w:r>
      <w:r w:rsidR="00371039" w:rsidRPr="00371039">
        <w:rPr>
          <w:i/>
        </w:rPr>
        <w:t>Aronin v. State Bar</w:t>
      </w:r>
      <w:r w:rsidR="00371039" w:rsidRPr="00371039">
        <w:t xml:space="preserve"> (1990) 52 Cal.3d 276, 291.)</w:t>
      </w:r>
      <w:proofErr w:type="gramEnd"/>
      <w:r w:rsidR="00371039" w:rsidRPr="00371039">
        <w:t xml:space="preserve">  </w:t>
      </w:r>
      <w:r>
        <w:t xml:space="preserve">   </w:t>
      </w:r>
    </w:p>
    <w:p w:rsidR="00F1607D" w:rsidRDefault="004938D6" w:rsidP="004938D6">
      <w:pPr>
        <w:spacing w:line="480" w:lineRule="auto"/>
      </w:pPr>
      <w:r>
        <w:tab/>
        <w:t>Standard 1.6</w:t>
      </w:r>
      <w:r w:rsidR="007727D9">
        <w:t xml:space="preserve">(a) </w:t>
      </w:r>
      <w:r>
        <w:t>provides that</w:t>
      </w:r>
      <w:r w:rsidR="007727D9">
        <w:t>, i</w:t>
      </w:r>
      <w:r>
        <w:t xml:space="preserve">f two or more acts of professional misconduct are found in a single disciplinary proceeding, the sanction imposed shall be the most severe of the applicable sanctions.  </w:t>
      </w:r>
      <w:r w:rsidR="007727D9">
        <w:t>The most severe of the applicable sanctions in the present proceeding is found in s</w:t>
      </w:r>
      <w:r>
        <w:t>tandard</w:t>
      </w:r>
      <w:r w:rsidR="00BE7F94">
        <w:t xml:space="preserve"> 2.2(b)</w:t>
      </w:r>
      <w:r w:rsidR="00F1607D">
        <w:t>, which applies to respondent’s</w:t>
      </w:r>
      <w:r w:rsidR="00BE7F94">
        <w:t xml:space="preserve"> </w:t>
      </w:r>
      <w:r w:rsidR="00F1607D">
        <w:t>violation</w:t>
      </w:r>
      <w:r w:rsidR="00BE7F94">
        <w:t xml:space="preserve"> of rule 4</w:t>
      </w:r>
      <w:r w:rsidR="00BE7F94">
        <w:noBreakHyphen/>
        <w:t>100(B)(3) (failure to account for the $5,000 advanced fee)</w:t>
      </w:r>
      <w:r w:rsidR="007727D9">
        <w:t>.  S</w:t>
      </w:r>
      <w:r>
        <w:t xml:space="preserve">tandard </w:t>
      </w:r>
      <w:r w:rsidR="00BE7F94">
        <w:t xml:space="preserve">2.2(b) </w:t>
      </w:r>
      <w:r>
        <w:t>provides</w:t>
      </w:r>
      <w:r w:rsidR="00BE7F94">
        <w:t>, in part, that a violation of rule 4</w:t>
      </w:r>
      <w:r w:rsidR="00BE7F94">
        <w:noBreakHyphen/>
        <w:t xml:space="preserve">100 that does not involve the willful misappropriation of entrusted funds or property is to result in at least a three-month </w:t>
      </w:r>
      <w:r w:rsidR="0038212F">
        <w:t xml:space="preserve">actual </w:t>
      </w:r>
      <w:r w:rsidR="00BE7F94">
        <w:t>suspension irrespective of mitigating circumstances.</w:t>
      </w:r>
      <w:r>
        <w:t xml:space="preserve">  </w:t>
      </w:r>
    </w:p>
    <w:p w:rsidR="00665EEE" w:rsidRPr="00665EEE" w:rsidRDefault="00F1607D" w:rsidP="00F1607D">
      <w:pPr>
        <w:pStyle w:val="BodyTextIndent2"/>
        <w:spacing w:after="0"/>
        <w:ind w:left="0"/>
      </w:pPr>
      <w:r>
        <w:tab/>
      </w:r>
      <w:r w:rsidR="0038212F">
        <w:t>S</w:t>
      </w:r>
      <w:r w:rsidR="0038212F" w:rsidRPr="0038212F">
        <w:t>tandard 2.2(b)’s imposition of a three-month minimum suspension stems from the danger inherent in every violation of rule 4</w:t>
      </w:r>
      <w:r w:rsidR="00665EEE">
        <w:noBreakHyphen/>
      </w:r>
      <w:r w:rsidR="0038212F" w:rsidRPr="0038212F">
        <w:t xml:space="preserve">100.  </w:t>
      </w:r>
      <w:proofErr w:type="gramStart"/>
      <w:r w:rsidR="0038212F" w:rsidRPr="0038212F">
        <w:t>(</w:t>
      </w:r>
      <w:r w:rsidR="0038212F" w:rsidRPr="0038212F">
        <w:rPr>
          <w:i/>
        </w:rPr>
        <w:t>In the Matter of Whitehead</w:t>
      </w:r>
      <w:r w:rsidR="0038212F" w:rsidRPr="0038212F">
        <w:t xml:space="preserve"> (Review Dept. 1991) 1 Cal. State Bar Ct. Rptr. 354, 371.)</w:t>
      </w:r>
      <w:proofErr w:type="gramEnd"/>
      <w:r w:rsidR="00665EEE">
        <w:t xml:space="preserve">  Moreover, the Supreme Court </w:t>
      </w:r>
      <w:r w:rsidR="00FD0AA4">
        <w:t xml:space="preserve">views </w:t>
      </w:r>
      <w:r w:rsidR="00665EEE">
        <w:t xml:space="preserve">an attorney’s failure to refund </w:t>
      </w:r>
      <w:r w:rsidR="00FD0AA4">
        <w:t>an unearned fee</w:t>
      </w:r>
      <w:r w:rsidR="00665EEE">
        <w:t xml:space="preserve"> very seriously.  </w:t>
      </w:r>
      <w:r w:rsidR="00FD0AA4">
        <w:t>As t</w:t>
      </w:r>
      <w:r w:rsidR="00665EEE">
        <w:t xml:space="preserve">he court stated in </w:t>
      </w:r>
      <w:r w:rsidR="00665EEE">
        <w:rPr>
          <w:i/>
        </w:rPr>
        <w:t>Hulland v. State Bar</w:t>
      </w:r>
      <w:r w:rsidR="00665EEE">
        <w:t xml:space="preserve"> (1972) 8 Cal.3d 440, 449</w:t>
      </w:r>
      <w:r w:rsidR="00FD0AA4">
        <w:t xml:space="preserve">, </w:t>
      </w:r>
      <w:r w:rsidR="00665EEE">
        <w:t>“</w:t>
      </w:r>
      <w:r w:rsidR="00665EEE" w:rsidRPr="00665EEE">
        <w:t xml:space="preserve">Surely the legal profession is more than a mere </w:t>
      </w:r>
      <w:r w:rsidR="00665EEE">
        <w:t>‘</w:t>
      </w:r>
      <w:r w:rsidR="00665EEE" w:rsidRPr="00665EEE">
        <w:t>money getting trade</w:t>
      </w:r>
      <w:r w:rsidR="00665EEE">
        <w:t>’</w:t>
      </w:r>
      <w:r w:rsidR="00665EEE" w:rsidRPr="00665EEE">
        <w:t xml:space="preserve"> </w:t>
      </w:r>
      <w:r w:rsidR="00665EEE">
        <w:t>[citation];</w:t>
      </w:r>
      <w:r w:rsidR="00665EEE" w:rsidRPr="00665EEE">
        <w:t xml:space="preserve"> it at least requires the rendition of services for any payment received. </w:t>
      </w:r>
      <w:r w:rsidR="00665EEE">
        <w:t xml:space="preserve"> ‘</w:t>
      </w:r>
      <w:r w:rsidR="00665EEE" w:rsidRPr="00665EEE">
        <w:t xml:space="preserve">Taking money for services not performed or not to be performed is close to the crime of obtaining money by false </w:t>
      </w:r>
      <w:r w:rsidR="00665EEE">
        <w:t>p</w:t>
      </w:r>
      <w:r w:rsidR="00665EEE" w:rsidRPr="00665EEE">
        <w:t>retenses</w:t>
      </w:r>
      <w:r w:rsidR="00665EEE">
        <w:t xml:space="preserve">. . . .’  </w:t>
      </w:r>
      <w:proofErr w:type="gramStart"/>
      <w:r w:rsidR="00665EEE">
        <w:t>[Citations.]”</w:t>
      </w:r>
      <w:proofErr w:type="gramEnd"/>
    </w:p>
    <w:p w:rsidR="00F843D4" w:rsidRPr="00F843D4" w:rsidRDefault="00273F59" w:rsidP="00E31A18">
      <w:pPr>
        <w:pStyle w:val="BodyTextIndent2"/>
        <w:spacing w:after="0"/>
        <w:ind w:left="0"/>
      </w:pPr>
      <w:r>
        <w:tab/>
      </w:r>
      <w:r w:rsidRPr="00273F59">
        <w:t xml:space="preserve">In the present proceeding, the court </w:t>
      </w:r>
      <w:r w:rsidR="00DD0C6F">
        <w:t>views</w:t>
      </w:r>
      <w:r>
        <w:t xml:space="preserve"> </w:t>
      </w:r>
      <w:r w:rsidR="00E31A18">
        <w:t xml:space="preserve">the </w:t>
      </w:r>
      <w:r w:rsidR="00E31A18" w:rsidRPr="00DD0C6F">
        <w:rPr>
          <w:u w:val="single"/>
        </w:rPr>
        <w:t>minimum</w:t>
      </w:r>
      <w:r w:rsidR="00E31A18">
        <w:t xml:space="preserve"> </w:t>
      </w:r>
      <w:r>
        <w:t xml:space="preserve">three-month </w:t>
      </w:r>
      <w:r w:rsidR="00E31A18">
        <w:t xml:space="preserve">actual </w:t>
      </w:r>
      <w:r>
        <w:t>suspension</w:t>
      </w:r>
      <w:r w:rsidR="00FD0AA4">
        <w:t xml:space="preserve"> called for under </w:t>
      </w:r>
      <w:r>
        <w:t>s</w:t>
      </w:r>
      <w:r w:rsidRPr="00273F59">
        <w:t>tandard 2.2(</w:t>
      </w:r>
      <w:r>
        <w:t>b</w:t>
      </w:r>
      <w:r w:rsidRPr="00273F59">
        <w:t>)</w:t>
      </w:r>
      <w:r w:rsidR="00DD0C6F">
        <w:t xml:space="preserve"> is appropriate</w:t>
      </w:r>
      <w:r w:rsidRPr="00273F59">
        <w:t>.</w:t>
      </w:r>
      <w:r w:rsidR="00E31A18">
        <w:t xml:space="preserve">  Moreover, a</w:t>
      </w:r>
      <w:r w:rsidR="004F4F00">
        <w:t xml:space="preserve">fter carefully considering the </w:t>
      </w:r>
      <w:r w:rsidR="004277F3">
        <w:t xml:space="preserve">found </w:t>
      </w:r>
      <w:r w:rsidR="004F4F00">
        <w:t xml:space="preserve">misconduct, the aggravating and mitigating circumstances, the standards, and case law, the court concludes that the appropriate level of discipline to recommend in this proceeding is a </w:t>
      </w:r>
      <w:r w:rsidR="002C01EB">
        <w:t>t</w:t>
      </w:r>
      <w:r w:rsidR="00E31A18">
        <w:t>hree</w:t>
      </w:r>
      <w:r w:rsidR="004F4F00">
        <w:t xml:space="preserve">-year </w:t>
      </w:r>
      <w:r w:rsidR="004F4F00">
        <w:lastRenderedPageBreak/>
        <w:t xml:space="preserve">stayed suspension and a </w:t>
      </w:r>
      <w:r w:rsidR="002C01EB">
        <w:t>ninety</w:t>
      </w:r>
      <w:r w:rsidR="004F4F00">
        <w:t xml:space="preserve">-day </w:t>
      </w:r>
      <w:r w:rsidR="00E31A18">
        <w:t xml:space="preserve">actual </w:t>
      </w:r>
      <w:r w:rsidR="004F4F00">
        <w:t xml:space="preserve">suspension </w:t>
      </w:r>
      <w:r w:rsidR="00F843D4" w:rsidRPr="00F843D4">
        <w:t>continu</w:t>
      </w:r>
      <w:r w:rsidR="002C01EB">
        <w:t xml:space="preserve">ing </w:t>
      </w:r>
      <w:r w:rsidR="00F843D4" w:rsidRPr="00F843D4">
        <w:t xml:space="preserve">until </w:t>
      </w:r>
      <w:r w:rsidR="00E31A18">
        <w:t xml:space="preserve">(1) </w:t>
      </w:r>
      <w:r w:rsidR="00F843D4" w:rsidRPr="00F843D4">
        <w:t xml:space="preserve">respondent makes </w:t>
      </w:r>
      <w:r w:rsidR="00FD0AA4">
        <w:t xml:space="preserve">full </w:t>
      </w:r>
      <w:r w:rsidR="002C01EB">
        <w:t xml:space="preserve">restitution to Gutman and </w:t>
      </w:r>
      <w:r w:rsidR="00E31A18">
        <w:t xml:space="preserve">(2) </w:t>
      </w:r>
      <w:r w:rsidR="002C01EB">
        <w:t xml:space="preserve">respondent makes </w:t>
      </w:r>
      <w:r w:rsidR="00F843D4" w:rsidRPr="00F843D4">
        <w:t>and the State Bar Court grants a motion to terminate h</w:t>
      </w:r>
      <w:r w:rsidR="002C01EB">
        <w:t>is</w:t>
      </w:r>
      <w:r w:rsidR="00F843D4" w:rsidRPr="00F843D4">
        <w:t xml:space="preserve"> </w:t>
      </w:r>
      <w:r w:rsidR="00FD0AA4">
        <w:t xml:space="preserve">actual </w:t>
      </w:r>
      <w:r w:rsidR="00F843D4" w:rsidRPr="00F843D4">
        <w:t>suspension (Rules Proc. of State Bar, rule 205).</w:t>
      </w:r>
    </w:p>
    <w:p w:rsidR="003259DA" w:rsidRPr="00EB236E" w:rsidRDefault="00692143" w:rsidP="009D2A57">
      <w:pPr>
        <w:pStyle w:val="Heading1"/>
        <w:rPr>
          <w:b w:val="0"/>
          <w:u w:val="single"/>
        </w:rPr>
      </w:pPr>
      <w:r w:rsidRPr="009D2A57">
        <w:t>DISCIPLINE RECOMMENDATION</w:t>
      </w:r>
    </w:p>
    <w:p w:rsidR="00692143" w:rsidRDefault="00692143" w:rsidP="00692143">
      <w:pPr>
        <w:tabs>
          <w:tab w:val="center" w:pos="4680"/>
        </w:tabs>
        <w:spacing w:line="480" w:lineRule="auto"/>
        <w:rPr>
          <w:b/>
          <w:bCs/>
        </w:rPr>
      </w:pPr>
      <w:r>
        <w:rPr>
          <w:b/>
          <w:bCs/>
          <w:u w:val="single"/>
        </w:rPr>
        <w:t>Suspension Recommended</w:t>
      </w:r>
    </w:p>
    <w:p w:rsidR="00250C91" w:rsidRDefault="00692143" w:rsidP="00250C91">
      <w:pPr>
        <w:spacing w:line="480" w:lineRule="auto"/>
        <w:ind w:firstLine="720"/>
      </w:pPr>
      <w:r>
        <w:t>It is hereby recommended</w:t>
      </w:r>
      <w:r w:rsidR="00EB236E" w:rsidRPr="007E71D6">
        <w:t xml:space="preserve"> that </w:t>
      </w:r>
      <w:bookmarkStart w:id="6" w:name="resp2"/>
      <w:bookmarkEnd w:id="6"/>
      <w:r w:rsidR="00EB236E">
        <w:t xml:space="preserve">respondent </w:t>
      </w:r>
      <w:r w:rsidR="002C01EB">
        <w:rPr>
          <w:b/>
          <w:bCs/>
        </w:rPr>
        <w:t>ROBERT DUANE GEORGE</w:t>
      </w:r>
      <w:r w:rsidR="00EB236E" w:rsidRPr="007E71D6">
        <w:t xml:space="preserve">, State Bar </w:t>
      </w:r>
      <w:r w:rsidR="00EB236E">
        <w:t>n</w:t>
      </w:r>
      <w:r w:rsidR="00EB236E" w:rsidRPr="007E71D6">
        <w:t xml:space="preserve">umber </w:t>
      </w:r>
      <w:bookmarkStart w:id="7" w:name="barno"/>
      <w:bookmarkEnd w:id="7"/>
      <w:r w:rsidR="00EB236E">
        <w:t>1</w:t>
      </w:r>
      <w:r w:rsidR="002C01EB">
        <w:t>85306</w:t>
      </w:r>
      <w:r w:rsidR="00EB236E">
        <w:t>,</w:t>
      </w:r>
      <w:r w:rsidR="00EB236E" w:rsidRPr="007E71D6">
        <w:t xml:space="preserve"> be suspended from the practice of law in California for </w:t>
      </w:r>
      <w:bookmarkStart w:id="8" w:name="susp"/>
      <w:bookmarkEnd w:id="8"/>
      <w:r w:rsidR="005038AD">
        <w:t>t</w:t>
      </w:r>
      <w:r w:rsidR="00E31A18">
        <w:t>hree</w:t>
      </w:r>
      <w:r w:rsidR="005038AD">
        <w:t xml:space="preserve"> </w:t>
      </w:r>
      <w:r w:rsidR="00EB236E">
        <w:t>year</w:t>
      </w:r>
      <w:r w:rsidR="002C01EB">
        <w:t>s</w:t>
      </w:r>
      <w:r w:rsidR="00C053C0">
        <w:t>;</w:t>
      </w:r>
      <w:r w:rsidR="00EB236E" w:rsidRPr="007E71D6">
        <w:t xml:space="preserve"> that execution of that period of suspension be stayed</w:t>
      </w:r>
      <w:r w:rsidR="00C053C0">
        <w:t xml:space="preserve">; and that </w:t>
      </w:r>
      <w:r w:rsidR="00E31A18">
        <w:t xml:space="preserve">respondent </w:t>
      </w:r>
      <w:r w:rsidR="00C053C0">
        <w:t xml:space="preserve">be actually suspended from the practice of law for </w:t>
      </w:r>
      <w:r w:rsidR="002C01EB">
        <w:t xml:space="preserve">ninety </w:t>
      </w:r>
      <w:r w:rsidR="00C053C0">
        <w:t xml:space="preserve">days </w:t>
      </w:r>
      <w:r w:rsidR="00C053C0" w:rsidRPr="00675665">
        <w:rPr>
          <w:u w:val="single"/>
        </w:rPr>
        <w:t>and</w:t>
      </w:r>
      <w:r w:rsidR="00C053C0">
        <w:t xml:space="preserve"> until the following conditions are satisfied:</w:t>
      </w:r>
    </w:p>
    <w:p w:rsidR="00E31A18" w:rsidRPr="00250C91" w:rsidRDefault="00250C91" w:rsidP="00250C91">
      <w:pPr>
        <w:numPr>
          <w:ilvl w:val="0"/>
          <w:numId w:val="4"/>
        </w:numPr>
        <w:spacing w:line="480" w:lineRule="auto"/>
        <w:ind w:left="1170" w:hanging="450"/>
      </w:pPr>
      <w:r>
        <w:rPr>
          <w:bCs/>
        </w:rPr>
        <w:t xml:space="preserve">Respondent </w:t>
      </w:r>
      <w:r w:rsidRPr="00250C91">
        <w:rPr>
          <w:bCs/>
        </w:rPr>
        <w:t xml:space="preserve">makes restitution to </w:t>
      </w:r>
      <w:r>
        <w:rPr>
          <w:bCs/>
        </w:rPr>
        <w:t xml:space="preserve">Georgia </w:t>
      </w:r>
      <w:r w:rsidRPr="00250C91">
        <w:rPr>
          <w:bCs/>
        </w:rPr>
        <w:t>Gutman in the amount of $5,000 plus 10 percent interest per annum from May 9, 2008 (or reimburses the Client Security Fund to the extent of any payment from the fund to Gutman, in accordance with Business and Professions Code section 6140.5) and furnishes satisfactory proof to the State Bar’s Office of Probation in Los Angeles</w:t>
      </w:r>
      <w:r>
        <w:rPr>
          <w:bCs/>
        </w:rPr>
        <w:t xml:space="preserve">.  </w:t>
      </w:r>
      <w:r w:rsidRPr="00250C91">
        <w:rPr>
          <w:bCs/>
        </w:rPr>
        <w:t>Any restitution to the Client Security Fund is enforceable as provided in Business and Professions Code section 6140.5, subdivisions (c) and (d).</w:t>
      </w:r>
    </w:p>
    <w:p w:rsidR="00C053C0" w:rsidRDefault="00C053C0" w:rsidP="00250C91">
      <w:pPr>
        <w:numPr>
          <w:ilvl w:val="0"/>
          <w:numId w:val="4"/>
        </w:numPr>
        <w:spacing w:line="480" w:lineRule="auto"/>
        <w:ind w:left="1170" w:hanging="450"/>
      </w:pPr>
      <w:r>
        <w:t>The State Bar Court has granted a motion to terminate respondent’s actual suspension under rule 205 of the Rules of Procedure</w:t>
      </w:r>
      <w:r w:rsidR="00250C91">
        <w:t xml:space="preserve"> of the State Bar.</w:t>
      </w:r>
    </w:p>
    <w:p w:rsidR="00EB236E" w:rsidRDefault="00E96BD3" w:rsidP="00250C91">
      <w:pPr>
        <w:numPr>
          <w:ilvl w:val="0"/>
          <w:numId w:val="4"/>
        </w:numPr>
        <w:spacing w:line="480" w:lineRule="auto"/>
        <w:ind w:left="1170" w:hanging="450"/>
      </w:pPr>
      <w:r>
        <w:t>I</w:t>
      </w:r>
      <w:r w:rsidR="00EB236E" w:rsidRPr="007E71D6">
        <w:t xml:space="preserve">f </w:t>
      </w:r>
      <w:r w:rsidR="00C053C0">
        <w:t xml:space="preserve">respondent </w:t>
      </w:r>
      <w:r w:rsidR="00EB236E" w:rsidRPr="007E71D6">
        <w:t>remains suspended for two years or more as a result of not satisfying the preceding condition</w:t>
      </w:r>
      <w:r w:rsidR="00250C91">
        <w:t>s</w:t>
      </w:r>
      <w:r w:rsidR="00EB236E" w:rsidRPr="007E71D6">
        <w:t xml:space="preserve">, </w:t>
      </w:r>
      <w:r>
        <w:t xml:space="preserve">he </w:t>
      </w:r>
      <w:r w:rsidR="007B1215">
        <w:t>must show</w:t>
      </w:r>
      <w:r>
        <w:t xml:space="preserve"> </w:t>
      </w:r>
      <w:r w:rsidRPr="005603D6">
        <w:t>proof satisfacto</w:t>
      </w:r>
      <w:r>
        <w:t>ry to the State Bar Court of h</w:t>
      </w:r>
      <w:r w:rsidR="00250C91">
        <w:t>is</w:t>
      </w:r>
      <w:r w:rsidRPr="005603D6">
        <w:t xml:space="preserve"> rehabilitation, fitness to practice, and learning and ability in the general law </w:t>
      </w:r>
      <w:r w:rsidR="00FD0AA4">
        <w:t>in accordance with</w:t>
      </w:r>
      <w:r>
        <w:t xml:space="preserve"> standard 1.4(c)(ii)</w:t>
      </w:r>
      <w:bookmarkStart w:id="9" w:name="gender3"/>
      <w:bookmarkEnd w:id="9"/>
      <w:r w:rsidR="00FD0AA4">
        <w:t>.</w:t>
      </w:r>
    </w:p>
    <w:p w:rsidR="00DD0C6F" w:rsidRDefault="00DD0C6F" w:rsidP="00DD0C6F">
      <w:pPr>
        <w:spacing w:line="480" w:lineRule="auto"/>
        <w:ind w:left="1170"/>
      </w:pPr>
    </w:p>
    <w:p w:rsidR="00DD0C6F" w:rsidRDefault="00DD0C6F" w:rsidP="00DD0C6F">
      <w:pPr>
        <w:spacing w:line="480" w:lineRule="auto"/>
        <w:ind w:left="1170"/>
      </w:pPr>
    </w:p>
    <w:p w:rsidR="00E96BD3" w:rsidRPr="006B4030" w:rsidRDefault="00E96BD3" w:rsidP="00E96BD3">
      <w:pPr>
        <w:spacing w:line="480" w:lineRule="auto"/>
        <w:rPr>
          <w:b/>
          <w:u w:val="single"/>
        </w:rPr>
      </w:pPr>
      <w:r w:rsidRPr="006B4030">
        <w:rPr>
          <w:b/>
          <w:u w:val="single"/>
        </w:rPr>
        <w:lastRenderedPageBreak/>
        <w:t>Future Probation</w:t>
      </w:r>
    </w:p>
    <w:p w:rsidR="00E96BD3" w:rsidRDefault="00E96BD3" w:rsidP="00E96BD3">
      <w:pPr>
        <w:spacing w:line="480" w:lineRule="auto"/>
        <w:ind w:firstLine="720"/>
      </w:pPr>
      <w:r>
        <w:t xml:space="preserve">It is </w:t>
      </w:r>
      <w:r w:rsidR="00DD0C6F">
        <w:t xml:space="preserve">also </w:t>
      </w:r>
      <w:r>
        <w:t xml:space="preserve">recommended that respondent be ordered to comply with any probation conditions hereafter imposed </w:t>
      </w:r>
      <w:r w:rsidR="00B94C19">
        <w:t xml:space="preserve">on him </w:t>
      </w:r>
      <w:r>
        <w:t>by the State Bar Court as a condit</w:t>
      </w:r>
      <w:r w:rsidR="0070798E">
        <w:t>ion for terminating his</w:t>
      </w:r>
      <w:r>
        <w:t xml:space="preserve"> actual suspension.  </w:t>
      </w:r>
      <w:proofErr w:type="gramStart"/>
      <w:r>
        <w:t>(Rules Proc. of State Bar, rule 205(g).)</w:t>
      </w:r>
      <w:proofErr w:type="gramEnd"/>
    </w:p>
    <w:p w:rsidR="00E96BD3" w:rsidRPr="007B1215" w:rsidRDefault="007B1215" w:rsidP="00E96BD3">
      <w:pPr>
        <w:spacing w:line="480" w:lineRule="auto"/>
        <w:rPr>
          <w:b/>
          <w:u w:val="single"/>
        </w:rPr>
      </w:pPr>
      <w:r w:rsidRPr="007B1215">
        <w:rPr>
          <w:b/>
          <w:u w:val="single"/>
        </w:rPr>
        <w:t>Multistate Professional Responsibility Examination</w:t>
      </w:r>
    </w:p>
    <w:p w:rsidR="00250C91" w:rsidRDefault="00E96BD3" w:rsidP="00E96BD3">
      <w:pPr>
        <w:spacing w:line="480" w:lineRule="auto"/>
        <w:ind w:firstLine="720"/>
      </w:pPr>
      <w:r>
        <w:t xml:space="preserve">It is further recommended that respondent </w:t>
      </w:r>
      <w:r w:rsidR="0070798E">
        <w:t xml:space="preserve">be required to </w:t>
      </w:r>
      <w:r>
        <w:t xml:space="preserve">take and pass the Multistate Professional Responsibility Examination </w:t>
      </w:r>
      <w:r w:rsidRPr="00B10DD4">
        <w:t xml:space="preserve">within one year after the effective date of the Supreme Court order in this matter </w:t>
      </w:r>
      <w:r>
        <w:t>or during the period of h</w:t>
      </w:r>
      <w:r w:rsidR="0070798E">
        <w:t>is</w:t>
      </w:r>
      <w:r>
        <w:t xml:space="preserve"> suspension, whichever is longer, </w:t>
      </w:r>
      <w:r w:rsidRPr="00B10DD4">
        <w:t>and to provide satisfactory proof of h</w:t>
      </w:r>
      <w:r w:rsidR="0070798E">
        <w:t>is</w:t>
      </w:r>
      <w:r w:rsidRPr="00B10DD4">
        <w:t xml:space="preserve"> passage to the State Bar's Office of Probation </w:t>
      </w:r>
      <w:r>
        <w:t xml:space="preserve">in Los Angeles </w:t>
      </w:r>
      <w:r w:rsidRPr="00B10DD4">
        <w:t>within that same time period.</w:t>
      </w:r>
      <w:r w:rsidR="00250C91">
        <w:t xml:space="preserve"> </w:t>
      </w:r>
      <w:r>
        <w:t xml:space="preserve"> </w:t>
      </w:r>
      <w:proofErr w:type="gramStart"/>
      <w:r>
        <w:t xml:space="preserve">(See </w:t>
      </w:r>
      <w:r>
        <w:rPr>
          <w:i/>
          <w:iCs/>
        </w:rPr>
        <w:t>Segretti v. State Bar</w:t>
      </w:r>
      <w:r>
        <w:t xml:space="preserve"> (1976) 15 Cal.3d 878, 891, fn. 8.)</w:t>
      </w:r>
      <w:proofErr w:type="gramEnd"/>
    </w:p>
    <w:p w:rsidR="00E96BD3" w:rsidRDefault="00E96BD3" w:rsidP="00E96BD3">
      <w:pPr>
        <w:spacing w:line="480" w:lineRule="auto"/>
      </w:pPr>
      <w:r>
        <w:rPr>
          <w:b/>
          <w:bCs/>
          <w:u w:val="single"/>
        </w:rPr>
        <w:t>Rule 9.20</w:t>
      </w:r>
    </w:p>
    <w:p w:rsidR="005A3177" w:rsidRDefault="00186427" w:rsidP="00055A97">
      <w:pPr>
        <w:pStyle w:val="BodyTextIndent2"/>
        <w:spacing w:after="0"/>
        <w:ind w:left="0" w:firstLine="720"/>
      </w:pPr>
      <w:r>
        <w:t xml:space="preserve">It is further </w:t>
      </w:r>
      <w:r w:rsidR="00EB236E" w:rsidRPr="00055A97">
        <w:t>recommend</w:t>
      </w:r>
      <w:r>
        <w:t>ed</w:t>
      </w:r>
      <w:r w:rsidR="00EB236E" w:rsidRPr="00055A97">
        <w:t xml:space="preserve"> that</w:t>
      </w:r>
      <w:r w:rsidR="005A3177" w:rsidRPr="00055A97">
        <w:t xml:space="preserve"> </w:t>
      </w:r>
      <w:bookmarkStart w:id="10" w:name="g8"/>
      <w:bookmarkEnd w:id="10"/>
      <w:r w:rsidR="00055A97" w:rsidRPr="00055A97">
        <w:t>respondent</w:t>
      </w:r>
      <w:r w:rsidR="005A3177" w:rsidRPr="00055A97">
        <w:t xml:space="preserve"> be </w:t>
      </w:r>
      <w:r w:rsidR="00B94C19">
        <w:t>ordered to comply with California Rules of Court, rule 9.20 and to perform the acts specified in subdivisions (a) and (c) of that rule within 30 and 40 calendar days, respectively, after the effective date of the Supreme Court order in this matter.</w:t>
      </w:r>
      <w:r w:rsidR="00877CC0">
        <w:rPr>
          <w:rStyle w:val="FootnoteReference"/>
          <w:sz w:val="26"/>
          <w:szCs w:val="36"/>
        </w:rPr>
        <w:footnoteReference w:id="4"/>
      </w:r>
    </w:p>
    <w:p w:rsidR="00866A52" w:rsidRPr="009444B8" w:rsidRDefault="00866A52" w:rsidP="00866A52">
      <w:pPr>
        <w:numPr>
          <w:ilvl w:val="12"/>
          <w:numId w:val="0"/>
        </w:numPr>
        <w:spacing w:line="480" w:lineRule="auto"/>
        <w:rPr>
          <w:b/>
        </w:rPr>
      </w:pPr>
      <w:r w:rsidRPr="009444B8">
        <w:rPr>
          <w:b/>
          <w:u w:val="single"/>
        </w:rPr>
        <w:t>Costs</w:t>
      </w:r>
    </w:p>
    <w:p w:rsidR="00DD0C6F" w:rsidRDefault="00866A52" w:rsidP="0070798E">
      <w:pPr>
        <w:spacing w:line="480" w:lineRule="auto"/>
        <w:ind w:firstLine="720"/>
      </w:pPr>
      <w:r>
        <w:t xml:space="preserve">It is further recommended that costs be awarded to the State Bar in accordance with </w:t>
      </w:r>
      <w:r w:rsidR="0070798E">
        <w:t xml:space="preserve">Business and Professions Code section </w:t>
      </w:r>
      <w:r>
        <w:t xml:space="preserve">6086.10 and that such costs be enforceable both as </w:t>
      </w:r>
    </w:p>
    <w:p w:rsidR="00DD0C6F" w:rsidRDefault="00DD0C6F" w:rsidP="0070798E">
      <w:pPr>
        <w:spacing w:line="480" w:lineRule="auto"/>
        <w:ind w:firstLine="720"/>
      </w:pPr>
    </w:p>
    <w:p w:rsidR="00DD0C6F" w:rsidRDefault="00DD0C6F" w:rsidP="0070798E">
      <w:pPr>
        <w:spacing w:line="480" w:lineRule="auto"/>
        <w:ind w:firstLine="720"/>
      </w:pPr>
    </w:p>
    <w:p w:rsidR="00866A52" w:rsidRDefault="00866A52" w:rsidP="00DD0C6F">
      <w:pPr>
        <w:spacing w:line="480" w:lineRule="auto"/>
      </w:pPr>
      <w:proofErr w:type="gramStart"/>
      <w:r>
        <w:lastRenderedPageBreak/>
        <w:t>provided</w:t>
      </w:r>
      <w:proofErr w:type="gramEnd"/>
      <w:r>
        <w:t xml:space="preserve"> in </w:t>
      </w:r>
      <w:r w:rsidR="0070798E">
        <w:t xml:space="preserve">Business and Professions Code section </w:t>
      </w:r>
      <w:r>
        <w:t>6140.7 and as a money judgment.</w:t>
      </w:r>
    </w:p>
    <w:p w:rsidR="001E7154" w:rsidRDefault="001E7154">
      <w:pPr>
        <w:pStyle w:val="Header"/>
        <w:tabs>
          <w:tab w:val="clear" w:pos="4320"/>
          <w:tab w:val="clear" w:pos="8640"/>
        </w:tabs>
        <w:spacing w:line="480" w:lineRule="auto"/>
      </w:pPr>
    </w:p>
    <w:p w:rsidR="00866A52" w:rsidRDefault="00866A5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259DA">
        <w:tblPrEx>
          <w:tblCellMar>
            <w:top w:w="0" w:type="dxa"/>
            <w:bottom w:w="0" w:type="dxa"/>
          </w:tblCellMar>
        </w:tblPrEx>
        <w:tc>
          <w:tcPr>
            <w:tcW w:w="4800" w:type="dxa"/>
            <w:tcBorders>
              <w:left w:val="nil"/>
              <w:bottom w:val="nil"/>
            </w:tcBorders>
          </w:tcPr>
          <w:p w:rsidR="003259DA" w:rsidRDefault="003259DA" w:rsidP="00F76000">
            <w:pPr>
              <w:pStyle w:val="Header"/>
              <w:tabs>
                <w:tab w:val="clear" w:pos="4320"/>
                <w:tab w:val="clear" w:pos="8640"/>
              </w:tabs>
            </w:pPr>
            <w:r>
              <w:t xml:space="preserve">Dated:  </w:t>
            </w:r>
            <w:r w:rsidR="00F76000">
              <w:t>October ___</w:t>
            </w:r>
            <w:r>
              <w:t>, 200</w:t>
            </w:r>
            <w:r w:rsidR="009374F1">
              <w:t>9</w:t>
            </w:r>
            <w:r>
              <w:t>.</w:t>
            </w:r>
          </w:p>
        </w:tc>
        <w:tc>
          <w:tcPr>
            <w:tcW w:w="4565" w:type="dxa"/>
            <w:tcBorders>
              <w:top w:val="single" w:sz="4" w:space="0" w:color="auto"/>
              <w:bottom w:val="nil"/>
              <w:right w:val="nil"/>
            </w:tcBorders>
          </w:tcPr>
          <w:p w:rsidR="003259DA" w:rsidRDefault="00B92978" w:rsidP="009B0D14">
            <w:pPr>
              <w:pStyle w:val="Heading2"/>
              <w:spacing w:line="240" w:lineRule="auto"/>
            </w:pPr>
            <w:bookmarkStart w:id="11" w:name="judge"/>
            <w:bookmarkEnd w:id="11"/>
            <w:r w:rsidRPr="00B92978">
              <w:t>DONALD F. MILES</w:t>
            </w:r>
          </w:p>
        </w:tc>
      </w:tr>
      <w:tr w:rsidR="003259DA">
        <w:tblPrEx>
          <w:tblCellMar>
            <w:top w:w="0" w:type="dxa"/>
            <w:bottom w:w="0" w:type="dxa"/>
          </w:tblCellMar>
        </w:tblPrEx>
        <w:tc>
          <w:tcPr>
            <w:tcW w:w="4800" w:type="dxa"/>
            <w:tcBorders>
              <w:left w:val="nil"/>
              <w:bottom w:val="nil"/>
            </w:tcBorders>
          </w:tcPr>
          <w:p w:rsidR="003259DA" w:rsidRDefault="003259DA"/>
        </w:tc>
        <w:tc>
          <w:tcPr>
            <w:tcW w:w="4565" w:type="dxa"/>
            <w:tcBorders>
              <w:bottom w:val="nil"/>
              <w:right w:val="nil"/>
            </w:tcBorders>
          </w:tcPr>
          <w:p w:rsidR="003259DA" w:rsidRDefault="003259DA">
            <w:r>
              <w:t>Judge of the State Bar Court</w:t>
            </w:r>
          </w:p>
        </w:tc>
      </w:tr>
    </w:tbl>
    <w:p w:rsidR="003259DA" w:rsidRDefault="003259DA" w:rsidP="00866A52">
      <w:pPr>
        <w:spacing w:line="480" w:lineRule="auto"/>
        <w:rPr>
          <w:b/>
          <w:bCs/>
        </w:rPr>
      </w:pPr>
    </w:p>
    <w:sectPr w:rsidR="003259DA" w:rsidSect="00BC46D4">
      <w:footerReference w:type="even" r:id="rId8"/>
      <w:footerReference w:type="default" r:id="rId9"/>
      <w:footerReference w:type="first" r:id="rId10"/>
      <w:pgSz w:w="12240" w:h="15840" w:code="1"/>
      <w:pgMar w:top="144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B7B" w:rsidRDefault="006A3B7B">
      <w:r>
        <w:separator/>
      </w:r>
    </w:p>
  </w:endnote>
  <w:endnote w:type="continuationSeparator" w:id="0">
    <w:p w:rsidR="006A3B7B" w:rsidRDefault="006A3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1D" w:rsidRDefault="00123D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3D1D" w:rsidRDefault="00123D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1D" w:rsidRDefault="00123D1D">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CB2A15">
      <w:rPr>
        <w:rStyle w:val="PageNumber"/>
        <w:noProof/>
      </w:rPr>
      <w:t>2</w:t>
    </w:r>
    <w:r>
      <w:rPr>
        <w:rStyle w:val="PageNumber"/>
      </w:rPr>
      <w:fldChar w:fldCharType="end"/>
    </w:r>
    <w:r>
      <w:rPr>
        <w:rStyle w:val="PageNumber"/>
      </w:rPr>
      <w:t>-</w:t>
    </w:r>
  </w:p>
  <w:p w:rsidR="00123D1D" w:rsidRDefault="00123D1D">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1D" w:rsidRDefault="00123D1D">
    <w:pPr>
      <w:pStyle w:val="Footer"/>
      <w:framePr w:wrap="around" w:vAnchor="text" w:hAnchor="margin" w:xAlign="center" w:y="1"/>
      <w:rPr>
        <w:rStyle w:val="PageNumber"/>
      </w:rPr>
    </w:pPr>
  </w:p>
  <w:p w:rsidR="00123D1D" w:rsidRDefault="00123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B7B" w:rsidRDefault="006A3B7B">
      <w:r>
        <w:separator/>
      </w:r>
    </w:p>
  </w:footnote>
  <w:footnote w:type="continuationSeparator" w:id="0">
    <w:p w:rsidR="006A3B7B" w:rsidRDefault="006A3B7B">
      <w:r>
        <w:continuationSeparator/>
      </w:r>
    </w:p>
  </w:footnote>
  <w:footnote w:id="1">
    <w:p w:rsidR="00123D1D" w:rsidRDefault="00123D1D">
      <w:pPr>
        <w:pStyle w:val="FootnoteText"/>
      </w:pPr>
      <w:r>
        <w:rPr>
          <w:rStyle w:val="FootnoteReference"/>
        </w:rPr>
        <w:footnoteRef/>
      </w:r>
      <w:r>
        <w:t xml:space="preserve"> Unless otherwise noted, all further statutory references are to the Business and Professions Code.</w:t>
      </w:r>
    </w:p>
  </w:footnote>
  <w:footnote w:id="2">
    <w:p w:rsidR="00123D1D" w:rsidRDefault="00123D1D">
      <w:pPr>
        <w:pStyle w:val="FootnoteText"/>
      </w:pPr>
      <w:r>
        <w:rPr>
          <w:rStyle w:val="FootnoteReference"/>
        </w:rPr>
        <w:footnoteRef/>
      </w:r>
      <w:r>
        <w:t xml:space="preserve"> </w:t>
      </w:r>
      <w:r w:rsidRPr="000F1EF8">
        <w:t>Unless otherwise indicated, all further references to rules are to these Rules of Professional Conduct of the State Bar of California</w:t>
      </w:r>
      <w:r>
        <w:t>.</w:t>
      </w:r>
    </w:p>
    <w:p w:rsidR="00123D1D" w:rsidRDefault="00123D1D">
      <w:pPr>
        <w:pStyle w:val="FootnoteText"/>
      </w:pPr>
    </w:p>
  </w:footnote>
  <w:footnote w:id="3">
    <w:p w:rsidR="00123D1D" w:rsidRDefault="00123D1D" w:rsidP="00186427">
      <w:pPr>
        <w:pStyle w:val="FootnoteText"/>
      </w:pPr>
      <w:r>
        <w:rPr>
          <w:rStyle w:val="FootnoteReference"/>
        </w:rPr>
        <w:footnoteRef/>
      </w:r>
      <w:r>
        <w:t xml:space="preserve"> All further references to standards are to this source.</w:t>
      </w:r>
      <w:r>
        <w:tab/>
      </w:r>
    </w:p>
  </w:footnote>
  <w:footnote w:id="4">
    <w:p w:rsidR="00123D1D" w:rsidRDefault="00123D1D">
      <w:pPr>
        <w:pStyle w:val="FootnoteText"/>
      </w:pPr>
      <w:r>
        <w:rPr>
          <w:rStyle w:val="FootnoteReference"/>
        </w:rPr>
        <w:footnoteRef/>
      </w:r>
      <w:r>
        <w:t xml:space="preserve"> Respondent must</w:t>
      </w:r>
      <w:r w:rsidRPr="00BE0038">
        <w:t xml:space="preserve"> file a rule 9.20(c) affidavit even if he has no clients</w:t>
      </w:r>
      <w:r>
        <w:t xml:space="preserve"> on the date that the Supreme Court files its order in this matter.</w:t>
      </w:r>
      <w:r w:rsidRPr="00BE0038">
        <w:t xml:space="preserve"> </w:t>
      </w:r>
      <w:r>
        <w:t xml:space="preserve"> </w:t>
      </w:r>
      <w:proofErr w:type="gramStart"/>
      <w:r w:rsidRPr="00BE0038">
        <w:t>(</w:t>
      </w:r>
      <w:r w:rsidRPr="00BE0038">
        <w:rPr>
          <w:i/>
          <w:iCs/>
        </w:rPr>
        <w:t>Powers v. State Bar</w:t>
      </w:r>
      <w:r w:rsidRPr="00BE0038">
        <w:t xml:space="preserve"> (1988) 44 Cal.3d 337, 341.)</w:t>
      </w:r>
      <w:proofErr w:type="gramEnd"/>
      <w:r>
        <w:t xml:space="preserve">  In addition to being punished as a crime or </w:t>
      </w:r>
      <w:proofErr w:type="gramStart"/>
      <w:r>
        <w:t>a contempt</w:t>
      </w:r>
      <w:proofErr w:type="gramEnd"/>
      <w:r>
        <w:t>, an attorney's failure to comply with rule 9.20 is also</w:t>
      </w:r>
      <w:r w:rsidRPr="0070798E">
        <w:t>, inter alia,</w:t>
      </w:r>
      <w:r>
        <w:t xml:space="preserve"> cause for disbarment, suspension, revocation of any pending disciplinary probation, and denial of an application for reinstatement after disbarment.  (Cal. Rules of Court, rule 9.20(d); see also </w:t>
      </w:r>
      <w:r w:rsidRPr="0002038C">
        <w:rPr>
          <w:i/>
          <w:iCs/>
        </w:rPr>
        <w:t>Bercovich v. State Bar</w:t>
      </w:r>
      <w:r w:rsidRPr="0002038C">
        <w:t xml:space="preserve"> (1990) 50 Cal.3d 116, 131; </w:t>
      </w:r>
      <w:r w:rsidRPr="0002038C">
        <w:rPr>
          <w:i/>
          <w:iCs/>
        </w:rPr>
        <w:t>In the Matter of Lynch</w:t>
      </w:r>
      <w:r w:rsidRPr="0002038C">
        <w:t xml:space="preserve"> (Review Dept. 1995) 3 Cal. State Bar Ct. Rptr. 287, 296.)</w:t>
      </w:r>
    </w:p>
    <w:p w:rsidR="00123D1D" w:rsidRDefault="00123D1D">
      <w:pPr>
        <w:pStyle w:val="FootnoteText"/>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D5687"/>
    <w:multiLevelType w:val="hybridMultilevel"/>
    <w:tmpl w:val="DA547A30"/>
    <w:lvl w:ilvl="0" w:tplc="050E611E">
      <w:start w:val="1"/>
      <w:numFmt w:val="upperLetter"/>
      <w:lvlText w:val="%1."/>
      <w:lvlJc w:val="left"/>
      <w:pPr>
        <w:ind w:left="990" w:hanging="360"/>
      </w:pPr>
      <w:rPr>
        <w:rFonts w:ascii="Times New Roman" w:eastAsia="Times New Roman" w:hAnsi="Times New Roman" w:cs="Times New Roman"/>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459350DE"/>
    <w:multiLevelType w:val="hybridMultilevel"/>
    <w:tmpl w:val="49CEF1F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9C81939"/>
    <w:multiLevelType w:val="hybridMultilevel"/>
    <w:tmpl w:val="0E484A5A"/>
    <w:lvl w:ilvl="0" w:tplc="EDCC3B44">
      <w:start w:val="1"/>
      <w:numFmt w:val="upp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DC163A2"/>
    <w:multiLevelType w:val="hybridMultilevel"/>
    <w:tmpl w:val="2ABE17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93F64"/>
    <w:rsid w:val="00002397"/>
    <w:rsid w:val="0000420D"/>
    <w:rsid w:val="00007319"/>
    <w:rsid w:val="000164AE"/>
    <w:rsid w:val="00023999"/>
    <w:rsid w:val="00024364"/>
    <w:rsid w:val="00040D48"/>
    <w:rsid w:val="00041EF6"/>
    <w:rsid w:val="00055A97"/>
    <w:rsid w:val="00067C8F"/>
    <w:rsid w:val="00067EFD"/>
    <w:rsid w:val="00070C4D"/>
    <w:rsid w:val="00072649"/>
    <w:rsid w:val="00086632"/>
    <w:rsid w:val="000A388C"/>
    <w:rsid w:val="000A56C2"/>
    <w:rsid w:val="000B0120"/>
    <w:rsid w:val="000B6702"/>
    <w:rsid w:val="000D0460"/>
    <w:rsid w:val="000F1EF8"/>
    <w:rsid w:val="000F75B3"/>
    <w:rsid w:val="001049BB"/>
    <w:rsid w:val="001223F8"/>
    <w:rsid w:val="00123D1D"/>
    <w:rsid w:val="00125650"/>
    <w:rsid w:val="00147009"/>
    <w:rsid w:val="001513F3"/>
    <w:rsid w:val="001548CC"/>
    <w:rsid w:val="00171EDE"/>
    <w:rsid w:val="00173AEE"/>
    <w:rsid w:val="00174E09"/>
    <w:rsid w:val="00181195"/>
    <w:rsid w:val="00186427"/>
    <w:rsid w:val="001914B0"/>
    <w:rsid w:val="001959D1"/>
    <w:rsid w:val="001A2BAC"/>
    <w:rsid w:val="001B0D9E"/>
    <w:rsid w:val="001C2158"/>
    <w:rsid w:val="001C7F32"/>
    <w:rsid w:val="001E0426"/>
    <w:rsid w:val="001E07E3"/>
    <w:rsid w:val="001E0A7A"/>
    <w:rsid w:val="001E7154"/>
    <w:rsid w:val="001F0F2A"/>
    <w:rsid w:val="001F1829"/>
    <w:rsid w:val="00215B15"/>
    <w:rsid w:val="00233C6C"/>
    <w:rsid w:val="00234443"/>
    <w:rsid w:val="00240ADC"/>
    <w:rsid w:val="00243938"/>
    <w:rsid w:val="00245BC4"/>
    <w:rsid w:val="00246564"/>
    <w:rsid w:val="00250C91"/>
    <w:rsid w:val="0026339A"/>
    <w:rsid w:val="00273F59"/>
    <w:rsid w:val="00295CDC"/>
    <w:rsid w:val="002B44F2"/>
    <w:rsid w:val="002B572C"/>
    <w:rsid w:val="002B64A6"/>
    <w:rsid w:val="002C01EB"/>
    <w:rsid w:val="002D4899"/>
    <w:rsid w:val="002E5D4E"/>
    <w:rsid w:val="00305CEB"/>
    <w:rsid w:val="0031194D"/>
    <w:rsid w:val="00321021"/>
    <w:rsid w:val="003259DA"/>
    <w:rsid w:val="00332E93"/>
    <w:rsid w:val="00335034"/>
    <w:rsid w:val="0034457E"/>
    <w:rsid w:val="0034799B"/>
    <w:rsid w:val="0035405E"/>
    <w:rsid w:val="00361E43"/>
    <w:rsid w:val="00362FBF"/>
    <w:rsid w:val="0036320B"/>
    <w:rsid w:val="0036348F"/>
    <w:rsid w:val="00371039"/>
    <w:rsid w:val="0038212F"/>
    <w:rsid w:val="00382949"/>
    <w:rsid w:val="00393F64"/>
    <w:rsid w:val="003A0C0D"/>
    <w:rsid w:val="003B6DDD"/>
    <w:rsid w:val="003D49DE"/>
    <w:rsid w:val="003E5C44"/>
    <w:rsid w:val="003E7574"/>
    <w:rsid w:val="003E7586"/>
    <w:rsid w:val="00401719"/>
    <w:rsid w:val="00414780"/>
    <w:rsid w:val="004266A5"/>
    <w:rsid w:val="004277F3"/>
    <w:rsid w:val="00432C26"/>
    <w:rsid w:val="00457E6B"/>
    <w:rsid w:val="00465E56"/>
    <w:rsid w:val="004675CB"/>
    <w:rsid w:val="00470A56"/>
    <w:rsid w:val="004763B1"/>
    <w:rsid w:val="0047733A"/>
    <w:rsid w:val="004920AA"/>
    <w:rsid w:val="004938D6"/>
    <w:rsid w:val="004961F4"/>
    <w:rsid w:val="004A35D7"/>
    <w:rsid w:val="004B1A55"/>
    <w:rsid w:val="004C4E96"/>
    <w:rsid w:val="004D23FE"/>
    <w:rsid w:val="004D692A"/>
    <w:rsid w:val="004E44E1"/>
    <w:rsid w:val="004F4F00"/>
    <w:rsid w:val="004F62BF"/>
    <w:rsid w:val="004F7EEE"/>
    <w:rsid w:val="00503067"/>
    <w:rsid w:val="005038AD"/>
    <w:rsid w:val="00504399"/>
    <w:rsid w:val="005066E8"/>
    <w:rsid w:val="00514628"/>
    <w:rsid w:val="005163C8"/>
    <w:rsid w:val="005354C4"/>
    <w:rsid w:val="00540A13"/>
    <w:rsid w:val="005438A9"/>
    <w:rsid w:val="0055170D"/>
    <w:rsid w:val="00567DD4"/>
    <w:rsid w:val="0057136C"/>
    <w:rsid w:val="00573AD2"/>
    <w:rsid w:val="0058234C"/>
    <w:rsid w:val="0059101B"/>
    <w:rsid w:val="00592277"/>
    <w:rsid w:val="0059360A"/>
    <w:rsid w:val="00594DC9"/>
    <w:rsid w:val="005952D5"/>
    <w:rsid w:val="00596D6A"/>
    <w:rsid w:val="005A08DF"/>
    <w:rsid w:val="005A3177"/>
    <w:rsid w:val="005A7133"/>
    <w:rsid w:val="005A7140"/>
    <w:rsid w:val="005B2535"/>
    <w:rsid w:val="005C00DC"/>
    <w:rsid w:val="005D0569"/>
    <w:rsid w:val="005F0113"/>
    <w:rsid w:val="005F2307"/>
    <w:rsid w:val="00644C89"/>
    <w:rsid w:val="00653A52"/>
    <w:rsid w:val="00662293"/>
    <w:rsid w:val="00665EEE"/>
    <w:rsid w:val="00672675"/>
    <w:rsid w:val="00692143"/>
    <w:rsid w:val="006A3B7B"/>
    <w:rsid w:val="006B18E8"/>
    <w:rsid w:val="006B4116"/>
    <w:rsid w:val="006C52CD"/>
    <w:rsid w:val="006D3326"/>
    <w:rsid w:val="006E5CA3"/>
    <w:rsid w:val="006F4B4B"/>
    <w:rsid w:val="006F6492"/>
    <w:rsid w:val="0070798E"/>
    <w:rsid w:val="00725B71"/>
    <w:rsid w:val="007362FE"/>
    <w:rsid w:val="00737FC2"/>
    <w:rsid w:val="00740BD3"/>
    <w:rsid w:val="00753F07"/>
    <w:rsid w:val="0075630D"/>
    <w:rsid w:val="007603CC"/>
    <w:rsid w:val="00760512"/>
    <w:rsid w:val="00766D7E"/>
    <w:rsid w:val="007727D9"/>
    <w:rsid w:val="00780B5A"/>
    <w:rsid w:val="007951B6"/>
    <w:rsid w:val="007B1215"/>
    <w:rsid w:val="007B37CA"/>
    <w:rsid w:val="007B3AEE"/>
    <w:rsid w:val="007C559B"/>
    <w:rsid w:val="007C5EEB"/>
    <w:rsid w:val="007C745C"/>
    <w:rsid w:val="007D06AF"/>
    <w:rsid w:val="007D3DF2"/>
    <w:rsid w:val="007E6FC5"/>
    <w:rsid w:val="00802AF5"/>
    <w:rsid w:val="00840038"/>
    <w:rsid w:val="00854C8F"/>
    <w:rsid w:val="00866A52"/>
    <w:rsid w:val="008726E3"/>
    <w:rsid w:val="00874B8B"/>
    <w:rsid w:val="00877CC0"/>
    <w:rsid w:val="008878E4"/>
    <w:rsid w:val="008A5A1A"/>
    <w:rsid w:val="008A7B15"/>
    <w:rsid w:val="008D2ED1"/>
    <w:rsid w:val="008D4224"/>
    <w:rsid w:val="008E47B0"/>
    <w:rsid w:val="008F0965"/>
    <w:rsid w:val="0090209C"/>
    <w:rsid w:val="00904BAB"/>
    <w:rsid w:val="00910140"/>
    <w:rsid w:val="00920DC3"/>
    <w:rsid w:val="009374F1"/>
    <w:rsid w:val="009421D4"/>
    <w:rsid w:val="00943C57"/>
    <w:rsid w:val="0094679F"/>
    <w:rsid w:val="009530E9"/>
    <w:rsid w:val="00991B9C"/>
    <w:rsid w:val="009A04FC"/>
    <w:rsid w:val="009B0269"/>
    <w:rsid w:val="009B0D14"/>
    <w:rsid w:val="009B444A"/>
    <w:rsid w:val="009B46CC"/>
    <w:rsid w:val="009D27CD"/>
    <w:rsid w:val="009D2A57"/>
    <w:rsid w:val="009E24CE"/>
    <w:rsid w:val="009F26F0"/>
    <w:rsid w:val="009F412C"/>
    <w:rsid w:val="009F60CB"/>
    <w:rsid w:val="00A03971"/>
    <w:rsid w:val="00A05F86"/>
    <w:rsid w:val="00A06D17"/>
    <w:rsid w:val="00A24289"/>
    <w:rsid w:val="00A3574D"/>
    <w:rsid w:val="00A375E2"/>
    <w:rsid w:val="00A44F47"/>
    <w:rsid w:val="00A51F58"/>
    <w:rsid w:val="00A56B66"/>
    <w:rsid w:val="00A74D82"/>
    <w:rsid w:val="00A941D9"/>
    <w:rsid w:val="00AA3A36"/>
    <w:rsid w:val="00AA7147"/>
    <w:rsid w:val="00AF4B2F"/>
    <w:rsid w:val="00AF5F2D"/>
    <w:rsid w:val="00AF6CF8"/>
    <w:rsid w:val="00B01E7F"/>
    <w:rsid w:val="00B1603F"/>
    <w:rsid w:val="00B548B6"/>
    <w:rsid w:val="00B6559F"/>
    <w:rsid w:val="00B73BF9"/>
    <w:rsid w:val="00B75553"/>
    <w:rsid w:val="00B76849"/>
    <w:rsid w:val="00B775D1"/>
    <w:rsid w:val="00B92978"/>
    <w:rsid w:val="00B94C19"/>
    <w:rsid w:val="00B94C6F"/>
    <w:rsid w:val="00BA51F2"/>
    <w:rsid w:val="00BC077E"/>
    <w:rsid w:val="00BC46D4"/>
    <w:rsid w:val="00BD09FF"/>
    <w:rsid w:val="00BD2A6E"/>
    <w:rsid w:val="00BE084C"/>
    <w:rsid w:val="00BE2B18"/>
    <w:rsid w:val="00BE5FB2"/>
    <w:rsid w:val="00BE7F94"/>
    <w:rsid w:val="00BF2B5F"/>
    <w:rsid w:val="00C00856"/>
    <w:rsid w:val="00C049D8"/>
    <w:rsid w:val="00C053C0"/>
    <w:rsid w:val="00C0732A"/>
    <w:rsid w:val="00C10E9B"/>
    <w:rsid w:val="00C27892"/>
    <w:rsid w:val="00C353EB"/>
    <w:rsid w:val="00C35FBF"/>
    <w:rsid w:val="00C51AF7"/>
    <w:rsid w:val="00C51CCF"/>
    <w:rsid w:val="00C637C7"/>
    <w:rsid w:val="00C71FA7"/>
    <w:rsid w:val="00C72F5B"/>
    <w:rsid w:val="00C90D8F"/>
    <w:rsid w:val="00C92F7D"/>
    <w:rsid w:val="00C96C1A"/>
    <w:rsid w:val="00CB2A15"/>
    <w:rsid w:val="00CB31BE"/>
    <w:rsid w:val="00CC12BA"/>
    <w:rsid w:val="00CD0C1E"/>
    <w:rsid w:val="00CD40D6"/>
    <w:rsid w:val="00CE1D7A"/>
    <w:rsid w:val="00CF0AAB"/>
    <w:rsid w:val="00CF4C0F"/>
    <w:rsid w:val="00D02B7B"/>
    <w:rsid w:val="00D04D3D"/>
    <w:rsid w:val="00D07013"/>
    <w:rsid w:val="00D245B0"/>
    <w:rsid w:val="00D26C86"/>
    <w:rsid w:val="00D47BA7"/>
    <w:rsid w:val="00D630F4"/>
    <w:rsid w:val="00D67CE7"/>
    <w:rsid w:val="00D8488A"/>
    <w:rsid w:val="00D84E19"/>
    <w:rsid w:val="00D906A6"/>
    <w:rsid w:val="00D90E63"/>
    <w:rsid w:val="00D973E7"/>
    <w:rsid w:val="00DA1453"/>
    <w:rsid w:val="00DD0752"/>
    <w:rsid w:val="00DD0C6F"/>
    <w:rsid w:val="00DF0793"/>
    <w:rsid w:val="00E031B3"/>
    <w:rsid w:val="00E17F15"/>
    <w:rsid w:val="00E22478"/>
    <w:rsid w:val="00E22963"/>
    <w:rsid w:val="00E23C82"/>
    <w:rsid w:val="00E31A18"/>
    <w:rsid w:val="00E328A7"/>
    <w:rsid w:val="00E33EF4"/>
    <w:rsid w:val="00E34144"/>
    <w:rsid w:val="00E37CBD"/>
    <w:rsid w:val="00E431A0"/>
    <w:rsid w:val="00E465C7"/>
    <w:rsid w:val="00E47622"/>
    <w:rsid w:val="00E62F9C"/>
    <w:rsid w:val="00E64EA3"/>
    <w:rsid w:val="00E832A7"/>
    <w:rsid w:val="00E85CFA"/>
    <w:rsid w:val="00E8676D"/>
    <w:rsid w:val="00E94AE7"/>
    <w:rsid w:val="00E96BD3"/>
    <w:rsid w:val="00EA2D8F"/>
    <w:rsid w:val="00EB236E"/>
    <w:rsid w:val="00EE0D81"/>
    <w:rsid w:val="00F06ADC"/>
    <w:rsid w:val="00F074FE"/>
    <w:rsid w:val="00F14635"/>
    <w:rsid w:val="00F1607D"/>
    <w:rsid w:val="00F34AA0"/>
    <w:rsid w:val="00F525CA"/>
    <w:rsid w:val="00F61F1B"/>
    <w:rsid w:val="00F76000"/>
    <w:rsid w:val="00F810A0"/>
    <w:rsid w:val="00F843D4"/>
    <w:rsid w:val="00FB3425"/>
    <w:rsid w:val="00FC31D0"/>
    <w:rsid w:val="00FC468D"/>
    <w:rsid w:val="00FC6EF3"/>
    <w:rsid w:val="00FC710D"/>
    <w:rsid w:val="00FD0AA4"/>
    <w:rsid w:val="00FD3EA5"/>
    <w:rsid w:val="00FF6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qFormat/>
    <w:pPr>
      <w:ind w:firstLine="720"/>
    </w:pPr>
    <w:rPr>
      <w:szCs w:val="20"/>
    </w:rPr>
  </w:style>
  <w:style w:type="character" w:styleId="FootnoteReference">
    <w:name w:val="footnote reference"/>
    <w:basedOn w:val="DefaultParagraphFont"/>
    <w:rPr>
      <w:vertAlign w:val="superscript"/>
    </w:rPr>
  </w:style>
  <w:style w:type="paragraph" w:styleId="Title">
    <w:name w:val="Title"/>
    <w:basedOn w:val="Normal"/>
    <w:qFormat/>
    <w:pPr>
      <w:spacing w:line="480" w:lineRule="auto"/>
      <w:jc w:val="center"/>
    </w:pPr>
    <w:rPr>
      <w:b/>
      <w:bCs/>
    </w:rPr>
  </w:style>
  <w:style w:type="paragraph" w:styleId="BodyTextIndent2">
    <w:name w:val="Body Text Indent 2"/>
    <w:basedOn w:val="Normal"/>
    <w:link w:val="BodyTextIndent2Char"/>
    <w:uiPriority w:val="99"/>
    <w:unhideWhenUsed/>
    <w:rsid w:val="00040D48"/>
    <w:pPr>
      <w:spacing w:after="120" w:line="480" w:lineRule="auto"/>
      <w:ind w:left="360"/>
    </w:pPr>
  </w:style>
  <w:style w:type="character" w:customStyle="1" w:styleId="BodyTextIndent2Char">
    <w:name w:val="Body Text Indent 2 Char"/>
    <w:basedOn w:val="DefaultParagraphFont"/>
    <w:link w:val="BodyTextIndent2"/>
    <w:uiPriority w:val="99"/>
    <w:rsid w:val="00040D48"/>
    <w:rPr>
      <w:sz w:val="24"/>
      <w:szCs w:val="24"/>
    </w:rPr>
  </w:style>
  <w:style w:type="paragraph" w:styleId="BalloonText">
    <w:name w:val="Balloon Text"/>
    <w:basedOn w:val="Normal"/>
    <w:link w:val="BalloonTextChar"/>
    <w:uiPriority w:val="99"/>
    <w:semiHidden/>
    <w:unhideWhenUsed/>
    <w:rsid w:val="00174E09"/>
    <w:rPr>
      <w:rFonts w:ascii="Tahoma" w:hAnsi="Tahoma" w:cs="Tahoma"/>
      <w:sz w:val="16"/>
      <w:szCs w:val="16"/>
    </w:rPr>
  </w:style>
  <w:style w:type="character" w:customStyle="1" w:styleId="BalloonTextChar">
    <w:name w:val="Balloon Text Char"/>
    <w:basedOn w:val="DefaultParagraphFont"/>
    <w:link w:val="BalloonText"/>
    <w:uiPriority w:val="99"/>
    <w:semiHidden/>
    <w:rsid w:val="00174E09"/>
    <w:rPr>
      <w:rFonts w:ascii="Tahoma" w:hAnsi="Tahoma" w:cs="Tahoma"/>
      <w:sz w:val="16"/>
      <w:szCs w:val="16"/>
    </w:rPr>
  </w:style>
  <w:style w:type="character" w:customStyle="1" w:styleId="FootnoteTextChar">
    <w:name w:val="Footnote Text Char"/>
    <w:basedOn w:val="DefaultParagraphFont"/>
    <w:link w:val="FootnoteText"/>
    <w:semiHidden/>
    <w:rsid w:val="00E22478"/>
    <w:rPr>
      <w:sz w:val="24"/>
    </w:rPr>
  </w:style>
  <w:style w:type="character" w:customStyle="1" w:styleId="HeaderChar">
    <w:name w:val="Header Char"/>
    <w:basedOn w:val="DefaultParagraphFont"/>
    <w:link w:val="Header"/>
    <w:semiHidden/>
    <w:rsid w:val="00E031B3"/>
    <w:rPr>
      <w:sz w:val="24"/>
      <w:szCs w:val="24"/>
    </w:rPr>
  </w:style>
  <w:style w:type="paragraph" w:styleId="ListParagraph">
    <w:name w:val="List Paragraph"/>
    <w:basedOn w:val="Normal"/>
    <w:uiPriority w:val="34"/>
    <w:qFormat/>
    <w:rsid w:val="006921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cnsl_wkgp\Counsel%20Forms\SBC_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5111-A388-4B6F-9CAB-3C413190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SBC_no_line_pleading.dot</Template>
  <TotalTime>0</TotalTime>
  <Pages>12</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J. Wayne Morrison</dc:creator>
  <cp:keywords/>
  <dc:description/>
  <cp:lastModifiedBy>Tammy Cleaver</cp:lastModifiedBy>
  <cp:revision>2</cp:revision>
  <cp:lastPrinted>2009-10-10T02:14:00Z</cp:lastPrinted>
  <dcterms:created xsi:type="dcterms:W3CDTF">2009-10-13T19:32:00Z</dcterms:created>
  <dcterms:modified xsi:type="dcterms:W3CDTF">2009-10-13T19:32:00Z</dcterms:modified>
</cp:coreProperties>
</file>