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D0D8C" w:rsidRDefault="000D0D8C" w:rsidP="000D0D8C">
      <w:pPr>
        <w:spacing w:line="240" w:lineRule="auto"/>
        <w:jc w:val="right"/>
        <w:rPr>
          <w:sz w:val="36"/>
        </w:rPr>
      </w:pPr>
      <w:r w:rsidRPr="000D0D8C">
        <w:t>FILED DECEMBER 1, 2010</w:t>
      </w:r>
    </w:p>
    <w:p w:rsidR="003D3B12" w:rsidRPr="00173716" w:rsidRDefault="003D3B12" w:rsidP="00DE69A3">
      <w:pPr>
        <w:spacing w:line="240" w:lineRule="auto"/>
        <w:rPr>
          <w:b w:val="0"/>
        </w:rPr>
      </w:pPr>
    </w:p>
    <w:p w:rsidR="00DE69A3" w:rsidRPr="00173716" w:rsidRDefault="00DE69A3" w:rsidP="00DE69A3">
      <w:pPr>
        <w:spacing w:line="240" w:lineRule="auto"/>
        <w:rPr>
          <w:b w:val="0"/>
        </w:rPr>
      </w:pPr>
    </w:p>
    <w:p w:rsidR="00DE69A3" w:rsidRPr="00173716" w:rsidRDefault="00DE69A3" w:rsidP="00DE69A3">
      <w:pPr>
        <w:spacing w:line="240" w:lineRule="auto"/>
        <w:rPr>
          <w:b w:val="0"/>
        </w:rPr>
      </w:pPr>
    </w:p>
    <w:p w:rsidR="00DE69A3" w:rsidRPr="00173716" w:rsidRDefault="00DE69A3" w:rsidP="00DE69A3">
      <w:pPr>
        <w:spacing w:line="240" w:lineRule="auto"/>
        <w:rPr>
          <w:b w:val="0"/>
        </w:rPr>
      </w:pPr>
    </w:p>
    <w:p w:rsidR="00DE69A3" w:rsidRPr="00173716" w:rsidRDefault="00DE69A3" w:rsidP="00DE69A3">
      <w:pPr>
        <w:spacing w:line="240" w:lineRule="auto"/>
        <w:rPr>
          <w:b w:val="0"/>
        </w:rPr>
      </w:pPr>
    </w:p>
    <w:p w:rsidR="003D3B12" w:rsidRPr="00022A8B" w:rsidRDefault="003D3B12" w:rsidP="00022A8B">
      <w:pPr>
        <w:pStyle w:val="Heading1"/>
        <w:rPr>
          <w:b/>
        </w:rPr>
      </w:pPr>
      <w:r w:rsidRPr="00022A8B">
        <w:rPr>
          <w:b/>
        </w:rPr>
        <w:t>STATE BAR COURT OF CALIFORNIA</w:t>
      </w:r>
    </w:p>
    <w:p w:rsidR="003D3B12" w:rsidRDefault="003D3B12" w:rsidP="00022A8B">
      <w:pPr>
        <w:jc w:val="center"/>
      </w:pPr>
      <w:r>
        <w:t xml:space="preserve">HEARING DEPARTMENT – </w:t>
      </w:r>
      <w:bookmarkStart w:id="0" w:name="venue"/>
      <w:bookmarkEnd w:id="0"/>
      <w:r w:rsidR="00A507F9">
        <w:t>LOS ANGELES</w:t>
      </w:r>
    </w:p>
    <w:p w:rsidR="003D3B12" w:rsidRPr="00173716" w:rsidRDefault="003D3B12" w:rsidP="00022A8B">
      <w:pPr>
        <w:rPr>
          <w:b w:val="0"/>
        </w:rPr>
      </w:pPr>
    </w:p>
    <w:p w:rsidR="003D3B12" w:rsidRPr="00173716" w:rsidRDefault="003D3B12" w:rsidP="00022A8B">
      <w:pPr>
        <w:rPr>
          <w:b w:val="0"/>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Pr="00F96746" w:rsidRDefault="003D3B12" w:rsidP="00022A8B">
            <w:pPr>
              <w:spacing w:line="240" w:lineRule="auto"/>
              <w:rPr>
                <w:b w:val="0"/>
              </w:rPr>
            </w:pPr>
            <w:r w:rsidRPr="00F96746">
              <w:rPr>
                <w:b w:val="0"/>
              </w:rPr>
              <w:t>In the Matter of</w:t>
            </w:r>
          </w:p>
          <w:p w:rsidR="003D3B12" w:rsidRDefault="003D3B12" w:rsidP="00022A8B">
            <w:pPr>
              <w:spacing w:line="240" w:lineRule="auto"/>
            </w:pPr>
          </w:p>
          <w:p w:rsidR="003D3B12" w:rsidRDefault="00685FB3" w:rsidP="00022A8B">
            <w:pPr>
              <w:spacing w:line="240" w:lineRule="auto"/>
            </w:pPr>
            <w:bookmarkStart w:id="1" w:name="resp"/>
            <w:bookmarkEnd w:id="1"/>
            <w:r>
              <w:t>ATTILIO MARIO</w:t>
            </w:r>
            <w:r w:rsidR="00A507F9">
              <w:t xml:space="preserve"> REGOLO, JR.</w:t>
            </w:r>
          </w:p>
          <w:p w:rsidR="003D3B12" w:rsidRDefault="003D3B12" w:rsidP="00022A8B">
            <w:pPr>
              <w:spacing w:line="240" w:lineRule="auto"/>
            </w:pPr>
          </w:p>
          <w:p w:rsidR="003D3B12" w:rsidRDefault="003D3B12" w:rsidP="00022A8B">
            <w:pPr>
              <w:spacing w:line="240" w:lineRule="auto"/>
            </w:pPr>
            <w:r>
              <w:t xml:space="preserve">Member No. </w:t>
            </w:r>
            <w:bookmarkStart w:id="2" w:name="member"/>
            <w:bookmarkEnd w:id="2"/>
            <w:r w:rsidR="00A507F9">
              <w:t>140964</w:t>
            </w:r>
          </w:p>
          <w:p w:rsidR="003D3B12" w:rsidRDefault="003D3B12" w:rsidP="00022A8B">
            <w:pPr>
              <w:spacing w:line="240" w:lineRule="auto"/>
            </w:pPr>
          </w:p>
          <w:p w:rsidR="003D3B12" w:rsidRPr="00F96746" w:rsidRDefault="00A507F9" w:rsidP="00022A8B">
            <w:pPr>
              <w:spacing w:line="240" w:lineRule="auto"/>
              <w:rPr>
                <w:b w:val="0"/>
              </w:rPr>
            </w:pPr>
            <w:bookmarkStart w:id="3" w:name="type"/>
            <w:bookmarkEnd w:id="3"/>
            <w:r w:rsidRPr="00F96746">
              <w:rPr>
                <w:b w:val="0"/>
              </w:rPr>
              <w:t>A Member of the State Bar.</w:t>
            </w:r>
          </w:p>
        </w:tc>
        <w:tc>
          <w:tcPr>
            <w:tcW w:w="182" w:type="dxa"/>
            <w:vMerge w:val="restart"/>
            <w:tcBorders>
              <w:bottom w:val="nil"/>
            </w:tcBorders>
          </w:tcPr>
          <w:p w:rsidR="003D3B12" w:rsidRDefault="003D3B12" w:rsidP="00022A8B">
            <w:pPr>
              <w:spacing w:line="240" w:lineRule="auto"/>
            </w:pPr>
            <w:r>
              <w:t>)</w:t>
            </w:r>
          </w:p>
          <w:p w:rsidR="003D3B12" w:rsidRDefault="003D3B12" w:rsidP="00022A8B">
            <w:pPr>
              <w:spacing w:line="240" w:lineRule="auto"/>
            </w:pPr>
            <w:r>
              <w:t>)</w:t>
            </w:r>
          </w:p>
          <w:p w:rsidR="003D3B12" w:rsidRDefault="003D3B12" w:rsidP="00022A8B">
            <w:pPr>
              <w:spacing w:line="240" w:lineRule="auto"/>
            </w:pPr>
            <w:r>
              <w:t>)</w:t>
            </w:r>
          </w:p>
          <w:p w:rsidR="003D3B12" w:rsidRDefault="003D3B12" w:rsidP="00022A8B">
            <w:pPr>
              <w:spacing w:line="240" w:lineRule="auto"/>
            </w:pPr>
            <w:r>
              <w:t>)</w:t>
            </w:r>
          </w:p>
          <w:p w:rsidR="003D3B12" w:rsidRDefault="003D3B12" w:rsidP="00022A8B">
            <w:pPr>
              <w:spacing w:line="240" w:lineRule="auto"/>
            </w:pPr>
            <w:r>
              <w:t>)</w:t>
            </w:r>
          </w:p>
          <w:p w:rsidR="003D3B12" w:rsidRDefault="003D3B12" w:rsidP="00022A8B">
            <w:pPr>
              <w:spacing w:line="240" w:lineRule="auto"/>
            </w:pPr>
            <w:r>
              <w:t>)</w:t>
            </w:r>
          </w:p>
          <w:p w:rsidR="003D3B12" w:rsidRDefault="003D3B12" w:rsidP="00022A8B">
            <w:pPr>
              <w:spacing w:line="240" w:lineRule="auto"/>
            </w:pPr>
            <w:r>
              <w:t>)</w:t>
            </w:r>
          </w:p>
        </w:tc>
        <w:tc>
          <w:tcPr>
            <w:tcW w:w="240" w:type="dxa"/>
            <w:vMerge w:val="restart"/>
            <w:tcBorders>
              <w:bottom w:val="nil"/>
            </w:tcBorders>
          </w:tcPr>
          <w:p w:rsidR="003D3B12" w:rsidRDefault="003D3B12" w:rsidP="00022A8B">
            <w:pPr>
              <w:spacing w:line="240" w:lineRule="auto"/>
            </w:pPr>
          </w:p>
        </w:tc>
        <w:tc>
          <w:tcPr>
            <w:tcW w:w="1097" w:type="dxa"/>
            <w:tcBorders>
              <w:bottom w:val="nil"/>
            </w:tcBorders>
          </w:tcPr>
          <w:p w:rsidR="003D3B12" w:rsidRPr="00F96746" w:rsidRDefault="003D3B12" w:rsidP="00022A8B">
            <w:pPr>
              <w:spacing w:line="240" w:lineRule="auto"/>
              <w:rPr>
                <w:b w:val="0"/>
              </w:rPr>
            </w:pPr>
            <w:r w:rsidRPr="00F96746">
              <w:rPr>
                <w:b w:val="0"/>
              </w:rPr>
              <w:t>Case No</w:t>
            </w:r>
            <w:r w:rsidR="00685FB3" w:rsidRPr="00F96746">
              <w:rPr>
                <w:b w:val="0"/>
              </w:rPr>
              <w:t>s</w:t>
            </w:r>
            <w:r w:rsidRPr="00F96746">
              <w:rPr>
                <w:b w:val="0"/>
              </w:rPr>
              <w:t>.:</w:t>
            </w:r>
          </w:p>
        </w:tc>
        <w:tc>
          <w:tcPr>
            <w:tcW w:w="3468" w:type="dxa"/>
          </w:tcPr>
          <w:p w:rsidR="00064D4A" w:rsidRDefault="00685FB3" w:rsidP="00022A8B">
            <w:pPr>
              <w:spacing w:line="240" w:lineRule="auto"/>
            </w:pPr>
            <w:bookmarkStart w:id="4" w:name="caseno"/>
            <w:bookmarkEnd w:id="4"/>
            <w:r>
              <w:t>08-O-13116-</w:t>
            </w:r>
            <w:r w:rsidR="00064D4A">
              <w:t>RAH</w:t>
            </w:r>
          </w:p>
          <w:p w:rsidR="003D3B12" w:rsidRPr="00685FB3" w:rsidRDefault="00A507F9" w:rsidP="00022A8B">
            <w:pPr>
              <w:spacing w:line="240" w:lineRule="auto"/>
              <w:rPr>
                <w:b w:val="0"/>
              </w:rPr>
            </w:pPr>
            <w:r w:rsidRPr="00685FB3">
              <w:rPr>
                <w:b w:val="0"/>
              </w:rPr>
              <w:t xml:space="preserve">08-O-11670 </w:t>
            </w:r>
            <w:r w:rsidR="00685FB3">
              <w:rPr>
                <w:b w:val="0"/>
              </w:rPr>
              <w:t>(Cons.)</w:t>
            </w:r>
          </w:p>
        </w:tc>
      </w:tr>
      <w:tr w:rsidR="003D3B12">
        <w:trPr>
          <w:cantSplit/>
          <w:trHeight w:val="1480"/>
        </w:trPr>
        <w:tc>
          <w:tcPr>
            <w:tcW w:w="4378" w:type="dxa"/>
            <w:vMerge/>
          </w:tcPr>
          <w:p w:rsidR="003D3B12" w:rsidRDefault="003D3B12" w:rsidP="00022A8B">
            <w:pPr>
              <w:spacing w:line="240" w:lineRule="auto"/>
            </w:pPr>
          </w:p>
        </w:tc>
        <w:tc>
          <w:tcPr>
            <w:tcW w:w="182" w:type="dxa"/>
            <w:vMerge/>
            <w:tcBorders>
              <w:bottom w:val="nil"/>
            </w:tcBorders>
          </w:tcPr>
          <w:p w:rsidR="003D3B12" w:rsidRDefault="003D3B12" w:rsidP="00022A8B">
            <w:pPr>
              <w:spacing w:line="240" w:lineRule="auto"/>
            </w:pPr>
          </w:p>
        </w:tc>
        <w:tc>
          <w:tcPr>
            <w:tcW w:w="240" w:type="dxa"/>
            <w:vMerge/>
            <w:tcBorders>
              <w:bottom w:val="nil"/>
            </w:tcBorders>
          </w:tcPr>
          <w:p w:rsidR="003D3B12" w:rsidRDefault="003D3B12" w:rsidP="00022A8B">
            <w:pPr>
              <w:spacing w:line="240" w:lineRule="auto"/>
            </w:pPr>
          </w:p>
        </w:tc>
        <w:tc>
          <w:tcPr>
            <w:tcW w:w="4565" w:type="dxa"/>
            <w:gridSpan w:val="2"/>
            <w:tcBorders>
              <w:bottom w:val="nil"/>
            </w:tcBorders>
          </w:tcPr>
          <w:p w:rsidR="00A507F9" w:rsidRDefault="00A507F9" w:rsidP="00022A8B">
            <w:pPr>
              <w:spacing w:line="240" w:lineRule="auto"/>
            </w:pPr>
            <w:bookmarkStart w:id="5" w:name="title"/>
            <w:bookmarkEnd w:id="5"/>
          </w:p>
          <w:p w:rsidR="003D3B12" w:rsidRDefault="00016A21" w:rsidP="00F17B84">
            <w:pPr>
              <w:spacing w:line="240" w:lineRule="auto"/>
            </w:pPr>
            <w:r>
              <w:rPr>
                <w:bCs/>
              </w:rPr>
              <w:t xml:space="preserve">DECISION AND </w:t>
            </w:r>
            <w:r w:rsidR="00F17B84">
              <w:rPr>
                <w:bCs/>
              </w:rPr>
              <w:t xml:space="preserve">ORDER OF </w:t>
            </w:r>
            <w:r>
              <w:rPr>
                <w:bCs/>
              </w:rPr>
              <w:t xml:space="preserve">INVOLUNTARY INACTIVE ENROLLMENT </w:t>
            </w:r>
          </w:p>
        </w:tc>
      </w:tr>
    </w:tbl>
    <w:p w:rsidR="00022A8B" w:rsidRPr="00173716" w:rsidRDefault="00022A8B" w:rsidP="00022A8B">
      <w:pPr>
        <w:pStyle w:val="Level1"/>
        <w:numPr>
          <w:ilvl w:val="0"/>
          <w:numId w:val="0"/>
        </w:numPr>
        <w:rPr>
          <w:b w:val="0"/>
        </w:rPr>
      </w:pPr>
    </w:p>
    <w:p w:rsidR="00E34618" w:rsidRPr="006658DD" w:rsidRDefault="00E34618" w:rsidP="00022A8B">
      <w:pPr>
        <w:pStyle w:val="Level1"/>
        <w:numPr>
          <w:ilvl w:val="0"/>
          <w:numId w:val="0"/>
        </w:numPr>
      </w:pPr>
      <w:r>
        <w:t xml:space="preserve">1.  </w:t>
      </w:r>
      <w:r w:rsidRPr="00193022">
        <w:t>INTRODUCTIO</w:t>
      </w:r>
      <w:r>
        <w:t>N AND PROCEDURAL MATTERS</w:t>
      </w:r>
    </w:p>
    <w:p w:rsidR="00E34618" w:rsidRPr="00022A8B" w:rsidRDefault="00E34618" w:rsidP="00022A8B">
      <w:pPr>
        <w:rPr>
          <w:b w:val="0"/>
        </w:rPr>
      </w:pPr>
      <w:r w:rsidRPr="00022A8B">
        <w:rPr>
          <w:b w:val="0"/>
        </w:rPr>
        <w:tab/>
        <w:t>The trial in this matter commenced on August 10, 2010.  The Office of the Chief Trial Counsel of the State Bar of California</w:t>
      </w:r>
      <w:r w:rsidR="00F47BD2">
        <w:rPr>
          <w:b w:val="0"/>
        </w:rPr>
        <w:t xml:space="preserve"> </w:t>
      </w:r>
      <w:r w:rsidR="00F47BD2">
        <w:rPr>
          <w:b w:val="0"/>
        </w:rPr>
        <w:lastRenderedPageBreak/>
        <w:t>(Office of the Chief Trial Counsel)</w:t>
      </w:r>
      <w:r w:rsidRPr="00022A8B">
        <w:rPr>
          <w:b w:val="0"/>
        </w:rPr>
        <w:t xml:space="preserve"> was represented by Margaret Warren.  Respondent </w:t>
      </w:r>
      <w:r w:rsidR="00F66BF8">
        <w:rPr>
          <w:b w:val="0"/>
        </w:rPr>
        <w:t xml:space="preserve">Attilio Mario Regolo, Jr. </w:t>
      </w:r>
      <w:r w:rsidRPr="00022A8B">
        <w:rPr>
          <w:b w:val="0"/>
        </w:rPr>
        <w:t>represented himself.</w:t>
      </w:r>
    </w:p>
    <w:p w:rsidR="00E34618" w:rsidRPr="00022A8B" w:rsidRDefault="00E34618" w:rsidP="00022A8B">
      <w:pPr>
        <w:rPr>
          <w:b w:val="0"/>
        </w:rPr>
      </w:pPr>
      <w:r w:rsidRPr="00022A8B">
        <w:rPr>
          <w:b w:val="0"/>
        </w:rPr>
        <w:tab/>
      </w:r>
      <w:r w:rsidR="00064D4A" w:rsidRPr="00022A8B">
        <w:rPr>
          <w:b w:val="0"/>
        </w:rPr>
        <w:t>A</w:t>
      </w:r>
      <w:r w:rsidRPr="00022A8B">
        <w:rPr>
          <w:b w:val="0"/>
        </w:rPr>
        <w:t xml:space="preserve"> Notice of Disciplinary Charges </w:t>
      </w:r>
      <w:r w:rsidR="007F7FB4" w:rsidRPr="00022A8B">
        <w:rPr>
          <w:b w:val="0"/>
        </w:rPr>
        <w:t xml:space="preserve">(NDC) </w:t>
      </w:r>
      <w:r w:rsidRPr="00022A8B">
        <w:rPr>
          <w:b w:val="0"/>
        </w:rPr>
        <w:t xml:space="preserve">was filed on </w:t>
      </w:r>
      <w:r w:rsidR="00064D4A" w:rsidRPr="00022A8B">
        <w:rPr>
          <w:b w:val="0"/>
        </w:rPr>
        <w:t>July 13, 20</w:t>
      </w:r>
      <w:r w:rsidR="007F7FB4" w:rsidRPr="00022A8B">
        <w:rPr>
          <w:b w:val="0"/>
        </w:rPr>
        <w:t>09</w:t>
      </w:r>
      <w:r w:rsidR="00BE14A4">
        <w:rPr>
          <w:b w:val="0"/>
        </w:rPr>
        <w:t>,</w:t>
      </w:r>
      <w:r w:rsidR="00064D4A" w:rsidRPr="00022A8B">
        <w:rPr>
          <w:b w:val="0"/>
        </w:rPr>
        <w:t xml:space="preserve"> in case number 08-O-13116.  </w:t>
      </w:r>
      <w:r w:rsidR="002C0AFE">
        <w:rPr>
          <w:b w:val="0"/>
        </w:rPr>
        <w:t xml:space="preserve">In this matter respondent was charged with violating </w:t>
      </w:r>
      <w:r w:rsidR="00064D4A" w:rsidRPr="00022A8B">
        <w:rPr>
          <w:b w:val="0"/>
        </w:rPr>
        <w:t>Business and Professions Code section</w:t>
      </w:r>
      <w:r w:rsidR="00BE14A4">
        <w:rPr>
          <w:b w:val="0"/>
        </w:rPr>
        <w:t>s</w:t>
      </w:r>
      <w:r w:rsidR="00064D4A" w:rsidRPr="00022A8B">
        <w:rPr>
          <w:b w:val="0"/>
        </w:rPr>
        <w:t xml:space="preserve"> 6068</w:t>
      </w:r>
      <w:r w:rsidR="00BE14A4">
        <w:rPr>
          <w:b w:val="0"/>
        </w:rPr>
        <w:t xml:space="preserve">, subdivision </w:t>
      </w:r>
      <w:r w:rsidR="00064D4A" w:rsidRPr="00022A8B">
        <w:rPr>
          <w:b w:val="0"/>
        </w:rPr>
        <w:t>(a)</w:t>
      </w:r>
      <w:r w:rsidR="004978AB">
        <w:rPr>
          <w:b w:val="0"/>
        </w:rPr>
        <w:t>,</w:t>
      </w:r>
      <w:r w:rsidR="00064D4A" w:rsidRPr="00022A8B">
        <w:rPr>
          <w:b w:val="0"/>
        </w:rPr>
        <w:t xml:space="preserve"> and 6106, </w:t>
      </w:r>
      <w:r w:rsidR="002C0AFE">
        <w:rPr>
          <w:b w:val="0"/>
        </w:rPr>
        <w:t>by practicing</w:t>
      </w:r>
      <w:r w:rsidR="00064D4A" w:rsidRPr="00022A8B">
        <w:rPr>
          <w:b w:val="0"/>
        </w:rPr>
        <w:t xml:space="preserve"> law while </w:t>
      </w:r>
      <w:r w:rsidR="002C0AFE">
        <w:rPr>
          <w:b w:val="0"/>
        </w:rPr>
        <w:t>he</w:t>
      </w:r>
      <w:r w:rsidR="00064D4A" w:rsidRPr="00022A8B">
        <w:rPr>
          <w:b w:val="0"/>
        </w:rPr>
        <w:t xml:space="preserve"> was administratively suspended for his failure </w:t>
      </w:r>
      <w:r w:rsidR="007A73B1" w:rsidRPr="00022A8B">
        <w:rPr>
          <w:b w:val="0"/>
        </w:rPr>
        <w:t xml:space="preserve">to </w:t>
      </w:r>
      <w:r w:rsidR="00C47BB5" w:rsidRPr="00022A8B">
        <w:rPr>
          <w:b w:val="0"/>
        </w:rPr>
        <w:t>pay</w:t>
      </w:r>
      <w:r w:rsidR="002C0AFE">
        <w:rPr>
          <w:b w:val="0"/>
        </w:rPr>
        <w:t xml:space="preserve"> disciplinary</w:t>
      </w:r>
      <w:r w:rsidR="00C47BB5" w:rsidRPr="00022A8B">
        <w:rPr>
          <w:b w:val="0"/>
        </w:rPr>
        <w:t xml:space="preserve"> fees and </w:t>
      </w:r>
      <w:r w:rsidR="00064D4A" w:rsidRPr="00022A8B">
        <w:rPr>
          <w:b w:val="0"/>
        </w:rPr>
        <w:t xml:space="preserve">comply with the Mandatory Continuing Legal Education (MCLE) </w:t>
      </w:r>
      <w:r w:rsidR="007F7FB4" w:rsidRPr="00022A8B">
        <w:rPr>
          <w:b w:val="0"/>
        </w:rPr>
        <w:t xml:space="preserve">requirements.  As is set forth in more detail below, </w:t>
      </w:r>
      <w:r w:rsidR="007A73B1" w:rsidRPr="00022A8B">
        <w:rPr>
          <w:b w:val="0"/>
        </w:rPr>
        <w:t xml:space="preserve">on August 12, 2010, </w:t>
      </w:r>
      <w:r w:rsidR="007F7FB4" w:rsidRPr="00022A8B">
        <w:rPr>
          <w:b w:val="0"/>
        </w:rPr>
        <w:t>respondent stipulate</w:t>
      </w:r>
      <w:r w:rsidR="007A73B1" w:rsidRPr="00022A8B">
        <w:rPr>
          <w:b w:val="0"/>
        </w:rPr>
        <w:t>d</w:t>
      </w:r>
      <w:r w:rsidR="00BE14A4">
        <w:rPr>
          <w:b w:val="0"/>
        </w:rPr>
        <w:t>,</w:t>
      </w:r>
      <w:r w:rsidR="007F7FB4" w:rsidRPr="00022A8B">
        <w:rPr>
          <w:b w:val="0"/>
        </w:rPr>
        <w:t xml:space="preserve"> </w:t>
      </w:r>
      <w:r w:rsidR="00BE14A4" w:rsidRPr="00022A8B">
        <w:rPr>
          <w:b w:val="0"/>
        </w:rPr>
        <w:t xml:space="preserve">on the record, </w:t>
      </w:r>
      <w:r w:rsidR="007F7FB4" w:rsidRPr="00022A8B">
        <w:rPr>
          <w:b w:val="0"/>
        </w:rPr>
        <w:t>to the misconduct alleged in this NDC.</w:t>
      </w:r>
    </w:p>
    <w:p w:rsidR="00AC2E07" w:rsidRDefault="007F7FB4" w:rsidP="00022A8B">
      <w:pPr>
        <w:rPr>
          <w:b w:val="0"/>
        </w:rPr>
      </w:pPr>
      <w:r w:rsidRPr="00022A8B">
        <w:rPr>
          <w:b w:val="0"/>
        </w:rPr>
        <w:tab/>
        <w:t>Another NDC was filed on October 16, 2009</w:t>
      </w:r>
      <w:r w:rsidR="00BE14A4">
        <w:rPr>
          <w:b w:val="0"/>
        </w:rPr>
        <w:t>,</w:t>
      </w:r>
      <w:r w:rsidRPr="00022A8B">
        <w:rPr>
          <w:b w:val="0"/>
        </w:rPr>
        <w:t xml:space="preserve"> in case number 08-O-11670, alleging misconduct in two client matters.  This NDC </w:t>
      </w:r>
      <w:r w:rsidRPr="00022A8B">
        <w:rPr>
          <w:b w:val="0"/>
        </w:rPr>
        <w:lastRenderedPageBreak/>
        <w:t>was amended on October 30, 2009, and was again amended by stipulation of the parties prior to trial on April 1, 2010.</w:t>
      </w:r>
      <w:r w:rsidR="00F66EAF">
        <w:rPr>
          <w:rStyle w:val="FootnoteReference"/>
          <w:b w:val="0"/>
        </w:rPr>
        <w:footnoteReference w:id="1"/>
      </w:r>
      <w:r w:rsidRPr="00022A8B">
        <w:rPr>
          <w:b w:val="0"/>
        </w:rPr>
        <w:t xml:space="preserve"> </w:t>
      </w:r>
      <w:r w:rsidR="00CC6669">
        <w:rPr>
          <w:b w:val="0"/>
        </w:rPr>
        <w:t xml:space="preserve"> </w:t>
      </w:r>
    </w:p>
    <w:p w:rsidR="007F7FB4" w:rsidRPr="00022A8B" w:rsidRDefault="00AC2E07" w:rsidP="00AC2E07">
      <w:pPr>
        <w:rPr>
          <w:b w:val="0"/>
        </w:rPr>
      </w:pPr>
      <w:r>
        <w:rPr>
          <w:b w:val="0"/>
        </w:rPr>
        <w:tab/>
        <w:t>Due to his</w:t>
      </w:r>
      <w:r w:rsidR="00CC6669">
        <w:rPr>
          <w:b w:val="0"/>
        </w:rPr>
        <w:t xml:space="preserve"> failure to file a pretrial statement, respondent was precluded from offering any testimonial or documentary evidence at trial, other than his own testimony.  (Rule 211(f), Rules of Procedure of the State Bar of California.)</w:t>
      </w:r>
      <w:r w:rsidR="007F7FB4" w:rsidRPr="00022A8B">
        <w:rPr>
          <w:b w:val="0"/>
        </w:rPr>
        <w:t xml:space="preserve"> </w:t>
      </w:r>
      <w:r>
        <w:rPr>
          <w:b w:val="0"/>
        </w:rPr>
        <w:t xml:space="preserve"> </w:t>
      </w:r>
      <w:r w:rsidR="007F7FB4" w:rsidRPr="00022A8B">
        <w:rPr>
          <w:b w:val="0"/>
        </w:rPr>
        <w:t xml:space="preserve">As is more specifically set forth below, counts five and six of this </w:t>
      </w:r>
      <w:r w:rsidR="007A73B1" w:rsidRPr="00022A8B">
        <w:rPr>
          <w:b w:val="0"/>
        </w:rPr>
        <w:t>a</w:t>
      </w:r>
      <w:r w:rsidR="007F7FB4" w:rsidRPr="00022A8B">
        <w:rPr>
          <w:b w:val="0"/>
        </w:rPr>
        <w:t>mended NDC were dismissed at trial</w:t>
      </w:r>
      <w:r w:rsidR="007A73B1" w:rsidRPr="00022A8B">
        <w:rPr>
          <w:b w:val="0"/>
        </w:rPr>
        <w:t>, on the motion of respondent</w:t>
      </w:r>
      <w:r w:rsidR="007F7FB4" w:rsidRPr="00022A8B">
        <w:rPr>
          <w:b w:val="0"/>
        </w:rPr>
        <w:t>.</w:t>
      </w:r>
    </w:p>
    <w:p w:rsidR="00E34618" w:rsidRPr="001576E6" w:rsidRDefault="00E34618" w:rsidP="00022A8B">
      <w:r>
        <w:t xml:space="preserve">2.  </w:t>
      </w:r>
      <w:r w:rsidRPr="00193022">
        <w:t>FINDINGS OF FACT AND CONCLUSIONS OF LAW</w:t>
      </w:r>
    </w:p>
    <w:p w:rsidR="00E34618" w:rsidRPr="00932260" w:rsidRDefault="00E34618" w:rsidP="00022A8B">
      <w:r w:rsidRPr="00932260">
        <w:rPr>
          <w:b w:val="0"/>
        </w:rPr>
        <w:tab/>
      </w:r>
      <w:r w:rsidR="00AC2E07">
        <w:t>A.  Jurisdiction</w:t>
      </w:r>
    </w:p>
    <w:p w:rsidR="00E34618" w:rsidRPr="00932260" w:rsidRDefault="00E34618" w:rsidP="00A00AB4">
      <w:pPr>
        <w:ind w:firstLine="720"/>
        <w:rPr>
          <w:b w:val="0"/>
        </w:rPr>
      </w:pPr>
      <w:r w:rsidRPr="00932260">
        <w:rPr>
          <w:b w:val="0"/>
        </w:rPr>
        <w:t xml:space="preserve">Respondent was admitted to the practice of law in the State of California on </w:t>
      </w:r>
      <w:r w:rsidR="007A73B1" w:rsidRPr="00932260">
        <w:rPr>
          <w:b w:val="0"/>
        </w:rPr>
        <w:t>June 6, 1989</w:t>
      </w:r>
      <w:r w:rsidRPr="00932260">
        <w:rPr>
          <w:b w:val="0"/>
        </w:rPr>
        <w:t>, and since that time has been an attorney at law and a member of the State Bar of California.</w:t>
      </w:r>
    </w:p>
    <w:p w:rsidR="00E34618" w:rsidRPr="00932260" w:rsidRDefault="00E34618" w:rsidP="00022A8B">
      <w:r w:rsidRPr="00932260">
        <w:rPr>
          <w:b w:val="0"/>
        </w:rPr>
        <w:tab/>
      </w:r>
      <w:r w:rsidRPr="00932260">
        <w:t xml:space="preserve">B.  </w:t>
      </w:r>
      <w:r w:rsidR="00342D5D">
        <w:t>The Unauthorized Practice of Law</w:t>
      </w:r>
      <w:r w:rsidR="00342D5D" w:rsidRPr="00932260">
        <w:t xml:space="preserve"> </w:t>
      </w:r>
      <w:r w:rsidR="00342D5D">
        <w:t>(</w:t>
      </w:r>
      <w:r w:rsidR="008003B6" w:rsidRPr="00932260">
        <w:t>Case No. 08-O-1311</w:t>
      </w:r>
      <w:r w:rsidR="00342D5D">
        <w:t>6</w:t>
      </w:r>
      <w:r w:rsidR="008003B6" w:rsidRPr="00932260">
        <w:t>)</w:t>
      </w:r>
    </w:p>
    <w:p w:rsidR="00E34618" w:rsidRPr="00932260" w:rsidRDefault="00E34618" w:rsidP="00022A8B">
      <w:r w:rsidRPr="00932260">
        <w:rPr>
          <w:b w:val="0"/>
        </w:rPr>
        <w:tab/>
      </w:r>
      <w:r w:rsidRPr="00932260">
        <w:rPr>
          <w:b w:val="0"/>
        </w:rPr>
        <w:tab/>
      </w:r>
      <w:r w:rsidRPr="00932260">
        <w:t xml:space="preserve">1.  </w:t>
      </w:r>
      <w:r w:rsidR="008003B6">
        <w:t>Findings of Fact</w:t>
      </w:r>
    </w:p>
    <w:p w:rsidR="00F66EAF" w:rsidRDefault="007A73B1" w:rsidP="00022A8B">
      <w:pPr>
        <w:rPr>
          <w:b w:val="0"/>
        </w:rPr>
      </w:pPr>
      <w:r w:rsidRPr="00932260">
        <w:rPr>
          <w:b w:val="0"/>
        </w:rPr>
        <w:tab/>
        <w:t>On July 1, 2008, respondent was actually suspended from practicing law for nonpayment of fees and noncompliance with MCLE requirements.</w:t>
      </w:r>
      <w:r w:rsidR="00747FEE">
        <w:rPr>
          <w:b w:val="0"/>
        </w:rPr>
        <w:t xml:space="preserve"> </w:t>
      </w:r>
      <w:r w:rsidR="00C47BB5" w:rsidRPr="00932260">
        <w:rPr>
          <w:b w:val="0"/>
        </w:rPr>
        <w:t xml:space="preserve"> Respondent paid his outstanding fees, and was reinstated on July 31, 2008</w:t>
      </w:r>
      <w:r w:rsidR="00747FEE">
        <w:rPr>
          <w:b w:val="0"/>
        </w:rPr>
        <w:t>,</w:t>
      </w:r>
      <w:r w:rsidR="00C47BB5" w:rsidRPr="00932260">
        <w:rPr>
          <w:b w:val="0"/>
        </w:rPr>
        <w:t xml:space="preserve"> for that suspension.  However, he remained suspended for his noncompliance with his MCLE requirements</w:t>
      </w:r>
      <w:r w:rsidR="005014C9" w:rsidRPr="00932260">
        <w:rPr>
          <w:b w:val="0"/>
        </w:rPr>
        <w:t xml:space="preserve"> until August 7, 2008</w:t>
      </w:r>
      <w:r w:rsidR="00C47BB5" w:rsidRPr="00932260">
        <w:rPr>
          <w:b w:val="0"/>
        </w:rPr>
        <w:t xml:space="preserve">.  </w:t>
      </w:r>
    </w:p>
    <w:p w:rsidR="007A019E" w:rsidRDefault="00F66EAF" w:rsidP="00F66EAF">
      <w:pPr>
        <w:ind w:firstLine="720"/>
        <w:rPr>
          <w:b w:val="0"/>
        </w:rPr>
      </w:pPr>
      <w:r>
        <w:rPr>
          <w:b w:val="0"/>
        </w:rPr>
        <w:t>O</w:t>
      </w:r>
      <w:r w:rsidRPr="00932260">
        <w:rPr>
          <w:b w:val="0"/>
        </w:rPr>
        <w:t xml:space="preserve">n July 23, 2008, </w:t>
      </w:r>
      <w:r w:rsidR="00C47BB5" w:rsidRPr="00932260">
        <w:rPr>
          <w:b w:val="0"/>
        </w:rPr>
        <w:t>respondent</w:t>
      </w:r>
      <w:r>
        <w:rPr>
          <w:b w:val="0"/>
        </w:rPr>
        <w:t>,</w:t>
      </w:r>
      <w:r w:rsidR="00C47BB5" w:rsidRPr="00932260">
        <w:rPr>
          <w:b w:val="0"/>
        </w:rPr>
        <w:t xml:space="preserve"> </w:t>
      </w:r>
      <w:r>
        <w:rPr>
          <w:b w:val="0"/>
        </w:rPr>
        <w:t>w</w:t>
      </w:r>
      <w:r w:rsidRPr="00932260">
        <w:rPr>
          <w:b w:val="0"/>
        </w:rPr>
        <w:t xml:space="preserve">hile still suspended, </w:t>
      </w:r>
      <w:r w:rsidR="00C47BB5" w:rsidRPr="00932260">
        <w:rPr>
          <w:b w:val="0"/>
        </w:rPr>
        <w:t xml:space="preserve">called opposing counsel </w:t>
      </w:r>
      <w:r w:rsidR="005014C9" w:rsidRPr="00932260">
        <w:rPr>
          <w:b w:val="0"/>
        </w:rPr>
        <w:t>on behalf of</w:t>
      </w:r>
      <w:r w:rsidR="00C47BB5" w:rsidRPr="00932260">
        <w:rPr>
          <w:b w:val="0"/>
        </w:rPr>
        <w:t xml:space="preserve"> his client, Blanca Ortega.  In that call, respondent discussed possible settlement of Ms. Ortega’s personal injury claim.  That same day, respondent sent a letter confirming the telephone conversation.  </w:t>
      </w:r>
      <w:r w:rsidR="005014C9" w:rsidRPr="00932260">
        <w:rPr>
          <w:b w:val="0"/>
        </w:rPr>
        <w:t xml:space="preserve">These acts constituted the practice of law.  </w:t>
      </w:r>
      <w:r w:rsidR="00C47BB5" w:rsidRPr="00932260">
        <w:rPr>
          <w:b w:val="0"/>
        </w:rPr>
        <w:t>In neither of these com</w:t>
      </w:r>
      <w:r w:rsidR="00392E49">
        <w:rPr>
          <w:b w:val="0"/>
        </w:rPr>
        <w:t>munications did respondent advis</w:t>
      </w:r>
      <w:r w:rsidR="00C47BB5" w:rsidRPr="00932260">
        <w:rPr>
          <w:b w:val="0"/>
        </w:rPr>
        <w:t>e opposing counsel that he was not entitled to practice law.</w:t>
      </w:r>
    </w:p>
    <w:p w:rsidR="005014C9" w:rsidRPr="00932260" w:rsidRDefault="00E34618" w:rsidP="00022A8B">
      <w:r w:rsidRPr="008003B6">
        <w:tab/>
      </w:r>
      <w:r w:rsidRPr="008003B6">
        <w:tab/>
      </w:r>
      <w:r w:rsidR="008003B6" w:rsidRPr="008003B6">
        <w:t xml:space="preserve">2.  </w:t>
      </w:r>
      <w:r w:rsidRPr="008003B6">
        <w:t>Conclusions of Law</w:t>
      </w:r>
      <w:r w:rsidR="00DE5726" w:rsidRPr="008003B6">
        <w:t xml:space="preserve"> </w:t>
      </w:r>
    </w:p>
    <w:p w:rsidR="00E34618" w:rsidRDefault="00E34618" w:rsidP="000A7CF2">
      <w:pPr>
        <w:spacing w:line="240" w:lineRule="auto"/>
        <w:ind w:left="2160" w:hanging="360"/>
      </w:pPr>
      <w:r w:rsidRPr="00932260">
        <w:t xml:space="preserve">a.  </w:t>
      </w:r>
      <w:r w:rsidR="000A7CF2">
        <w:t xml:space="preserve"> </w:t>
      </w:r>
      <w:r w:rsidRPr="00932260">
        <w:t xml:space="preserve">Count One – </w:t>
      </w:r>
      <w:r w:rsidR="005014C9" w:rsidRPr="00932260">
        <w:t xml:space="preserve">Business and Professions Code </w:t>
      </w:r>
      <w:r w:rsidR="000A7CF2">
        <w:t>§</w:t>
      </w:r>
      <w:r w:rsidR="005014C9" w:rsidRPr="00932260">
        <w:t xml:space="preserve"> 6068</w:t>
      </w:r>
      <w:r w:rsidR="000A7CF2">
        <w:t xml:space="preserve">, subdivision </w:t>
      </w:r>
      <w:r w:rsidR="005014C9" w:rsidRPr="00932260">
        <w:t>(a)</w:t>
      </w:r>
      <w:r w:rsidRPr="00932260">
        <w:t xml:space="preserve"> [</w:t>
      </w:r>
      <w:r w:rsidR="005014C9" w:rsidRPr="00932260">
        <w:t>Failure to comply with laws/unauthorized practice of law</w:t>
      </w:r>
      <w:r w:rsidRPr="00932260">
        <w:t xml:space="preserve">] </w:t>
      </w:r>
    </w:p>
    <w:p w:rsidR="00392E49" w:rsidRPr="00932260" w:rsidRDefault="00392E49" w:rsidP="00392E49">
      <w:pPr>
        <w:spacing w:line="240" w:lineRule="auto"/>
        <w:ind w:left="2160"/>
      </w:pPr>
    </w:p>
    <w:p w:rsidR="00E34618" w:rsidRPr="00932260" w:rsidRDefault="005014C9" w:rsidP="00022A8B">
      <w:pPr>
        <w:rPr>
          <w:b w:val="0"/>
        </w:rPr>
      </w:pPr>
      <w:r w:rsidRPr="00932260">
        <w:rPr>
          <w:b w:val="0"/>
        </w:rPr>
        <w:tab/>
      </w:r>
      <w:r w:rsidR="001D17FE">
        <w:rPr>
          <w:b w:val="0"/>
        </w:rPr>
        <w:t xml:space="preserve">By making the telephone call regarding settlement and by sending a confirming letter on behalf of his client, while he was suspended from the practice of law, respondent held himself out as practicing or entitled to practice law and practiced law while he was not an active member </w:t>
      </w:r>
      <w:r w:rsidR="00347A40">
        <w:rPr>
          <w:b w:val="0"/>
        </w:rPr>
        <w:t>of the State Bar</w:t>
      </w:r>
      <w:r w:rsidR="007A019E">
        <w:rPr>
          <w:b w:val="0"/>
        </w:rPr>
        <w:t>,</w:t>
      </w:r>
      <w:r w:rsidR="00347A40">
        <w:rPr>
          <w:b w:val="0"/>
        </w:rPr>
        <w:t xml:space="preserve"> in willful violation of Business and Professions Code section 6125 and 6126, and therefore, failed to support the laws of the State of California, in willful violation of Business and Professions Code section 6068</w:t>
      </w:r>
      <w:r w:rsidR="000B5B3B">
        <w:rPr>
          <w:b w:val="0"/>
        </w:rPr>
        <w:t xml:space="preserve">, subdivision </w:t>
      </w:r>
      <w:r w:rsidR="00347A40">
        <w:rPr>
          <w:b w:val="0"/>
        </w:rPr>
        <w:t>(a).</w:t>
      </w:r>
    </w:p>
    <w:p w:rsidR="00E34618" w:rsidRDefault="00E34618" w:rsidP="00F643DA">
      <w:pPr>
        <w:spacing w:line="240" w:lineRule="auto"/>
        <w:ind w:left="2160" w:hanging="360"/>
      </w:pPr>
      <w:r w:rsidRPr="00932260">
        <w:t xml:space="preserve">b.  </w:t>
      </w:r>
      <w:r w:rsidR="00F40EB3">
        <w:t xml:space="preserve"> </w:t>
      </w:r>
      <w:r w:rsidRPr="00932260">
        <w:t xml:space="preserve">Count Two – </w:t>
      </w:r>
      <w:r w:rsidR="005014C9" w:rsidRPr="00932260">
        <w:t xml:space="preserve">Business and Professions Code </w:t>
      </w:r>
      <w:r w:rsidR="00F40EB3">
        <w:t xml:space="preserve">§ </w:t>
      </w:r>
      <w:r w:rsidR="005014C9" w:rsidRPr="00932260">
        <w:t>6106</w:t>
      </w:r>
      <w:r w:rsidRPr="00932260">
        <w:t xml:space="preserve"> [</w:t>
      </w:r>
      <w:r w:rsidR="005014C9" w:rsidRPr="00932260">
        <w:t>Moral Turpitude</w:t>
      </w:r>
      <w:r w:rsidRPr="00932260">
        <w:t>]</w:t>
      </w:r>
    </w:p>
    <w:p w:rsidR="00F643DA" w:rsidRPr="00932260" w:rsidRDefault="00F643DA" w:rsidP="00F40EB3">
      <w:pPr>
        <w:spacing w:line="240" w:lineRule="auto"/>
        <w:ind w:left="2520" w:hanging="360"/>
      </w:pPr>
    </w:p>
    <w:p w:rsidR="00117914" w:rsidRPr="00932260" w:rsidRDefault="00E34618" w:rsidP="00022A8B">
      <w:pPr>
        <w:rPr>
          <w:b w:val="0"/>
        </w:rPr>
      </w:pPr>
      <w:r w:rsidRPr="00932260">
        <w:rPr>
          <w:b w:val="0"/>
        </w:rPr>
        <w:tab/>
      </w:r>
      <w:r w:rsidR="00347A40">
        <w:rPr>
          <w:b w:val="0"/>
        </w:rPr>
        <w:t>By not advising opposing counsel that he was suspended and not entitled to practice law, and by representing to opposing counsel that he was entitled to practice law, respondent misrepresented his status with the State Bar to opposing counsel and committed an act or acts of moral turpitude, dishonesty and/or corruption, in willful violation of Business and Professions Code section 6106.</w:t>
      </w:r>
    </w:p>
    <w:p w:rsidR="00E34618" w:rsidRPr="008003B6" w:rsidRDefault="00E34618" w:rsidP="00022A8B">
      <w:r w:rsidRPr="008003B6">
        <w:tab/>
      </w:r>
      <w:r w:rsidR="008003B6" w:rsidRPr="008003B6">
        <w:t>C</w:t>
      </w:r>
      <w:r w:rsidRPr="008003B6">
        <w:t xml:space="preserve">.  </w:t>
      </w:r>
      <w:r w:rsidR="00342D5D">
        <w:t xml:space="preserve">The </w:t>
      </w:r>
      <w:r w:rsidR="00342D5D" w:rsidRPr="008003B6">
        <w:t>Buttanda and Cerda</w:t>
      </w:r>
      <w:r w:rsidR="00342D5D">
        <w:t xml:space="preserve"> Matter (</w:t>
      </w:r>
      <w:r w:rsidRPr="008003B6">
        <w:t xml:space="preserve">Case No. </w:t>
      </w:r>
      <w:r w:rsidR="00117914" w:rsidRPr="008003B6">
        <w:t>08-O-11670</w:t>
      </w:r>
      <w:r w:rsidR="00342D5D">
        <w:t>)</w:t>
      </w:r>
      <w:r w:rsidR="00117914" w:rsidRPr="008003B6">
        <w:t xml:space="preserve"> </w:t>
      </w:r>
    </w:p>
    <w:p w:rsidR="008003B6" w:rsidRPr="00932260" w:rsidRDefault="008003B6" w:rsidP="008003B6">
      <w:r w:rsidRPr="00932260">
        <w:rPr>
          <w:b w:val="0"/>
        </w:rPr>
        <w:tab/>
      </w:r>
      <w:r w:rsidRPr="00932260">
        <w:rPr>
          <w:b w:val="0"/>
        </w:rPr>
        <w:tab/>
      </w:r>
      <w:r w:rsidRPr="00932260">
        <w:t xml:space="preserve">1.  </w:t>
      </w:r>
      <w:r>
        <w:t>Findings of Fact</w:t>
      </w:r>
    </w:p>
    <w:p w:rsidR="00E34618" w:rsidRPr="00932260" w:rsidRDefault="00117914" w:rsidP="00022A8B">
      <w:pPr>
        <w:rPr>
          <w:b w:val="0"/>
        </w:rPr>
      </w:pPr>
      <w:r w:rsidRPr="00932260">
        <w:rPr>
          <w:b w:val="0"/>
        </w:rPr>
        <w:tab/>
        <w:t>In October 2005, respondent represented Salvatore Buttanda</w:t>
      </w:r>
      <w:r w:rsidR="00A87F90">
        <w:rPr>
          <w:b w:val="0"/>
        </w:rPr>
        <w:t xml:space="preserve"> (Buttanda)</w:t>
      </w:r>
      <w:r w:rsidRPr="00932260">
        <w:rPr>
          <w:b w:val="0"/>
        </w:rPr>
        <w:t xml:space="preserve"> in a marital dissolution action</w:t>
      </w:r>
      <w:r w:rsidR="00D31E88" w:rsidRPr="00932260">
        <w:rPr>
          <w:b w:val="0"/>
        </w:rPr>
        <w:t>.  His wife was named Grace Cerda</w:t>
      </w:r>
      <w:r w:rsidR="00A87F90">
        <w:rPr>
          <w:b w:val="0"/>
        </w:rPr>
        <w:t xml:space="preserve"> (Cerda)</w:t>
      </w:r>
      <w:r w:rsidR="00CE3A1C" w:rsidRPr="00932260">
        <w:rPr>
          <w:b w:val="0"/>
        </w:rPr>
        <w:t>.  On October 19, 2005, the parties to the dissolution signed a stipulation addressing the distribution of the funds that would be generated by the sale of the Buttanda</w:t>
      </w:r>
      <w:r w:rsidR="00D31E88" w:rsidRPr="00932260">
        <w:rPr>
          <w:b w:val="0"/>
        </w:rPr>
        <w:t>/Cerda</w:t>
      </w:r>
      <w:r w:rsidR="00CE3A1C" w:rsidRPr="00932260">
        <w:rPr>
          <w:b w:val="0"/>
        </w:rPr>
        <w:t xml:space="preserve"> residence </w:t>
      </w:r>
      <w:r w:rsidR="00F81B26">
        <w:rPr>
          <w:b w:val="0"/>
        </w:rPr>
        <w:t>in</w:t>
      </w:r>
      <w:r w:rsidR="00CE3A1C" w:rsidRPr="00932260">
        <w:rPr>
          <w:b w:val="0"/>
        </w:rPr>
        <w:t xml:space="preserve"> Whittier, Califo</w:t>
      </w:r>
      <w:r w:rsidR="007F28A0" w:rsidRPr="00932260">
        <w:rPr>
          <w:b w:val="0"/>
        </w:rPr>
        <w:t xml:space="preserve">rnia (the residence.)  This stipulation became an order of the court.  By the terms of the stipulation, the proceeds from the sale of the residence were to be “held in constructive trust for the benefit of the parties, without characterization and shall be non-prejudicial to either party.”  Further the stipulation </w:t>
      </w:r>
      <w:r w:rsidR="00D62320" w:rsidRPr="00932260">
        <w:rPr>
          <w:b w:val="0"/>
        </w:rPr>
        <w:t xml:space="preserve">provided that the funds would be </w:t>
      </w:r>
      <w:r w:rsidR="007F28A0" w:rsidRPr="00932260">
        <w:rPr>
          <w:b w:val="0"/>
        </w:rPr>
        <w:t>placed in respondent’s client trust account (CTA) “pending further Court Order or an agreement signed by both parties and their attorneys of record indicating otherwise.”</w:t>
      </w:r>
    </w:p>
    <w:p w:rsidR="00D62320" w:rsidRDefault="00D62320" w:rsidP="00022A8B">
      <w:pPr>
        <w:rPr>
          <w:b w:val="0"/>
        </w:rPr>
      </w:pPr>
      <w:r w:rsidRPr="00932260">
        <w:rPr>
          <w:b w:val="0"/>
        </w:rPr>
        <w:tab/>
        <w:t>The residenc</w:t>
      </w:r>
      <w:r w:rsidR="009372E6">
        <w:rPr>
          <w:b w:val="0"/>
        </w:rPr>
        <w:t>e was sold in November 2005.  O</w:t>
      </w:r>
      <w:r w:rsidRPr="00932260">
        <w:rPr>
          <w:b w:val="0"/>
        </w:rPr>
        <w:t>n November 15, 2005, the proceeds, in the amount of $167,706.03</w:t>
      </w:r>
      <w:r w:rsidR="009372E6">
        <w:rPr>
          <w:b w:val="0"/>
        </w:rPr>
        <w:t>,</w:t>
      </w:r>
      <w:r w:rsidRPr="00932260">
        <w:rPr>
          <w:b w:val="0"/>
        </w:rPr>
        <w:t xml:space="preserve"> were deposited in respondent’s CTA.  Respondent made disbursements from the CTA as follows</w:t>
      </w:r>
      <w:r w:rsidR="00932260">
        <w:rPr>
          <w:b w:val="0"/>
        </w:rPr>
        <w:t>, resulting in the following required balances</w:t>
      </w:r>
      <w:r w:rsidRPr="00932260">
        <w:rPr>
          <w:b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887"/>
        <w:gridCol w:w="2346"/>
        <w:gridCol w:w="2075"/>
      </w:tblGrid>
      <w:tr w:rsidR="001B4678" w:rsidRPr="008327F2" w:rsidTr="008327F2">
        <w:tc>
          <w:tcPr>
            <w:tcW w:w="2160" w:type="dxa"/>
          </w:tcPr>
          <w:p w:rsidR="001B4678" w:rsidRPr="00932260" w:rsidRDefault="001B4678" w:rsidP="00632FE5">
            <w:pPr>
              <w:spacing w:line="240" w:lineRule="auto"/>
              <w:jc w:val="center"/>
            </w:pPr>
            <w:r w:rsidRPr="00932260">
              <w:t>Date</w:t>
            </w:r>
          </w:p>
        </w:tc>
        <w:tc>
          <w:tcPr>
            <w:tcW w:w="2887" w:type="dxa"/>
          </w:tcPr>
          <w:p w:rsidR="001B4678" w:rsidRPr="00932260" w:rsidRDefault="001B4678" w:rsidP="00632FE5">
            <w:pPr>
              <w:spacing w:line="240" w:lineRule="auto"/>
              <w:jc w:val="center"/>
            </w:pPr>
            <w:r w:rsidRPr="00932260">
              <w:t>Payee</w:t>
            </w:r>
          </w:p>
        </w:tc>
        <w:tc>
          <w:tcPr>
            <w:tcW w:w="2346" w:type="dxa"/>
          </w:tcPr>
          <w:p w:rsidR="001B4678" w:rsidRPr="00932260" w:rsidRDefault="001B4678" w:rsidP="00632FE5">
            <w:pPr>
              <w:spacing w:line="240" w:lineRule="auto"/>
              <w:jc w:val="center"/>
            </w:pPr>
            <w:r w:rsidRPr="00932260">
              <w:t>Amount of Payment</w:t>
            </w:r>
          </w:p>
        </w:tc>
        <w:tc>
          <w:tcPr>
            <w:tcW w:w="2075" w:type="dxa"/>
          </w:tcPr>
          <w:p w:rsidR="001B4678" w:rsidRPr="00932260" w:rsidRDefault="001B4678" w:rsidP="00632FE5">
            <w:pPr>
              <w:spacing w:line="240" w:lineRule="auto"/>
              <w:jc w:val="center"/>
            </w:pPr>
            <w:r w:rsidRPr="00932260">
              <w:t>Required Resulting Balance</w:t>
            </w:r>
          </w:p>
        </w:tc>
      </w:tr>
      <w:tr w:rsidR="0020478D" w:rsidRPr="008327F2" w:rsidTr="008327F2">
        <w:tc>
          <w:tcPr>
            <w:tcW w:w="2160" w:type="dxa"/>
          </w:tcPr>
          <w:p w:rsidR="0020478D" w:rsidRPr="008327F2" w:rsidRDefault="0020478D" w:rsidP="00632FE5">
            <w:pPr>
              <w:spacing w:line="240" w:lineRule="auto"/>
              <w:jc w:val="center"/>
              <w:rPr>
                <w:b w:val="0"/>
              </w:rPr>
            </w:pPr>
            <w:r w:rsidRPr="008327F2">
              <w:rPr>
                <w:b w:val="0"/>
              </w:rPr>
              <w:t>December 1, 2005</w:t>
            </w:r>
          </w:p>
        </w:tc>
        <w:tc>
          <w:tcPr>
            <w:tcW w:w="2887" w:type="dxa"/>
          </w:tcPr>
          <w:p w:rsidR="0020478D" w:rsidRPr="008327F2" w:rsidRDefault="0020478D" w:rsidP="00632FE5">
            <w:pPr>
              <w:spacing w:line="240" w:lineRule="auto"/>
              <w:jc w:val="center"/>
              <w:rPr>
                <w:b w:val="0"/>
              </w:rPr>
            </w:pPr>
            <w:r w:rsidRPr="008327F2">
              <w:rPr>
                <w:b w:val="0"/>
              </w:rPr>
              <w:t>Salvatore Buttanda</w:t>
            </w:r>
          </w:p>
        </w:tc>
        <w:tc>
          <w:tcPr>
            <w:tcW w:w="2346" w:type="dxa"/>
          </w:tcPr>
          <w:p w:rsidR="0020478D" w:rsidRPr="008327F2" w:rsidRDefault="0020478D" w:rsidP="00632FE5">
            <w:pPr>
              <w:spacing w:line="240" w:lineRule="auto"/>
              <w:jc w:val="center"/>
              <w:rPr>
                <w:b w:val="0"/>
              </w:rPr>
            </w:pPr>
            <w:r w:rsidRPr="008327F2">
              <w:rPr>
                <w:b w:val="0"/>
              </w:rPr>
              <w:t>$65,000.00</w:t>
            </w:r>
          </w:p>
        </w:tc>
        <w:tc>
          <w:tcPr>
            <w:tcW w:w="2075" w:type="dxa"/>
          </w:tcPr>
          <w:p w:rsidR="0020478D" w:rsidRPr="008327F2" w:rsidRDefault="0020478D" w:rsidP="00632FE5">
            <w:pPr>
              <w:spacing w:line="240" w:lineRule="auto"/>
              <w:jc w:val="center"/>
              <w:rPr>
                <w:b w:val="0"/>
              </w:rPr>
            </w:pPr>
            <w:r w:rsidRPr="008327F2">
              <w:rPr>
                <w:b w:val="0"/>
              </w:rPr>
              <w:t>$102,706.03</w:t>
            </w:r>
          </w:p>
        </w:tc>
      </w:tr>
      <w:tr w:rsidR="0020478D" w:rsidRPr="008327F2" w:rsidTr="008327F2">
        <w:tc>
          <w:tcPr>
            <w:tcW w:w="2160" w:type="dxa"/>
          </w:tcPr>
          <w:p w:rsidR="0020478D" w:rsidRPr="008327F2" w:rsidRDefault="0020478D" w:rsidP="00632FE5">
            <w:pPr>
              <w:spacing w:line="240" w:lineRule="auto"/>
              <w:jc w:val="center"/>
              <w:rPr>
                <w:b w:val="0"/>
              </w:rPr>
            </w:pPr>
            <w:r w:rsidRPr="008327F2">
              <w:rPr>
                <w:b w:val="0"/>
              </w:rPr>
              <w:t>December 22, 2005</w:t>
            </w:r>
          </w:p>
        </w:tc>
        <w:tc>
          <w:tcPr>
            <w:tcW w:w="2887" w:type="dxa"/>
          </w:tcPr>
          <w:p w:rsidR="0020478D" w:rsidRPr="008327F2" w:rsidRDefault="0020478D" w:rsidP="00632FE5">
            <w:pPr>
              <w:spacing w:line="240" w:lineRule="auto"/>
              <w:jc w:val="center"/>
              <w:rPr>
                <w:b w:val="0"/>
              </w:rPr>
            </w:pPr>
            <w:r w:rsidRPr="008327F2">
              <w:rPr>
                <w:b w:val="0"/>
              </w:rPr>
              <w:t>Grace Buttanda/Cerda</w:t>
            </w:r>
          </w:p>
        </w:tc>
        <w:tc>
          <w:tcPr>
            <w:tcW w:w="2346" w:type="dxa"/>
          </w:tcPr>
          <w:p w:rsidR="0020478D" w:rsidRPr="008327F2" w:rsidRDefault="0020478D" w:rsidP="00632FE5">
            <w:pPr>
              <w:spacing w:line="240" w:lineRule="auto"/>
              <w:jc w:val="center"/>
              <w:rPr>
                <w:b w:val="0"/>
              </w:rPr>
            </w:pPr>
            <w:r w:rsidRPr="008327F2">
              <w:rPr>
                <w:b w:val="0"/>
              </w:rPr>
              <w:t>$65,000.00</w:t>
            </w:r>
          </w:p>
        </w:tc>
        <w:tc>
          <w:tcPr>
            <w:tcW w:w="2075" w:type="dxa"/>
          </w:tcPr>
          <w:p w:rsidR="0020478D" w:rsidRPr="008327F2" w:rsidRDefault="001B4678" w:rsidP="00632FE5">
            <w:pPr>
              <w:spacing w:line="240" w:lineRule="auto"/>
              <w:jc w:val="center"/>
              <w:rPr>
                <w:b w:val="0"/>
              </w:rPr>
            </w:pPr>
            <w:r w:rsidRPr="008327F2">
              <w:rPr>
                <w:b w:val="0"/>
              </w:rPr>
              <w:t>$37,706.03</w:t>
            </w:r>
          </w:p>
        </w:tc>
      </w:tr>
      <w:tr w:rsidR="0020478D" w:rsidRPr="008327F2" w:rsidTr="008327F2">
        <w:tc>
          <w:tcPr>
            <w:tcW w:w="2160" w:type="dxa"/>
          </w:tcPr>
          <w:p w:rsidR="0020478D" w:rsidRPr="008327F2" w:rsidRDefault="0020478D" w:rsidP="00632FE5">
            <w:pPr>
              <w:spacing w:line="240" w:lineRule="auto"/>
              <w:jc w:val="center"/>
              <w:rPr>
                <w:b w:val="0"/>
              </w:rPr>
            </w:pPr>
            <w:r w:rsidRPr="008327F2">
              <w:rPr>
                <w:b w:val="0"/>
              </w:rPr>
              <w:t>April 24, 2006</w:t>
            </w:r>
          </w:p>
        </w:tc>
        <w:tc>
          <w:tcPr>
            <w:tcW w:w="2887" w:type="dxa"/>
          </w:tcPr>
          <w:p w:rsidR="0020478D" w:rsidRPr="008327F2" w:rsidRDefault="0020478D" w:rsidP="00632FE5">
            <w:pPr>
              <w:spacing w:line="240" w:lineRule="auto"/>
              <w:jc w:val="center"/>
              <w:rPr>
                <w:b w:val="0"/>
              </w:rPr>
            </w:pPr>
            <w:r w:rsidRPr="008327F2">
              <w:rPr>
                <w:b w:val="0"/>
              </w:rPr>
              <w:t>Salvatore Buttanda</w:t>
            </w:r>
          </w:p>
        </w:tc>
        <w:tc>
          <w:tcPr>
            <w:tcW w:w="2346" w:type="dxa"/>
          </w:tcPr>
          <w:p w:rsidR="0020478D" w:rsidRPr="008327F2" w:rsidRDefault="0020478D" w:rsidP="00632FE5">
            <w:pPr>
              <w:spacing w:line="240" w:lineRule="auto"/>
              <w:jc w:val="center"/>
              <w:rPr>
                <w:b w:val="0"/>
              </w:rPr>
            </w:pPr>
            <w:r w:rsidRPr="008327F2">
              <w:rPr>
                <w:b w:val="0"/>
              </w:rPr>
              <w:t>$10,000.00</w:t>
            </w:r>
          </w:p>
        </w:tc>
        <w:tc>
          <w:tcPr>
            <w:tcW w:w="2075" w:type="dxa"/>
          </w:tcPr>
          <w:p w:rsidR="0020478D" w:rsidRPr="008327F2" w:rsidRDefault="001B4678" w:rsidP="00632FE5">
            <w:pPr>
              <w:spacing w:line="240" w:lineRule="auto"/>
              <w:jc w:val="center"/>
              <w:rPr>
                <w:b w:val="0"/>
              </w:rPr>
            </w:pPr>
            <w:r w:rsidRPr="008327F2">
              <w:rPr>
                <w:b w:val="0"/>
              </w:rPr>
              <w:t>$27,706.03</w:t>
            </w:r>
          </w:p>
        </w:tc>
      </w:tr>
      <w:tr w:rsidR="0020478D" w:rsidRPr="008327F2" w:rsidTr="008327F2">
        <w:tc>
          <w:tcPr>
            <w:tcW w:w="2160" w:type="dxa"/>
          </w:tcPr>
          <w:p w:rsidR="0020478D" w:rsidRPr="008327F2" w:rsidRDefault="0020478D" w:rsidP="00632FE5">
            <w:pPr>
              <w:spacing w:line="240" w:lineRule="auto"/>
              <w:jc w:val="center"/>
              <w:rPr>
                <w:b w:val="0"/>
              </w:rPr>
            </w:pPr>
            <w:r w:rsidRPr="008327F2">
              <w:rPr>
                <w:b w:val="0"/>
              </w:rPr>
              <w:t>December 27, 2006</w:t>
            </w:r>
          </w:p>
        </w:tc>
        <w:tc>
          <w:tcPr>
            <w:tcW w:w="2887" w:type="dxa"/>
          </w:tcPr>
          <w:p w:rsidR="0020478D" w:rsidRPr="008327F2" w:rsidRDefault="0020478D" w:rsidP="00632FE5">
            <w:pPr>
              <w:spacing w:line="240" w:lineRule="auto"/>
              <w:jc w:val="center"/>
              <w:rPr>
                <w:b w:val="0"/>
              </w:rPr>
            </w:pPr>
            <w:r w:rsidRPr="008327F2">
              <w:rPr>
                <w:b w:val="0"/>
              </w:rPr>
              <w:t>Salvatore Buttanda</w:t>
            </w:r>
          </w:p>
        </w:tc>
        <w:tc>
          <w:tcPr>
            <w:tcW w:w="2346" w:type="dxa"/>
          </w:tcPr>
          <w:p w:rsidR="0020478D" w:rsidRPr="008327F2" w:rsidRDefault="0020478D" w:rsidP="00632FE5">
            <w:pPr>
              <w:spacing w:line="240" w:lineRule="auto"/>
              <w:jc w:val="center"/>
              <w:rPr>
                <w:b w:val="0"/>
              </w:rPr>
            </w:pPr>
            <w:r w:rsidRPr="008327F2">
              <w:rPr>
                <w:b w:val="0"/>
              </w:rPr>
              <w:t>$2,</w:t>
            </w:r>
            <w:r w:rsidR="00FB7CC4" w:rsidRPr="008327F2">
              <w:rPr>
                <w:b w:val="0"/>
              </w:rPr>
              <w:t>0</w:t>
            </w:r>
            <w:r w:rsidRPr="008327F2">
              <w:rPr>
                <w:b w:val="0"/>
              </w:rPr>
              <w:t>00.00</w:t>
            </w:r>
          </w:p>
        </w:tc>
        <w:tc>
          <w:tcPr>
            <w:tcW w:w="2075" w:type="dxa"/>
          </w:tcPr>
          <w:p w:rsidR="0020478D" w:rsidRPr="008327F2" w:rsidRDefault="001B4678" w:rsidP="00632FE5">
            <w:pPr>
              <w:spacing w:line="240" w:lineRule="auto"/>
              <w:jc w:val="center"/>
              <w:rPr>
                <w:b w:val="0"/>
              </w:rPr>
            </w:pPr>
            <w:r w:rsidRPr="008327F2">
              <w:rPr>
                <w:b w:val="0"/>
              </w:rPr>
              <w:t>$25,</w:t>
            </w:r>
            <w:r w:rsidR="00FB7CC4" w:rsidRPr="008327F2">
              <w:rPr>
                <w:b w:val="0"/>
              </w:rPr>
              <w:t>7</w:t>
            </w:r>
            <w:r w:rsidRPr="008327F2">
              <w:rPr>
                <w:b w:val="0"/>
              </w:rPr>
              <w:t>06.03</w:t>
            </w:r>
          </w:p>
        </w:tc>
      </w:tr>
    </w:tbl>
    <w:p w:rsidR="00D62320" w:rsidRDefault="00D62320" w:rsidP="00632FE5">
      <w:pPr>
        <w:spacing w:line="240" w:lineRule="auto"/>
        <w:rPr>
          <w:b w:val="0"/>
        </w:rPr>
      </w:pPr>
    </w:p>
    <w:p w:rsidR="00D62320" w:rsidRPr="00932260" w:rsidRDefault="009372E6" w:rsidP="00022A8B">
      <w:pPr>
        <w:rPr>
          <w:b w:val="0"/>
        </w:rPr>
      </w:pPr>
      <w:r>
        <w:rPr>
          <w:b w:val="0"/>
        </w:rPr>
        <w:tab/>
      </w:r>
      <w:r w:rsidR="002135DC" w:rsidRPr="00932260">
        <w:rPr>
          <w:b w:val="0"/>
        </w:rPr>
        <w:t>The disbursements on April 24, 2006 and December 27, 2006</w:t>
      </w:r>
      <w:r>
        <w:rPr>
          <w:b w:val="0"/>
        </w:rPr>
        <w:t>,</w:t>
      </w:r>
      <w:r w:rsidR="002135DC" w:rsidRPr="00932260">
        <w:rPr>
          <w:b w:val="0"/>
        </w:rPr>
        <w:t xml:space="preserve"> in the amounts of $10,000 and $2,000, respectively, were made without a court order or the written agreement of both parties and their attorneys.</w:t>
      </w:r>
    </w:p>
    <w:p w:rsidR="009D2E4B" w:rsidRPr="00932260" w:rsidRDefault="00FB7CC4" w:rsidP="00022A8B">
      <w:pPr>
        <w:rPr>
          <w:b w:val="0"/>
        </w:rPr>
      </w:pPr>
      <w:r w:rsidRPr="00932260">
        <w:rPr>
          <w:b w:val="0"/>
        </w:rPr>
        <w:tab/>
        <w:t>The balance in the CTA fell below $25,706.03 on the following dates: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160"/>
      </w:tblGrid>
      <w:tr w:rsidR="006E5D81" w:rsidRPr="008327F2" w:rsidTr="008327F2">
        <w:tc>
          <w:tcPr>
            <w:tcW w:w="3600" w:type="dxa"/>
          </w:tcPr>
          <w:p w:rsidR="006E5D81" w:rsidRPr="00932260" w:rsidRDefault="006E5D81" w:rsidP="008327F2">
            <w:pPr>
              <w:spacing w:line="240" w:lineRule="auto"/>
              <w:jc w:val="center"/>
            </w:pPr>
            <w:r w:rsidRPr="00932260">
              <w:t>Date</w:t>
            </w:r>
          </w:p>
        </w:tc>
        <w:tc>
          <w:tcPr>
            <w:tcW w:w="2160" w:type="dxa"/>
          </w:tcPr>
          <w:p w:rsidR="006E5D81" w:rsidRPr="00932260" w:rsidRDefault="006E5D81" w:rsidP="008327F2">
            <w:pPr>
              <w:spacing w:line="240" w:lineRule="auto"/>
              <w:jc w:val="center"/>
            </w:pPr>
            <w:r w:rsidRPr="00932260">
              <w:t>Actual Balance</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December 30, 2005</w:t>
            </w:r>
          </w:p>
        </w:tc>
        <w:tc>
          <w:tcPr>
            <w:tcW w:w="2160" w:type="dxa"/>
          </w:tcPr>
          <w:p w:rsidR="006E5D81" w:rsidRPr="008327F2" w:rsidRDefault="006E5D81" w:rsidP="00632FE5">
            <w:pPr>
              <w:spacing w:line="240" w:lineRule="auto"/>
              <w:jc w:val="center"/>
              <w:rPr>
                <w:b w:val="0"/>
              </w:rPr>
            </w:pPr>
            <w:r w:rsidRPr="008327F2">
              <w:rPr>
                <w:b w:val="0"/>
              </w:rPr>
              <w:t>$22,194.29</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January 19, 2006</w:t>
            </w:r>
          </w:p>
        </w:tc>
        <w:tc>
          <w:tcPr>
            <w:tcW w:w="2160" w:type="dxa"/>
          </w:tcPr>
          <w:p w:rsidR="006E5D81" w:rsidRPr="008327F2" w:rsidRDefault="006E5D81" w:rsidP="00632FE5">
            <w:pPr>
              <w:spacing w:line="240" w:lineRule="auto"/>
              <w:jc w:val="center"/>
              <w:rPr>
                <w:b w:val="0"/>
              </w:rPr>
            </w:pPr>
            <w:r w:rsidRPr="008327F2">
              <w:rPr>
                <w:b w:val="0"/>
              </w:rPr>
              <w:t>$17,794.29</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June 16, 2006</w:t>
            </w:r>
          </w:p>
        </w:tc>
        <w:tc>
          <w:tcPr>
            <w:tcW w:w="2160" w:type="dxa"/>
          </w:tcPr>
          <w:p w:rsidR="006E5D81" w:rsidRPr="008327F2" w:rsidRDefault="006E5D81" w:rsidP="00632FE5">
            <w:pPr>
              <w:spacing w:line="240" w:lineRule="auto"/>
              <w:jc w:val="center"/>
              <w:rPr>
                <w:b w:val="0"/>
              </w:rPr>
            </w:pPr>
            <w:r w:rsidRPr="008327F2">
              <w:rPr>
                <w:b w:val="0"/>
              </w:rPr>
              <w:t>$15,930.28</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August 31, 2006</w:t>
            </w:r>
          </w:p>
        </w:tc>
        <w:tc>
          <w:tcPr>
            <w:tcW w:w="2160" w:type="dxa"/>
          </w:tcPr>
          <w:p w:rsidR="006E5D81" w:rsidRPr="008327F2" w:rsidRDefault="006E5D81" w:rsidP="00632FE5">
            <w:pPr>
              <w:spacing w:line="240" w:lineRule="auto"/>
              <w:jc w:val="center"/>
              <w:rPr>
                <w:b w:val="0"/>
              </w:rPr>
            </w:pPr>
            <w:r w:rsidRPr="008327F2">
              <w:rPr>
                <w:b w:val="0"/>
              </w:rPr>
              <w:t>$5,178.90</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November 1, 2006</w:t>
            </w:r>
          </w:p>
        </w:tc>
        <w:tc>
          <w:tcPr>
            <w:tcW w:w="2160" w:type="dxa"/>
          </w:tcPr>
          <w:p w:rsidR="006E5D81" w:rsidRPr="008327F2" w:rsidRDefault="006E5D81" w:rsidP="00632FE5">
            <w:pPr>
              <w:spacing w:line="240" w:lineRule="auto"/>
              <w:jc w:val="center"/>
              <w:rPr>
                <w:b w:val="0"/>
              </w:rPr>
            </w:pPr>
            <w:r w:rsidRPr="008327F2">
              <w:rPr>
                <w:b w:val="0"/>
              </w:rPr>
              <w:t>$509.09</w:t>
            </w:r>
          </w:p>
        </w:tc>
      </w:tr>
      <w:tr w:rsidR="006E5D81" w:rsidRPr="008327F2" w:rsidTr="008327F2">
        <w:tc>
          <w:tcPr>
            <w:tcW w:w="3600" w:type="dxa"/>
          </w:tcPr>
          <w:p w:rsidR="006E5D81" w:rsidRPr="008327F2" w:rsidRDefault="006E5D81" w:rsidP="00632FE5">
            <w:pPr>
              <w:spacing w:line="240" w:lineRule="auto"/>
              <w:jc w:val="center"/>
              <w:rPr>
                <w:b w:val="0"/>
              </w:rPr>
            </w:pPr>
            <w:r w:rsidRPr="008327F2">
              <w:rPr>
                <w:b w:val="0"/>
              </w:rPr>
              <w:t>February 1, 2007</w:t>
            </w:r>
          </w:p>
        </w:tc>
        <w:tc>
          <w:tcPr>
            <w:tcW w:w="2160" w:type="dxa"/>
          </w:tcPr>
          <w:p w:rsidR="006E5D81" w:rsidRPr="008327F2" w:rsidRDefault="006E5D81" w:rsidP="00632FE5">
            <w:pPr>
              <w:spacing w:line="240" w:lineRule="auto"/>
              <w:jc w:val="center"/>
              <w:rPr>
                <w:b w:val="0"/>
              </w:rPr>
            </w:pPr>
            <w:r w:rsidRPr="008327F2">
              <w:rPr>
                <w:b w:val="0"/>
              </w:rPr>
              <w:t>$0.00</w:t>
            </w:r>
          </w:p>
        </w:tc>
      </w:tr>
    </w:tbl>
    <w:p w:rsidR="00BD6693" w:rsidRPr="00932260" w:rsidRDefault="00BD6693" w:rsidP="00022A8B">
      <w:pPr>
        <w:rPr>
          <w:b w:val="0"/>
        </w:rPr>
      </w:pPr>
    </w:p>
    <w:p w:rsidR="00B521E4" w:rsidRPr="00932260" w:rsidRDefault="009372E6" w:rsidP="00022A8B">
      <w:pPr>
        <w:rPr>
          <w:b w:val="0"/>
        </w:rPr>
      </w:pPr>
      <w:r>
        <w:rPr>
          <w:b w:val="0"/>
        </w:rPr>
        <w:tab/>
      </w:r>
      <w:r w:rsidR="00D4364D">
        <w:rPr>
          <w:b w:val="0"/>
        </w:rPr>
        <w:t xml:space="preserve">Respondent was required to hold </w:t>
      </w:r>
      <w:r w:rsidR="00ED0E04">
        <w:rPr>
          <w:b w:val="0"/>
        </w:rPr>
        <w:t xml:space="preserve">at least $25,706.03 in the CTA on all of the above dates.  </w:t>
      </w:r>
      <w:r w:rsidR="00B521E4" w:rsidRPr="00932260">
        <w:rPr>
          <w:b w:val="0"/>
        </w:rPr>
        <w:t xml:space="preserve">As a result of the above actions, </w:t>
      </w:r>
      <w:r>
        <w:rPr>
          <w:b w:val="0"/>
        </w:rPr>
        <w:t>r</w:t>
      </w:r>
      <w:r w:rsidR="00B521E4" w:rsidRPr="00932260">
        <w:rPr>
          <w:b w:val="0"/>
        </w:rPr>
        <w:t>espondent misappropriated $25,706.03.</w:t>
      </w:r>
    </w:p>
    <w:p w:rsidR="00FB7CC4" w:rsidRDefault="00BD6693" w:rsidP="00022A8B">
      <w:pPr>
        <w:rPr>
          <w:b w:val="0"/>
        </w:rPr>
      </w:pPr>
      <w:r w:rsidRPr="00932260">
        <w:rPr>
          <w:b w:val="0"/>
        </w:rPr>
        <w:tab/>
        <w:t>On July 25, 2007, the court ordered that Buttanda receive $7,900 of the sale proceeds and that the remaining sale proceeds be split between Buttanda and Cerda.  In addition, the court ordered Buttanda to pay, from the $7,900, the following amounts:  $</w:t>
      </w:r>
      <w:r w:rsidR="00111D0E">
        <w:rPr>
          <w:b w:val="0"/>
        </w:rPr>
        <w:t>1,000</w:t>
      </w:r>
      <w:r w:rsidRPr="00932260">
        <w:rPr>
          <w:b w:val="0"/>
        </w:rPr>
        <w:t xml:space="preserve"> to </w:t>
      </w:r>
      <w:r w:rsidR="00111D0E">
        <w:rPr>
          <w:b w:val="0"/>
        </w:rPr>
        <w:t>Cerda</w:t>
      </w:r>
      <w:r w:rsidRPr="00932260">
        <w:rPr>
          <w:b w:val="0"/>
        </w:rPr>
        <w:t xml:space="preserve"> </w:t>
      </w:r>
      <w:r w:rsidR="00334D09">
        <w:rPr>
          <w:b w:val="0"/>
        </w:rPr>
        <w:t>as an equalization</w:t>
      </w:r>
      <w:r w:rsidR="00111D0E">
        <w:rPr>
          <w:b w:val="0"/>
        </w:rPr>
        <w:t xml:space="preserve"> payment, and $2,500 to Cerda’s </w:t>
      </w:r>
      <w:r w:rsidRPr="00932260">
        <w:rPr>
          <w:b w:val="0"/>
        </w:rPr>
        <w:t>attorney</w:t>
      </w:r>
      <w:r w:rsidR="00111D0E">
        <w:rPr>
          <w:b w:val="0"/>
        </w:rPr>
        <w:t xml:space="preserve">, Jennifer J. Kropke, </w:t>
      </w:r>
      <w:r w:rsidR="001F6ED6" w:rsidRPr="00932260">
        <w:rPr>
          <w:b w:val="0"/>
        </w:rPr>
        <w:t xml:space="preserve">for </w:t>
      </w:r>
      <w:r w:rsidR="00111D0E">
        <w:rPr>
          <w:b w:val="0"/>
        </w:rPr>
        <w:t>attorney’s fees</w:t>
      </w:r>
      <w:r w:rsidR="00632FE5">
        <w:rPr>
          <w:b w:val="0"/>
        </w:rPr>
        <w:t>.</w:t>
      </w:r>
    </w:p>
    <w:p w:rsidR="00F81456" w:rsidRDefault="00F81456" w:rsidP="00022A8B">
      <w:pPr>
        <w:rPr>
          <w:b w:val="0"/>
        </w:rPr>
      </w:pPr>
      <w:r>
        <w:rPr>
          <w:b w:val="0"/>
        </w:rPr>
        <w:tab/>
        <w:t xml:space="preserve">During the period between August 1, 2005 and January 19, 2007, respondent repeatedly issued checks drawn upon respondent’s CTA to pay his personal </w:t>
      </w:r>
      <w:r w:rsidR="00ED0E04">
        <w:rPr>
          <w:b w:val="0"/>
        </w:rPr>
        <w:t xml:space="preserve">or business </w:t>
      </w:r>
      <w:r>
        <w:rPr>
          <w:b w:val="0"/>
        </w:rPr>
        <w:t>expenses,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5040"/>
        <w:gridCol w:w="2088"/>
      </w:tblGrid>
      <w:tr w:rsidR="00F81456" w:rsidRPr="00864EF2" w:rsidTr="00864EF2">
        <w:trPr>
          <w:trHeight w:val="314"/>
        </w:trPr>
        <w:tc>
          <w:tcPr>
            <w:tcW w:w="2448" w:type="dxa"/>
          </w:tcPr>
          <w:p w:rsidR="00F81456" w:rsidRPr="00F81456" w:rsidRDefault="00F81456" w:rsidP="00632FE5">
            <w:pPr>
              <w:spacing w:line="240" w:lineRule="auto"/>
              <w:jc w:val="center"/>
            </w:pPr>
            <w:r w:rsidRPr="00F81456">
              <w:t>D</w:t>
            </w:r>
            <w:r w:rsidR="00632FE5">
              <w:t>ate</w:t>
            </w:r>
          </w:p>
        </w:tc>
        <w:tc>
          <w:tcPr>
            <w:tcW w:w="5040" w:type="dxa"/>
          </w:tcPr>
          <w:p w:rsidR="00F81456" w:rsidRPr="00F81456" w:rsidRDefault="00F81456" w:rsidP="00632FE5">
            <w:pPr>
              <w:spacing w:line="240" w:lineRule="auto"/>
              <w:jc w:val="center"/>
            </w:pPr>
            <w:r w:rsidRPr="00F81456">
              <w:t>P</w:t>
            </w:r>
            <w:r w:rsidR="00632FE5">
              <w:t>ayee</w:t>
            </w:r>
          </w:p>
        </w:tc>
        <w:tc>
          <w:tcPr>
            <w:tcW w:w="2088" w:type="dxa"/>
          </w:tcPr>
          <w:p w:rsidR="00F81456" w:rsidRPr="00F81456" w:rsidRDefault="00F81456" w:rsidP="00632FE5">
            <w:pPr>
              <w:spacing w:line="240" w:lineRule="auto"/>
              <w:jc w:val="center"/>
            </w:pPr>
            <w:r w:rsidRPr="00F81456">
              <w:t>A</w:t>
            </w:r>
            <w:r w:rsidR="00632FE5">
              <w:t>mount</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August 1, 2005</w:t>
            </w:r>
          </w:p>
        </w:tc>
        <w:tc>
          <w:tcPr>
            <w:tcW w:w="5040" w:type="dxa"/>
          </w:tcPr>
          <w:p w:rsidR="00F81456" w:rsidRPr="00864EF2" w:rsidRDefault="00BD36C6" w:rsidP="00632FE5">
            <w:pPr>
              <w:spacing w:line="240" w:lineRule="auto"/>
              <w:jc w:val="center"/>
              <w:rPr>
                <w:b w:val="0"/>
              </w:rPr>
            </w:pPr>
            <w:r w:rsidRPr="00864EF2">
              <w:rPr>
                <w:b w:val="0"/>
              </w:rPr>
              <w:t>Kathy Smith</w:t>
            </w:r>
          </w:p>
        </w:tc>
        <w:tc>
          <w:tcPr>
            <w:tcW w:w="2088" w:type="dxa"/>
          </w:tcPr>
          <w:p w:rsidR="00F81456" w:rsidRPr="00864EF2" w:rsidRDefault="00BD36C6" w:rsidP="00632FE5">
            <w:pPr>
              <w:spacing w:line="240" w:lineRule="auto"/>
              <w:jc w:val="center"/>
              <w:rPr>
                <w:b w:val="0"/>
              </w:rPr>
            </w:pPr>
            <w:r w:rsidRPr="00864EF2">
              <w:rPr>
                <w:b w:val="0"/>
              </w:rPr>
              <w:t>$1,000.00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October 28, 2005</w:t>
            </w:r>
          </w:p>
        </w:tc>
        <w:tc>
          <w:tcPr>
            <w:tcW w:w="5040" w:type="dxa"/>
          </w:tcPr>
          <w:p w:rsidR="00F81456" w:rsidRPr="00864EF2" w:rsidRDefault="00BD36C6" w:rsidP="00632FE5">
            <w:pPr>
              <w:spacing w:line="240" w:lineRule="auto"/>
              <w:jc w:val="center"/>
              <w:rPr>
                <w:b w:val="0"/>
              </w:rPr>
            </w:pPr>
            <w:r w:rsidRPr="00864EF2">
              <w:rPr>
                <w:b w:val="0"/>
              </w:rPr>
              <w:t>Valiante Paralegal</w:t>
            </w:r>
          </w:p>
        </w:tc>
        <w:tc>
          <w:tcPr>
            <w:tcW w:w="2088" w:type="dxa"/>
          </w:tcPr>
          <w:p w:rsidR="00F81456" w:rsidRPr="00864EF2" w:rsidRDefault="00BD36C6" w:rsidP="00632FE5">
            <w:pPr>
              <w:spacing w:line="240" w:lineRule="auto"/>
              <w:jc w:val="center"/>
              <w:rPr>
                <w:b w:val="0"/>
              </w:rPr>
            </w:pPr>
            <w:r w:rsidRPr="00864EF2">
              <w:rPr>
                <w:b w:val="0"/>
              </w:rPr>
              <w:t>$1,000.00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November 11, 2005</w:t>
            </w:r>
          </w:p>
        </w:tc>
        <w:tc>
          <w:tcPr>
            <w:tcW w:w="5040" w:type="dxa"/>
          </w:tcPr>
          <w:p w:rsidR="00F81456" w:rsidRPr="00864EF2" w:rsidRDefault="00BD36C6" w:rsidP="00632FE5">
            <w:pPr>
              <w:spacing w:line="240" w:lineRule="auto"/>
              <w:jc w:val="center"/>
              <w:rPr>
                <w:b w:val="0"/>
              </w:rPr>
            </w:pPr>
            <w:r w:rsidRPr="00864EF2">
              <w:rPr>
                <w:b w:val="0"/>
              </w:rPr>
              <w:t>Valiante Paralegal Services</w:t>
            </w:r>
          </w:p>
        </w:tc>
        <w:tc>
          <w:tcPr>
            <w:tcW w:w="2088" w:type="dxa"/>
          </w:tcPr>
          <w:p w:rsidR="00BD36C6" w:rsidRPr="00864EF2" w:rsidRDefault="00BD36C6" w:rsidP="00632FE5">
            <w:pPr>
              <w:spacing w:line="240" w:lineRule="auto"/>
              <w:jc w:val="center"/>
              <w:rPr>
                <w:b w:val="0"/>
              </w:rPr>
            </w:pPr>
            <w:r w:rsidRPr="00864EF2">
              <w:rPr>
                <w:b w:val="0"/>
              </w:rPr>
              <w:t>$1,750.00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December 9, 2005</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F81456" w:rsidRPr="00864EF2" w:rsidRDefault="00BD36C6" w:rsidP="00632FE5">
            <w:pPr>
              <w:spacing w:line="240" w:lineRule="auto"/>
              <w:jc w:val="center"/>
              <w:rPr>
                <w:b w:val="0"/>
              </w:rPr>
            </w:pPr>
            <w:r w:rsidRPr="00864EF2">
              <w:rPr>
                <w:b w:val="0"/>
              </w:rPr>
              <w:t>$  420.00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December 22, 2005</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F81456" w:rsidRPr="00864EF2" w:rsidRDefault="00BD36C6" w:rsidP="00632FE5">
            <w:pPr>
              <w:spacing w:line="240" w:lineRule="auto"/>
              <w:jc w:val="center"/>
              <w:rPr>
                <w:b w:val="0"/>
              </w:rPr>
            </w:pPr>
            <w:r w:rsidRPr="00864EF2">
              <w:rPr>
                <w:b w:val="0"/>
              </w:rPr>
              <w:t>$  420.00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January 6, 2006</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F81456" w:rsidRPr="00864EF2" w:rsidRDefault="00BD36C6" w:rsidP="00632FE5">
            <w:pPr>
              <w:spacing w:line="240" w:lineRule="auto"/>
              <w:jc w:val="center"/>
              <w:rPr>
                <w:b w:val="0"/>
              </w:rPr>
            </w:pPr>
            <w:r w:rsidRPr="00864EF2">
              <w:rPr>
                <w:b w:val="0"/>
              </w:rPr>
              <w:t>$  42</w:t>
            </w:r>
            <w:r w:rsidR="00DD3F11" w:rsidRPr="00864EF2">
              <w:rPr>
                <w:b w:val="0"/>
              </w:rPr>
              <w:t>0</w:t>
            </w:r>
            <w:r w:rsidRPr="00864EF2">
              <w:rPr>
                <w:b w:val="0"/>
              </w:rPr>
              <w:t>.00</w:t>
            </w:r>
          </w:p>
        </w:tc>
      </w:tr>
      <w:tr w:rsidR="00DD3F11" w:rsidRPr="00864EF2" w:rsidTr="00864EF2">
        <w:tc>
          <w:tcPr>
            <w:tcW w:w="2448" w:type="dxa"/>
          </w:tcPr>
          <w:p w:rsidR="00DD3F11" w:rsidRPr="00864EF2" w:rsidRDefault="00DD3F11" w:rsidP="00632FE5">
            <w:pPr>
              <w:spacing w:line="240" w:lineRule="auto"/>
              <w:jc w:val="center"/>
              <w:rPr>
                <w:b w:val="0"/>
              </w:rPr>
            </w:pPr>
            <w:r w:rsidRPr="00864EF2">
              <w:rPr>
                <w:b w:val="0"/>
              </w:rPr>
              <w:t>February 3, 2006</w:t>
            </w:r>
          </w:p>
        </w:tc>
        <w:tc>
          <w:tcPr>
            <w:tcW w:w="5040" w:type="dxa"/>
          </w:tcPr>
          <w:p w:rsidR="00DD3F11" w:rsidRPr="00864EF2" w:rsidRDefault="00DD3F11" w:rsidP="00632FE5">
            <w:pPr>
              <w:spacing w:line="240" w:lineRule="auto"/>
              <w:jc w:val="center"/>
              <w:rPr>
                <w:b w:val="0"/>
              </w:rPr>
            </w:pPr>
            <w:r w:rsidRPr="00864EF2">
              <w:rPr>
                <w:b w:val="0"/>
              </w:rPr>
              <w:t>Heidi Wong</w:t>
            </w:r>
          </w:p>
        </w:tc>
        <w:tc>
          <w:tcPr>
            <w:tcW w:w="2088" w:type="dxa"/>
          </w:tcPr>
          <w:p w:rsidR="00DD3F11" w:rsidRPr="00864EF2" w:rsidRDefault="00DD3F11" w:rsidP="00632FE5">
            <w:pPr>
              <w:spacing w:line="240" w:lineRule="auto"/>
              <w:jc w:val="center"/>
              <w:rPr>
                <w:b w:val="0"/>
              </w:rPr>
            </w:pPr>
            <w:r w:rsidRPr="00864EF2">
              <w:rPr>
                <w:b w:val="0"/>
              </w:rPr>
              <w:t>$  425.00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February 24, 2006</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F81456" w:rsidRPr="00864EF2" w:rsidRDefault="00BD36C6" w:rsidP="00632FE5">
            <w:pPr>
              <w:spacing w:line="240" w:lineRule="auto"/>
              <w:jc w:val="center"/>
              <w:rPr>
                <w:b w:val="0"/>
              </w:rPr>
            </w:pPr>
            <w:r w:rsidRPr="00864EF2">
              <w:rPr>
                <w:b w:val="0"/>
              </w:rPr>
              <w:t>$1,300.00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March 1, 2006</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F81456" w:rsidRPr="00864EF2" w:rsidRDefault="00BD36C6" w:rsidP="00632FE5">
            <w:pPr>
              <w:spacing w:line="240" w:lineRule="auto"/>
              <w:jc w:val="center"/>
              <w:rPr>
                <w:b w:val="0"/>
              </w:rPr>
            </w:pPr>
            <w:r w:rsidRPr="00864EF2">
              <w:rPr>
                <w:b w:val="0"/>
              </w:rPr>
              <w:t>$  420.00</w:t>
            </w:r>
          </w:p>
        </w:tc>
      </w:tr>
      <w:tr w:rsidR="00F81456" w:rsidRPr="00864EF2" w:rsidTr="00864EF2">
        <w:tc>
          <w:tcPr>
            <w:tcW w:w="2448" w:type="dxa"/>
          </w:tcPr>
          <w:p w:rsidR="00F81456" w:rsidRPr="00864EF2" w:rsidRDefault="00BD36C6" w:rsidP="00632FE5">
            <w:pPr>
              <w:spacing w:line="240" w:lineRule="auto"/>
              <w:jc w:val="center"/>
              <w:rPr>
                <w:b w:val="0"/>
              </w:rPr>
            </w:pPr>
            <w:r w:rsidRPr="00864EF2">
              <w:rPr>
                <w:b w:val="0"/>
              </w:rPr>
              <w:t>March 2, 2006</w:t>
            </w:r>
          </w:p>
        </w:tc>
        <w:tc>
          <w:tcPr>
            <w:tcW w:w="5040" w:type="dxa"/>
          </w:tcPr>
          <w:p w:rsidR="00F81456" w:rsidRPr="00864EF2" w:rsidRDefault="00BD36C6" w:rsidP="00632FE5">
            <w:pPr>
              <w:spacing w:line="240" w:lineRule="auto"/>
              <w:jc w:val="center"/>
              <w:rPr>
                <w:b w:val="0"/>
              </w:rPr>
            </w:pPr>
            <w:r w:rsidRPr="00864EF2">
              <w:rPr>
                <w:b w:val="0"/>
              </w:rPr>
              <w:t>Heidi Wong</w:t>
            </w:r>
          </w:p>
        </w:tc>
        <w:tc>
          <w:tcPr>
            <w:tcW w:w="2088" w:type="dxa"/>
          </w:tcPr>
          <w:p w:rsidR="00BD36C6" w:rsidRPr="00864EF2" w:rsidRDefault="00BD36C6" w:rsidP="00632FE5">
            <w:pPr>
              <w:spacing w:line="240" w:lineRule="auto"/>
              <w:jc w:val="center"/>
              <w:rPr>
                <w:b w:val="0"/>
              </w:rPr>
            </w:pPr>
            <w:r w:rsidRPr="00864EF2">
              <w:rPr>
                <w:b w:val="0"/>
              </w:rPr>
              <w:t>$  840.00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March 2, 2006</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420.00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May 5, 2006</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420.00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August 24, 2006</w:t>
            </w:r>
          </w:p>
        </w:tc>
        <w:tc>
          <w:tcPr>
            <w:tcW w:w="5040" w:type="dxa"/>
          </w:tcPr>
          <w:p w:rsidR="00F81456" w:rsidRPr="00864EF2" w:rsidRDefault="008B44A6" w:rsidP="00632FE5">
            <w:pPr>
              <w:spacing w:line="240" w:lineRule="auto"/>
              <w:jc w:val="center"/>
              <w:rPr>
                <w:b w:val="0"/>
              </w:rPr>
            </w:pPr>
            <w:r w:rsidRPr="00864EF2">
              <w:rPr>
                <w:b w:val="0"/>
              </w:rPr>
              <w:t>Beverly Hills BMW</w:t>
            </w:r>
          </w:p>
        </w:tc>
        <w:tc>
          <w:tcPr>
            <w:tcW w:w="2088" w:type="dxa"/>
          </w:tcPr>
          <w:p w:rsidR="00F81456" w:rsidRPr="00864EF2" w:rsidRDefault="008B44A6" w:rsidP="00632FE5">
            <w:pPr>
              <w:spacing w:line="240" w:lineRule="auto"/>
              <w:jc w:val="center"/>
              <w:rPr>
                <w:b w:val="0"/>
              </w:rPr>
            </w:pPr>
            <w:r w:rsidRPr="00864EF2">
              <w:rPr>
                <w:b w:val="0"/>
              </w:rPr>
              <w:t>$  347.98</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September 1, 2006</w:t>
            </w:r>
          </w:p>
        </w:tc>
        <w:tc>
          <w:tcPr>
            <w:tcW w:w="5040" w:type="dxa"/>
          </w:tcPr>
          <w:p w:rsidR="00F81456" w:rsidRPr="00864EF2" w:rsidRDefault="008B44A6" w:rsidP="00632FE5">
            <w:pPr>
              <w:spacing w:line="240" w:lineRule="auto"/>
              <w:jc w:val="center"/>
              <w:rPr>
                <w:b w:val="0"/>
              </w:rPr>
            </w:pPr>
            <w:r w:rsidRPr="00864EF2">
              <w:rPr>
                <w:b w:val="0"/>
              </w:rPr>
              <w:t>Beverly Hills BMW</w:t>
            </w:r>
          </w:p>
        </w:tc>
        <w:tc>
          <w:tcPr>
            <w:tcW w:w="2088" w:type="dxa"/>
          </w:tcPr>
          <w:p w:rsidR="008B44A6" w:rsidRPr="00864EF2" w:rsidRDefault="008B44A6" w:rsidP="00632FE5">
            <w:pPr>
              <w:spacing w:line="240" w:lineRule="auto"/>
              <w:jc w:val="center"/>
              <w:rPr>
                <w:b w:val="0"/>
              </w:rPr>
            </w:pPr>
            <w:r w:rsidRPr="00864EF2">
              <w:rPr>
                <w:b w:val="0"/>
              </w:rPr>
              <w:t>$  500.16</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September 15, 2006</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600.00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September 22, 2006</w:t>
            </w:r>
          </w:p>
        </w:tc>
        <w:tc>
          <w:tcPr>
            <w:tcW w:w="5040" w:type="dxa"/>
          </w:tcPr>
          <w:p w:rsidR="00F81456" w:rsidRPr="00864EF2" w:rsidRDefault="008B44A6" w:rsidP="00632FE5">
            <w:pPr>
              <w:spacing w:line="240" w:lineRule="auto"/>
              <w:jc w:val="center"/>
              <w:rPr>
                <w:b w:val="0"/>
              </w:rPr>
            </w:pPr>
            <w:r w:rsidRPr="00864EF2">
              <w:rPr>
                <w:b w:val="0"/>
              </w:rPr>
              <w:t>V-Cut Smoke Shop</w:t>
            </w:r>
          </w:p>
        </w:tc>
        <w:tc>
          <w:tcPr>
            <w:tcW w:w="2088" w:type="dxa"/>
          </w:tcPr>
          <w:p w:rsidR="008B44A6" w:rsidRPr="00864EF2" w:rsidRDefault="008B44A6" w:rsidP="00632FE5">
            <w:pPr>
              <w:spacing w:line="240" w:lineRule="auto"/>
              <w:jc w:val="center"/>
              <w:rPr>
                <w:b w:val="0"/>
              </w:rPr>
            </w:pPr>
            <w:r w:rsidRPr="00864EF2">
              <w:rPr>
                <w:b w:val="0"/>
              </w:rPr>
              <w:t>$  210.00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October 6, 2006</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300.00</w:t>
            </w:r>
          </w:p>
        </w:tc>
      </w:tr>
      <w:tr w:rsidR="00F81456" w:rsidRPr="00864EF2" w:rsidTr="00864EF2">
        <w:tc>
          <w:tcPr>
            <w:tcW w:w="2448" w:type="dxa"/>
          </w:tcPr>
          <w:p w:rsidR="00F81456" w:rsidRPr="00864EF2" w:rsidRDefault="008B44A6" w:rsidP="00EC7BA8">
            <w:pPr>
              <w:spacing w:line="240" w:lineRule="auto"/>
              <w:jc w:val="center"/>
              <w:rPr>
                <w:b w:val="0"/>
              </w:rPr>
            </w:pPr>
            <w:r w:rsidRPr="00864EF2">
              <w:rPr>
                <w:b w:val="0"/>
              </w:rPr>
              <w:t xml:space="preserve">October 18, </w:t>
            </w:r>
            <w:r w:rsidRPr="00EC7BA8">
              <w:rPr>
                <w:b w:val="0"/>
              </w:rPr>
              <w:t>200</w:t>
            </w:r>
            <w:r w:rsidR="00EC7BA8">
              <w:rPr>
                <w:b w:val="0"/>
              </w:rPr>
              <w:t>6</w:t>
            </w:r>
          </w:p>
        </w:tc>
        <w:tc>
          <w:tcPr>
            <w:tcW w:w="5040" w:type="dxa"/>
          </w:tcPr>
          <w:p w:rsidR="00F81456" w:rsidRPr="00864EF2" w:rsidRDefault="008B44A6" w:rsidP="00632FE5">
            <w:pPr>
              <w:spacing w:line="240" w:lineRule="auto"/>
              <w:jc w:val="center"/>
              <w:rPr>
                <w:b w:val="0"/>
              </w:rPr>
            </w:pPr>
            <w:r w:rsidRPr="00864EF2">
              <w:rPr>
                <w:b w:val="0"/>
              </w:rPr>
              <w:t>Office Electronics</w:t>
            </w:r>
          </w:p>
        </w:tc>
        <w:tc>
          <w:tcPr>
            <w:tcW w:w="2088" w:type="dxa"/>
          </w:tcPr>
          <w:p w:rsidR="00F81456" w:rsidRPr="00864EF2" w:rsidRDefault="008B44A6" w:rsidP="00632FE5">
            <w:pPr>
              <w:spacing w:line="240" w:lineRule="auto"/>
              <w:jc w:val="center"/>
              <w:rPr>
                <w:b w:val="0"/>
              </w:rPr>
            </w:pPr>
            <w:r w:rsidRPr="00864EF2">
              <w:rPr>
                <w:b w:val="0"/>
              </w:rPr>
              <w:t>$  116.06</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December 8, 2006</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352.00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January 2, 2007</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225.00</w:t>
            </w:r>
          </w:p>
        </w:tc>
      </w:tr>
      <w:tr w:rsidR="00F81456" w:rsidRPr="00864EF2" w:rsidTr="00864EF2">
        <w:tc>
          <w:tcPr>
            <w:tcW w:w="2448" w:type="dxa"/>
          </w:tcPr>
          <w:p w:rsidR="00F81456" w:rsidRPr="00864EF2" w:rsidRDefault="008B44A6" w:rsidP="00632FE5">
            <w:pPr>
              <w:spacing w:line="240" w:lineRule="auto"/>
              <w:jc w:val="center"/>
              <w:rPr>
                <w:b w:val="0"/>
              </w:rPr>
            </w:pPr>
            <w:r w:rsidRPr="00864EF2">
              <w:rPr>
                <w:b w:val="0"/>
              </w:rPr>
              <w:t>January 19, 2007</w:t>
            </w:r>
          </w:p>
        </w:tc>
        <w:tc>
          <w:tcPr>
            <w:tcW w:w="5040" w:type="dxa"/>
          </w:tcPr>
          <w:p w:rsidR="00F81456" w:rsidRPr="00864EF2" w:rsidRDefault="008B44A6" w:rsidP="00632FE5">
            <w:pPr>
              <w:spacing w:line="240" w:lineRule="auto"/>
              <w:jc w:val="center"/>
              <w:rPr>
                <w:b w:val="0"/>
              </w:rPr>
            </w:pPr>
            <w:r w:rsidRPr="00864EF2">
              <w:rPr>
                <w:b w:val="0"/>
              </w:rPr>
              <w:t>Heidi Wong</w:t>
            </w:r>
          </w:p>
        </w:tc>
        <w:tc>
          <w:tcPr>
            <w:tcW w:w="2088" w:type="dxa"/>
          </w:tcPr>
          <w:p w:rsidR="00F81456" w:rsidRPr="00864EF2" w:rsidRDefault="008B44A6" w:rsidP="00632FE5">
            <w:pPr>
              <w:spacing w:line="240" w:lineRule="auto"/>
              <w:jc w:val="center"/>
              <w:rPr>
                <w:b w:val="0"/>
              </w:rPr>
            </w:pPr>
            <w:r w:rsidRPr="00864EF2">
              <w:rPr>
                <w:b w:val="0"/>
              </w:rPr>
              <w:t>$  315.00</w:t>
            </w:r>
          </w:p>
        </w:tc>
      </w:tr>
    </w:tbl>
    <w:p w:rsidR="00F81456" w:rsidRDefault="00F81456" w:rsidP="00022A8B">
      <w:pPr>
        <w:rPr>
          <w:b w:val="0"/>
        </w:rPr>
      </w:pPr>
    </w:p>
    <w:p w:rsidR="003C3AC5" w:rsidRDefault="00BF72A9" w:rsidP="00022A8B">
      <w:pPr>
        <w:rPr>
          <w:b w:val="0"/>
        </w:rPr>
      </w:pPr>
      <w:r>
        <w:rPr>
          <w:b w:val="0"/>
        </w:rPr>
        <w:tab/>
        <w:t xml:space="preserve">Respondent deposited personal funds into the CTA as follows:  $100.00 on March 10, 2006; $78.06 on April 3, 2006; and $278.91 on November 2, 2006.  </w:t>
      </w:r>
    </w:p>
    <w:p w:rsidR="00FC1810" w:rsidRDefault="00EF6E1F" w:rsidP="00022A8B">
      <w:pPr>
        <w:rPr>
          <w:b w:val="0"/>
        </w:rPr>
      </w:pPr>
      <w:r>
        <w:rPr>
          <w:b w:val="0"/>
        </w:rPr>
        <w:tab/>
        <w:t>On July 18, 2008, respondent filed a motion to interplead funds and requested that h</w:t>
      </w:r>
      <w:r w:rsidR="00632FE5">
        <w:rPr>
          <w:b w:val="0"/>
        </w:rPr>
        <w:t>is attorney</w:t>
      </w:r>
      <w:r>
        <w:rPr>
          <w:b w:val="0"/>
        </w:rPr>
        <w:t xml:space="preserve"> fees and costs be paid from the interpleaded funds.  In support of that motion, respondent filed a declaration that stated</w:t>
      </w:r>
      <w:r w:rsidR="00632FE5">
        <w:rPr>
          <w:b w:val="0"/>
        </w:rPr>
        <w:t>,</w:t>
      </w:r>
      <w:r>
        <w:rPr>
          <w:b w:val="0"/>
        </w:rPr>
        <w:t xml:space="preserve"> “I have been paid nothing for my attorney’</w:t>
      </w:r>
      <w:r w:rsidR="001D380A">
        <w:rPr>
          <w:b w:val="0"/>
        </w:rPr>
        <w:t xml:space="preserve">s fees </w:t>
      </w:r>
      <w:r>
        <w:rPr>
          <w:b w:val="0"/>
        </w:rPr>
        <w:t>and cost</w:t>
      </w:r>
      <w:r w:rsidR="001D380A">
        <w:rPr>
          <w:b w:val="0"/>
        </w:rPr>
        <w:t xml:space="preserve">s…”  </w:t>
      </w:r>
    </w:p>
    <w:p w:rsidR="00EF6E1F" w:rsidRPr="00932260" w:rsidRDefault="001D380A" w:rsidP="00FC1810">
      <w:pPr>
        <w:ind w:firstLine="720"/>
        <w:rPr>
          <w:b w:val="0"/>
        </w:rPr>
      </w:pPr>
      <w:r>
        <w:rPr>
          <w:b w:val="0"/>
        </w:rPr>
        <w:t>This statement was not true.  In fact, respondent had been paid for his attorney’</w:t>
      </w:r>
      <w:r w:rsidR="00EA1463">
        <w:rPr>
          <w:b w:val="0"/>
        </w:rPr>
        <w:t xml:space="preserve">s fees and costs.  Respondent stated at trial that the information contained in the declaration was a mistake and that he later withdrew the motion. </w:t>
      </w:r>
      <w:r>
        <w:rPr>
          <w:b w:val="0"/>
        </w:rPr>
        <w:t xml:space="preserve"> </w:t>
      </w:r>
      <w:r w:rsidR="00FC1810">
        <w:rPr>
          <w:b w:val="0"/>
        </w:rPr>
        <w:t xml:space="preserve">However, the evidence before the court demonstrates that the motion to interplead funds was actually denied by the Los Angeles Superior Court following respondent’s unsuccessful effort to procure a continuance </w:t>
      </w:r>
      <w:r w:rsidR="00EA5EA6">
        <w:rPr>
          <w:b w:val="0"/>
        </w:rPr>
        <w:t xml:space="preserve">of this motion </w:t>
      </w:r>
      <w:r w:rsidR="00FC1810">
        <w:rPr>
          <w:b w:val="0"/>
        </w:rPr>
        <w:t xml:space="preserve">and </w:t>
      </w:r>
      <w:r w:rsidR="00EA5EA6">
        <w:rPr>
          <w:b w:val="0"/>
        </w:rPr>
        <w:t xml:space="preserve">his subsequent </w:t>
      </w:r>
      <w:r w:rsidR="00FC1810">
        <w:rPr>
          <w:b w:val="0"/>
        </w:rPr>
        <w:t>failure to appear</w:t>
      </w:r>
      <w:r w:rsidR="00EA5EA6">
        <w:rPr>
          <w:b w:val="0"/>
        </w:rPr>
        <w:t xml:space="preserve"> at the hearing on this motion</w:t>
      </w:r>
      <w:r w:rsidR="00FC1810">
        <w:rPr>
          <w:b w:val="0"/>
        </w:rPr>
        <w:t>.</w:t>
      </w:r>
    </w:p>
    <w:p w:rsidR="00E34618" w:rsidRPr="008003B6" w:rsidRDefault="00E34618" w:rsidP="00022A8B">
      <w:r w:rsidRPr="008003B6">
        <w:tab/>
      </w:r>
      <w:r w:rsidRPr="008003B6">
        <w:tab/>
      </w:r>
      <w:r w:rsidR="008003B6" w:rsidRPr="008003B6">
        <w:t xml:space="preserve">2.  </w:t>
      </w:r>
      <w:r w:rsidR="00D639F1">
        <w:t>Conclusions of Law</w:t>
      </w:r>
    </w:p>
    <w:p w:rsidR="00E34618" w:rsidRDefault="00E34618" w:rsidP="00B97C4D">
      <w:pPr>
        <w:spacing w:line="240" w:lineRule="auto"/>
        <w:ind w:left="2160" w:hanging="360"/>
      </w:pPr>
      <w:r w:rsidRPr="00DE5726">
        <w:t xml:space="preserve">a.  </w:t>
      </w:r>
      <w:r w:rsidR="00B97C4D">
        <w:t xml:space="preserve"> </w:t>
      </w:r>
      <w:r w:rsidRPr="00DE5726">
        <w:t xml:space="preserve">Count </w:t>
      </w:r>
      <w:r w:rsidR="00E80731" w:rsidRPr="00DE5726">
        <w:t>One</w:t>
      </w:r>
      <w:r w:rsidRPr="00DE5726">
        <w:t xml:space="preserve"> – </w:t>
      </w:r>
      <w:r w:rsidR="0031323E" w:rsidRPr="00C05890">
        <w:t>Rules of Professional Conduct of the State Bar of California,</w:t>
      </w:r>
      <w:r w:rsidR="0031323E">
        <w:t xml:space="preserve"> Rule </w:t>
      </w:r>
      <w:r w:rsidR="0031323E" w:rsidRPr="00DE5726">
        <w:t xml:space="preserve">4-100(A) </w:t>
      </w:r>
      <w:r w:rsidR="0031323E" w:rsidRPr="00C05890">
        <w:rPr>
          <w:rStyle w:val="FootnoteReference"/>
        </w:rPr>
        <w:footnoteReference w:id="2"/>
      </w:r>
      <w:r w:rsidRPr="00DE5726">
        <w:t xml:space="preserve"> [</w:t>
      </w:r>
      <w:r w:rsidR="00E80731" w:rsidRPr="00DE5726">
        <w:t>Failure to maintain client funds in client trust account</w:t>
      </w:r>
      <w:r w:rsidRPr="00DE5726">
        <w:t>]</w:t>
      </w:r>
    </w:p>
    <w:p w:rsidR="00B97C4D" w:rsidRPr="00DE5726" w:rsidRDefault="00B97C4D" w:rsidP="00B97C4D">
      <w:pPr>
        <w:spacing w:line="240" w:lineRule="auto"/>
        <w:ind w:left="2160" w:hanging="360"/>
      </w:pPr>
    </w:p>
    <w:p w:rsidR="00E56B0F" w:rsidRPr="00932260" w:rsidRDefault="00E80731" w:rsidP="00022A8B">
      <w:pPr>
        <w:rPr>
          <w:b w:val="0"/>
        </w:rPr>
      </w:pPr>
      <w:r w:rsidRPr="00932260">
        <w:rPr>
          <w:b w:val="0"/>
        </w:rPr>
        <w:tab/>
      </w:r>
      <w:r w:rsidR="0052372A" w:rsidRPr="00932260">
        <w:rPr>
          <w:b w:val="0"/>
        </w:rPr>
        <w:t xml:space="preserve">By failing to maintain the required amount of client funds in the CTA </w:t>
      </w:r>
      <w:r w:rsidRPr="00932260">
        <w:rPr>
          <w:b w:val="0"/>
        </w:rPr>
        <w:t>on December 30, 2005, January 19, 2006, June 16, 2006, August 31, 2006, November 1, 2006, and February 1, 2007</w:t>
      </w:r>
      <w:r w:rsidR="0052372A" w:rsidRPr="00932260">
        <w:rPr>
          <w:b w:val="0"/>
        </w:rPr>
        <w:t>, as set forth above, respondent violated rule 4-100(A)</w:t>
      </w:r>
      <w:r w:rsidR="0031323E">
        <w:rPr>
          <w:b w:val="0"/>
        </w:rPr>
        <w:t>.</w:t>
      </w:r>
      <w:r w:rsidRPr="00932260">
        <w:rPr>
          <w:b w:val="0"/>
        </w:rPr>
        <w:t xml:space="preserve">  </w:t>
      </w:r>
    </w:p>
    <w:p w:rsidR="00E34618" w:rsidRDefault="00E34618" w:rsidP="0037293C">
      <w:pPr>
        <w:spacing w:line="240" w:lineRule="auto"/>
        <w:ind w:left="2160" w:hanging="360"/>
      </w:pPr>
      <w:r w:rsidRPr="00DE5726">
        <w:t xml:space="preserve">b.  </w:t>
      </w:r>
      <w:r w:rsidR="00B97C4D">
        <w:t xml:space="preserve"> </w:t>
      </w:r>
      <w:r w:rsidRPr="00DE5726">
        <w:t xml:space="preserve">Count </w:t>
      </w:r>
      <w:r w:rsidR="00E56B0F" w:rsidRPr="00DE5726">
        <w:t>Two</w:t>
      </w:r>
      <w:r w:rsidRPr="00DE5726">
        <w:t xml:space="preserve"> – </w:t>
      </w:r>
      <w:r w:rsidR="0037293C">
        <w:t>Business and Professions Code</w:t>
      </w:r>
      <w:r w:rsidR="00E56B0F" w:rsidRPr="00DE5726">
        <w:t xml:space="preserve"> </w:t>
      </w:r>
      <w:r w:rsidR="00B97C4D">
        <w:t>§</w:t>
      </w:r>
      <w:r w:rsidR="00E56B0F" w:rsidRPr="00DE5726">
        <w:t xml:space="preserve"> 6106 </w:t>
      </w:r>
      <w:r w:rsidRPr="00DE5726">
        <w:t>[</w:t>
      </w:r>
      <w:r w:rsidR="0037293C">
        <w:t>Moral turpitude -</w:t>
      </w:r>
      <w:r w:rsidR="00E56B0F" w:rsidRPr="00DE5726">
        <w:t xml:space="preserve"> misappropriation</w:t>
      </w:r>
      <w:r w:rsidRPr="00DE5726">
        <w:t>]</w:t>
      </w:r>
    </w:p>
    <w:p w:rsidR="0037293C" w:rsidRPr="00DE5726" w:rsidRDefault="0037293C" w:rsidP="0037293C">
      <w:pPr>
        <w:spacing w:line="240" w:lineRule="auto"/>
        <w:ind w:left="2160" w:hanging="360"/>
      </w:pPr>
    </w:p>
    <w:p w:rsidR="00E34618" w:rsidRPr="00932260" w:rsidRDefault="00E56B0F" w:rsidP="00022A8B">
      <w:pPr>
        <w:rPr>
          <w:b w:val="0"/>
        </w:rPr>
      </w:pPr>
      <w:r w:rsidRPr="00932260">
        <w:rPr>
          <w:b w:val="0"/>
        </w:rPr>
        <w:tab/>
        <w:t>By misappropriating $25,706</w:t>
      </w:r>
      <w:r w:rsidR="002135DC" w:rsidRPr="00932260">
        <w:rPr>
          <w:b w:val="0"/>
        </w:rPr>
        <w:t>.03 of the proceeds from the sale of the residence</w:t>
      </w:r>
      <w:r w:rsidR="00B521E4" w:rsidRPr="00932260">
        <w:rPr>
          <w:b w:val="0"/>
        </w:rPr>
        <w:t>, respondent wil</w:t>
      </w:r>
      <w:r w:rsidR="00CE3410">
        <w:rPr>
          <w:b w:val="0"/>
        </w:rPr>
        <w:t>l</w:t>
      </w:r>
      <w:r w:rsidR="00B521E4" w:rsidRPr="00932260">
        <w:rPr>
          <w:b w:val="0"/>
        </w:rPr>
        <w:t>fully committed an act of moral turpitude, dishonesty or corruption, in violation o</w:t>
      </w:r>
      <w:r w:rsidR="006B2514">
        <w:rPr>
          <w:b w:val="0"/>
        </w:rPr>
        <w:t>f Business and Professions Code</w:t>
      </w:r>
      <w:r w:rsidR="00B521E4" w:rsidRPr="00932260">
        <w:rPr>
          <w:b w:val="0"/>
        </w:rPr>
        <w:t xml:space="preserve"> section 6106.</w:t>
      </w:r>
    </w:p>
    <w:p w:rsidR="00022A8B" w:rsidRDefault="005D7AF9" w:rsidP="0037293C">
      <w:pPr>
        <w:spacing w:line="240" w:lineRule="auto"/>
        <w:ind w:left="2160" w:hanging="360"/>
      </w:pPr>
      <w:r>
        <w:t>c</w:t>
      </w:r>
      <w:r w:rsidR="00B521E4" w:rsidRPr="00DE5726">
        <w:t xml:space="preserve">.  </w:t>
      </w:r>
      <w:r w:rsidR="0037293C">
        <w:t xml:space="preserve"> </w:t>
      </w:r>
      <w:r w:rsidR="00B521E4" w:rsidRPr="00DE5726">
        <w:t>Count T</w:t>
      </w:r>
      <w:r w:rsidR="00022A8B" w:rsidRPr="00DE5726">
        <w:t>hree</w:t>
      </w:r>
      <w:r w:rsidR="00B521E4" w:rsidRPr="00DE5726">
        <w:t xml:space="preserve"> – Business and Professions Code</w:t>
      </w:r>
      <w:r w:rsidR="0037293C">
        <w:t xml:space="preserve"> §</w:t>
      </w:r>
      <w:r w:rsidR="00B521E4" w:rsidRPr="00DE5726">
        <w:t xml:space="preserve"> 610</w:t>
      </w:r>
      <w:r w:rsidR="00022A8B" w:rsidRPr="00DE5726">
        <w:t>3</w:t>
      </w:r>
      <w:r w:rsidR="00B521E4" w:rsidRPr="00DE5726">
        <w:t xml:space="preserve"> [</w:t>
      </w:r>
      <w:r w:rsidR="00022A8B" w:rsidRPr="00DE5726">
        <w:t>Failure to obey a court order</w:t>
      </w:r>
      <w:r w:rsidR="00B521E4" w:rsidRPr="00DE5726">
        <w:t>]</w:t>
      </w:r>
    </w:p>
    <w:p w:rsidR="0037293C" w:rsidRDefault="0037293C" w:rsidP="0037293C">
      <w:pPr>
        <w:spacing w:line="240" w:lineRule="auto"/>
        <w:ind w:left="2160" w:hanging="360"/>
      </w:pPr>
    </w:p>
    <w:p w:rsidR="00022A8B" w:rsidRPr="00932260" w:rsidRDefault="00C22DD7" w:rsidP="003C3AC5">
      <w:pPr>
        <w:rPr>
          <w:b w:val="0"/>
        </w:rPr>
      </w:pPr>
      <w:r>
        <w:tab/>
      </w:r>
      <w:r>
        <w:rPr>
          <w:b w:val="0"/>
        </w:rPr>
        <w:t xml:space="preserve">By disbursing $10,000 and $2,000 to </w:t>
      </w:r>
      <w:r w:rsidR="0049051F">
        <w:rPr>
          <w:b w:val="0"/>
        </w:rPr>
        <w:t xml:space="preserve">Buttanda on April </w:t>
      </w:r>
      <w:r w:rsidR="00AB5D17">
        <w:rPr>
          <w:b w:val="0"/>
        </w:rPr>
        <w:t>2</w:t>
      </w:r>
      <w:r w:rsidR="0049051F">
        <w:rPr>
          <w:b w:val="0"/>
        </w:rPr>
        <w:t xml:space="preserve">4, 2006 and December 27, 2006, respectively, without a court order or agreement of the parties, respondent willfully disobeyed or violated a court order requiring him to do or forbear an act connected with or in the course of </w:t>
      </w:r>
      <w:r w:rsidR="00902A3D">
        <w:rPr>
          <w:b w:val="0"/>
        </w:rPr>
        <w:t>hi</w:t>
      </w:r>
      <w:r w:rsidR="0049051F">
        <w:rPr>
          <w:b w:val="0"/>
        </w:rPr>
        <w:t>s profession which he ought in good faith to do or forbear, in willful violation of Business and Professions Code section 6103.</w:t>
      </w:r>
    </w:p>
    <w:p w:rsidR="00B521E4" w:rsidRDefault="005D7AF9" w:rsidP="00902A3D">
      <w:pPr>
        <w:spacing w:line="240" w:lineRule="auto"/>
        <w:ind w:left="2160" w:hanging="360"/>
      </w:pPr>
      <w:r>
        <w:t>d</w:t>
      </w:r>
      <w:r w:rsidR="00B521E4" w:rsidRPr="00DE5726">
        <w:t xml:space="preserve">.  </w:t>
      </w:r>
      <w:r w:rsidR="00902A3D">
        <w:t xml:space="preserve"> </w:t>
      </w:r>
      <w:r w:rsidR="00B521E4" w:rsidRPr="00DE5726">
        <w:t xml:space="preserve">Count </w:t>
      </w:r>
      <w:r w:rsidR="00022A8B" w:rsidRPr="00DE5726">
        <w:t>Four</w:t>
      </w:r>
      <w:r w:rsidR="00B521E4" w:rsidRPr="00DE5726">
        <w:t xml:space="preserve"> – </w:t>
      </w:r>
      <w:r w:rsidR="00022A8B" w:rsidRPr="00DE5726">
        <w:t>Rule 4-100(A)</w:t>
      </w:r>
      <w:r w:rsidR="00B521E4" w:rsidRPr="00DE5726">
        <w:t xml:space="preserve"> [</w:t>
      </w:r>
      <w:r w:rsidR="00022A8B" w:rsidRPr="00DE5726">
        <w:t>Commingling personal funds in client trust account</w:t>
      </w:r>
      <w:r w:rsidR="00B521E4" w:rsidRPr="00DE5726">
        <w:t>]</w:t>
      </w:r>
    </w:p>
    <w:p w:rsidR="00902A3D" w:rsidRPr="00DE5726" w:rsidRDefault="00902A3D" w:rsidP="00902A3D">
      <w:pPr>
        <w:spacing w:line="240" w:lineRule="auto"/>
        <w:ind w:left="2160" w:hanging="360"/>
      </w:pPr>
    </w:p>
    <w:p w:rsidR="00B521E4" w:rsidRPr="00932260" w:rsidRDefault="00ED0E04" w:rsidP="00ED0E04">
      <w:pPr>
        <w:rPr>
          <w:b w:val="0"/>
        </w:rPr>
      </w:pPr>
      <w:r>
        <w:rPr>
          <w:b w:val="0"/>
        </w:rPr>
        <w:tab/>
        <w:t>By allowing his personal funds to remain in the CTA between August 2005 and January 2007, using them to pay personal and business expenses, and by depositing personal funds into the CTA between March and November 2006, respondent commingled personal funds in his client trust account</w:t>
      </w:r>
      <w:r w:rsidR="009B256E">
        <w:rPr>
          <w:b w:val="0"/>
        </w:rPr>
        <w:t xml:space="preserve">, in willful violation of rule 4-100(A).  </w:t>
      </w:r>
    </w:p>
    <w:p w:rsidR="005D7AF9" w:rsidRDefault="005D7AF9" w:rsidP="00902A3D">
      <w:pPr>
        <w:spacing w:line="240" w:lineRule="auto"/>
        <w:ind w:left="2160" w:hanging="360"/>
      </w:pPr>
      <w:r w:rsidRPr="00902A3D">
        <w:t>e</w:t>
      </w:r>
      <w:r w:rsidR="00B521E4" w:rsidRPr="00902A3D">
        <w:t xml:space="preserve">.  </w:t>
      </w:r>
      <w:r w:rsidR="00902A3D">
        <w:t xml:space="preserve"> </w:t>
      </w:r>
      <w:r w:rsidR="00B521E4" w:rsidRPr="00902A3D">
        <w:t>Count</w:t>
      </w:r>
      <w:r w:rsidR="00902A3D" w:rsidRPr="00902A3D">
        <w:t>s</w:t>
      </w:r>
      <w:r w:rsidR="00B521E4" w:rsidRPr="00902A3D">
        <w:t xml:space="preserve"> </w:t>
      </w:r>
      <w:r w:rsidR="00022A8B" w:rsidRPr="00902A3D">
        <w:t>Five</w:t>
      </w:r>
      <w:r w:rsidR="00902A3D" w:rsidRPr="00902A3D">
        <w:t xml:space="preserve"> &amp; Six</w:t>
      </w:r>
      <w:r w:rsidR="00B521E4" w:rsidRPr="00902A3D">
        <w:t xml:space="preserve"> – </w:t>
      </w:r>
      <w:r w:rsidR="009B256E" w:rsidRPr="00902A3D">
        <w:t>Rule 4-100(A)</w:t>
      </w:r>
      <w:r w:rsidR="00B521E4" w:rsidRPr="00902A3D">
        <w:t xml:space="preserve"> [</w:t>
      </w:r>
      <w:r w:rsidR="009B256E" w:rsidRPr="00902A3D">
        <w:t>Failure to maintai</w:t>
      </w:r>
      <w:r w:rsidR="00AB5D17">
        <w:t>n client funds in Trust Account</w:t>
      </w:r>
      <w:r w:rsidR="00B521E4" w:rsidRPr="00902A3D">
        <w:t>]</w:t>
      </w:r>
      <w:r w:rsidR="009B256E" w:rsidRPr="00902A3D">
        <w:t xml:space="preserve"> and</w:t>
      </w:r>
      <w:r w:rsidR="00902A3D" w:rsidRPr="00902A3D">
        <w:t xml:space="preserve"> Business and Professions Code</w:t>
      </w:r>
      <w:r w:rsidRPr="00902A3D">
        <w:t xml:space="preserve"> s</w:t>
      </w:r>
      <w:r w:rsidR="00AB5D17">
        <w:t>ection 6106 [Moral turpitude -</w:t>
      </w:r>
      <w:r w:rsidRPr="00902A3D">
        <w:t xml:space="preserve"> misappropriation]</w:t>
      </w:r>
    </w:p>
    <w:p w:rsidR="00176364" w:rsidRPr="00902A3D" w:rsidRDefault="00176364" w:rsidP="00902A3D">
      <w:pPr>
        <w:spacing w:line="240" w:lineRule="auto"/>
        <w:ind w:left="2160" w:hanging="360"/>
      </w:pPr>
    </w:p>
    <w:p w:rsidR="0098049F" w:rsidRDefault="009B256E" w:rsidP="009B256E">
      <w:pPr>
        <w:rPr>
          <w:b w:val="0"/>
        </w:rPr>
      </w:pPr>
      <w:r>
        <w:rPr>
          <w:b w:val="0"/>
        </w:rPr>
        <w:tab/>
      </w:r>
      <w:r w:rsidR="00A22F89">
        <w:rPr>
          <w:b w:val="0"/>
        </w:rPr>
        <w:t>C</w:t>
      </w:r>
      <w:r>
        <w:rPr>
          <w:b w:val="0"/>
        </w:rPr>
        <w:t xml:space="preserve">ounts five and six were dismissed with prejudice at trial, over the objection of the Office of the Chief Trial Counsel.  </w:t>
      </w:r>
      <w:r w:rsidR="00A15462">
        <w:rPr>
          <w:b w:val="0"/>
        </w:rPr>
        <w:t>The</w:t>
      </w:r>
      <w:r w:rsidR="00176364">
        <w:rPr>
          <w:b w:val="0"/>
        </w:rPr>
        <w:t>se</w:t>
      </w:r>
      <w:r w:rsidR="00A15462">
        <w:rPr>
          <w:b w:val="0"/>
        </w:rPr>
        <w:t xml:space="preserve"> counts are based upon respondent’s representation of Norma Girardi.  </w:t>
      </w:r>
    </w:p>
    <w:p w:rsidR="00763883" w:rsidRDefault="00A15462" w:rsidP="0098049F">
      <w:pPr>
        <w:ind w:firstLine="720"/>
        <w:rPr>
          <w:b w:val="0"/>
        </w:rPr>
      </w:pPr>
      <w:r>
        <w:rPr>
          <w:b w:val="0"/>
        </w:rPr>
        <w:t>On August 15, 2005, respondent deposited a $10,000.00 settlement check from Gioia Cheese into the CTA.  Later, on September 2, 2005, respondent deposited a second settlement check from Gioia Cheese into the CTA</w:t>
      </w:r>
      <w:r w:rsidR="00763883">
        <w:rPr>
          <w:b w:val="0"/>
        </w:rPr>
        <w:t>.  Both checks were in settlement of a lawsuit.</w:t>
      </w:r>
    </w:p>
    <w:p w:rsidR="00E34618" w:rsidRPr="00932260" w:rsidRDefault="00763883" w:rsidP="00763883">
      <w:pPr>
        <w:ind w:firstLine="720"/>
        <w:rPr>
          <w:b w:val="0"/>
        </w:rPr>
      </w:pPr>
      <w:r>
        <w:rPr>
          <w:b w:val="0"/>
        </w:rPr>
        <w:t xml:space="preserve">The Office of the Chief Trial Counsel alleges in </w:t>
      </w:r>
      <w:r w:rsidR="003A4211">
        <w:rPr>
          <w:b w:val="0"/>
        </w:rPr>
        <w:t xml:space="preserve">count five, </w:t>
      </w:r>
      <w:r>
        <w:rPr>
          <w:b w:val="0"/>
        </w:rPr>
        <w:t>paragraph 37 (which is incorporated into count six) as follows:  “Assuming that Respondent was entitled to one-third (1/3) of the settlement funds as his attorney fees, Respondent was required to maintain at least $30,000 of Ms. Girardi’s funds in his CTA from September 2, 2005 through September 16, 2005.</w:t>
      </w:r>
      <w:r w:rsidR="00C8600C">
        <w:rPr>
          <w:b w:val="0"/>
        </w:rPr>
        <w:t>”  However, the evidence presented at trial showed that, in fact, r</w:t>
      </w:r>
      <w:r w:rsidR="00A15462">
        <w:rPr>
          <w:b w:val="0"/>
        </w:rPr>
        <w:t>espondent represented Girardi on an hourly basis</w:t>
      </w:r>
      <w:r w:rsidR="00C8600C">
        <w:rPr>
          <w:b w:val="0"/>
        </w:rPr>
        <w:t>, not a contingent fee basis.  Because the Office of the Chief Trial Counsel “assumed” that the relationship was a contingent fee arrangement, and because the entire proof presented at trial was based on that wrong assumption, the Office of the Chief Trial Counsel failed to clearly and convincingly prove the alleged violations.  As such, both counts five and six must fail, and at trial, the court ruled accordingly.  Counts five and six a</w:t>
      </w:r>
      <w:r w:rsidR="00176364">
        <w:rPr>
          <w:b w:val="0"/>
        </w:rPr>
        <w:t xml:space="preserve">re dismissed with prejudice.  </w:t>
      </w:r>
    </w:p>
    <w:p w:rsidR="00E34618" w:rsidRPr="00016A21" w:rsidRDefault="00E34618" w:rsidP="00022A8B">
      <w:r w:rsidRPr="00016A21">
        <w:t>3.  LEVEL OF DISCIPLINE</w:t>
      </w:r>
    </w:p>
    <w:p w:rsidR="00E34618" w:rsidRPr="00176364" w:rsidRDefault="00E34618" w:rsidP="00176364">
      <w:pPr>
        <w:ind w:firstLine="720"/>
      </w:pPr>
      <w:r w:rsidRPr="00176364">
        <w:t>A.  Factors in Aggravation</w:t>
      </w:r>
    </w:p>
    <w:p w:rsidR="00171DC3" w:rsidRPr="00171DC3" w:rsidRDefault="00171DC3" w:rsidP="00171DC3">
      <w:pPr>
        <w:ind w:firstLine="720"/>
        <w:rPr>
          <w:b w:val="0"/>
        </w:rPr>
      </w:pPr>
      <w:r w:rsidRPr="00171DC3">
        <w:rPr>
          <w:b w:val="0"/>
        </w:rPr>
        <w:t xml:space="preserve">It is the prosecution’s burden to establish aggravating circumstances by clear and convincing evidence.  </w:t>
      </w:r>
      <w:r w:rsidRPr="00171DC3">
        <w:rPr>
          <w:b w:val="0"/>
          <w:color w:val="000000"/>
        </w:rPr>
        <w:t>(Rules Proc. of State Bar, tit.  IV, Stds. for Atty. Sanctions for Prof. Misconduct, std. 1.2(b).)</w:t>
      </w:r>
      <w:r w:rsidRPr="00171DC3">
        <w:rPr>
          <w:rStyle w:val="FootnoteReference"/>
          <w:b w:val="0"/>
          <w:color w:val="000000"/>
        </w:rPr>
        <w:footnoteReference w:id="3"/>
      </w:r>
      <w:r w:rsidRPr="00171DC3">
        <w:rPr>
          <w:b w:val="0"/>
        </w:rPr>
        <w:t xml:space="preserve"> </w:t>
      </w:r>
    </w:p>
    <w:p w:rsidR="002B1640" w:rsidRDefault="004023F2" w:rsidP="004023F2">
      <w:pPr>
        <w:ind w:firstLine="1440"/>
      </w:pPr>
      <w:r>
        <w:t xml:space="preserve">1.  </w:t>
      </w:r>
      <w:r w:rsidR="002B1640">
        <w:t>Prior Record of Discipline</w:t>
      </w:r>
      <w:r w:rsidR="00177D60">
        <w:t xml:space="preserve"> (Std. 1.2(b)(i)</w:t>
      </w:r>
      <w:r w:rsidR="00177D60" w:rsidRPr="00273DA6">
        <w:t>)</w:t>
      </w:r>
    </w:p>
    <w:p w:rsidR="002B1640" w:rsidRDefault="002B1640" w:rsidP="002B1640">
      <w:pPr>
        <w:ind w:firstLine="720"/>
        <w:rPr>
          <w:b w:val="0"/>
        </w:rPr>
      </w:pPr>
      <w:r w:rsidRPr="002B1640">
        <w:rPr>
          <w:b w:val="0"/>
        </w:rPr>
        <w:t xml:space="preserve">Respondent’s prior record of discipline is an aggravating circumstance.  </w:t>
      </w:r>
    </w:p>
    <w:p w:rsidR="002B1640" w:rsidRPr="002B1640" w:rsidRDefault="002B1640" w:rsidP="002B1640">
      <w:pPr>
        <w:ind w:firstLine="720"/>
        <w:rPr>
          <w:b w:val="0"/>
        </w:rPr>
      </w:pPr>
      <w:r w:rsidRPr="002B1640">
        <w:rPr>
          <w:b w:val="0"/>
        </w:rPr>
        <w:t xml:space="preserve">On </w:t>
      </w:r>
      <w:r w:rsidR="0014017E">
        <w:rPr>
          <w:b w:val="0"/>
        </w:rPr>
        <w:t>November 18, 1997</w:t>
      </w:r>
      <w:r w:rsidRPr="002B1640">
        <w:rPr>
          <w:b w:val="0"/>
        </w:rPr>
        <w:t>, the California Supreme Court issued an order in Case No. S</w:t>
      </w:r>
      <w:r w:rsidR="0014017E">
        <w:rPr>
          <w:b w:val="0"/>
        </w:rPr>
        <w:t>064165</w:t>
      </w:r>
      <w:r w:rsidRPr="002B1640">
        <w:rPr>
          <w:b w:val="0"/>
        </w:rPr>
        <w:t xml:space="preserve"> (</w:t>
      </w:r>
      <w:r w:rsidR="0014017E">
        <w:rPr>
          <w:b w:val="0"/>
        </w:rPr>
        <w:t>95-O-13584; 95-O-14842 (Cons.)</w:t>
      </w:r>
      <w:r w:rsidRPr="002B1640">
        <w:rPr>
          <w:b w:val="0"/>
        </w:rPr>
        <w:t xml:space="preserve">) suspending respondent from the practice of law for </w:t>
      </w:r>
      <w:r w:rsidR="0014017E">
        <w:rPr>
          <w:b w:val="0"/>
        </w:rPr>
        <w:t>two years</w:t>
      </w:r>
      <w:r w:rsidRPr="002B1640">
        <w:rPr>
          <w:b w:val="0"/>
        </w:rPr>
        <w:t xml:space="preserve">, stayed, with two years’ probation.  This discipline involved </w:t>
      </w:r>
      <w:r w:rsidR="0010181F">
        <w:rPr>
          <w:b w:val="0"/>
        </w:rPr>
        <w:t>two matters.  In the first matter, respondent stipulated to misconduct involving six counts of improper legal advertising</w:t>
      </w:r>
      <w:r w:rsidRPr="002B1640">
        <w:rPr>
          <w:b w:val="0"/>
        </w:rPr>
        <w:t xml:space="preserve">.  </w:t>
      </w:r>
      <w:r w:rsidR="0010181F">
        <w:rPr>
          <w:b w:val="0"/>
        </w:rPr>
        <w:t xml:space="preserve">In the second matter, </w:t>
      </w:r>
      <w:r w:rsidR="00461AAA">
        <w:rPr>
          <w:b w:val="0"/>
        </w:rPr>
        <w:t xml:space="preserve">respondent failed to maintain client funds in trust.  </w:t>
      </w:r>
      <w:r w:rsidRPr="002B1640">
        <w:rPr>
          <w:b w:val="0"/>
        </w:rPr>
        <w:t>In aggravation, respondent</w:t>
      </w:r>
      <w:r w:rsidR="00461AAA">
        <w:rPr>
          <w:b w:val="0"/>
        </w:rPr>
        <w:t xml:space="preserve"> committed multiple acts of wrongdoing</w:t>
      </w:r>
      <w:r w:rsidRPr="002B1640">
        <w:rPr>
          <w:b w:val="0"/>
        </w:rPr>
        <w:t xml:space="preserve">.  </w:t>
      </w:r>
      <w:r w:rsidR="00461AAA">
        <w:rPr>
          <w:b w:val="0"/>
        </w:rPr>
        <w:t>In mitigation, respondent acted in good fait</w:t>
      </w:r>
      <w:r w:rsidR="00276C9C">
        <w:rPr>
          <w:b w:val="0"/>
        </w:rPr>
        <w:t>h, did not harm any clients,</w:t>
      </w:r>
      <w:r w:rsidR="00461AAA">
        <w:rPr>
          <w:b w:val="0"/>
        </w:rPr>
        <w:t xml:space="preserve"> displayed spontaneous candor and cooperation, </w:t>
      </w:r>
      <w:r w:rsidR="00276C9C">
        <w:rPr>
          <w:b w:val="0"/>
        </w:rPr>
        <w:t xml:space="preserve">and </w:t>
      </w:r>
      <w:r w:rsidR="00461AAA">
        <w:rPr>
          <w:b w:val="0"/>
        </w:rPr>
        <w:t>had no prior record of discipline.</w:t>
      </w:r>
    </w:p>
    <w:p w:rsidR="00E34618" w:rsidRDefault="004023F2" w:rsidP="004023F2">
      <w:pPr>
        <w:ind w:firstLine="1440"/>
      </w:pPr>
      <w:r>
        <w:t xml:space="preserve">2.  </w:t>
      </w:r>
      <w:r w:rsidR="003A4211" w:rsidRPr="00171DC3">
        <w:t>Dishonesty re</w:t>
      </w:r>
      <w:r w:rsidR="00171DC3">
        <w:t xml:space="preserve"> declaration in motion for fees</w:t>
      </w:r>
      <w:r w:rsidR="00BA4ACE">
        <w:t xml:space="preserve"> (Std. 1.2(b)(iii))</w:t>
      </w:r>
    </w:p>
    <w:p w:rsidR="003D1A46" w:rsidRPr="003D1A46" w:rsidRDefault="00BA4ACE" w:rsidP="003D1A46">
      <w:pPr>
        <w:ind w:firstLine="720"/>
        <w:rPr>
          <w:b w:val="0"/>
        </w:rPr>
      </w:pPr>
      <w:r>
        <w:rPr>
          <w:b w:val="0"/>
        </w:rPr>
        <w:t xml:space="preserve">The court finds that respondent’s dishonesty in the declaration attached to his motion </w:t>
      </w:r>
      <w:r w:rsidR="00FC1810">
        <w:rPr>
          <w:b w:val="0"/>
        </w:rPr>
        <w:t>to interplead funds</w:t>
      </w:r>
      <w:r>
        <w:rPr>
          <w:b w:val="0"/>
        </w:rPr>
        <w:t xml:space="preserve"> in the </w:t>
      </w:r>
      <w:r w:rsidR="00FC1810">
        <w:rPr>
          <w:b w:val="0"/>
        </w:rPr>
        <w:t>Buttanda and Cerda</w:t>
      </w:r>
      <w:r>
        <w:rPr>
          <w:b w:val="0"/>
        </w:rPr>
        <w:t xml:space="preserve"> matter warrants additional consideration in aggravation.  </w:t>
      </w:r>
    </w:p>
    <w:p w:rsidR="00177D60" w:rsidRPr="00273DA6" w:rsidRDefault="004023F2" w:rsidP="004023F2">
      <w:pPr>
        <w:ind w:firstLine="1440"/>
        <w:rPr>
          <w:b w:val="0"/>
          <w:color w:val="000000"/>
        </w:rPr>
      </w:pPr>
      <w:r>
        <w:t xml:space="preserve">3.  </w:t>
      </w:r>
      <w:r w:rsidR="00171DC3">
        <w:t>Multiple acts</w:t>
      </w:r>
      <w:r w:rsidR="00177D60">
        <w:t xml:space="preserve"> </w:t>
      </w:r>
      <w:r w:rsidR="00177D60" w:rsidRPr="00273DA6">
        <w:t>(Std. 1.2(b)(i</w:t>
      </w:r>
      <w:r w:rsidR="00177D60">
        <w:t>i)</w:t>
      </w:r>
      <w:r w:rsidR="00177D60" w:rsidRPr="00273DA6">
        <w:t xml:space="preserve">)  </w:t>
      </w:r>
    </w:p>
    <w:p w:rsidR="005359FB" w:rsidRPr="00177D60" w:rsidRDefault="00177D60" w:rsidP="00177D60">
      <w:pPr>
        <w:ind w:firstLine="1080"/>
        <w:rPr>
          <w:b w:val="0"/>
        </w:rPr>
      </w:pPr>
      <w:r w:rsidRPr="00177D60">
        <w:rPr>
          <w:b w:val="0"/>
        </w:rPr>
        <w:t xml:space="preserve">Respondent’s misconduct evidences multiple acts of wrongdoing.  </w:t>
      </w:r>
    </w:p>
    <w:p w:rsidR="00726CF2" w:rsidRPr="00726CF2" w:rsidRDefault="004023F2" w:rsidP="004023F2">
      <w:pPr>
        <w:ind w:firstLine="1440"/>
      </w:pPr>
      <w:r>
        <w:t xml:space="preserve">4.  </w:t>
      </w:r>
      <w:r w:rsidR="00726CF2" w:rsidRPr="00726CF2">
        <w:t>Failure to Cooperate</w:t>
      </w:r>
      <w:r w:rsidR="0075464E">
        <w:t xml:space="preserve"> </w:t>
      </w:r>
      <w:r w:rsidR="0075464E" w:rsidRPr="00273DA6">
        <w:t>(Std. 1.2(b)(</w:t>
      </w:r>
      <w:r w:rsidR="0075464E">
        <w:t>vi)</w:t>
      </w:r>
      <w:r w:rsidR="0075464E" w:rsidRPr="00273DA6">
        <w:t>)</w:t>
      </w:r>
    </w:p>
    <w:p w:rsidR="00E34618" w:rsidRPr="00932260" w:rsidRDefault="00947CBD" w:rsidP="00022A8B">
      <w:pPr>
        <w:rPr>
          <w:b w:val="0"/>
        </w:rPr>
      </w:pPr>
      <w:r>
        <w:rPr>
          <w:b w:val="0"/>
        </w:rPr>
        <w:tab/>
        <w:t xml:space="preserve">At trial, evidence was presented that respondent failed to cooperate with the Office of the Chief Trial Counsel in </w:t>
      </w:r>
      <w:r w:rsidR="00630455">
        <w:rPr>
          <w:b w:val="0"/>
        </w:rPr>
        <w:t xml:space="preserve">its investigation and prosecution of </w:t>
      </w:r>
      <w:r>
        <w:rPr>
          <w:b w:val="0"/>
        </w:rPr>
        <w:t xml:space="preserve">this case.  While there were occasions where respondent failed to </w:t>
      </w:r>
      <w:r w:rsidR="004155F8">
        <w:rPr>
          <w:b w:val="0"/>
        </w:rPr>
        <w:t xml:space="preserve">respond to the deputy trial counsel involved in the case, </w:t>
      </w:r>
      <w:r w:rsidR="00123B2E">
        <w:rPr>
          <w:b w:val="0"/>
        </w:rPr>
        <w:t xml:space="preserve">the court finds respondent’s </w:t>
      </w:r>
      <w:r w:rsidR="00EA5EA6">
        <w:rPr>
          <w:b w:val="0"/>
        </w:rPr>
        <w:t xml:space="preserve">sporadic </w:t>
      </w:r>
      <w:r w:rsidR="00123B2E">
        <w:rPr>
          <w:b w:val="0"/>
        </w:rPr>
        <w:t>conduct excusable considering the surrounding circumstances in his life.  D</w:t>
      </w:r>
      <w:r w:rsidR="004155F8">
        <w:rPr>
          <w:b w:val="0"/>
        </w:rPr>
        <w:t xml:space="preserve">uring the time that he was being contacted by the Office of the Chief Trial Counsel, </w:t>
      </w:r>
      <w:r w:rsidR="00123B2E">
        <w:rPr>
          <w:b w:val="0"/>
        </w:rPr>
        <w:t>respondent</w:t>
      </w:r>
      <w:r w:rsidR="004155F8">
        <w:rPr>
          <w:b w:val="0"/>
        </w:rPr>
        <w:t xml:space="preserve"> was caring for his wife, who was seriously ill</w:t>
      </w:r>
      <w:r w:rsidR="00123638">
        <w:rPr>
          <w:b w:val="0"/>
        </w:rPr>
        <w:t xml:space="preserve"> with lung and brain cancer</w:t>
      </w:r>
      <w:r w:rsidR="004155F8">
        <w:rPr>
          <w:b w:val="0"/>
        </w:rPr>
        <w:t xml:space="preserve">.  </w:t>
      </w:r>
      <w:r w:rsidR="00123B2E">
        <w:rPr>
          <w:b w:val="0"/>
        </w:rPr>
        <w:t>Respondent’s wife</w:t>
      </w:r>
      <w:r w:rsidR="004155F8">
        <w:rPr>
          <w:b w:val="0"/>
        </w:rPr>
        <w:t xml:space="preserve"> died a few months prior to the trial.</w:t>
      </w:r>
      <w:r w:rsidR="00726CF2">
        <w:rPr>
          <w:b w:val="0"/>
        </w:rPr>
        <w:t xml:space="preserve">  </w:t>
      </w:r>
      <w:r w:rsidR="00D25464">
        <w:rPr>
          <w:b w:val="0"/>
        </w:rPr>
        <w:t>Consequently,</w:t>
      </w:r>
      <w:r w:rsidR="00123B2E">
        <w:rPr>
          <w:b w:val="0"/>
        </w:rPr>
        <w:t xml:space="preserve"> aggravation </w:t>
      </w:r>
      <w:r w:rsidR="00D25464">
        <w:rPr>
          <w:b w:val="0"/>
        </w:rPr>
        <w:t>for failing</w:t>
      </w:r>
      <w:r w:rsidR="00956EF3">
        <w:rPr>
          <w:b w:val="0"/>
        </w:rPr>
        <w:t xml:space="preserve"> to</w:t>
      </w:r>
      <w:r w:rsidR="00D25464">
        <w:rPr>
          <w:b w:val="0"/>
        </w:rPr>
        <w:t xml:space="preserve"> cooperate </w:t>
      </w:r>
      <w:r w:rsidR="00123B2E">
        <w:rPr>
          <w:b w:val="0"/>
        </w:rPr>
        <w:t xml:space="preserve">is not warranted.  </w:t>
      </w:r>
    </w:p>
    <w:p w:rsidR="00E34618" w:rsidRDefault="00E34618" w:rsidP="009247E6">
      <w:pPr>
        <w:ind w:firstLine="720"/>
      </w:pPr>
      <w:r w:rsidRPr="009247E6">
        <w:t>B.  Factors in Mitigation</w:t>
      </w:r>
    </w:p>
    <w:p w:rsidR="00827237" w:rsidRDefault="00827237" w:rsidP="00827237">
      <w:pPr>
        <w:ind w:firstLine="720"/>
        <w:rPr>
          <w:b w:val="0"/>
        </w:rPr>
      </w:pPr>
      <w:r w:rsidRPr="00827237">
        <w:rPr>
          <w:b w:val="0"/>
        </w:rPr>
        <w:t xml:space="preserve">Respondent bears the burden of establishing mitigation by clear and convincing evidence.  (Std. 1.2(e).)  </w:t>
      </w:r>
      <w:r w:rsidR="00782628">
        <w:rPr>
          <w:b w:val="0"/>
        </w:rPr>
        <w:t xml:space="preserve">The court finds no factors in </w:t>
      </w:r>
      <w:r w:rsidRPr="00827237">
        <w:rPr>
          <w:b w:val="0"/>
        </w:rPr>
        <w:t>mitigation.</w:t>
      </w:r>
      <w:r w:rsidR="00782628">
        <w:rPr>
          <w:rStyle w:val="FootnoteReference"/>
          <w:b w:val="0"/>
        </w:rPr>
        <w:footnoteReference w:id="4"/>
      </w:r>
    </w:p>
    <w:p w:rsidR="00EE4570" w:rsidRPr="00827237" w:rsidRDefault="00EE4570" w:rsidP="00827237">
      <w:pPr>
        <w:ind w:firstLine="720"/>
        <w:rPr>
          <w:b w:val="0"/>
        </w:rPr>
      </w:pPr>
    </w:p>
    <w:p w:rsidR="00E34618" w:rsidRPr="00016A21" w:rsidRDefault="00E34618" w:rsidP="00022A8B">
      <w:r w:rsidRPr="00016A21">
        <w:t>4.  DISCUSSION</w:t>
      </w:r>
    </w:p>
    <w:p w:rsidR="00E34618" w:rsidRPr="00932260" w:rsidRDefault="00E34618" w:rsidP="00022A8B">
      <w:pPr>
        <w:rPr>
          <w:b w:val="0"/>
        </w:rPr>
      </w:pPr>
      <w:r w:rsidRPr="00932260">
        <w:rPr>
          <w:b w:val="0"/>
        </w:rPr>
        <w:tab/>
        <w:t>Standard 1.3 provides that the primary purposes of discipline are to protect the public, the courts, and the legal profession; to maintain the highest possible professional standards for attorneys; and to preserve public confidence in the legal profession.  (</w:t>
      </w:r>
      <w:r w:rsidRPr="00932260">
        <w:rPr>
          <w:b w:val="0"/>
          <w:i/>
          <w:iCs/>
        </w:rPr>
        <w:t>Chadwick v. State Bar</w:t>
      </w:r>
      <w:r w:rsidRPr="00932260">
        <w:rPr>
          <w:b w:val="0"/>
        </w:rPr>
        <w:t xml:space="preserve"> (1989) 49 Cal.3d 103, 111.)</w:t>
      </w:r>
    </w:p>
    <w:p w:rsidR="00E34618" w:rsidRPr="00932260" w:rsidRDefault="00E34618" w:rsidP="00022A8B">
      <w:pPr>
        <w:rPr>
          <w:b w:val="0"/>
        </w:rPr>
      </w:pPr>
      <w:r w:rsidRPr="00932260">
        <w:rPr>
          <w:b w:val="0"/>
        </w:rPr>
        <w:tab/>
        <w:t>In determining the appropriate level of discipline, this court looks first to the standards for guidance.  (</w:t>
      </w:r>
      <w:r w:rsidRPr="00932260">
        <w:rPr>
          <w:b w:val="0"/>
          <w:i/>
          <w:iCs/>
        </w:rPr>
        <w:t>Drociak v. State Bar</w:t>
      </w:r>
      <w:r w:rsidRPr="00932260">
        <w:rPr>
          <w:b w:val="0"/>
        </w:rPr>
        <w:t xml:space="preserve"> (1991) 52 Cal.3d 10</w:t>
      </w:r>
      <w:r w:rsidR="00D733F1">
        <w:rPr>
          <w:b w:val="0"/>
        </w:rPr>
        <w:t>8</w:t>
      </w:r>
      <w:r w:rsidRPr="00932260">
        <w:rPr>
          <w:b w:val="0"/>
        </w:rPr>
        <w:t xml:space="preserve">5, 1090; </w:t>
      </w:r>
      <w:r w:rsidRPr="00932260">
        <w:rPr>
          <w:b w:val="0"/>
          <w:i/>
          <w:iCs/>
        </w:rPr>
        <w:t>In the Matter of Koehler</w:t>
      </w:r>
      <w:r w:rsidRPr="00932260">
        <w:rPr>
          <w:b w:val="0"/>
        </w:rPr>
        <w:t xml:space="preserve"> (Review Dept. 1991) 1 Cal. State Bar Ct. Rptr. 615, 628.)  Second, the court looks to decisional law.  (</w:t>
      </w:r>
      <w:r w:rsidRPr="00932260">
        <w:rPr>
          <w:b w:val="0"/>
          <w:i/>
          <w:iCs/>
        </w:rPr>
        <w:t>Snyder v. State Bar</w:t>
      </w:r>
      <w:r w:rsidR="007C46DE">
        <w:rPr>
          <w:b w:val="0"/>
        </w:rPr>
        <w:t xml:space="preserve"> (1990) 49 Cal.3d 1302, 1310-</w:t>
      </w:r>
      <w:r w:rsidRPr="00932260">
        <w:rPr>
          <w:b w:val="0"/>
        </w:rPr>
        <w:t xml:space="preserve">1311; </w:t>
      </w:r>
      <w:r w:rsidRPr="00D733F1">
        <w:rPr>
          <w:b w:val="0"/>
          <w:i/>
        </w:rPr>
        <w:t xml:space="preserve">In the Matter of Taylor </w:t>
      </w:r>
      <w:r w:rsidRPr="00932260">
        <w:rPr>
          <w:b w:val="0"/>
        </w:rPr>
        <w:t>(Review Dept. 1991) 1 Cal. S</w:t>
      </w:r>
      <w:r w:rsidR="00EC07E1">
        <w:rPr>
          <w:b w:val="0"/>
        </w:rPr>
        <w:t xml:space="preserve">tate Bar Ct. Rptr. 563, 580.)  </w:t>
      </w:r>
    </w:p>
    <w:p w:rsidR="00E34618" w:rsidRPr="00932260" w:rsidRDefault="00E34618" w:rsidP="00022A8B">
      <w:pPr>
        <w:rPr>
          <w:b w:val="0"/>
        </w:rPr>
      </w:pPr>
      <w:r w:rsidRPr="00932260">
        <w:rPr>
          <w:b w:val="0"/>
        </w:rP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rsidR="00F8700C" w:rsidRPr="00F8700C" w:rsidRDefault="00F8700C" w:rsidP="00F8700C">
      <w:pPr>
        <w:ind w:firstLine="720"/>
        <w:rPr>
          <w:b w:val="0"/>
        </w:rPr>
      </w:pPr>
      <w:r w:rsidRPr="00F8700C">
        <w:rPr>
          <w:b w:val="0"/>
        </w:rPr>
        <w:t>Standards 2.2(a), 2.2(b), and 2.3, among others,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 year actual suspension.</w:t>
      </w:r>
    </w:p>
    <w:p w:rsidR="00E34618" w:rsidRPr="00932260" w:rsidRDefault="00E34618" w:rsidP="005359FB">
      <w:pPr>
        <w:ind w:firstLine="720"/>
        <w:rPr>
          <w:b w:val="0"/>
        </w:rPr>
      </w:pPr>
      <w:r w:rsidRPr="00932260">
        <w:rPr>
          <w:b w:val="0"/>
        </w:rPr>
        <w:t>The Supreme Court gives the standards “great weight” and will reject a recommendation consistent with the standards only where the court entertains “grave doubts” as to its propriety.  (</w:t>
      </w:r>
      <w:r w:rsidRPr="00932260">
        <w:rPr>
          <w:b w:val="0"/>
          <w:i/>
          <w:iCs/>
        </w:rPr>
        <w:t>In re Silverton</w:t>
      </w:r>
      <w:r w:rsidR="00E33FDA">
        <w:rPr>
          <w:b w:val="0"/>
        </w:rPr>
        <w:t xml:space="preserve"> (2005) 36 Cal.4th 81, 91-</w:t>
      </w:r>
      <w:r w:rsidRPr="00932260">
        <w:rPr>
          <w:b w:val="0"/>
        </w:rPr>
        <w:t xml:space="preserve">92; </w:t>
      </w:r>
      <w:r w:rsidRPr="00932260">
        <w:rPr>
          <w:b w:val="0"/>
          <w:i/>
          <w:iCs/>
        </w:rPr>
        <w:t>In re Naney</w:t>
      </w:r>
      <w:r w:rsidRPr="00932260">
        <w:rPr>
          <w:b w:val="0"/>
        </w:rPr>
        <w:t xml:space="preserve"> (1990) 51 Cal.3d 186, 190.)  Although the standards are not mandatory, they may be deviated from when there is a compelling, well-defined reason to do so.  (</w:t>
      </w:r>
      <w:r w:rsidRPr="00932260">
        <w:rPr>
          <w:b w:val="0"/>
          <w:i/>
          <w:iCs/>
        </w:rPr>
        <w:t>Bates v. State Bar</w:t>
      </w:r>
      <w:r w:rsidRPr="00932260">
        <w:rPr>
          <w:b w:val="0"/>
        </w:rPr>
        <w:t xml:space="preserve"> (1990) 51 Cal.3d 1056, 1061, fn. 2; </w:t>
      </w:r>
      <w:r w:rsidRPr="00932260">
        <w:rPr>
          <w:b w:val="0"/>
          <w:i/>
          <w:iCs/>
        </w:rPr>
        <w:t>Aronin v. State Bar</w:t>
      </w:r>
      <w:r w:rsidRPr="00932260">
        <w:rPr>
          <w:b w:val="0"/>
        </w:rPr>
        <w:t xml:space="preserve"> (1990) 52 Cal.3d 276, 291.)  There is no reason to deviate from the standard</w:t>
      </w:r>
      <w:r w:rsidR="00967113">
        <w:rPr>
          <w:b w:val="0"/>
        </w:rPr>
        <w:t>s</w:t>
      </w:r>
      <w:r w:rsidRPr="00932260">
        <w:rPr>
          <w:b w:val="0"/>
        </w:rPr>
        <w:t xml:space="preserve"> in this case.</w:t>
      </w:r>
    </w:p>
    <w:p w:rsidR="00E34618" w:rsidRPr="00932260" w:rsidRDefault="00E34618" w:rsidP="00022A8B">
      <w:pPr>
        <w:rPr>
          <w:b w:val="0"/>
        </w:rPr>
      </w:pPr>
      <w:r w:rsidRPr="00932260">
        <w:rPr>
          <w:b w:val="0"/>
        </w:rPr>
        <w:tab/>
        <w:t xml:space="preserve">Respondent has been found culpable of </w:t>
      </w:r>
      <w:r w:rsidR="005D7697">
        <w:rPr>
          <w:b w:val="0"/>
        </w:rPr>
        <w:t xml:space="preserve">the unauthorized practice of law, failing to maintain funds in his client trust account, failing to comply with a court order, </w:t>
      </w:r>
      <w:r w:rsidR="00016A21">
        <w:rPr>
          <w:b w:val="0"/>
        </w:rPr>
        <w:t>commingling personal funds in his client trust account</w:t>
      </w:r>
      <w:r w:rsidR="00EC07E1">
        <w:rPr>
          <w:b w:val="0"/>
        </w:rPr>
        <w:t>, and the misappropriation of client funds</w:t>
      </w:r>
      <w:r w:rsidR="005D7697">
        <w:rPr>
          <w:b w:val="0"/>
        </w:rPr>
        <w:t>.</w:t>
      </w:r>
      <w:r w:rsidRPr="00932260">
        <w:rPr>
          <w:b w:val="0"/>
        </w:rPr>
        <w:t xml:space="preserve">  Aggravating factors include</w:t>
      </w:r>
      <w:r w:rsidR="00EC07E1">
        <w:rPr>
          <w:b w:val="0"/>
        </w:rPr>
        <w:t xml:space="preserve"> his</w:t>
      </w:r>
      <w:r w:rsidRPr="00932260">
        <w:rPr>
          <w:b w:val="0"/>
        </w:rPr>
        <w:t xml:space="preserve"> prior discipline, multiple acts of misconduct</w:t>
      </w:r>
      <w:r w:rsidR="00A00AB4">
        <w:rPr>
          <w:b w:val="0"/>
        </w:rPr>
        <w:t>,</w:t>
      </w:r>
      <w:r w:rsidR="004F4C2D">
        <w:rPr>
          <w:b w:val="0"/>
        </w:rPr>
        <w:t xml:space="preserve"> and</w:t>
      </w:r>
      <w:r w:rsidR="005359FB">
        <w:rPr>
          <w:b w:val="0"/>
        </w:rPr>
        <w:t xml:space="preserve"> dishonesty</w:t>
      </w:r>
      <w:r w:rsidRPr="00932260">
        <w:rPr>
          <w:b w:val="0"/>
        </w:rPr>
        <w:t xml:space="preserve">.  </w:t>
      </w:r>
      <w:r w:rsidR="00EC07E1">
        <w:rPr>
          <w:b w:val="0"/>
        </w:rPr>
        <w:t>No mitigation was found</w:t>
      </w:r>
      <w:r w:rsidRPr="00932260">
        <w:rPr>
          <w:b w:val="0"/>
        </w:rPr>
        <w:t xml:space="preserve">.  </w:t>
      </w:r>
    </w:p>
    <w:p w:rsidR="00E34618" w:rsidRPr="00932260" w:rsidRDefault="005D7697" w:rsidP="005D7697">
      <w:pPr>
        <w:ind w:firstLine="720"/>
        <w:rPr>
          <w:b w:val="0"/>
        </w:rPr>
      </w:pPr>
      <w:r>
        <w:rPr>
          <w:b w:val="0"/>
        </w:rPr>
        <w:t xml:space="preserve">The </w:t>
      </w:r>
      <w:r w:rsidR="00F47BD2">
        <w:rPr>
          <w:b w:val="0"/>
        </w:rPr>
        <w:t>Office of the Chief Trial Counsel</w:t>
      </w:r>
      <w:r>
        <w:rPr>
          <w:b w:val="0"/>
        </w:rPr>
        <w:t xml:space="preserve"> recommends that respondent be disbarred.  The court agrees.  </w:t>
      </w:r>
      <w:r w:rsidR="00E34618" w:rsidRPr="00932260">
        <w:rPr>
          <w:b w:val="0"/>
        </w:rPr>
        <w:t xml:space="preserve">Lesser discipline than disbarment is not warranted </w:t>
      </w:r>
      <w:r w:rsidR="00EC07E1">
        <w:rPr>
          <w:b w:val="0"/>
        </w:rPr>
        <w:t>considering the severity of the charges, the amount of funds misappropriated, and the lack of compelling mitigating circumstances</w:t>
      </w:r>
      <w:r w:rsidR="00E34618" w:rsidRPr="00932260">
        <w:rPr>
          <w:b w:val="0"/>
        </w:rPr>
        <w:t>.  (</w:t>
      </w:r>
      <w:r w:rsidR="00EC07E1">
        <w:rPr>
          <w:b w:val="0"/>
        </w:rPr>
        <w:t xml:space="preserve">See </w:t>
      </w:r>
      <w:r w:rsidR="00E34618" w:rsidRPr="00932260">
        <w:rPr>
          <w:b w:val="0"/>
        </w:rPr>
        <w:t xml:space="preserve">Std. </w:t>
      </w:r>
      <w:r w:rsidR="00EC07E1">
        <w:rPr>
          <w:b w:val="0"/>
        </w:rPr>
        <w:t>2.2(a)</w:t>
      </w:r>
      <w:r w:rsidR="00E34618" w:rsidRPr="00932260">
        <w:rPr>
          <w:b w:val="0"/>
        </w:rPr>
        <w:t xml:space="preserve">.)  Moreover, it is evident that </w:t>
      </w:r>
      <w:r w:rsidR="00A56C98">
        <w:rPr>
          <w:b w:val="0"/>
        </w:rPr>
        <w:t xml:space="preserve">respondent’s </w:t>
      </w:r>
      <w:r w:rsidR="00E34618" w:rsidRPr="00932260">
        <w:rPr>
          <w:b w:val="0"/>
        </w:rPr>
        <w:t xml:space="preserve">prior discipline, coupled with his prior probation, has not served to rehabilitate </w:t>
      </w:r>
      <w:r w:rsidR="00A56C98">
        <w:rPr>
          <w:b w:val="0"/>
        </w:rPr>
        <w:t>respondent</w:t>
      </w:r>
      <w:r w:rsidR="00E34618" w:rsidRPr="00932260">
        <w:rPr>
          <w:b w:val="0"/>
        </w:rPr>
        <w:t xml:space="preserve"> or to deter him from further misconduct.  In such circumstances, disbarment is appropriate.  (</w:t>
      </w:r>
      <w:r w:rsidR="00E34618" w:rsidRPr="00932260">
        <w:rPr>
          <w:b w:val="0"/>
          <w:i/>
        </w:rPr>
        <w:t>In the Matter of Rose</w:t>
      </w:r>
      <w:r w:rsidR="00E34618" w:rsidRPr="00932260">
        <w:rPr>
          <w:b w:val="0"/>
        </w:rPr>
        <w:t xml:space="preserve"> (Review Dept. 1997) 3 Cal. State Bar Ct. Rptr. 646.) </w:t>
      </w:r>
    </w:p>
    <w:p w:rsidR="00E34618" w:rsidRPr="00932260" w:rsidRDefault="00E34618" w:rsidP="005D7697">
      <w:pPr>
        <w:ind w:firstLine="720"/>
        <w:rPr>
          <w:b w:val="0"/>
        </w:rPr>
      </w:pPr>
      <w:r w:rsidRPr="00932260">
        <w:rPr>
          <w:b w:val="0"/>
        </w:rPr>
        <w:t xml:space="preserve">Having considered the evidence, the standards and other relevant law, the court believes that disbarment is the only adequate means of protecting the public from further wrongdoing by respondent.  </w:t>
      </w:r>
    </w:p>
    <w:p w:rsidR="00E34618" w:rsidRPr="00016A21" w:rsidRDefault="00E34618" w:rsidP="00022A8B">
      <w:r w:rsidRPr="00016A21">
        <w:t>5.  RECOMMENDED DISCIPLINE</w:t>
      </w:r>
    </w:p>
    <w:p w:rsidR="00B840EB" w:rsidRDefault="00B840EB" w:rsidP="00B840EB">
      <w:pPr>
        <w:rPr>
          <w:b w:val="0"/>
        </w:rPr>
      </w:pPr>
      <w:r w:rsidRPr="00B840EB">
        <w:rPr>
          <w:b w:val="0"/>
        </w:rPr>
        <w:tab/>
        <w:t xml:space="preserve">This court recommends that respondent </w:t>
      </w:r>
      <w:r>
        <w:rPr>
          <w:b w:val="0"/>
        </w:rPr>
        <w:t>Attilio Mario Regolo</w:t>
      </w:r>
      <w:r w:rsidRPr="00B840EB">
        <w:rPr>
          <w:b w:val="0"/>
        </w:rPr>
        <w:t xml:space="preserve"> be disbarred from the practice of law in the State of California and that his name be stricken from the roll of attorneys in this state.</w:t>
      </w:r>
    </w:p>
    <w:p w:rsidR="00A56C98" w:rsidRPr="00A56C98" w:rsidRDefault="00A56C98" w:rsidP="00A56C98">
      <w:pPr>
        <w:ind w:firstLine="720"/>
        <w:rPr>
          <w:b w:val="0"/>
        </w:rPr>
      </w:pPr>
      <w:r w:rsidRPr="00A56C98">
        <w:rPr>
          <w:b w:val="0"/>
        </w:rPr>
        <w:t xml:space="preserve">It is </w:t>
      </w:r>
      <w:r w:rsidR="00BA01D0">
        <w:rPr>
          <w:b w:val="0"/>
        </w:rPr>
        <w:t>also</w:t>
      </w:r>
      <w:r w:rsidRPr="00A56C98">
        <w:rPr>
          <w:b w:val="0"/>
        </w:rPr>
        <w:t xml:space="preserve"> recommended that respondent make restitution and furnish satisfactory proof thereof to the State Bar’s Office of Probation, as follows:</w:t>
      </w:r>
    </w:p>
    <w:p w:rsidR="00A56C98" w:rsidRPr="00A56C98" w:rsidRDefault="00A56C98" w:rsidP="00A56C98">
      <w:pPr>
        <w:spacing w:line="240" w:lineRule="auto"/>
        <w:ind w:left="720" w:right="720" w:firstLine="720"/>
        <w:rPr>
          <w:b w:val="0"/>
        </w:rPr>
      </w:pPr>
      <w:r w:rsidRPr="00A56C98">
        <w:rPr>
          <w:b w:val="0"/>
        </w:rPr>
        <w:t xml:space="preserve">(1)  To </w:t>
      </w:r>
      <w:r>
        <w:rPr>
          <w:b w:val="0"/>
        </w:rPr>
        <w:t>Salvatore Buttanda</w:t>
      </w:r>
      <w:r w:rsidRPr="00A56C98">
        <w:rPr>
          <w:b w:val="0"/>
        </w:rPr>
        <w:t xml:space="preserve"> in the amount of $</w:t>
      </w:r>
      <w:r w:rsidR="00334D09">
        <w:rPr>
          <w:b w:val="0"/>
        </w:rPr>
        <w:t>7,303.02</w:t>
      </w:r>
      <w:r w:rsidR="00421805">
        <w:rPr>
          <w:rStyle w:val="FootnoteReference"/>
          <w:b w:val="0"/>
        </w:rPr>
        <w:footnoteReference w:id="5"/>
      </w:r>
      <w:r w:rsidRPr="00A56C98">
        <w:rPr>
          <w:b w:val="0"/>
        </w:rPr>
        <w:t xml:space="preserve"> plus 10 percent interest per annum from </w:t>
      </w:r>
      <w:r w:rsidR="00421805">
        <w:rPr>
          <w:b w:val="0"/>
        </w:rPr>
        <w:t>July 25, 2007</w:t>
      </w:r>
      <w:r w:rsidRPr="00A56C98">
        <w:rPr>
          <w:b w:val="0"/>
        </w:rPr>
        <w:t xml:space="preserve"> (or reimburses the Client Security Fund to the extent of any payment from the fund to </w:t>
      </w:r>
      <w:r>
        <w:rPr>
          <w:b w:val="0"/>
        </w:rPr>
        <w:t>Salvatore Buttanda</w:t>
      </w:r>
      <w:r w:rsidRPr="00A56C98">
        <w:rPr>
          <w:b w:val="0"/>
        </w:rPr>
        <w:t xml:space="preserve"> in accordance with Business and Professions Code section 6140.5); </w:t>
      </w:r>
      <w:r>
        <w:rPr>
          <w:b w:val="0"/>
        </w:rPr>
        <w:t>and</w:t>
      </w:r>
      <w:r w:rsidRPr="00A56C98">
        <w:rPr>
          <w:b w:val="0"/>
        </w:rPr>
        <w:t xml:space="preserve"> </w:t>
      </w:r>
    </w:p>
    <w:p w:rsidR="00A56C98" w:rsidRPr="00A56C98" w:rsidRDefault="00A56C98" w:rsidP="00A56C98">
      <w:pPr>
        <w:spacing w:line="240" w:lineRule="auto"/>
        <w:ind w:left="720" w:right="720" w:firstLine="720"/>
        <w:rPr>
          <w:b w:val="0"/>
        </w:rPr>
      </w:pPr>
    </w:p>
    <w:p w:rsidR="00A373C9" w:rsidRDefault="00A56C98" w:rsidP="00A56C98">
      <w:pPr>
        <w:spacing w:line="240" w:lineRule="auto"/>
        <w:ind w:left="720" w:right="720" w:firstLine="720"/>
        <w:rPr>
          <w:b w:val="0"/>
        </w:rPr>
      </w:pPr>
      <w:r w:rsidRPr="00A56C98">
        <w:rPr>
          <w:b w:val="0"/>
        </w:rPr>
        <w:t xml:space="preserve">(2)  To </w:t>
      </w:r>
      <w:r>
        <w:rPr>
          <w:b w:val="0"/>
        </w:rPr>
        <w:t>Grace Cerda</w:t>
      </w:r>
      <w:r w:rsidRPr="00A56C98">
        <w:rPr>
          <w:b w:val="0"/>
        </w:rPr>
        <w:t xml:space="preserve"> in the total amount of $</w:t>
      </w:r>
      <w:r w:rsidR="00334D09">
        <w:rPr>
          <w:b w:val="0"/>
        </w:rPr>
        <w:t>15,903.02</w:t>
      </w:r>
      <w:r w:rsidR="00334D09">
        <w:rPr>
          <w:rStyle w:val="FootnoteReference"/>
          <w:b w:val="0"/>
        </w:rPr>
        <w:footnoteReference w:id="6"/>
      </w:r>
      <w:r w:rsidRPr="00A56C98">
        <w:rPr>
          <w:b w:val="0"/>
        </w:rPr>
        <w:t xml:space="preserve"> plus 10 percent interest per annum from </w:t>
      </w:r>
      <w:r w:rsidR="00421805">
        <w:rPr>
          <w:b w:val="0"/>
        </w:rPr>
        <w:t>July 25, 2007</w:t>
      </w:r>
      <w:r w:rsidRPr="00A56C98">
        <w:rPr>
          <w:b w:val="0"/>
        </w:rPr>
        <w:t xml:space="preserve"> (or reimburses the Client Security Fund to the extent of any payment from the fund to </w:t>
      </w:r>
      <w:r>
        <w:rPr>
          <w:b w:val="0"/>
        </w:rPr>
        <w:t>Grace Cerda</w:t>
      </w:r>
      <w:r w:rsidRPr="00A56C98">
        <w:rPr>
          <w:b w:val="0"/>
        </w:rPr>
        <w:t xml:space="preserve"> in accordance with Business and P</w:t>
      </w:r>
      <w:r>
        <w:rPr>
          <w:b w:val="0"/>
        </w:rPr>
        <w:t>rofessions Code section 6140.5)</w:t>
      </w:r>
    </w:p>
    <w:p w:rsidR="00A373C9" w:rsidRDefault="00A373C9" w:rsidP="00A56C98">
      <w:pPr>
        <w:spacing w:line="240" w:lineRule="auto"/>
        <w:ind w:left="720" w:right="720" w:firstLine="720"/>
        <w:rPr>
          <w:b w:val="0"/>
        </w:rPr>
      </w:pPr>
    </w:p>
    <w:p w:rsidR="00A56C98" w:rsidRDefault="00A373C9" w:rsidP="00A56C98">
      <w:pPr>
        <w:spacing w:line="240" w:lineRule="auto"/>
        <w:ind w:left="720" w:right="720" w:firstLine="720"/>
        <w:rPr>
          <w:b w:val="0"/>
        </w:rPr>
      </w:pPr>
      <w:r w:rsidRPr="00A56C98">
        <w:rPr>
          <w:b w:val="0"/>
        </w:rPr>
        <w:t>(</w:t>
      </w:r>
      <w:r>
        <w:rPr>
          <w:b w:val="0"/>
        </w:rPr>
        <w:t>3</w:t>
      </w:r>
      <w:r w:rsidRPr="00A56C98">
        <w:rPr>
          <w:b w:val="0"/>
        </w:rPr>
        <w:t xml:space="preserve">)  To </w:t>
      </w:r>
      <w:r>
        <w:rPr>
          <w:b w:val="0"/>
        </w:rPr>
        <w:t>Jennifer J. Kropke</w:t>
      </w:r>
      <w:r w:rsidR="00EE1BC1">
        <w:rPr>
          <w:b w:val="0"/>
        </w:rPr>
        <w:t>, Esq.,</w:t>
      </w:r>
      <w:r w:rsidRPr="00A56C98">
        <w:rPr>
          <w:b w:val="0"/>
        </w:rPr>
        <w:t xml:space="preserve"> in the total amount of $</w:t>
      </w:r>
      <w:r>
        <w:rPr>
          <w:b w:val="0"/>
        </w:rPr>
        <w:t>2,500</w:t>
      </w:r>
      <w:r w:rsidRPr="00A56C98">
        <w:rPr>
          <w:b w:val="0"/>
        </w:rPr>
        <w:t xml:space="preserve"> plus 10 percent interest per annum from </w:t>
      </w:r>
      <w:r>
        <w:rPr>
          <w:b w:val="0"/>
        </w:rPr>
        <w:t>July 25, 2007</w:t>
      </w:r>
      <w:r w:rsidRPr="00A56C98">
        <w:rPr>
          <w:b w:val="0"/>
        </w:rPr>
        <w:t xml:space="preserve"> (or reimburses the Client Security Fund to the extent of any payment from the fund to </w:t>
      </w:r>
      <w:r w:rsidR="00EE1BC1">
        <w:rPr>
          <w:b w:val="0"/>
        </w:rPr>
        <w:t>Jennifer J. Kropke, Esq.,</w:t>
      </w:r>
      <w:r w:rsidRPr="00A56C98">
        <w:rPr>
          <w:b w:val="0"/>
        </w:rPr>
        <w:t xml:space="preserve"> in accordance with Business and P</w:t>
      </w:r>
      <w:r>
        <w:rPr>
          <w:b w:val="0"/>
        </w:rPr>
        <w:t>rofessions Code section 6140.5)</w:t>
      </w:r>
      <w:r w:rsidR="00A56C98">
        <w:rPr>
          <w:b w:val="0"/>
        </w:rPr>
        <w:t>.</w:t>
      </w:r>
      <w:r w:rsidR="00BA01D0" w:rsidRPr="005419D6">
        <w:rPr>
          <w:rStyle w:val="FootnoteReference"/>
          <w:b w:val="0"/>
        </w:rPr>
        <w:footnoteReference w:id="7"/>
      </w:r>
      <w:r w:rsidR="00A56C98" w:rsidRPr="00A56C98">
        <w:rPr>
          <w:b w:val="0"/>
        </w:rPr>
        <w:t xml:space="preserve">  </w:t>
      </w:r>
    </w:p>
    <w:p w:rsidR="00DB5B0F" w:rsidRDefault="00DB5B0F" w:rsidP="00A56C98">
      <w:pPr>
        <w:spacing w:line="240" w:lineRule="auto"/>
        <w:ind w:left="720" w:right="720" w:firstLine="720"/>
        <w:rPr>
          <w:b w:val="0"/>
        </w:rPr>
      </w:pPr>
    </w:p>
    <w:p w:rsidR="00A56C98" w:rsidRPr="00A56C98" w:rsidRDefault="00DB5B0F" w:rsidP="00DB5B0F">
      <w:pPr>
        <w:ind w:firstLine="720"/>
        <w:rPr>
          <w:b w:val="0"/>
        </w:rPr>
      </w:pPr>
      <w:r>
        <w:rPr>
          <w:b w:val="0"/>
        </w:rPr>
        <w:t>If respondent has already paid any portion of the aforementioned restitution, he is required to provide the Office of Probation with proof of payment in a form acceptable to the Office of Probation.</w:t>
      </w:r>
    </w:p>
    <w:p w:rsidR="00B840EB" w:rsidRPr="00B840EB" w:rsidRDefault="00B840EB" w:rsidP="00B840EB">
      <w:pPr>
        <w:rPr>
          <w:b w:val="0"/>
          <w:bCs/>
        </w:rPr>
      </w:pPr>
      <w:r w:rsidRPr="00B840EB">
        <w:rPr>
          <w:b w:val="0"/>
          <w:bCs/>
        </w:rPr>
        <w:tab/>
      </w:r>
      <w:r w:rsidRPr="00B840EB">
        <w:rPr>
          <w:b w:val="0"/>
        </w:rP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sidRPr="00B840EB">
        <w:rPr>
          <w:rStyle w:val="FootnoteReference"/>
          <w:b w:val="0"/>
        </w:rPr>
        <w:footnoteReference w:id="8"/>
      </w:r>
    </w:p>
    <w:p w:rsidR="00E34618" w:rsidRPr="00BA4ACE" w:rsidRDefault="005419D6" w:rsidP="00022A8B">
      <w:r w:rsidRPr="00BA4ACE">
        <w:t>6</w:t>
      </w:r>
      <w:r w:rsidR="00E34618" w:rsidRPr="00BA4ACE">
        <w:t>.  COSTS</w:t>
      </w:r>
    </w:p>
    <w:p w:rsidR="005419D6" w:rsidRPr="005419D6" w:rsidRDefault="005419D6" w:rsidP="005419D6">
      <w:pPr>
        <w:rPr>
          <w:b w:val="0"/>
        </w:rPr>
      </w:pPr>
      <w:r w:rsidRPr="005419D6">
        <w:rPr>
          <w:b w:val="0"/>
        </w:rPr>
        <w:tab/>
        <w:t xml:space="preserve">It is recommended that costs be awarded to the </w:t>
      </w:r>
      <w:r w:rsidR="00F47BD2">
        <w:rPr>
          <w:b w:val="0"/>
        </w:rPr>
        <w:t>Office of the Chief Trial Counsel</w:t>
      </w:r>
      <w:r w:rsidRPr="005419D6">
        <w:rPr>
          <w:b w:val="0"/>
        </w:rPr>
        <w:t xml:space="preserve"> in accordance with Business and Professions Code section 6086.10 and are enforceable both as provided in Business and Professions Code section 6140.7 and as a money judgment.</w:t>
      </w:r>
    </w:p>
    <w:p w:rsidR="005419D6" w:rsidRPr="00BA4ACE" w:rsidRDefault="005419D6" w:rsidP="005419D6">
      <w:r w:rsidRPr="00BA4ACE">
        <w:rPr>
          <w:bCs/>
        </w:rPr>
        <w:t>7.  ORDER OF INACTIVE ENROLLMENT</w:t>
      </w:r>
    </w:p>
    <w:p w:rsidR="005419D6" w:rsidRPr="005419D6" w:rsidRDefault="005419D6" w:rsidP="005419D6">
      <w:pPr>
        <w:rPr>
          <w:b w:val="0"/>
        </w:rPr>
      </w:pPr>
      <w:r w:rsidRPr="005419D6">
        <w:rPr>
          <w:b w:val="0"/>
        </w:rPr>
        <w:tab/>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220(c).)</w:t>
      </w:r>
    </w:p>
    <w:p w:rsidR="00E34618" w:rsidRPr="005419D6" w:rsidRDefault="00E34618" w:rsidP="00022A8B">
      <w:pPr>
        <w:rPr>
          <w:b w:val="0"/>
        </w:rPr>
      </w:pPr>
    </w:p>
    <w:p w:rsidR="00E34618" w:rsidRPr="005419D6" w:rsidRDefault="00E34618" w:rsidP="00022A8B">
      <w:pPr>
        <w:pStyle w:val="Header"/>
        <w:rPr>
          <w:b w:val="0"/>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E34618" w:rsidRPr="00932260" w:rsidTr="0059277E">
        <w:tc>
          <w:tcPr>
            <w:tcW w:w="4800" w:type="dxa"/>
            <w:tcBorders>
              <w:left w:val="nil"/>
              <w:bottom w:val="nil"/>
            </w:tcBorders>
          </w:tcPr>
          <w:p w:rsidR="00E34618" w:rsidRPr="00932260" w:rsidRDefault="00E34618" w:rsidP="0024316E">
            <w:pPr>
              <w:pStyle w:val="Header"/>
              <w:spacing w:line="240" w:lineRule="auto"/>
              <w:rPr>
                <w:b w:val="0"/>
              </w:rPr>
            </w:pPr>
            <w:r w:rsidRPr="00932260">
              <w:rPr>
                <w:b w:val="0"/>
              </w:rPr>
              <w:t xml:space="preserve">Dated:  </w:t>
            </w:r>
            <w:r w:rsidR="00A3091C" w:rsidRPr="00932260">
              <w:rPr>
                <w:b w:val="0"/>
              </w:rPr>
              <w:fldChar w:fldCharType="begin"/>
            </w:r>
            <w:r w:rsidRPr="00932260">
              <w:rPr>
                <w:b w:val="0"/>
              </w:rPr>
              <w:instrText xml:space="preserve"> DATE \@ "MMMM _____, yyyy" \* MERGEFORMAT </w:instrText>
            </w:r>
            <w:r w:rsidR="00A3091C" w:rsidRPr="00932260">
              <w:rPr>
                <w:b w:val="0"/>
              </w:rPr>
              <w:fldChar w:fldCharType="separate"/>
            </w:r>
            <w:r w:rsidR="000D0D8C">
              <w:rPr>
                <w:b w:val="0"/>
                <w:noProof/>
              </w:rPr>
              <w:t>December ___</w:t>
            </w:r>
            <w:r w:rsidR="000D0D8C">
              <w:rPr>
                <w:b w:val="0"/>
                <w:noProof/>
              </w:rPr>
              <w:t>1</w:t>
            </w:r>
            <w:r w:rsidR="000D0D8C">
              <w:rPr>
                <w:b w:val="0"/>
                <w:noProof/>
              </w:rPr>
              <w:t>__, 2010</w:t>
            </w:r>
            <w:r w:rsidR="00A3091C" w:rsidRPr="00932260">
              <w:rPr>
                <w:b w:val="0"/>
              </w:rPr>
              <w:fldChar w:fldCharType="end"/>
            </w:r>
          </w:p>
        </w:tc>
        <w:tc>
          <w:tcPr>
            <w:tcW w:w="4565" w:type="dxa"/>
            <w:tcBorders>
              <w:top w:val="single" w:sz="4" w:space="0" w:color="auto"/>
              <w:bottom w:val="nil"/>
              <w:right w:val="nil"/>
            </w:tcBorders>
          </w:tcPr>
          <w:p w:rsidR="00E34618" w:rsidRPr="00932260" w:rsidRDefault="00E34618" w:rsidP="0024316E">
            <w:pPr>
              <w:spacing w:line="240" w:lineRule="auto"/>
              <w:rPr>
                <w:b w:val="0"/>
              </w:rPr>
            </w:pPr>
            <w:r w:rsidRPr="00932260">
              <w:rPr>
                <w:b w:val="0"/>
              </w:rPr>
              <w:t>RICHARD A. HONN</w:t>
            </w:r>
          </w:p>
        </w:tc>
      </w:tr>
      <w:tr w:rsidR="00E34618" w:rsidRPr="00932260" w:rsidTr="0059277E">
        <w:tc>
          <w:tcPr>
            <w:tcW w:w="4800" w:type="dxa"/>
            <w:tcBorders>
              <w:left w:val="nil"/>
              <w:bottom w:val="nil"/>
            </w:tcBorders>
          </w:tcPr>
          <w:p w:rsidR="00E34618" w:rsidRPr="00932260" w:rsidRDefault="00E34618" w:rsidP="0024316E">
            <w:pPr>
              <w:spacing w:line="240" w:lineRule="auto"/>
              <w:rPr>
                <w:b w:val="0"/>
              </w:rPr>
            </w:pPr>
          </w:p>
        </w:tc>
        <w:tc>
          <w:tcPr>
            <w:tcW w:w="4565" w:type="dxa"/>
            <w:tcBorders>
              <w:bottom w:val="nil"/>
              <w:right w:val="nil"/>
            </w:tcBorders>
          </w:tcPr>
          <w:p w:rsidR="00E34618" w:rsidRPr="00932260" w:rsidRDefault="00E34618" w:rsidP="0024316E">
            <w:pPr>
              <w:spacing w:line="240" w:lineRule="auto"/>
              <w:rPr>
                <w:b w:val="0"/>
              </w:rPr>
            </w:pPr>
            <w:r w:rsidRPr="00932260">
              <w:rPr>
                <w:b w:val="0"/>
              </w:rPr>
              <w:t>Judge of the State Bar Court</w:t>
            </w:r>
          </w:p>
        </w:tc>
      </w:tr>
    </w:tbl>
    <w:p w:rsidR="00E34618" w:rsidRPr="00932260" w:rsidRDefault="00E34618" w:rsidP="00016A21">
      <w:pPr>
        <w:rPr>
          <w:b w:val="0"/>
        </w:rPr>
      </w:pPr>
    </w:p>
    <w:sectPr w:rsidR="00E34618" w:rsidRPr="00932260"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DB" w:rsidRDefault="001C56DB" w:rsidP="00022A8B">
      <w:r>
        <w:separator/>
      </w:r>
    </w:p>
  </w:endnote>
  <w:endnote w:type="continuationSeparator" w:id="0">
    <w:p w:rsidR="001C56DB" w:rsidRDefault="001C56DB" w:rsidP="0002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E3" w:rsidRDefault="00A3091C" w:rsidP="00022A8B">
    <w:pPr>
      <w:pStyle w:val="Footer"/>
      <w:rPr>
        <w:rStyle w:val="PageNumber"/>
      </w:rPr>
    </w:pPr>
    <w:r>
      <w:rPr>
        <w:rStyle w:val="PageNumber"/>
      </w:rPr>
      <w:fldChar w:fldCharType="begin"/>
    </w:r>
    <w:r w:rsidR="00B62CE3">
      <w:rPr>
        <w:rStyle w:val="PageNumber"/>
      </w:rPr>
      <w:instrText xml:space="preserve">PAGE  </w:instrText>
    </w:r>
    <w:r>
      <w:rPr>
        <w:rStyle w:val="PageNumber"/>
      </w:rPr>
      <w:fldChar w:fldCharType="end"/>
    </w:r>
  </w:p>
  <w:p w:rsidR="00B62CE3" w:rsidRDefault="00B62CE3" w:rsidP="00022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E3" w:rsidRPr="00F96746" w:rsidRDefault="00A3091C" w:rsidP="00DE5726">
    <w:pPr>
      <w:pStyle w:val="Footer"/>
      <w:jc w:val="center"/>
      <w:rPr>
        <w:rStyle w:val="PageNumber"/>
        <w:b w:val="0"/>
      </w:rPr>
    </w:pPr>
    <w:r w:rsidRPr="00F96746">
      <w:rPr>
        <w:rStyle w:val="PageNumber"/>
        <w:b w:val="0"/>
      </w:rPr>
      <w:fldChar w:fldCharType="begin"/>
    </w:r>
    <w:r w:rsidR="00B62CE3" w:rsidRPr="00F96746">
      <w:rPr>
        <w:rStyle w:val="PageNumber"/>
        <w:b w:val="0"/>
      </w:rPr>
      <w:instrText xml:space="preserve">PAGE  </w:instrText>
    </w:r>
    <w:r w:rsidRPr="00F96746">
      <w:rPr>
        <w:rStyle w:val="PageNumber"/>
        <w:b w:val="0"/>
      </w:rPr>
      <w:fldChar w:fldCharType="separate"/>
    </w:r>
    <w:r w:rsidR="000D0D8C">
      <w:rPr>
        <w:rStyle w:val="PageNumber"/>
        <w:b w:val="0"/>
        <w:noProof/>
      </w:rPr>
      <w:t>- 13 -</w:t>
    </w:r>
    <w:r w:rsidRPr="00F96746">
      <w:rPr>
        <w:rStyle w:val="PageNumber"/>
        <w:b w:val="0"/>
      </w:rPr>
      <w:fldChar w:fldCharType="end"/>
    </w:r>
  </w:p>
  <w:p w:rsidR="00B62CE3" w:rsidRDefault="00B62CE3" w:rsidP="00022A8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E3" w:rsidRDefault="00B62CE3" w:rsidP="00022A8B">
    <w:pPr>
      <w:pStyle w:val="Footer"/>
      <w:rPr>
        <w:rStyle w:val="PageNumber"/>
      </w:rPr>
    </w:pPr>
  </w:p>
  <w:p w:rsidR="00B62CE3" w:rsidRDefault="00B62CE3" w:rsidP="00022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DB" w:rsidRDefault="001C56DB" w:rsidP="00022A8B">
      <w:r>
        <w:separator/>
      </w:r>
    </w:p>
  </w:footnote>
  <w:footnote w:type="continuationSeparator" w:id="0">
    <w:p w:rsidR="001C56DB" w:rsidRDefault="001C56DB" w:rsidP="00022A8B">
      <w:r>
        <w:continuationSeparator/>
      </w:r>
    </w:p>
  </w:footnote>
  <w:footnote w:id="1">
    <w:p w:rsidR="00B62CE3" w:rsidRPr="00F66EAF" w:rsidRDefault="00B62CE3" w:rsidP="00374EA9">
      <w:pPr>
        <w:pStyle w:val="FootnoteText"/>
        <w:spacing w:line="240" w:lineRule="auto"/>
        <w:rPr>
          <w:b w:val="0"/>
        </w:rPr>
      </w:pPr>
      <w:r w:rsidRPr="00F66EAF">
        <w:rPr>
          <w:rStyle w:val="FootnoteReference"/>
          <w:b w:val="0"/>
        </w:rPr>
        <w:footnoteRef/>
      </w:r>
      <w:r w:rsidRPr="00F66EAF">
        <w:rPr>
          <w:b w:val="0"/>
        </w:rPr>
        <w:t xml:space="preserve"> </w:t>
      </w:r>
      <w:r>
        <w:rPr>
          <w:b w:val="0"/>
        </w:rPr>
        <w:t xml:space="preserve">Case nos. </w:t>
      </w:r>
      <w:r w:rsidRPr="00022A8B">
        <w:rPr>
          <w:b w:val="0"/>
        </w:rPr>
        <w:t>08-O-13116</w:t>
      </w:r>
      <w:r>
        <w:rPr>
          <w:b w:val="0"/>
        </w:rPr>
        <w:t xml:space="preserve"> and </w:t>
      </w:r>
      <w:r w:rsidRPr="00022A8B">
        <w:rPr>
          <w:b w:val="0"/>
        </w:rPr>
        <w:t>08-O-11670</w:t>
      </w:r>
      <w:r>
        <w:rPr>
          <w:b w:val="0"/>
        </w:rPr>
        <w:t xml:space="preserve"> were consolidated in December 2009.</w:t>
      </w:r>
    </w:p>
  </w:footnote>
  <w:footnote w:id="2">
    <w:p w:rsidR="00B62CE3" w:rsidRPr="0031323E" w:rsidRDefault="00B62CE3" w:rsidP="00374EA9">
      <w:pPr>
        <w:pStyle w:val="FootnoteText"/>
        <w:spacing w:line="240" w:lineRule="auto"/>
        <w:rPr>
          <w:b w:val="0"/>
        </w:rPr>
      </w:pPr>
      <w:r w:rsidRPr="0031323E">
        <w:rPr>
          <w:rStyle w:val="FootnoteReference"/>
          <w:b w:val="0"/>
        </w:rPr>
        <w:footnoteRef/>
      </w:r>
      <w:r w:rsidRPr="0031323E">
        <w:rPr>
          <w:b w:val="0"/>
        </w:rPr>
        <w:t xml:space="preserve"> All further references </w:t>
      </w:r>
      <w:r w:rsidRPr="0031323E">
        <w:rPr>
          <w:b w:val="0"/>
          <w:lang w:val="en-CA"/>
        </w:rPr>
        <w:t>to rule(s) are to the current Rules of Professional Conduct of the State Bar of California, unless otherwise stated.</w:t>
      </w:r>
    </w:p>
  </w:footnote>
  <w:footnote w:id="3">
    <w:p w:rsidR="00B62CE3" w:rsidRPr="002B1640" w:rsidRDefault="00B62CE3" w:rsidP="00171DC3">
      <w:pPr>
        <w:pStyle w:val="FootnoteText"/>
        <w:rPr>
          <w:b w:val="0"/>
          <w:szCs w:val="24"/>
        </w:rPr>
      </w:pPr>
      <w:r w:rsidRPr="002B1640">
        <w:rPr>
          <w:rStyle w:val="FootnoteReference"/>
          <w:b w:val="0"/>
          <w:szCs w:val="24"/>
        </w:rPr>
        <w:footnoteRef/>
      </w:r>
      <w:r w:rsidRPr="002B1640">
        <w:rPr>
          <w:b w:val="0"/>
          <w:szCs w:val="24"/>
        </w:rPr>
        <w:t xml:space="preserve"> </w:t>
      </w:r>
      <w:r w:rsidRPr="002B1640">
        <w:rPr>
          <w:b w:val="0"/>
          <w:color w:val="000000"/>
          <w:szCs w:val="24"/>
        </w:rPr>
        <w:t>All further references to standard(s) are to this source.</w:t>
      </w:r>
    </w:p>
  </w:footnote>
  <w:footnote w:id="4">
    <w:p w:rsidR="00B62CE3" w:rsidRPr="005A7A11" w:rsidRDefault="00B62CE3" w:rsidP="007C2C8A">
      <w:pPr>
        <w:pStyle w:val="FootnoteText"/>
        <w:spacing w:line="240" w:lineRule="auto"/>
        <w:rPr>
          <w:b w:val="0"/>
        </w:rPr>
      </w:pPr>
      <w:r w:rsidRPr="005A7A11">
        <w:rPr>
          <w:rStyle w:val="FootnoteReference"/>
          <w:b w:val="0"/>
        </w:rPr>
        <w:footnoteRef/>
      </w:r>
      <w:r w:rsidRPr="005A7A11">
        <w:rPr>
          <w:b w:val="0"/>
        </w:rPr>
        <w:t xml:space="preserve"> Respondent </w:t>
      </w:r>
      <w:r>
        <w:rPr>
          <w:b w:val="0"/>
        </w:rPr>
        <w:t>testified that he is remorseful;</w:t>
      </w:r>
      <w:r w:rsidRPr="005A7A11">
        <w:rPr>
          <w:b w:val="0"/>
        </w:rPr>
        <w:t xml:space="preserve"> however, </w:t>
      </w:r>
      <w:r>
        <w:rPr>
          <w:b w:val="0"/>
        </w:rPr>
        <w:t>an expression of remorse, standing alone, is an insufficient basis for mitigation.  (See Std. 1.2(e)(vii).)</w:t>
      </w:r>
    </w:p>
  </w:footnote>
  <w:footnote w:id="5">
    <w:p w:rsidR="00B62CE3" w:rsidRPr="00421805" w:rsidRDefault="00B62CE3" w:rsidP="00421805">
      <w:pPr>
        <w:pStyle w:val="FootnoteText"/>
        <w:spacing w:line="240" w:lineRule="auto"/>
        <w:rPr>
          <w:b w:val="0"/>
        </w:rPr>
      </w:pPr>
      <w:r w:rsidRPr="00421805">
        <w:rPr>
          <w:rStyle w:val="FootnoteReference"/>
          <w:b w:val="0"/>
        </w:rPr>
        <w:footnoteRef/>
      </w:r>
      <w:r w:rsidRPr="00421805">
        <w:rPr>
          <w:b w:val="0"/>
        </w:rPr>
        <w:t xml:space="preserve"> </w:t>
      </w:r>
      <w:r>
        <w:rPr>
          <w:b w:val="0"/>
        </w:rPr>
        <w:t>This number was derived as follows.  In July 2007, respondent was required to keep $37,706.03 for Buttanda and Cerda in his CTA.  Without court authority, respondent paid out $12,000 to Buttanda.  On July 25, 2007, the court ordered that respondent pay Buttanda $7,900 of the sale proceeds and that the remaining proceeds be split between Buttanda and Cerda.  Out of the $7,900, Buttanda was required to pay a $1,000 equalization payment to Cerda and $2,500 to Cerda’s attorney.  This left a remainder of $4,400.  $37,706.03 - $7,900 = $29,806.03.  $29,806.03 / 2 = $14,903.02 (round up to the nearest penny).  Cerda’s share is $14,903.02 + $1,000 = $15,903.02, and Buttanda’s share is $14,903.02 - $12,000 + $4,400 = $7,303.02.</w:t>
      </w:r>
    </w:p>
  </w:footnote>
  <w:footnote w:id="6">
    <w:p w:rsidR="00B62CE3" w:rsidRPr="00334D09" w:rsidRDefault="00B62CE3" w:rsidP="00334D09">
      <w:pPr>
        <w:pStyle w:val="FootnoteText"/>
        <w:spacing w:line="240" w:lineRule="auto"/>
        <w:rPr>
          <w:b w:val="0"/>
        </w:rPr>
      </w:pPr>
      <w:r w:rsidRPr="00334D09">
        <w:rPr>
          <w:rStyle w:val="FootnoteReference"/>
          <w:b w:val="0"/>
        </w:rPr>
        <w:footnoteRef/>
      </w:r>
      <w:r>
        <w:rPr>
          <w:b w:val="0"/>
        </w:rPr>
        <w:t xml:space="preserve"> See Footnote Five</w:t>
      </w:r>
      <w:r w:rsidRPr="00334D09">
        <w:rPr>
          <w:b w:val="0"/>
        </w:rPr>
        <w:t>.</w:t>
      </w:r>
    </w:p>
  </w:footnote>
  <w:footnote w:id="7">
    <w:p w:rsidR="00B62CE3" w:rsidRPr="005419D6" w:rsidRDefault="00B62CE3" w:rsidP="00BA01D0">
      <w:pPr>
        <w:pStyle w:val="FootnoteText"/>
        <w:spacing w:line="240" w:lineRule="auto"/>
        <w:rPr>
          <w:b w:val="0"/>
        </w:rPr>
      </w:pPr>
      <w:r w:rsidRPr="005419D6">
        <w:rPr>
          <w:rStyle w:val="FootnoteReference"/>
          <w:b w:val="0"/>
        </w:rPr>
        <w:footnoteRef/>
      </w:r>
      <w:r w:rsidRPr="005419D6">
        <w:rPr>
          <w:b w:val="0"/>
        </w:rPr>
        <w:t xml:space="preserve"> Any restitution owed to the Client Security Fund is enforceable as provided in Business and Professions Code section 6140.5, subdivision (c) and (d)</w:t>
      </w:r>
    </w:p>
  </w:footnote>
  <w:footnote w:id="8">
    <w:p w:rsidR="00B62CE3" w:rsidRPr="005419D6" w:rsidRDefault="00B62CE3" w:rsidP="005419D6">
      <w:pPr>
        <w:pStyle w:val="FootnoteText"/>
        <w:spacing w:line="240" w:lineRule="auto"/>
        <w:rPr>
          <w:b w:val="0"/>
        </w:rPr>
      </w:pPr>
      <w:r w:rsidRPr="005419D6">
        <w:rPr>
          <w:rStyle w:val="FootnoteReference"/>
          <w:b w:val="0"/>
        </w:rPr>
        <w:footnoteRef/>
      </w:r>
      <w:r w:rsidRPr="005419D6">
        <w:rPr>
          <w:b w:val="0"/>
        </w:rPr>
        <w:t xml:space="preserve"> Respondent is required to file a rule 9.20(c) affidavit even if he has no clients to notify on the date the Supreme Court files its order in this proceeding.  (</w:t>
      </w:r>
      <w:r w:rsidRPr="005419D6">
        <w:rPr>
          <w:b w:val="0"/>
          <w:i/>
          <w:iCs/>
        </w:rPr>
        <w:t>Powers v. State Bar</w:t>
      </w:r>
      <w:r w:rsidRPr="005419D6">
        <w:rPr>
          <w:b w:val="0"/>
        </w:rPr>
        <w:t xml:space="preserve"> (1988) 44 Cal.3d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E34618"/>
    <w:rsid w:val="00016A21"/>
    <w:rsid w:val="00022A8B"/>
    <w:rsid w:val="00064D4A"/>
    <w:rsid w:val="000A103A"/>
    <w:rsid w:val="000A7CF2"/>
    <w:rsid w:val="000B4A62"/>
    <w:rsid w:val="000B5B3B"/>
    <w:rsid w:val="000B7B4E"/>
    <w:rsid w:val="000D0D8C"/>
    <w:rsid w:val="0010181F"/>
    <w:rsid w:val="00111D0E"/>
    <w:rsid w:val="00117914"/>
    <w:rsid w:val="00123638"/>
    <w:rsid w:val="00123B2E"/>
    <w:rsid w:val="00131FF4"/>
    <w:rsid w:val="0014017E"/>
    <w:rsid w:val="00171DC3"/>
    <w:rsid w:val="00173716"/>
    <w:rsid w:val="00176364"/>
    <w:rsid w:val="00177D60"/>
    <w:rsid w:val="00180077"/>
    <w:rsid w:val="001900CA"/>
    <w:rsid w:val="001B4678"/>
    <w:rsid w:val="001C56DB"/>
    <w:rsid w:val="001D0F3B"/>
    <w:rsid w:val="001D17FE"/>
    <w:rsid w:val="001D380A"/>
    <w:rsid w:val="001F6ED6"/>
    <w:rsid w:val="00200B09"/>
    <w:rsid w:val="0020478D"/>
    <w:rsid w:val="002135DC"/>
    <w:rsid w:val="00235256"/>
    <w:rsid w:val="0024316E"/>
    <w:rsid w:val="00276C9C"/>
    <w:rsid w:val="002B1640"/>
    <w:rsid w:val="002B6269"/>
    <w:rsid w:val="002C0AFE"/>
    <w:rsid w:val="002D6328"/>
    <w:rsid w:val="00302FCB"/>
    <w:rsid w:val="00307EF4"/>
    <w:rsid w:val="0031323E"/>
    <w:rsid w:val="00316C9A"/>
    <w:rsid w:val="00334D09"/>
    <w:rsid w:val="00342D5D"/>
    <w:rsid w:val="00347A40"/>
    <w:rsid w:val="0037293C"/>
    <w:rsid w:val="00374EA9"/>
    <w:rsid w:val="00392E49"/>
    <w:rsid w:val="003A4211"/>
    <w:rsid w:val="003B44D5"/>
    <w:rsid w:val="003C3AC5"/>
    <w:rsid w:val="003D1A46"/>
    <w:rsid w:val="003D3B12"/>
    <w:rsid w:val="004023F2"/>
    <w:rsid w:val="004155F8"/>
    <w:rsid w:val="00421805"/>
    <w:rsid w:val="00461AAA"/>
    <w:rsid w:val="0049051F"/>
    <w:rsid w:val="004978AB"/>
    <w:rsid w:val="004F4C2D"/>
    <w:rsid w:val="005014C9"/>
    <w:rsid w:val="0052372A"/>
    <w:rsid w:val="005359FB"/>
    <w:rsid w:val="005419D6"/>
    <w:rsid w:val="00577CA2"/>
    <w:rsid w:val="0059277E"/>
    <w:rsid w:val="005A7A11"/>
    <w:rsid w:val="005C0CA0"/>
    <w:rsid w:val="005D7697"/>
    <w:rsid w:val="005D7AF9"/>
    <w:rsid w:val="005E697A"/>
    <w:rsid w:val="00603C04"/>
    <w:rsid w:val="00612804"/>
    <w:rsid w:val="006223F0"/>
    <w:rsid w:val="00630455"/>
    <w:rsid w:val="00632FE5"/>
    <w:rsid w:val="00637020"/>
    <w:rsid w:val="00685FB3"/>
    <w:rsid w:val="006A151C"/>
    <w:rsid w:val="006B2514"/>
    <w:rsid w:val="006C4952"/>
    <w:rsid w:val="006E16ED"/>
    <w:rsid w:val="006E5D81"/>
    <w:rsid w:val="006F354D"/>
    <w:rsid w:val="00726CF2"/>
    <w:rsid w:val="00747FEE"/>
    <w:rsid w:val="0075464E"/>
    <w:rsid w:val="00763883"/>
    <w:rsid w:val="00773C2F"/>
    <w:rsid w:val="00782628"/>
    <w:rsid w:val="007A019E"/>
    <w:rsid w:val="007A73B1"/>
    <w:rsid w:val="007B1A09"/>
    <w:rsid w:val="007C2C8A"/>
    <w:rsid w:val="007C46DE"/>
    <w:rsid w:val="007F28A0"/>
    <w:rsid w:val="007F7FB4"/>
    <w:rsid w:val="008003B6"/>
    <w:rsid w:val="0080217E"/>
    <w:rsid w:val="00827237"/>
    <w:rsid w:val="008327F2"/>
    <w:rsid w:val="008348D5"/>
    <w:rsid w:val="00864EF2"/>
    <w:rsid w:val="008B44A6"/>
    <w:rsid w:val="008D05E8"/>
    <w:rsid w:val="008E4F8F"/>
    <w:rsid w:val="008E6254"/>
    <w:rsid w:val="00902A3D"/>
    <w:rsid w:val="009247E6"/>
    <w:rsid w:val="00924A52"/>
    <w:rsid w:val="00932260"/>
    <w:rsid w:val="009372E6"/>
    <w:rsid w:val="00947CBD"/>
    <w:rsid w:val="00956EF3"/>
    <w:rsid w:val="00962ED9"/>
    <w:rsid w:val="00967113"/>
    <w:rsid w:val="0098049F"/>
    <w:rsid w:val="009B256E"/>
    <w:rsid w:val="009D2E4B"/>
    <w:rsid w:val="009D3E76"/>
    <w:rsid w:val="00A00AB4"/>
    <w:rsid w:val="00A01AF8"/>
    <w:rsid w:val="00A15462"/>
    <w:rsid w:val="00A1650D"/>
    <w:rsid w:val="00A22F89"/>
    <w:rsid w:val="00A3091C"/>
    <w:rsid w:val="00A373C9"/>
    <w:rsid w:val="00A507F9"/>
    <w:rsid w:val="00A56C98"/>
    <w:rsid w:val="00A87F90"/>
    <w:rsid w:val="00AB2808"/>
    <w:rsid w:val="00AB5D17"/>
    <w:rsid w:val="00AC2E07"/>
    <w:rsid w:val="00AF51DC"/>
    <w:rsid w:val="00B12DE3"/>
    <w:rsid w:val="00B151E7"/>
    <w:rsid w:val="00B42F3F"/>
    <w:rsid w:val="00B521E4"/>
    <w:rsid w:val="00B62CE3"/>
    <w:rsid w:val="00B840EB"/>
    <w:rsid w:val="00B97C4D"/>
    <w:rsid w:val="00BA01D0"/>
    <w:rsid w:val="00BA4ACE"/>
    <w:rsid w:val="00BC33D9"/>
    <w:rsid w:val="00BD36C6"/>
    <w:rsid w:val="00BD6693"/>
    <w:rsid w:val="00BE12CC"/>
    <w:rsid w:val="00BE14A4"/>
    <w:rsid w:val="00BF72A9"/>
    <w:rsid w:val="00C22DD7"/>
    <w:rsid w:val="00C30EE9"/>
    <w:rsid w:val="00C43459"/>
    <w:rsid w:val="00C43FDF"/>
    <w:rsid w:val="00C47BB5"/>
    <w:rsid w:val="00C8600C"/>
    <w:rsid w:val="00CC6669"/>
    <w:rsid w:val="00CE1DE9"/>
    <w:rsid w:val="00CE3410"/>
    <w:rsid w:val="00CE3A1C"/>
    <w:rsid w:val="00CF37FD"/>
    <w:rsid w:val="00D25464"/>
    <w:rsid w:val="00D31E88"/>
    <w:rsid w:val="00D4364D"/>
    <w:rsid w:val="00D45C41"/>
    <w:rsid w:val="00D62320"/>
    <w:rsid w:val="00D639F1"/>
    <w:rsid w:val="00D733F1"/>
    <w:rsid w:val="00D84723"/>
    <w:rsid w:val="00D93275"/>
    <w:rsid w:val="00DB5B0F"/>
    <w:rsid w:val="00DD3F11"/>
    <w:rsid w:val="00DE5726"/>
    <w:rsid w:val="00DE69A3"/>
    <w:rsid w:val="00E239D3"/>
    <w:rsid w:val="00E32AEB"/>
    <w:rsid w:val="00E33FDA"/>
    <w:rsid w:val="00E34618"/>
    <w:rsid w:val="00E56B0F"/>
    <w:rsid w:val="00E730AD"/>
    <w:rsid w:val="00E80731"/>
    <w:rsid w:val="00EA1463"/>
    <w:rsid w:val="00EA5EA6"/>
    <w:rsid w:val="00EB60A5"/>
    <w:rsid w:val="00EC07E1"/>
    <w:rsid w:val="00EC7BA8"/>
    <w:rsid w:val="00ED0E04"/>
    <w:rsid w:val="00EE1BC1"/>
    <w:rsid w:val="00EE3AFC"/>
    <w:rsid w:val="00EE4570"/>
    <w:rsid w:val="00EF6E1F"/>
    <w:rsid w:val="00F17B84"/>
    <w:rsid w:val="00F40EB3"/>
    <w:rsid w:val="00F47BD2"/>
    <w:rsid w:val="00F643DA"/>
    <w:rsid w:val="00F66BF8"/>
    <w:rsid w:val="00F66EAF"/>
    <w:rsid w:val="00F81456"/>
    <w:rsid w:val="00F81B26"/>
    <w:rsid w:val="00F85196"/>
    <w:rsid w:val="00F8700C"/>
    <w:rsid w:val="00F93443"/>
    <w:rsid w:val="00F96746"/>
    <w:rsid w:val="00FB7CC4"/>
    <w:rsid w:val="00FC1810"/>
    <w:rsid w:val="00FC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8B"/>
    <w:pPr>
      <w:spacing w:line="480" w:lineRule="auto"/>
    </w:pPr>
    <w:rPr>
      <w:b/>
      <w:sz w:val="24"/>
      <w:szCs w:val="24"/>
    </w:rPr>
  </w:style>
  <w:style w:type="paragraph" w:styleId="Heading1">
    <w:name w:val="heading 1"/>
    <w:basedOn w:val="Normal"/>
    <w:next w:val="Normal"/>
    <w:qFormat/>
    <w:rsid w:val="006A151C"/>
    <w:pPr>
      <w:keepNext/>
      <w:jc w:val="center"/>
      <w:outlineLvl w:val="0"/>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151C"/>
    <w:pPr>
      <w:spacing w:before="28"/>
      <w:ind w:right="90"/>
    </w:pPr>
    <w:rPr>
      <w:sz w:val="19"/>
      <w:szCs w:val="19"/>
    </w:rPr>
  </w:style>
  <w:style w:type="paragraph" w:styleId="Header">
    <w:name w:val="header"/>
    <w:basedOn w:val="Normal"/>
    <w:link w:val="HeaderChar"/>
    <w:semiHidden/>
    <w:rsid w:val="006A151C"/>
    <w:pPr>
      <w:tabs>
        <w:tab w:val="center" w:pos="4320"/>
        <w:tab w:val="right" w:pos="8640"/>
      </w:tabs>
    </w:pPr>
  </w:style>
  <w:style w:type="paragraph" w:styleId="Footer">
    <w:name w:val="footer"/>
    <w:basedOn w:val="Normal"/>
    <w:semiHidden/>
    <w:rsid w:val="006A151C"/>
    <w:pPr>
      <w:tabs>
        <w:tab w:val="center" w:pos="4320"/>
        <w:tab w:val="right" w:pos="8640"/>
      </w:tabs>
    </w:pPr>
  </w:style>
  <w:style w:type="character" w:styleId="PageNumber">
    <w:name w:val="page number"/>
    <w:basedOn w:val="DefaultParagraphFont"/>
    <w:semiHidden/>
    <w:rsid w:val="006A151C"/>
  </w:style>
  <w:style w:type="paragraph" w:styleId="FootnoteText">
    <w:name w:val="footnote text"/>
    <w:basedOn w:val="Normal"/>
    <w:link w:val="FootnoteTextChar"/>
    <w:semiHidden/>
    <w:rsid w:val="006A151C"/>
    <w:pPr>
      <w:ind w:firstLine="720"/>
    </w:pPr>
    <w:rPr>
      <w:szCs w:val="20"/>
    </w:rPr>
  </w:style>
  <w:style w:type="character" w:styleId="FootnoteReference">
    <w:name w:val="footnote reference"/>
    <w:basedOn w:val="DefaultParagraphFont"/>
    <w:uiPriority w:val="99"/>
    <w:rsid w:val="006A151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E34618"/>
    <w:rPr>
      <w:sz w:val="24"/>
      <w:szCs w:val="24"/>
    </w:rPr>
  </w:style>
  <w:style w:type="character" w:customStyle="1" w:styleId="FootnoteTextChar">
    <w:name w:val="Footnote Text Char"/>
    <w:basedOn w:val="DefaultParagraphFont"/>
    <w:link w:val="FootnoteText"/>
    <w:semiHidden/>
    <w:rsid w:val="00E34618"/>
    <w:rPr>
      <w:sz w:val="24"/>
    </w:rPr>
  </w:style>
  <w:style w:type="paragraph" w:customStyle="1" w:styleId="Level1">
    <w:name w:val="Level 1"/>
    <w:basedOn w:val="Normal"/>
    <w:uiPriority w:val="99"/>
    <w:rsid w:val="00E34618"/>
    <w:pPr>
      <w:widowControl w:val="0"/>
      <w:numPr>
        <w:numId w:val="1"/>
      </w:numPr>
      <w:autoSpaceDE w:val="0"/>
      <w:autoSpaceDN w:val="0"/>
      <w:adjustRightInd w:val="0"/>
      <w:ind w:left="720" w:hanging="720"/>
      <w:outlineLvl w:val="0"/>
    </w:pPr>
  </w:style>
  <w:style w:type="table" w:styleId="TableGrid">
    <w:name w:val="Table Grid"/>
    <w:basedOn w:val="TableNormal"/>
    <w:uiPriority w:val="59"/>
    <w:rsid w:val="00D3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nr\Desktop\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CD5C-9DE6-4CB9-A55A-F3FD193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13</Pages>
  <Words>3110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2010-11-24T23:58:00Z</cp:lastPrinted>
  <dcterms:created xsi:type="dcterms:W3CDTF">2010-12-01T19:46:00Z</dcterms:created>
  <dcterms:modified xsi:type="dcterms:W3CDTF">2010-12-01T19:46:00Z</dcterms:modified>
</cp:coreProperties>
</file>