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676" w:rsidRDefault="00712676">
      <w:pPr>
        <w:pStyle w:val="Footnote"/>
        <w:rPr>
          <w:rFonts w:cs="Times New Roman"/>
        </w:rPr>
      </w:pPr>
      <w:r>
        <w:rPr>
          <w:rFonts w:cs="Times New Roman"/>
        </w:rPr>
        <w:t>PUBLIC MATTER – NOT DESIGNATED FOR PUBLICATION</w:t>
      </w:r>
    </w:p>
    <w:p w:rsidR="00712676" w:rsidRDefault="00712676">
      <w:pPr>
        <w:pStyle w:val="Footnote"/>
        <w:rPr>
          <w:rFonts w:cs="Times New Roman"/>
        </w:rPr>
      </w:pPr>
    </w:p>
    <w:p w:rsidR="00712676" w:rsidRPr="00E72386" w:rsidRDefault="00E72386">
      <w:pPr>
        <w:rPr>
          <w:rFonts w:cs="Times New Roman"/>
          <w:b/>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b/>
        </w:rPr>
        <w:t>Filed October 6, 2010</w:t>
      </w:r>
    </w:p>
    <w:p w:rsidR="00712676" w:rsidRDefault="00712676">
      <w:pPr>
        <w:rPr>
          <w:rFonts w:cs="Times New Roman"/>
        </w:rPr>
      </w:pPr>
    </w:p>
    <w:p w:rsidR="00712676" w:rsidRDefault="00712676">
      <w:pPr>
        <w:spacing w:line="240" w:lineRule="auto"/>
        <w:jc w:val="center"/>
        <w:rPr>
          <w:rFonts w:cs="Times New Roman"/>
          <w:b/>
          <w:bCs/>
        </w:rPr>
      </w:pPr>
      <w:r>
        <w:rPr>
          <w:rFonts w:cs="Times New Roman"/>
          <w:b/>
          <w:bCs/>
        </w:rPr>
        <w:t>REVIEW DEPARTMENT OF THE STATE BAR COURT</w:t>
      </w:r>
    </w:p>
    <w:p w:rsidR="00712676" w:rsidRDefault="00712676">
      <w:pPr>
        <w:spacing w:line="240" w:lineRule="auto"/>
        <w:rPr>
          <w:rFonts w:cs="Times New Roman"/>
          <w:b/>
          <w:bCs/>
        </w:rPr>
      </w:pPr>
    </w:p>
    <w:p w:rsidR="00712676" w:rsidRDefault="00712676">
      <w:pPr>
        <w:spacing w:line="240" w:lineRule="auto"/>
        <w:rPr>
          <w:rFonts w:cs="Times New Roman"/>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90"/>
        <w:gridCol w:w="916"/>
        <w:gridCol w:w="3780"/>
      </w:tblGrid>
      <w:tr w:rsidR="00712676">
        <w:tc>
          <w:tcPr>
            <w:tcW w:w="4590" w:type="dxa"/>
            <w:tcBorders>
              <w:top w:val="nil"/>
              <w:left w:val="nil"/>
              <w:right w:val="nil"/>
            </w:tcBorders>
            <w:tcMar>
              <w:left w:w="0" w:type="dxa"/>
              <w:right w:w="0" w:type="dxa"/>
            </w:tcMar>
          </w:tcPr>
          <w:p w:rsidR="00712676" w:rsidRDefault="00712676">
            <w:pPr>
              <w:spacing w:line="240" w:lineRule="auto"/>
              <w:rPr>
                <w:rFonts w:cs="Times New Roman"/>
              </w:rPr>
            </w:pPr>
            <w:r>
              <w:rPr>
                <w:rFonts w:cs="Times New Roman"/>
              </w:rPr>
              <w:t>In the Matter of</w:t>
            </w:r>
          </w:p>
          <w:p w:rsidR="00712676" w:rsidRDefault="00712676">
            <w:pPr>
              <w:spacing w:line="240" w:lineRule="auto"/>
              <w:rPr>
                <w:rFonts w:cs="Times New Roman"/>
              </w:rPr>
            </w:pPr>
          </w:p>
          <w:p w:rsidR="00712676" w:rsidRDefault="00712676">
            <w:pPr>
              <w:spacing w:line="240" w:lineRule="auto"/>
              <w:rPr>
                <w:rFonts w:cs="Times New Roman"/>
                <w:b/>
                <w:bCs/>
              </w:rPr>
            </w:pPr>
            <w:bookmarkStart w:id="0" w:name="Respondent"/>
            <w:bookmarkEnd w:id="0"/>
            <w:r>
              <w:rPr>
                <w:rFonts w:cs="Times New Roman"/>
                <w:b/>
                <w:bCs/>
              </w:rPr>
              <w:t>DONALD MARTIN WANLAND, JR.,</w:t>
            </w:r>
          </w:p>
          <w:p w:rsidR="00712676" w:rsidRDefault="00712676">
            <w:pPr>
              <w:spacing w:line="240" w:lineRule="auto"/>
              <w:rPr>
                <w:rFonts w:cs="Times New Roman"/>
              </w:rPr>
            </w:pPr>
          </w:p>
          <w:p w:rsidR="00712676" w:rsidRDefault="00712676">
            <w:pPr>
              <w:spacing w:line="240" w:lineRule="auto"/>
              <w:rPr>
                <w:rFonts w:cs="Times New Roman"/>
              </w:rPr>
            </w:pPr>
            <w:bookmarkStart w:id="1" w:name="type"/>
            <w:bookmarkEnd w:id="1"/>
            <w:r>
              <w:rPr>
                <w:rFonts w:cs="Times New Roman"/>
              </w:rPr>
              <w:t>A Member of the State Bar.</w:t>
            </w:r>
          </w:p>
          <w:p w:rsidR="00712676" w:rsidRDefault="00712676">
            <w:pPr>
              <w:spacing w:line="240" w:lineRule="auto"/>
              <w:rPr>
                <w:rFonts w:cs="Times New Roman"/>
              </w:rPr>
            </w:pPr>
          </w:p>
        </w:tc>
        <w:tc>
          <w:tcPr>
            <w:tcW w:w="916" w:type="dxa"/>
            <w:tcBorders>
              <w:top w:val="nil"/>
              <w:left w:val="nil"/>
              <w:bottom w:val="nil"/>
              <w:right w:val="nil"/>
            </w:tcBorders>
            <w:tcMar>
              <w:left w:w="0" w:type="dxa"/>
              <w:right w:w="0" w:type="dxa"/>
            </w:tcMar>
          </w:tcPr>
          <w:p w:rsidR="00712676" w:rsidRDefault="00712676">
            <w:pPr>
              <w:spacing w:line="240" w:lineRule="auto"/>
              <w:rPr>
                <w:rFonts w:cs="Times New Roman"/>
                <w:b/>
                <w:bCs/>
              </w:rPr>
            </w:pPr>
            <w:r>
              <w:rPr>
                <w:rFonts w:cs="Times New Roman"/>
                <w:b/>
                <w:bCs/>
              </w:rPr>
              <w:t>)</w:t>
            </w:r>
          </w:p>
          <w:p w:rsidR="00712676" w:rsidRDefault="00712676">
            <w:pPr>
              <w:spacing w:line="240" w:lineRule="auto"/>
              <w:rPr>
                <w:rFonts w:cs="Times New Roman"/>
                <w:b/>
                <w:bCs/>
              </w:rPr>
            </w:pPr>
            <w:r>
              <w:rPr>
                <w:rFonts w:cs="Times New Roman"/>
                <w:b/>
                <w:bCs/>
              </w:rPr>
              <w:t>)</w:t>
            </w:r>
            <w:r>
              <w:rPr>
                <w:rFonts w:cs="Times New Roman"/>
                <w:b/>
                <w:bCs/>
              </w:rPr>
              <w:br/>
              <w:t>)</w:t>
            </w:r>
            <w:r>
              <w:rPr>
                <w:rFonts w:cs="Times New Roman"/>
                <w:b/>
                <w:bCs/>
              </w:rPr>
              <w:br/>
              <w:t>)</w:t>
            </w:r>
            <w:r>
              <w:rPr>
                <w:rFonts w:cs="Times New Roman"/>
                <w:b/>
                <w:bCs/>
              </w:rPr>
              <w:br/>
              <w:t>)</w:t>
            </w:r>
            <w:r>
              <w:rPr>
                <w:rFonts w:cs="Times New Roman"/>
                <w:b/>
                <w:bCs/>
              </w:rPr>
              <w:br/>
              <w:t>)</w:t>
            </w:r>
          </w:p>
        </w:tc>
        <w:tc>
          <w:tcPr>
            <w:tcW w:w="3780" w:type="dxa"/>
            <w:tcBorders>
              <w:top w:val="nil"/>
              <w:left w:val="nil"/>
              <w:bottom w:val="nil"/>
              <w:right w:val="nil"/>
            </w:tcBorders>
          </w:tcPr>
          <w:p w:rsidR="00712676" w:rsidRDefault="00712676">
            <w:pPr>
              <w:spacing w:line="240" w:lineRule="auto"/>
              <w:rPr>
                <w:rFonts w:cs="Times New Roman"/>
                <w:b/>
                <w:bCs/>
              </w:rPr>
            </w:pPr>
            <w:r>
              <w:rPr>
                <w:rFonts w:cs="Times New Roman"/>
              </w:rPr>
              <w:t>No</w:t>
            </w:r>
            <w:r>
              <w:rPr>
                <w:rFonts w:cs="Times New Roman"/>
                <w:b/>
                <w:bCs/>
              </w:rPr>
              <w:t xml:space="preserve">. </w:t>
            </w:r>
            <w:bookmarkStart w:id="2" w:name="caseno"/>
            <w:bookmarkEnd w:id="2"/>
            <w:r>
              <w:rPr>
                <w:rFonts w:cs="Times New Roman"/>
                <w:b/>
                <w:bCs/>
              </w:rPr>
              <w:t>08-O-13238</w:t>
            </w:r>
          </w:p>
          <w:p w:rsidR="00712676" w:rsidRDefault="00712676">
            <w:pPr>
              <w:spacing w:line="240" w:lineRule="auto"/>
              <w:rPr>
                <w:rFonts w:cs="Times New Roman"/>
              </w:rPr>
            </w:pPr>
          </w:p>
          <w:p w:rsidR="00712676" w:rsidRDefault="00712676">
            <w:pPr>
              <w:spacing w:line="240" w:lineRule="auto"/>
              <w:rPr>
                <w:rFonts w:cs="Times New Roman"/>
                <w:b/>
                <w:bCs/>
              </w:rPr>
            </w:pPr>
            <w:bookmarkStart w:id="3" w:name="title"/>
            <w:bookmarkEnd w:id="3"/>
            <w:r>
              <w:rPr>
                <w:rFonts w:cs="Times New Roman"/>
                <w:b/>
                <w:bCs/>
              </w:rPr>
              <w:t>OPINION ON REVIEW</w:t>
            </w:r>
          </w:p>
        </w:tc>
      </w:tr>
    </w:tbl>
    <w:p w:rsidR="00712676" w:rsidRDefault="00712676">
      <w:pPr>
        <w:pStyle w:val="ListParagraph"/>
        <w:spacing w:line="240" w:lineRule="auto"/>
        <w:ind w:left="0"/>
        <w:jc w:val="center"/>
        <w:rPr>
          <w:rFonts w:cs="Times New Roman"/>
          <w:b/>
          <w:bCs/>
        </w:rPr>
      </w:pPr>
    </w:p>
    <w:p w:rsidR="00712676" w:rsidRDefault="00712676">
      <w:pPr>
        <w:pStyle w:val="ListParagraph"/>
        <w:ind w:left="0"/>
        <w:jc w:val="center"/>
        <w:rPr>
          <w:rFonts w:cs="Times New Roman"/>
          <w:b/>
          <w:bCs/>
        </w:rPr>
      </w:pPr>
      <w:r>
        <w:rPr>
          <w:rFonts w:cs="Times New Roman"/>
          <w:b/>
          <w:bCs/>
        </w:rPr>
        <w:t>I. STATEMENT OF THE CASE</w:t>
      </w:r>
    </w:p>
    <w:p w:rsidR="00712676" w:rsidRDefault="00712676">
      <w:pPr>
        <w:rPr>
          <w:rFonts w:cs="Times New Roman"/>
        </w:rPr>
      </w:pPr>
      <w:r>
        <w:rPr>
          <w:rFonts w:cs="Times New Roman"/>
        </w:rPr>
        <w:tab/>
        <w:t>Donald Martin Wanland, Jr. and the State Bar’s Office of Probation (Probation) failed to perform their respective professional duties.  Wanland stipulated to disciplinary probation terms in 2002, but failed to timely comply with them.  Probation did not properly monitor Wanland’s compliance and ignored his late filings.  As a result, the Office of the Chief Trial Counsel (State Bar) did not file disciplinary charges until 18 months after Wanland had completed his five-year probation period.</w:t>
      </w:r>
    </w:p>
    <w:p w:rsidR="00712676" w:rsidRDefault="00712676">
      <w:pPr>
        <w:rPr>
          <w:rFonts w:cs="Times New Roman"/>
        </w:rPr>
      </w:pPr>
      <w:r>
        <w:rPr>
          <w:rFonts w:cs="Times New Roman"/>
        </w:rPr>
        <w:tab/>
        <w:t>The hearing judge concluded that Wanland violated his probation terms and recommended a 45-day actual suspension subject to two years</w:t>
      </w:r>
      <w:r w:rsidR="00413B78">
        <w:rPr>
          <w:rFonts w:cs="Times New Roman"/>
        </w:rPr>
        <w:t>’</w:t>
      </w:r>
      <w:r>
        <w:rPr>
          <w:rFonts w:cs="Times New Roman"/>
        </w:rPr>
        <w:t xml:space="preserve"> probation.  In choosing an actual suspension, the hearing judge found aggravation in Wanland’s prior discipline record, multiple acts of wrongdoing and uncharged misconduct.  The hearing judge also assigned mitigation credit because Wanland completed each probation requirement, albeit late, and the State Bar caused prejudice to Wanland </w:t>
      </w:r>
      <w:r w:rsidR="00413B78">
        <w:rPr>
          <w:rFonts w:cs="Times New Roman"/>
        </w:rPr>
        <w:t>by</w:t>
      </w:r>
      <w:r>
        <w:rPr>
          <w:rFonts w:cs="Times New Roman"/>
        </w:rPr>
        <w:t xml:space="preserve"> not promptly filing the case.  Wanland seeks review.      </w:t>
      </w:r>
    </w:p>
    <w:p w:rsidR="00712676" w:rsidRDefault="00712676">
      <w:pPr>
        <w:jc w:val="center"/>
        <w:rPr>
          <w:rFonts w:cs="Times New Roman"/>
          <w:b/>
          <w:bCs/>
        </w:rPr>
      </w:pPr>
      <w:r>
        <w:rPr>
          <w:rFonts w:cs="Times New Roman"/>
          <w:b/>
          <w:bCs/>
        </w:rPr>
        <w:t>II.  ISSUES</w:t>
      </w:r>
    </w:p>
    <w:p w:rsidR="0017074D" w:rsidRDefault="00D90C41" w:rsidP="0017074D">
      <w:pPr>
        <w:rPr>
          <w:rFonts w:cs="Times New Roman"/>
        </w:rPr>
      </w:pPr>
      <w:r>
        <w:rPr>
          <w:rFonts w:cs="Times New Roman"/>
        </w:rPr>
        <w:tab/>
      </w:r>
      <w:r w:rsidR="00712676">
        <w:rPr>
          <w:rFonts w:cs="Times New Roman"/>
        </w:rPr>
        <w:t xml:space="preserve">Wanland contends that he is not culpable of violating his probation, and any actual suspension is too harsh.  The State Bar did not seek review but </w:t>
      </w:r>
      <w:r w:rsidR="00F12072">
        <w:rPr>
          <w:rFonts w:cs="Times New Roman"/>
        </w:rPr>
        <w:t>requests</w:t>
      </w:r>
      <w:r w:rsidR="00712676">
        <w:rPr>
          <w:rFonts w:cs="Times New Roman"/>
        </w:rPr>
        <w:t xml:space="preserve"> that we find additional </w:t>
      </w:r>
      <w:r w:rsidR="00712676">
        <w:rPr>
          <w:rFonts w:cs="Times New Roman"/>
        </w:rPr>
        <w:lastRenderedPageBreak/>
        <w:t>culpability and aggravation</w:t>
      </w:r>
      <w:r w:rsidR="00E96DBF">
        <w:rPr>
          <w:rFonts w:cs="Times New Roman"/>
        </w:rPr>
        <w:t>,</w:t>
      </w:r>
      <w:r w:rsidR="00712676">
        <w:rPr>
          <w:rFonts w:cs="Times New Roman"/>
        </w:rPr>
        <w:t xml:space="preserve"> and</w:t>
      </w:r>
      <w:r w:rsidR="00E96DBF">
        <w:rPr>
          <w:rFonts w:cs="Times New Roman"/>
        </w:rPr>
        <w:t xml:space="preserve"> </w:t>
      </w:r>
      <w:r w:rsidR="00712676">
        <w:rPr>
          <w:rFonts w:cs="Times New Roman"/>
        </w:rPr>
        <w:t>recommend</w:t>
      </w:r>
      <w:r w:rsidR="00527A49">
        <w:rPr>
          <w:rFonts w:cs="Times New Roman"/>
        </w:rPr>
        <w:t>s</w:t>
      </w:r>
      <w:r w:rsidR="00712676">
        <w:rPr>
          <w:rFonts w:cs="Times New Roman"/>
        </w:rPr>
        <w:t xml:space="preserve"> a</w:t>
      </w:r>
      <w:r w:rsidR="00E96DBF">
        <w:rPr>
          <w:rFonts w:cs="Times New Roman"/>
        </w:rPr>
        <w:t>t least</w:t>
      </w:r>
      <w:r w:rsidR="00712676">
        <w:rPr>
          <w:rFonts w:cs="Times New Roman"/>
        </w:rPr>
        <w:t xml:space="preserve"> </w:t>
      </w:r>
      <w:r w:rsidR="00E96DBF">
        <w:rPr>
          <w:rFonts w:cs="Times New Roman"/>
        </w:rPr>
        <w:t xml:space="preserve">a </w:t>
      </w:r>
      <w:r w:rsidR="00712676">
        <w:rPr>
          <w:rFonts w:cs="Times New Roman"/>
        </w:rPr>
        <w:t xml:space="preserve">90-day actual suspension.  The issue before us is:  </w:t>
      </w:r>
      <w:r w:rsidR="00E96DBF">
        <w:rPr>
          <w:rFonts w:cs="Times New Roman"/>
        </w:rPr>
        <w:t>D</w:t>
      </w:r>
      <w:r w:rsidR="00712676">
        <w:rPr>
          <w:rFonts w:cs="Times New Roman"/>
        </w:rPr>
        <w:t xml:space="preserve">oes the State Bar’s delay in filing its Notice of Disciplinary </w:t>
      </w:r>
      <w:r w:rsidR="00413B78">
        <w:rPr>
          <w:rFonts w:cs="Times New Roman"/>
        </w:rPr>
        <w:t>Charges</w:t>
      </w:r>
      <w:r w:rsidR="00712676">
        <w:rPr>
          <w:rFonts w:cs="Times New Roman"/>
        </w:rPr>
        <w:t xml:space="preserve"> (NDC) sufficiently mitigate this case to justify a stayed suspension for Wanland’s violations of his 2002 probation?</w:t>
      </w:r>
    </w:p>
    <w:p w:rsidR="00712676" w:rsidRDefault="00712676">
      <w:pPr>
        <w:jc w:val="center"/>
        <w:rPr>
          <w:rFonts w:cs="Times New Roman"/>
          <w:b/>
          <w:bCs/>
        </w:rPr>
      </w:pPr>
      <w:r>
        <w:rPr>
          <w:rFonts w:cs="Times New Roman"/>
          <w:b/>
          <w:bCs/>
        </w:rPr>
        <w:t>III.  SUMMARY OF THE CASE</w:t>
      </w:r>
    </w:p>
    <w:p w:rsidR="00712676" w:rsidRDefault="00712676">
      <w:pPr>
        <w:ind w:firstLine="720"/>
        <w:rPr>
          <w:rFonts w:cs="Times New Roman"/>
        </w:rPr>
      </w:pPr>
      <w:r>
        <w:rPr>
          <w:rFonts w:cs="Times New Roman"/>
        </w:rPr>
        <w:t>Upon independent review of the record (Cal</w:t>
      </w:r>
      <w:r w:rsidR="00F14937">
        <w:rPr>
          <w:rFonts w:cs="Times New Roman"/>
        </w:rPr>
        <w:t>.</w:t>
      </w:r>
      <w:r>
        <w:rPr>
          <w:rFonts w:cs="Times New Roman"/>
        </w:rPr>
        <w:t xml:space="preserve"> Rules of Court, </w:t>
      </w:r>
      <w:r w:rsidR="00413B78">
        <w:rPr>
          <w:rFonts w:cs="Times New Roman"/>
        </w:rPr>
        <w:t>r</w:t>
      </w:r>
      <w:r>
        <w:rPr>
          <w:rFonts w:cs="Times New Roman"/>
        </w:rPr>
        <w:t xml:space="preserve">ule 9.12), we conclude that </w:t>
      </w:r>
      <w:r w:rsidR="00527A49">
        <w:rPr>
          <w:rFonts w:cs="Times New Roman"/>
        </w:rPr>
        <w:t xml:space="preserve">the State Bar’s delayed filing justifies a stayed suspension.  </w:t>
      </w:r>
      <w:r>
        <w:rPr>
          <w:rFonts w:cs="Times New Roman"/>
        </w:rPr>
        <w:t>Wanland did not timely comply with his probation terms</w:t>
      </w:r>
      <w:r w:rsidR="00E96DBF">
        <w:rPr>
          <w:rFonts w:cs="Times New Roman"/>
        </w:rPr>
        <w:t xml:space="preserve">, but </w:t>
      </w:r>
      <w:r w:rsidR="00621850">
        <w:rPr>
          <w:rFonts w:cs="Times New Roman"/>
        </w:rPr>
        <w:t xml:space="preserve">the </w:t>
      </w:r>
      <w:r>
        <w:rPr>
          <w:rFonts w:cs="Times New Roman"/>
        </w:rPr>
        <w:t xml:space="preserve">delayed filing </w:t>
      </w:r>
      <w:r w:rsidR="00527A49">
        <w:rPr>
          <w:rFonts w:cs="Times New Roman"/>
        </w:rPr>
        <w:t>of th</w:t>
      </w:r>
      <w:r w:rsidR="009F1238">
        <w:rPr>
          <w:rFonts w:cs="Times New Roman"/>
        </w:rPr>
        <w:t>e</w:t>
      </w:r>
      <w:r w:rsidR="00527A49">
        <w:rPr>
          <w:rFonts w:cs="Times New Roman"/>
        </w:rPr>
        <w:t xml:space="preserve"> disciplinary proceeding </w:t>
      </w:r>
      <w:r>
        <w:rPr>
          <w:rFonts w:cs="Times New Roman"/>
        </w:rPr>
        <w:t xml:space="preserve">significantly mitigates this case.  Imposing an actual suspension </w:t>
      </w:r>
      <w:r w:rsidR="00527A49">
        <w:rPr>
          <w:rFonts w:cs="Times New Roman"/>
        </w:rPr>
        <w:t xml:space="preserve">three years after Wanland satisfied all of his probation conditions </w:t>
      </w:r>
      <w:r>
        <w:rPr>
          <w:rFonts w:cs="Times New Roman"/>
        </w:rPr>
        <w:t xml:space="preserve">would be punitive and would not </w:t>
      </w:r>
      <w:r w:rsidR="00527A49">
        <w:rPr>
          <w:rFonts w:cs="Times New Roman"/>
        </w:rPr>
        <w:t xml:space="preserve">serve to </w:t>
      </w:r>
      <w:r>
        <w:rPr>
          <w:rFonts w:cs="Times New Roman"/>
        </w:rPr>
        <w:t>protect the public or the legal profession</w:t>
      </w:r>
      <w:r w:rsidR="00527A49">
        <w:rPr>
          <w:rFonts w:cs="Times New Roman"/>
        </w:rPr>
        <w:t>.</w:t>
      </w:r>
      <w:r>
        <w:rPr>
          <w:rFonts w:cs="Times New Roman"/>
        </w:rPr>
        <w:t xml:space="preserve">  We recommend a 90-day stayed suspension. </w:t>
      </w:r>
    </w:p>
    <w:p w:rsidR="00712676" w:rsidRDefault="00712676">
      <w:pPr>
        <w:numPr>
          <w:ilvl w:val="0"/>
          <w:numId w:val="17"/>
        </w:numPr>
        <w:jc w:val="center"/>
        <w:rPr>
          <w:rFonts w:cs="Times New Roman"/>
          <w:b/>
          <w:bCs/>
        </w:rPr>
      </w:pPr>
      <w:r>
        <w:rPr>
          <w:rFonts w:cs="Times New Roman"/>
          <w:b/>
          <w:bCs/>
        </w:rPr>
        <w:t>FINDINGS OF FACT</w:t>
      </w:r>
    </w:p>
    <w:p w:rsidR="00712676" w:rsidRDefault="00712676">
      <w:pPr>
        <w:rPr>
          <w:rFonts w:cs="Times New Roman"/>
        </w:rPr>
      </w:pPr>
      <w:r>
        <w:rPr>
          <w:rFonts w:cs="Times New Roman"/>
        </w:rPr>
        <w:tab/>
        <w:t>The following facts have been established by clear and convincing evidence.</w:t>
      </w:r>
      <w:r>
        <w:rPr>
          <w:rStyle w:val="FootnoteReference"/>
        </w:rPr>
        <w:footnoteReference w:id="2"/>
      </w:r>
      <w:r>
        <w:rPr>
          <w:rFonts w:cs="Times New Roman"/>
        </w:rPr>
        <w:t xml:space="preserve">  On   March 6, 2002, the Supreme Court ordered that Wanland serve a 30-day stayed suspension and a five-year probation for violating a bankruptcy court order to return a former client’s file.  The bankruptcy court ordered Wanland </w:t>
      </w:r>
      <w:r w:rsidR="00527A49">
        <w:rPr>
          <w:rFonts w:cs="Times New Roman"/>
        </w:rPr>
        <w:t xml:space="preserve">to </w:t>
      </w:r>
      <w:r>
        <w:rPr>
          <w:rFonts w:cs="Times New Roman"/>
        </w:rPr>
        <w:t>pay attorneys’ fees and a fine for each day that he failed to produce the fil</w:t>
      </w:r>
      <w:r w:rsidR="00722EFE">
        <w:rPr>
          <w:rFonts w:cs="Times New Roman"/>
        </w:rPr>
        <w:t>e, resulting in a total of $12,6</w:t>
      </w:r>
      <w:r>
        <w:rPr>
          <w:rFonts w:cs="Times New Roman"/>
        </w:rPr>
        <w:t xml:space="preserve">03 (the coercive sanction).  Later, the court fined him $13,699.12 for contempt (the contempt sanction) when he failed to pay the initial fine.  </w:t>
      </w:r>
    </w:p>
    <w:p w:rsidR="00712676" w:rsidRDefault="00712676">
      <w:pPr>
        <w:pStyle w:val="ListParagraph"/>
        <w:ind w:left="0"/>
        <w:rPr>
          <w:rFonts w:cs="Times New Roman"/>
        </w:rPr>
      </w:pPr>
      <w:r>
        <w:rPr>
          <w:rFonts w:cs="Times New Roman"/>
        </w:rPr>
        <w:tab/>
      </w:r>
      <w:r w:rsidR="00527A49">
        <w:rPr>
          <w:rFonts w:cs="Times New Roman"/>
        </w:rPr>
        <w:t xml:space="preserve">In these proceedings, </w:t>
      </w:r>
      <w:r>
        <w:rPr>
          <w:rFonts w:cs="Times New Roman"/>
        </w:rPr>
        <w:t xml:space="preserve">Wanland stipulated to probation conditions that included filing quarterly reports, successfully completing Ethics School by a specific date and paying restitution.  He agreed to the five-year probation so he could make </w:t>
      </w:r>
      <w:r w:rsidR="00621850">
        <w:rPr>
          <w:rFonts w:cs="Times New Roman"/>
        </w:rPr>
        <w:t xml:space="preserve">restitution </w:t>
      </w:r>
      <w:r>
        <w:rPr>
          <w:rFonts w:cs="Times New Roman"/>
        </w:rPr>
        <w:t>payments of $500 per month</w:t>
      </w:r>
      <w:r w:rsidR="00621850">
        <w:rPr>
          <w:rFonts w:cs="Times New Roman"/>
        </w:rPr>
        <w:t xml:space="preserve"> </w:t>
      </w:r>
      <w:r w:rsidR="00621850">
        <w:rPr>
          <w:rFonts w:cs="Times New Roman"/>
        </w:rPr>
        <w:lastRenderedPageBreak/>
        <w:t>each</w:t>
      </w:r>
      <w:r>
        <w:rPr>
          <w:rFonts w:cs="Times New Roman"/>
        </w:rPr>
        <w:t xml:space="preserve"> to the Internal Revenue Service (IRS) for the coercive sanction and to Wells Fargo Bank for the contempt sanction.  </w:t>
      </w:r>
    </w:p>
    <w:p w:rsidR="00712676" w:rsidRDefault="00712676">
      <w:pPr>
        <w:pStyle w:val="ListParagraph"/>
        <w:ind w:left="0" w:firstLine="720"/>
        <w:rPr>
          <w:rFonts w:cs="Times New Roman"/>
        </w:rPr>
      </w:pPr>
      <w:r>
        <w:rPr>
          <w:rFonts w:cs="Times New Roman"/>
        </w:rPr>
        <w:t xml:space="preserve">Lydia Dineros, Wanland’s probation deputy, regularly communicated with him during the probationary period.  </w:t>
      </w:r>
      <w:r w:rsidR="00413B78">
        <w:rPr>
          <w:rFonts w:cs="Times New Roman"/>
        </w:rPr>
        <w:t>She</w:t>
      </w:r>
      <w:r>
        <w:rPr>
          <w:rFonts w:cs="Times New Roman"/>
        </w:rPr>
        <w:t xml:space="preserve"> sent Wanland an initial letter explaining the probation requirements and warning that if he failed to timely comply</w:t>
      </w:r>
      <w:r w:rsidR="00413B78">
        <w:rPr>
          <w:rFonts w:cs="Times New Roman"/>
        </w:rPr>
        <w:t>,</w:t>
      </w:r>
      <w:r>
        <w:rPr>
          <w:rFonts w:cs="Times New Roman"/>
        </w:rPr>
        <w:t xml:space="preserve"> she would </w:t>
      </w:r>
      <w:r w:rsidR="00413B78">
        <w:rPr>
          <w:rFonts w:cs="Times New Roman"/>
        </w:rPr>
        <w:t>notify</w:t>
      </w:r>
      <w:r>
        <w:rPr>
          <w:rFonts w:cs="Times New Roman"/>
        </w:rPr>
        <w:t xml:space="preserve"> the State Bar.  Consequently, Wanland sent Dineros at least 50 written communications, including probation reports and copies of money orders as proof that he paid the IRS and Wells Fargo Bank.  He completed the restitution requirement in August 2004, having made 45 payments totaling $26,302.12 over two and a half years.  </w:t>
      </w:r>
    </w:p>
    <w:p w:rsidR="00413B78" w:rsidRDefault="00712676">
      <w:pPr>
        <w:pStyle w:val="ListParagraph"/>
        <w:ind w:left="0"/>
        <w:rPr>
          <w:rFonts w:cs="Times New Roman"/>
        </w:rPr>
      </w:pPr>
      <w:r>
        <w:rPr>
          <w:rFonts w:cs="Times New Roman"/>
        </w:rPr>
        <w:tab/>
        <w:t xml:space="preserve">But Wanland did not always timely perform his probation obligations.  He made several late restitution payments.  He filed his Ethics School certification two months late, mistakenly believing that he was not required to attend the course.  He submitted late quarterly reports, and usually only after Dineros called to remind him.  </w:t>
      </w:r>
      <w:r w:rsidR="0026410D">
        <w:rPr>
          <w:rFonts w:cs="Times New Roman"/>
        </w:rPr>
        <w:t xml:space="preserve">The late quarterly report filings are detailed below: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80"/>
        <w:gridCol w:w="3960"/>
      </w:tblGrid>
      <w:tr w:rsidR="00413B78" w:rsidTr="00D90C41">
        <w:trPr>
          <w:jc w:val="center"/>
        </w:trPr>
        <w:tc>
          <w:tcPr>
            <w:tcW w:w="2880" w:type="dxa"/>
          </w:tcPr>
          <w:p w:rsidR="00413B78" w:rsidRDefault="00413B78" w:rsidP="00D90C41">
            <w:pPr>
              <w:spacing w:line="240" w:lineRule="auto"/>
              <w:rPr>
                <w:rFonts w:cs="Times New Roman"/>
                <w:b/>
                <w:bCs/>
              </w:rPr>
            </w:pPr>
            <w:r>
              <w:rPr>
                <w:rFonts w:cs="Times New Roman"/>
                <w:b/>
                <w:bCs/>
              </w:rPr>
              <w:t>Date Due</w:t>
            </w:r>
          </w:p>
        </w:tc>
        <w:tc>
          <w:tcPr>
            <w:tcW w:w="3960" w:type="dxa"/>
          </w:tcPr>
          <w:p w:rsidR="00413B78" w:rsidRDefault="00413B78" w:rsidP="00D90C41">
            <w:pPr>
              <w:spacing w:line="240" w:lineRule="auto"/>
              <w:rPr>
                <w:rFonts w:cs="Times New Roman"/>
                <w:b/>
                <w:bCs/>
              </w:rPr>
            </w:pPr>
            <w:r>
              <w:rPr>
                <w:rFonts w:cs="Times New Roman"/>
                <w:b/>
                <w:bCs/>
              </w:rPr>
              <w:t>Date Filed</w:t>
            </w:r>
          </w:p>
        </w:tc>
      </w:tr>
      <w:tr w:rsidR="00413B78" w:rsidTr="00D90C41">
        <w:trPr>
          <w:jc w:val="center"/>
        </w:trPr>
        <w:tc>
          <w:tcPr>
            <w:tcW w:w="2880" w:type="dxa"/>
          </w:tcPr>
          <w:p w:rsidR="00413B78" w:rsidRDefault="00413B78" w:rsidP="00D90C41">
            <w:pPr>
              <w:spacing w:line="240" w:lineRule="auto"/>
              <w:rPr>
                <w:rFonts w:cs="Times New Roman"/>
              </w:rPr>
            </w:pPr>
            <w:r>
              <w:rPr>
                <w:rFonts w:cs="Times New Roman"/>
              </w:rPr>
              <w:t>Oct. 10, 2002</w:t>
            </w:r>
          </w:p>
        </w:tc>
        <w:tc>
          <w:tcPr>
            <w:tcW w:w="3960" w:type="dxa"/>
          </w:tcPr>
          <w:p w:rsidR="00413B78" w:rsidRDefault="00413B78" w:rsidP="00D90C41">
            <w:pPr>
              <w:spacing w:line="240" w:lineRule="auto"/>
              <w:rPr>
                <w:rFonts w:cs="Times New Roman"/>
              </w:rPr>
            </w:pPr>
            <w:r>
              <w:rPr>
                <w:rFonts w:cs="Times New Roman"/>
              </w:rPr>
              <w:t>Oct. 15, 2002     (5 days late)</w:t>
            </w:r>
          </w:p>
        </w:tc>
      </w:tr>
      <w:tr w:rsidR="00413B78" w:rsidTr="00D90C41">
        <w:trPr>
          <w:jc w:val="center"/>
        </w:trPr>
        <w:tc>
          <w:tcPr>
            <w:tcW w:w="2880" w:type="dxa"/>
          </w:tcPr>
          <w:p w:rsidR="00413B78" w:rsidRDefault="00413B78" w:rsidP="00D90C41">
            <w:pPr>
              <w:spacing w:line="240" w:lineRule="auto"/>
              <w:rPr>
                <w:rFonts w:cs="Times New Roman"/>
              </w:rPr>
            </w:pPr>
            <w:r>
              <w:rPr>
                <w:rFonts w:cs="Times New Roman"/>
              </w:rPr>
              <w:t>Jul. 10, 2003</w:t>
            </w:r>
          </w:p>
        </w:tc>
        <w:tc>
          <w:tcPr>
            <w:tcW w:w="3960" w:type="dxa"/>
          </w:tcPr>
          <w:p w:rsidR="00413B78" w:rsidRDefault="00413B78" w:rsidP="00D90C41">
            <w:pPr>
              <w:spacing w:line="240" w:lineRule="auto"/>
              <w:rPr>
                <w:rFonts w:cs="Times New Roman"/>
              </w:rPr>
            </w:pPr>
            <w:r>
              <w:rPr>
                <w:rFonts w:cs="Times New Roman"/>
              </w:rPr>
              <w:t>Jul. 14, 2003      (4 days late)</w:t>
            </w:r>
          </w:p>
        </w:tc>
      </w:tr>
      <w:tr w:rsidR="00413B78" w:rsidTr="00D90C41">
        <w:trPr>
          <w:jc w:val="center"/>
        </w:trPr>
        <w:tc>
          <w:tcPr>
            <w:tcW w:w="2880" w:type="dxa"/>
          </w:tcPr>
          <w:p w:rsidR="00413B78" w:rsidRDefault="00413B78" w:rsidP="00D90C41">
            <w:pPr>
              <w:spacing w:line="240" w:lineRule="auto"/>
              <w:rPr>
                <w:rFonts w:cs="Times New Roman"/>
              </w:rPr>
            </w:pPr>
            <w:r>
              <w:rPr>
                <w:rFonts w:cs="Times New Roman"/>
              </w:rPr>
              <w:t>Jan. 10, 2004</w:t>
            </w:r>
          </w:p>
        </w:tc>
        <w:tc>
          <w:tcPr>
            <w:tcW w:w="3960" w:type="dxa"/>
          </w:tcPr>
          <w:p w:rsidR="00413B78" w:rsidRDefault="00413B78" w:rsidP="00D90C41">
            <w:pPr>
              <w:spacing w:line="240" w:lineRule="auto"/>
              <w:rPr>
                <w:rFonts w:cs="Times New Roman"/>
              </w:rPr>
            </w:pPr>
            <w:r>
              <w:rPr>
                <w:rFonts w:cs="Times New Roman"/>
              </w:rPr>
              <w:t>Jan. 14, 2004     (4 days late)</w:t>
            </w:r>
          </w:p>
        </w:tc>
      </w:tr>
      <w:tr w:rsidR="00413B78" w:rsidTr="00D90C41">
        <w:trPr>
          <w:jc w:val="center"/>
        </w:trPr>
        <w:tc>
          <w:tcPr>
            <w:tcW w:w="2880" w:type="dxa"/>
          </w:tcPr>
          <w:p w:rsidR="00413B78" w:rsidRDefault="00413B78" w:rsidP="00D90C41">
            <w:pPr>
              <w:spacing w:line="240" w:lineRule="auto"/>
              <w:rPr>
                <w:rFonts w:cs="Times New Roman"/>
              </w:rPr>
            </w:pPr>
            <w:r>
              <w:rPr>
                <w:rFonts w:cs="Times New Roman"/>
              </w:rPr>
              <w:t>Apr. 10, 2004</w:t>
            </w:r>
          </w:p>
        </w:tc>
        <w:tc>
          <w:tcPr>
            <w:tcW w:w="3960" w:type="dxa"/>
          </w:tcPr>
          <w:p w:rsidR="00413B78" w:rsidRDefault="00413B78" w:rsidP="00D90C41">
            <w:pPr>
              <w:spacing w:line="240" w:lineRule="auto"/>
              <w:rPr>
                <w:rFonts w:cs="Times New Roman"/>
              </w:rPr>
            </w:pPr>
            <w:r>
              <w:rPr>
                <w:rFonts w:cs="Times New Roman"/>
              </w:rPr>
              <w:t>Apr. 21, 2004    (11 days late)</w:t>
            </w:r>
          </w:p>
        </w:tc>
      </w:tr>
      <w:tr w:rsidR="00413B78" w:rsidTr="00D90C41">
        <w:trPr>
          <w:jc w:val="center"/>
        </w:trPr>
        <w:tc>
          <w:tcPr>
            <w:tcW w:w="2880" w:type="dxa"/>
          </w:tcPr>
          <w:p w:rsidR="00413B78" w:rsidRDefault="00413B78" w:rsidP="00D90C41">
            <w:pPr>
              <w:spacing w:line="240" w:lineRule="auto"/>
              <w:rPr>
                <w:rFonts w:cs="Times New Roman"/>
              </w:rPr>
            </w:pPr>
            <w:r>
              <w:rPr>
                <w:rFonts w:cs="Times New Roman"/>
              </w:rPr>
              <w:t>Jul 10, 2004</w:t>
            </w:r>
          </w:p>
        </w:tc>
        <w:tc>
          <w:tcPr>
            <w:tcW w:w="3960" w:type="dxa"/>
          </w:tcPr>
          <w:p w:rsidR="00413B78" w:rsidRDefault="00413B78" w:rsidP="00D90C41">
            <w:pPr>
              <w:spacing w:line="240" w:lineRule="auto"/>
              <w:rPr>
                <w:rFonts w:cs="Times New Roman"/>
              </w:rPr>
            </w:pPr>
            <w:r>
              <w:rPr>
                <w:rFonts w:cs="Times New Roman"/>
              </w:rPr>
              <w:t>Aug. 5, 2004      (26 days late)</w:t>
            </w:r>
          </w:p>
        </w:tc>
      </w:tr>
      <w:tr w:rsidR="00413B78" w:rsidTr="00D90C41">
        <w:trPr>
          <w:jc w:val="center"/>
        </w:trPr>
        <w:tc>
          <w:tcPr>
            <w:tcW w:w="2880" w:type="dxa"/>
          </w:tcPr>
          <w:p w:rsidR="00413B78" w:rsidRDefault="00413B78" w:rsidP="00D90C41">
            <w:pPr>
              <w:spacing w:line="240" w:lineRule="auto"/>
              <w:rPr>
                <w:rFonts w:cs="Times New Roman"/>
              </w:rPr>
            </w:pPr>
            <w:r>
              <w:rPr>
                <w:rFonts w:cs="Times New Roman"/>
              </w:rPr>
              <w:t>Oct. 10, 2004</w:t>
            </w:r>
          </w:p>
        </w:tc>
        <w:tc>
          <w:tcPr>
            <w:tcW w:w="3960" w:type="dxa"/>
          </w:tcPr>
          <w:p w:rsidR="00413B78" w:rsidRDefault="00413B78" w:rsidP="00D90C41">
            <w:pPr>
              <w:spacing w:line="240" w:lineRule="auto"/>
              <w:rPr>
                <w:rFonts w:cs="Times New Roman"/>
              </w:rPr>
            </w:pPr>
            <w:r>
              <w:rPr>
                <w:rFonts w:cs="Times New Roman"/>
              </w:rPr>
              <w:t>Feb. 16, 2005    (129 days late)</w:t>
            </w:r>
          </w:p>
        </w:tc>
      </w:tr>
      <w:tr w:rsidR="00413B78" w:rsidTr="00D90C41">
        <w:trPr>
          <w:jc w:val="center"/>
        </w:trPr>
        <w:tc>
          <w:tcPr>
            <w:tcW w:w="2880" w:type="dxa"/>
          </w:tcPr>
          <w:p w:rsidR="00413B78" w:rsidRDefault="00413B78" w:rsidP="00D90C41">
            <w:pPr>
              <w:spacing w:line="240" w:lineRule="auto"/>
              <w:rPr>
                <w:rFonts w:cs="Times New Roman"/>
              </w:rPr>
            </w:pPr>
            <w:r>
              <w:rPr>
                <w:rFonts w:cs="Times New Roman"/>
              </w:rPr>
              <w:t>Jan. 10, 2005</w:t>
            </w:r>
          </w:p>
        </w:tc>
        <w:tc>
          <w:tcPr>
            <w:tcW w:w="3960" w:type="dxa"/>
          </w:tcPr>
          <w:p w:rsidR="00413B78" w:rsidRDefault="00413B78" w:rsidP="00D90C41">
            <w:pPr>
              <w:spacing w:line="240" w:lineRule="auto"/>
              <w:rPr>
                <w:rFonts w:cs="Times New Roman"/>
              </w:rPr>
            </w:pPr>
            <w:r>
              <w:rPr>
                <w:rFonts w:cs="Times New Roman"/>
              </w:rPr>
              <w:t>Feb. 16, 2005    (37 days late)</w:t>
            </w:r>
          </w:p>
        </w:tc>
      </w:tr>
      <w:tr w:rsidR="00413B78" w:rsidTr="00D90C41">
        <w:trPr>
          <w:jc w:val="center"/>
        </w:trPr>
        <w:tc>
          <w:tcPr>
            <w:tcW w:w="2880" w:type="dxa"/>
          </w:tcPr>
          <w:p w:rsidR="00413B78" w:rsidRDefault="00413B78" w:rsidP="00D90C41">
            <w:pPr>
              <w:spacing w:line="240" w:lineRule="auto"/>
              <w:rPr>
                <w:rFonts w:cs="Times New Roman"/>
              </w:rPr>
            </w:pPr>
            <w:r>
              <w:rPr>
                <w:rFonts w:cs="Times New Roman"/>
              </w:rPr>
              <w:t>Apr. 10, 2005</w:t>
            </w:r>
          </w:p>
        </w:tc>
        <w:tc>
          <w:tcPr>
            <w:tcW w:w="3960" w:type="dxa"/>
          </w:tcPr>
          <w:p w:rsidR="00413B78" w:rsidRDefault="00413B78" w:rsidP="00D90C41">
            <w:pPr>
              <w:spacing w:line="240" w:lineRule="auto"/>
              <w:rPr>
                <w:rFonts w:cs="Times New Roman"/>
              </w:rPr>
            </w:pPr>
            <w:r>
              <w:rPr>
                <w:rFonts w:cs="Times New Roman"/>
              </w:rPr>
              <w:t>Apr. 29, 2005    (19 days late)</w:t>
            </w:r>
          </w:p>
        </w:tc>
      </w:tr>
      <w:tr w:rsidR="00413B78" w:rsidTr="00D90C41">
        <w:trPr>
          <w:jc w:val="center"/>
        </w:trPr>
        <w:tc>
          <w:tcPr>
            <w:tcW w:w="2880" w:type="dxa"/>
          </w:tcPr>
          <w:p w:rsidR="00413B78" w:rsidRDefault="00413B78" w:rsidP="00D90C41">
            <w:pPr>
              <w:spacing w:line="240" w:lineRule="auto"/>
              <w:rPr>
                <w:rFonts w:cs="Times New Roman"/>
              </w:rPr>
            </w:pPr>
            <w:r>
              <w:rPr>
                <w:rFonts w:cs="Times New Roman"/>
              </w:rPr>
              <w:t>Jul. 10, 2005</w:t>
            </w:r>
          </w:p>
        </w:tc>
        <w:tc>
          <w:tcPr>
            <w:tcW w:w="3960" w:type="dxa"/>
          </w:tcPr>
          <w:p w:rsidR="00413B78" w:rsidRDefault="00413B78" w:rsidP="00D90C41">
            <w:pPr>
              <w:spacing w:line="240" w:lineRule="auto"/>
              <w:rPr>
                <w:rFonts w:cs="Times New Roman"/>
              </w:rPr>
            </w:pPr>
            <w:r>
              <w:rPr>
                <w:rFonts w:cs="Times New Roman"/>
              </w:rPr>
              <w:t>Oct. 3, 2005       (85 days late)</w:t>
            </w:r>
          </w:p>
        </w:tc>
      </w:tr>
      <w:tr w:rsidR="00413B78" w:rsidTr="00D90C41">
        <w:trPr>
          <w:jc w:val="center"/>
        </w:trPr>
        <w:tc>
          <w:tcPr>
            <w:tcW w:w="2880" w:type="dxa"/>
          </w:tcPr>
          <w:p w:rsidR="00413B78" w:rsidRDefault="00413B78" w:rsidP="00D90C41">
            <w:pPr>
              <w:spacing w:line="240" w:lineRule="auto"/>
              <w:rPr>
                <w:rFonts w:cs="Times New Roman"/>
              </w:rPr>
            </w:pPr>
            <w:r>
              <w:rPr>
                <w:rFonts w:cs="Times New Roman"/>
              </w:rPr>
              <w:t>Jan. 10, 2006</w:t>
            </w:r>
          </w:p>
        </w:tc>
        <w:tc>
          <w:tcPr>
            <w:tcW w:w="3960" w:type="dxa"/>
          </w:tcPr>
          <w:p w:rsidR="00413B78" w:rsidRDefault="00413B78" w:rsidP="00D90C41">
            <w:pPr>
              <w:spacing w:line="240" w:lineRule="auto"/>
              <w:rPr>
                <w:rFonts w:cs="Times New Roman"/>
              </w:rPr>
            </w:pPr>
            <w:r>
              <w:rPr>
                <w:rFonts w:cs="Times New Roman"/>
              </w:rPr>
              <w:t>Feb. 14, 2006     (35 days late)</w:t>
            </w:r>
          </w:p>
        </w:tc>
      </w:tr>
      <w:tr w:rsidR="00413B78" w:rsidTr="00D90C41">
        <w:trPr>
          <w:jc w:val="center"/>
        </w:trPr>
        <w:tc>
          <w:tcPr>
            <w:tcW w:w="2880" w:type="dxa"/>
          </w:tcPr>
          <w:p w:rsidR="00413B78" w:rsidRDefault="00413B78" w:rsidP="00D90C41">
            <w:pPr>
              <w:spacing w:line="240" w:lineRule="auto"/>
              <w:rPr>
                <w:rFonts w:cs="Times New Roman"/>
              </w:rPr>
            </w:pPr>
            <w:r>
              <w:rPr>
                <w:rFonts w:cs="Times New Roman"/>
              </w:rPr>
              <w:t>Apr. 10, 2006</w:t>
            </w:r>
          </w:p>
        </w:tc>
        <w:tc>
          <w:tcPr>
            <w:tcW w:w="3960" w:type="dxa"/>
          </w:tcPr>
          <w:p w:rsidR="00413B78" w:rsidRDefault="00413B78" w:rsidP="00D90C41">
            <w:pPr>
              <w:spacing w:line="240" w:lineRule="auto"/>
              <w:rPr>
                <w:rFonts w:cs="Times New Roman"/>
              </w:rPr>
            </w:pPr>
            <w:r>
              <w:rPr>
                <w:rFonts w:cs="Times New Roman"/>
              </w:rPr>
              <w:t>Aug. 14, 2006    (126 days late)</w:t>
            </w:r>
          </w:p>
        </w:tc>
      </w:tr>
      <w:tr w:rsidR="00413B78" w:rsidTr="00D90C41">
        <w:trPr>
          <w:jc w:val="center"/>
        </w:trPr>
        <w:tc>
          <w:tcPr>
            <w:tcW w:w="2880" w:type="dxa"/>
          </w:tcPr>
          <w:p w:rsidR="00413B78" w:rsidRDefault="00413B78" w:rsidP="00D90C41">
            <w:pPr>
              <w:spacing w:line="240" w:lineRule="auto"/>
              <w:rPr>
                <w:rFonts w:cs="Times New Roman"/>
              </w:rPr>
            </w:pPr>
            <w:r>
              <w:rPr>
                <w:rFonts w:cs="Times New Roman"/>
              </w:rPr>
              <w:t>Jul. 10, 2006</w:t>
            </w:r>
          </w:p>
        </w:tc>
        <w:tc>
          <w:tcPr>
            <w:tcW w:w="3960" w:type="dxa"/>
          </w:tcPr>
          <w:p w:rsidR="00413B78" w:rsidRDefault="00413B78" w:rsidP="00F14937">
            <w:pPr>
              <w:spacing w:line="240" w:lineRule="auto"/>
              <w:rPr>
                <w:rFonts w:cs="Times New Roman"/>
              </w:rPr>
            </w:pPr>
            <w:r>
              <w:rPr>
                <w:rFonts w:cs="Times New Roman"/>
              </w:rPr>
              <w:t>Aug. 14, 2006    (</w:t>
            </w:r>
            <w:r w:rsidR="00F14937">
              <w:rPr>
                <w:rFonts w:cs="Times New Roman"/>
              </w:rPr>
              <w:t>3</w:t>
            </w:r>
            <w:r>
              <w:rPr>
                <w:rFonts w:cs="Times New Roman"/>
              </w:rPr>
              <w:t>5 days late)</w:t>
            </w:r>
          </w:p>
        </w:tc>
      </w:tr>
    </w:tbl>
    <w:p w:rsidR="00D40E50" w:rsidRDefault="00D40E50" w:rsidP="00D40E50">
      <w:pPr>
        <w:pStyle w:val="ListParagraph"/>
        <w:spacing w:line="240" w:lineRule="auto"/>
        <w:ind w:left="0"/>
        <w:rPr>
          <w:rFonts w:cs="Times New Roman"/>
        </w:rPr>
      </w:pPr>
    </w:p>
    <w:p w:rsidR="00712676" w:rsidRDefault="00712676">
      <w:pPr>
        <w:pStyle w:val="ListParagraph"/>
        <w:ind w:left="0"/>
        <w:rPr>
          <w:rFonts w:cs="Times New Roman"/>
        </w:rPr>
      </w:pPr>
      <w:r>
        <w:rPr>
          <w:rFonts w:cs="Times New Roman"/>
        </w:rPr>
        <w:t xml:space="preserve">Despite </w:t>
      </w:r>
      <w:proofErr w:type="spellStart"/>
      <w:r>
        <w:rPr>
          <w:rFonts w:cs="Times New Roman"/>
        </w:rPr>
        <w:t>Wanland’s</w:t>
      </w:r>
      <w:proofErr w:type="spellEnd"/>
      <w:r>
        <w:rPr>
          <w:rFonts w:cs="Times New Roman"/>
        </w:rPr>
        <w:t xml:space="preserve"> tardiness, </w:t>
      </w:r>
      <w:proofErr w:type="spellStart"/>
      <w:r>
        <w:rPr>
          <w:rFonts w:cs="Times New Roman"/>
        </w:rPr>
        <w:t>Dineros</w:t>
      </w:r>
      <w:proofErr w:type="spellEnd"/>
      <w:r>
        <w:rPr>
          <w:rFonts w:cs="Times New Roman"/>
        </w:rPr>
        <w:t xml:space="preserve"> filed his late reports for over four years without any repercussions.  </w:t>
      </w:r>
      <w:r w:rsidR="00E96DBF">
        <w:rPr>
          <w:rFonts w:cs="Times New Roman"/>
        </w:rPr>
        <w:t xml:space="preserve">Consequently, </w:t>
      </w:r>
      <w:r>
        <w:rPr>
          <w:rFonts w:cs="Times New Roman"/>
        </w:rPr>
        <w:t xml:space="preserve">Wanland developed a belief that he and Dineros shared joint responsibility for his compliance with probation terms.  </w:t>
      </w:r>
    </w:p>
    <w:p w:rsidR="00712676" w:rsidRDefault="00712676">
      <w:pPr>
        <w:ind w:firstLine="720"/>
        <w:rPr>
          <w:rFonts w:cs="Times New Roman"/>
        </w:rPr>
      </w:pPr>
      <w:r>
        <w:rPr>
          <w:rFonts w:cs="Times New Roman"/>
        </w:rPr>
        <w:lastRenderedPageBreak/>
        <w:t xml:space="preserve">In March 2007, Wanland completed his probation.  One year later, a new probation deputy, Cindy Jollotta, was assigned to his case.  Dineros had retired from the State Bar in December 2006, and no one in Probation actively maintained Wanland’s file for the 15-month period from Dineros’ </w:t>
      </w:r>
      <w:r w:rsidR="00527A49">
        <w:rPr>
          <w:rFonts w:cs="Times New Roman"/>
        </w:rPr>
        <w:t>departure</w:t>
      </w:r>
      <w:r>
        <w:rPr>
          <w:rFonts w:cs="Times New Roman"/>
        </w:rPr>
        <w:t xml:space="preserve"> to Jollotta’s assignment.  </w:t>
      </w:r>
    </w:p>
    <w:p w:rsidR="00712676" w:rsidRDefault="00712676">
      <w:pPr>
        <w:ind w:firstLine="720"/>
        <w:rPr>
          <w:rFonts w:cs="Times New Roman"/>
        </w:rPr>
      </w:pPr>
      <w:r>
        <w:rPr>
          <w:rFonts w:cs="Times New Roman"/>
        </w:rPr>
        <w:t>Jollotta noted several deficiencies when she reviewed Wanland’s file.  First, she could not locate the</w:t>
      </w:r>
      <w:r w:rsidR="00E96DBF">
        <w:rPr>
          <w:rFonts w:cs="Times New Roman"/>
        </w:rPr>
        <w:t xml:space="preserve"> final</w:t>
      </w:r>
      <w:r>
        <w:rPr>
          <w:rFonts w:cs="Times New Roman"/>
        </w:rPr>
        <w:t xml:space="preserve"> three quarterly reports for October 2006, January 2007 and April 2007.  Second, she found no response to </w:t>
      </w:r>
      <w:r w:rsidR="00D63328">
        <w:rPr>
          <w:rFonts w:cs="Times New Roman"/>
        </w:rPr>
        <w:t>Dineros’</w:t>
      </w:r>
      <w:r>
        <w:rPr>
          <w:rFonts w:cs="Times New Roman"/>
        </w:rPr>
        <w:t xml:space="preserve"> February 2005 letter requesting proof that the restitution victims actually received full payment.  And finally, she discovered that Dineros had mistakenly filed at least five faxed reports instead of the required originals.  </w:t>
      </w:r>
    </w:p>
    <w:p w:rsidR="00712676" w:rsidRDefault="00712676">
      <w:pPr>
        <w:ind w:firstLine="720"/>
        <w:rPr>
          <w:rFonts w:cs="Times New Roman"/>
        </w:rPr>
      </w:pPr>
      <w:r>
        <w:rPr>
          <w:rFonts w:cs="Times New Roman"/>
        </w:rPr>
        <w:t xml:space="preserve">As a result of the file review, Jollotta called Wanland in May 2008, </w:t>
      </w:r>
      <w:r w:rsidR="00E96DBF">
        <w:rPr>
          <w:rFonts w:cs="Times New Roman"/>
        </w:rPr>
        <w:t xml:space="preserve">and requested </w:t>
      </w:r>
      <w:r>
        <w:rPr>
          <w:rFonts w:cs="Times New Roman"/>
        </w:rPr>
        <w:t xml:space="preserve">the missing items.  She claimed that </w:t>
      </w:r>
      <w:r w:rsidR="0026410D">
        <w:rPr>
          <w:rFonts w:cs="Times New Roman"/>
        </w:rPr>
        <w:t>he</w:t>
      </w:r>
      <w:r w:rsidR="00703957">
        <w:rPr>
          <w:rFonts w:cs="Times New Roman"/>
        </w:rPr>
        <w:t xml:space="preserve"> </w:t>
      </w:r>
      <w:r>
        <w:rPr>
          <w:rFonts w:cs="Times New Roman"/>
        </w:rPr>
        <w:t xml:space="preserve">seemed annoyed and “hung up” on her.  In June 2008, </w:t>
      </w:r>
      <w:r w:rsidR="0026410D">
        <w:rPr>
          <w:rFonts w:cs="Times New Roman"/>
        </w:rPr>
        <w:t>she</w:t>
      </w:r>
      <w:r>
        <w:rPr>
          <w:rFonts w:cs="Times New Roman"/>
        </w:rPr>
        <w:t xml:space="preserve"> sent Wanland a follow-up letter </w:t>
      </w:r>
      <w:r w:rsidR="00213D67">
        <w:rPr>
          <w:rFonts w:cs="Times New Roman"/>
        </w:rPr>
        <w:t>seeking</w:t>
      </w:r>
      <w:r>
        <w:rPr>
          <w:rFonts w:cs="Times New Roman"/>
        </w:rPr>
        <w:t xml:space="preserve"> the same information.  </w:t>
      </w:r>
      <w:r w:rsidR="00213D67">
        <w:rPr>
          <w:rFonts w:cs="Times New Roman"/>
        </w:rPr>
        <w:t>He</w:t>
      </w:r>
      <w:r>
        <w:rPr>
          <w:rFonts w:cs="Times New Roman"/>
        </w:rPr>
        <w:t xml:space="preserve"> denied hanging up on Jollotta </w:t>
      </w:r>
      <w:r w:rsidR="00213D67">
        <w:rPr>
          <w:rFonts w:cs="Times New Roman"/>
        </w:rPr>
        <w:t>and</w:t>
      </w:r>
      <w:r>
        <w:rPr>
          <w:rFonts w:cs="Times New Roman"/>
        </w:rPr>
        <w:t xml:space="preserve"> receiving her letter.  When Jollotta did not hear from Wanland, she referred his probation violations to the State Bar.  In turn, the State Bar filed </w:t>
      </w:r>
      <w:r w:rsidR="00490478">
        <w:rPr>
          <w:rFonts w:cs="Times New Roman"/>
        </w:rPr>
        <w:t>this case</w:t>
      </w:r>
      <w:r>
        <w:rPr>
          <w:rFonts w:cs="Times New Roman"/>
        </w:rPr>
        <w:t xml:space="preserve"> on November 18, 2008.     </w:t>
      </w:r>
    </w:p>
    <w:p w:rsidR="0017074D" w:rsidRDefault="00712676" w:rsidP="0017074D">
      <w:pPr>
        <w:numPr>
          <w:ilvl w:val="0"/>
          <w:numId w:val="17"/>
        </w:numPr>
        <w:jc w:val="center"/>
        <w:rPr>
          <w:rFonts w:cs="Times New Roman"/>
          <w:b/>
          <w:bCs/>
        </w:rPr>
      </w:pPr>
      <w:r>
        <w:rPr>
          <w:rFonts w:cs="Times New Roman"/>
          <w:b/>
          <w:bCs/>
        </w:rPr>
        <w:t>CULPABILITY FINDINGS</w:t>
      </w:r>
    </w:p>
    <w:p w:rsidR="00712676" w:rsidRDefault="00712676">
      <w:pPr>
        <w:spacing w:line="240" w:lineRule="auto"/>
        <w:ind w:left="360"/>
        <w:rPr>
          <w:rFonts w:cs="Times New Roman"/>
          <w:b/>
          <w:bCs/>
        </w:rPr>
      </w:pPr>
      <w:r>
        <w:rPr>
          <w:rFonts w:cs="Times New Roman"/>
          <w:b/>
          <w:bCs/>
        </w:rPr>
        <w:t>COUNT 1</w:t>
      </w:r>
      <w:r w:rsidR="00B5751D">
        <w:rPr>
          <w:rFonts w:cs="Times New Roman"/>
          <w:b/>
          <w:bCs/>
        </w:rPr>
        <w:t xml:space="preserve">:  </w:t>
      </w:r>
      <w:r w:rsidR="00F14937">
        <w:rPr>
          <w:rFonts w:cs="Times New Roman"/>
          <w:b/>
          <w:bCs/>
        </w:rPr>
        <w:t xml:space="preserve">BUSINESS AND PROFESSIONS CODE </w:t>
      </w:r>
      <w:r>
        <w:rPr>
          <w:rFonts w:cs="Times New Roman"/>
          <w:b/>
          <w:bCs/>
        </w:rPr>
        <w:t>SECTION 6068</w:t>
      </w:r>
      <w:r w:rsidR="0026410D">
        <w:rPr>
          <w:rFonts w:cs="Times New Roman"/>
          <w:b/>
          <w:bCs/>
        </w:rPr>
        <w:t xml:space="preserve"> SUBDIVISION </w:t>
      </w:r>
      <w:r w:rsidR="00F14937">
        <w:rPr>
          <w:rFonts w:cs="Times New Roman"/>
          <w:b/>
          <w:bCs/>
        </w:rPr>
        <w:tab/>
      </w:r>
      <w:r w:rsidR="00F14937">
        <w:rPr>
          <w:rFonts w:cs="Times New Roman"/>
          <w:b/>
          <w:bCs/>
        </w:rPr>
        <w:tab/>
      </w:r>
      <w:r w:rsidR="00F14937">
        <w:rPr>
          <w:rFonts w:cs="Times New Roman"/>
          <w:b/>
          <w:bCs/>
        </w:rPr>
        <w:tab/>
        <w:t xml:space="preserve">   </w:t>
      </w:r>
      <w:r>
        <w:rPr>
          <w:rFonts w:cs="Times New Roman"/>
          <w:b/>
          <w:bCs/>
        </w:rPr>
        <w:t>(K) – FAILURE TO COMPLY WITH PROBAT</w:t>
      </w:r>
      <w:r w:rsidR="00B5751D">
        <w:rPr>
          <w:rFonts w:cs="Times New Roman"/>
          <w:b/>
          <w:bCs/>
        </w:rPr>
        <w:t>I</w:t>
      </w:r>
      <w:r>
        <w:rPr>
          <w:rFonts w:cs="Times New Roman"/>
          <w:b/>
          <w:bCs/>
        </w:rPr>
        <w:t>ON CONDITIONS</w:t>
      </w:r>
    </w:p>
    <w:p w:rsidR="00712676" w:rsidRDefault="00712676">
      <w:pPr>
        <w:spacing w:line="240" w:lineRule="auto"/>
        <w:ind w:left="360"/>
        <w:rPr>
          <w:rFonts w:cs="Times New Roman"/>
        </w:rPr>
      </w:pPr>
    </w:p>
    <w:p w:rsidR="00712676" w:rsidRDefault="00712676">
      <w:pPr>
        <w:rPr>
          <w:rFonts w:cs="Times New Roman"/>
        </w:rPr>
      </w:pPr>
      <w:r>
        <w:rPr>
          <w:rFonts w:cs="Times New Roman"/>
        </w:rPr>
        <w:tab/>
        <w:t xml:space="preserve">The State Bar has charged that Wanland violated </w:t>
      </w:r>
      <w:r w:rsidR="00F14937">
        <w:rPr>
          <w:rFonts w:cs="Times New Roman"/>
        </w:rPr>
        <w:t xml:space="preserve">Business and Professions Code </w:t>
      </w:r>
      <w:r>
        <w:rPr>
          <w:rFonts w:cs="Times New Roman"/>
        </w:rPr>
        <w:t>section 6068, subdivision (k)</w:t>
      </w:r>
      <w:r w:rsidR="00F14937">
        <w:rPr>
          <w:rFonts w:cs="Times New Roman"/>
        </w:rPr>
        <w:t>,</w:t>
      </w:r>
      <w:r w:rsidR="00490478">
        <w:rPr>
          <w:rStyle w:val="FootnoteReference"/>
        </w:rPr>
        <w:footnoteReference w:id="3"/>
      </w:r>
      <w:r w:rsidR="00490478">
        <w:rPr>
          <w:rFonts w:cs="Times New Roman"/>
        </w:rPr>
        <w:t xml:space="preserve"> </w:t>
      </w:r>
      <w:r>
        <w:rPr>
          <w:rFonts w:cs="Times New Roman"/>
        </w:rPr>
        <w:t>because he failed to timely c</w:t>
      </w:r>
      <w:r w:rsidR="00490478">
        <w:rPr>
          <w:rFonts w:cs="Times New Roman"/>
        </w:rPr>
        <w:t xml:space="preserve">omply with probation conditions </w:t>
      </w:r>
      <w:r>
        <w:rPr>
          <w:rFonts w:cs="Times New Roman"/>
        </w:rPr>
        <w:t xml:space="preserve">in three ways: (1) </w:t>
      </w:r>
      <w:r w:rsidR="00490478">
        <w:rPr>
          <w:rFonts w:cs="Times New Roman"/>
        </w:rPr>
        <w:t xml:space="preserve">he </w:t>
      </w:r>
      <w:r>
        <w:rPr>
          <w:rFonts w:cs="Times New Roman"/>
        </w:rPr>
        <w:t>failed to file quarterly reports on time</w:t>
      </w:r>
      <w:r w:rsidR="0026410D">
        <w:rPr>
          <w:rFonts w:cs="Times New Roman"/>
        </w:rPr>
        <w:t>;</w:t>
      </w:r>
      <w:r>
        <w:rPr>
          <w:rFonts w:cs="Times New Roman"/>
        </w:rPr>
        <w:t xml:space="preserve"> (2) </w:t>
      </w:r>
      <w:r w:rsidR="00490478">
        <w:rPr>
          <w:rFonts w:cs="Times New Roman"/>
        </w:rPr>
        <w:t xml:space="preserve">he </w:t>
      </w:r>
      <w:r>
        <w:rPr>
          <w:rFonts w:cs="Times New Roman"/>
        </w:rPr>
        <w:t xml:space="preserve">failed to satisfy the Ethics School requirement </w:t>
      </w:r>
      <w:r w:rsidR="00490478">
        <w:rPr>
          <w:rFonts w:cs="Times New Roman"/>
        </w:rPr>
        <w:t xml:space="preserve">and </w:t>
      </w:r>
      <w:r w:rsidR="00213D67">
        <w:rPr>
          <w:rFonts w:cs="Times New Roman"/>
        </w:rPr>
        <w:t xml:space="preserve">timely </w:t>
      </w:r>
      <w:r w:rsidR="00490478">
        <w:rPr>
          <w:rFonts w:cs="Times New Roman"/>
        </w:rPr>
        <w:t xml:space="preserve">file </w:t>
      </w:r>
      <w:r>
        <w:rPr>
          <w:rFonts w:cs="Times New Roman"/>
        </w:rPr>
        <w:t>proof</w:t>
      </w:r>
      <w:r w:rsidR="0026410D">
        <w:rPr>
          <w:rFonts w:cs="Times New Roman"/>
        </w:rPr>
        <w:t>;</w:t>
      </w:r>
      <w:r>
        <w:rPr>
          <w:rFonts w:cs="Times New Roman"/>
        </w:rPr>
        <w:t xml:space="preserve"> and (3) </w:t>
      </w:r>
      <w:r w:rsidR="00490478">
        <w:rPr>
          <w:rFonts w:cs="Times New Roman"/>
        </w:rPr>
        <w:t xml:space="preserve">he </w:t>
      </w:r>
      <w:r>
        <w:rPr>
          <w:rFonts w:cs="Times New Roman"/>
        </w:rPr>
        <w:t xml:space="preserve">failed to file the last three quarterly reports.    </w:t>
      </w:r>
    </w:p>
    <w:p w:rsidR="00712676" w:rsidRDefault="00712676">
      <w:pPr>
        <w:rPr>
          <w:rFonts w:cs="Times New Roman"/>
        </w:rPr>
      </w:pPr>
      <w:r>
        <w:rPr>
          <w:rFonts w:cs="Times New Roman"/>
        </w:rPr>
        <w:lastRenderedPageBreak/>
        <w:tab/>
        <w:t xml:space="preserve">At trial, Wanland stipulated to the first two allegations, and the hearing judge found him culpable.  We agree.  As to the third allegation, the hearing judge </w:t>
      </w:r>
      <w:r w:rsidR="00490478">
        <w:rPr>
          <w:rFonts w:cs="Times New Roman"/>
        </w:rPr>
        <w:t xml:space="preserve">found </w:t>
      </w:r>
      <w:r>
        <w:rPr>
          <w:rFonts w:cs="Times New Roman"/>
        </w:rPr>
        <w:t xml:space="preserve">that the State Bar failed to prove Wanland did not file his last three quarterly reports.  </w:t>
      </w:r>
      <w:r w:rsidR="00490478">
        <w:rPr>
          <w:rFonts w:cs="Times New Roman"/>
        </w:rPr>
        <w:t xml:space="preserve">Again, we agree.  </w:t>
      </w:r>
      <w:r>
        <w:rPr>
          <w:rFonts w:cs="Times New Roman"/>
        </w:rPr>
        <w:t xml:space="preserve">The State Bar relied exclusively on Jollotta’s testimony </w:t>
      </w:r>
      <w:r w:rsidR="00490478">
        <w:rPr>
          <w:rFonts w:cs="Times New Roman"/>
        </w:rPr>
        <w:t xml:space="preserve">that the reports were missing from the file to prove that Wanland </w:t>
      </w:r>
      <w:r>
        <w:rPr>
          <w:rFonts w:cs="Times New Roman"/>
        </w:rPr>
        <w:t>did not submit them</w:t>
      </w:r>
      <w:r w:rsidR="00D63328">
        <w:rPr>
          <w:rFonts w:cs="Times New Roman"/>
        </w:rPr>
        <w:t xml:space="preserve">, </w:t>
      </w:r>
      <w:r w:rsidR="009F1238">
        <w:rPr>
          <w:rFonts w:cs="Times New Roman"/>
        </w:rPr>
        <w:t xml:space="preserve">even though </w:t>
      </w:r>
      <w:r w:rsidR="00D63328">
        <w:rPr>
          <w:rFonts w:cs="Times New Roman"/>
        </w:rPr>
        <w:t>she did not assume responsibility for the matter until 15 months after Dineros left</w:t>
      </w:r>
      <w:r>
        <w:rPr>
          <w:rFonts w:cs="Times New Roman"/>
        </w:rPr>
        <w:t xml:space="preserve">.  </w:t>
      </w:r>
      <w:r w:rsidR="00490478">
        <w:rPr>
          <w:rFonts w:cs="Times New Roman"/>
        </w:rPr>
        <w:t xml:space="preserve">Wanland thought he had submitted the reports to Probation, but was not certain because so many years had passed.  </w:t>
      </w:r>
      <w:r w:rsidR="00B714AB">
        <w:rPr>
          <w:rFonts w:cs="Times New Roman"/>
        </w:rPr>
        <w:t xml:space="preserve">Probation did not actively monitor his case for 15 months after Dineros retired.  </w:t>
      </w:r>
      <w:r w:rsidR="00490478">
        <w:rPr>
          <w:rFonts w:cs="Times New Roman"/>
        </w:rPr>
        <w:t xml:space="preserve">The State Bar’s </w:t>
      </w:r>
      <w:r>
        <w:rPr>
          <w:rFonts w:cs="Times New Roman"/>
        </w:rPr>
        <w:t xml:space="preserve">evidence does not clearly and convincingly establish that Wanland failed to file the final three reports.     </w:t>
      </w:r>
    </w:p>
    <w:p w:rsidR="00712676" w:rsidRDefault="00712676">
      <w:pPr>
        <w:rPr>
          <w:rFonts w:cs="Times New Roman"/>
        </w:rPr>
      </w:pPr>
      <w:r>
        <w:rPr>
          <w:rFonts w:cs="Times New Roman"/>
        </w:rPr>
        <w:tab/>
      </w:r>
      <w:r w:rsidR="009F1238">
        <w:rPr>
          <w:rFonts w:cs="Times New Roman"/>
        </w:rPr>
        <w:t xml:space="preserve">On review, </w:t>
      </w:r>
      <w:r>
        <w:rPr>
          <w:rFonts w:cs="Times New Roman"/>
        </w:rPr>
        <w:t>Wanland presents two primary defenses to culpability</w:t>
      </w:r>
      <w:r w:rsidR="009F1238">
        <w:rPr>
          <w:rFonts w:cs="Times New Roman"/>
        </w:rPr>
        <w:t xml:space="preserve"> for violating probation</w:t>
      </w:r>
      <w:r>
        <w:rPr>
          <w:rFonts w:cs="Times New Roman"/>
        </w:rPr>
        <w:t xml:space="preserve">:  He did not act willfully and he substantially complied with probation.  We reject both for reasons outlined below.  </w:t>
      </w:r>
    </w:p>
    <w:p w:rsidR="00712676" w:rsidRDefault="00712676">
      <w:pPr>
        <w:ind w:firstLine="720"/>
        <w:rPr>
          <w:rFonts w:cs="Times New Roman"/>
        </w:rPr>
      </w:pPr>
      <w:r>
        <w:rPr>
          <w:rFonts w:cs="Times New Roman"/>
        </w:rPr>
        <w:t xml:space="preserve">Wanland first contends </w:t>
      </w:r>
      <w:r w:rsidR="00A73D06">
        <w:rPr>
          <w:rFonts w:cs="Times New Roman"/>
        </w:rPr>
        <w:t xml:space="preserve">that </w:t>
      </w:r>
      <w:r>
        <w:rPr>
          <w:rFonts w:cs="Times New Roman"/>
        </w:rPr>
        <w:t xml:space="preserve">he did not </w:t>
      </w:r>
      <w:r>
        <w:rPr>
          <w:rFonts w:cs="Times New Roman"/>
          <w:i/>
          <w:iCs/>
        </w:rPr>
        <w:t>willfully</w:t>
      </w:r>
      <w:r>
        <w:rPr>
          <w:rFonts w:cs="Times New Roman"/>
        </w:rPr>
        <w:t xml:space="preserve"> violate probation since he never intended to act in “bad faith,” citing Black’s Law Dictiona</w:t>
      </w:r>
      <w:r w:rsidR="00C05D74">
        <w:rPr>
          <w:rFonts w:cs="Times New Roman"/>
        </w:rPr>
        <w:t xml:space="preserve">ry’s definition of “willful.”  </w:t>
      </w:r>
      <w:r w:rsidR="00A73D06">
        <w:rPr>
          <w:rFonts w:cs="Times New Roman"/>
        </w:rPr>
        <w:t>He</w:t>
      </w:r>
      <w:r>
        <w:rPr>
          <w:rFonts w:cs="Times New Roman"/>
        </w:rPr>
        <w:t xml:space="preserve"> claims he merely acted negligently and </w:t>
      </w:r>
      <w:r w:rsidR="00A73D06">
        <w:rPr>
          <w:rFonts w:cs="Times New Roman"/>
        </w:rPr>
        <w:t>filed tardy reports</w:t>
      </w:r>
      <w:r w:rsidR="00B5751D">
        <w:rPr>
          <w:rFonts w:cs="Times New Roman"/>
        </w:rPr>
        <w:t xml:space="preserve"> </w:t>
      </w:r>
      <w:r>
        <w:rPr>
          <w:rFonts w:cs="Times New Roman"/>
        </w:rPr>
        <w:t>because of the “press of business,” “illness” or “being out of town.”</w:t>
      </w:r>
      <w:r w:rsidR="00A73D06">
        <w:rPr>
          <w:rFonts w:cs="Times New Roman"/>
        </w:rPr>
        <w:t xml:space="preserve">  </w:t>
      </w:r>
      <w:r>
        <w:rPr>
          <w:rFonts w:cs="Times New Roman"/>
        </w:rPr>
        <w:t>Willful misconduct in attorney discipline matters does not require bad faith, but calls only for a general purpose or intent to commit an act or make an omission.</w:t>
      </w:r>
      <w:r w:rsidR="003714DD">
        <w:rPr>
          <w:rStyle w:val="FootnoteReference"/>
        </w:rPr>
        <w:footnoteReference w:id="4"/>
      </w:r>
      <w:r>
        <w:rPr>
          <w:rFonts w:cs="Times New Roman"/>
        </w:rPr>
        <w:t xml:space="preserve">  Wanland knew about </w:t>
      </w:r>
      <w:r w:rsidR="00490478">
        <w:rPr>
          <w:rFonts w:cs="Times New Roman"/>
        </w:rPr>
        <w:t>each</w:t>
      </w:r>
      <w:r>
        <w:rPr>
          <w:rFonts w:cs="Times New Roman"/>
        </w:rPr>
        <w:t xml:space="preserve"> filing </w:t>
      </w:r>
      <w:r w:rsidR="00490478">
        <w:rPr>
          <w:rFonts w:cs="Times New Roman"/>
        </w:rPr>
        <w:t>deadline</w:t>
      </w:r>
      <w:r>
        <w:rPr>
          <w:rFonts w:cs="Times New Roman"/>
        </w:rPr>
        <w:t>, but ignored them until Dineros called to remind him.  This repeated conduct demonstrates he acted with a general purpose or intent to file late reports.</w:t>
      </w:r>
      <w:r>
        <w:rPr>
          <w:rStyle w:val="FootnoteReference"/>
        </w:rPr>
        <w:footnoteReference w:id="5"/>
      </w:r>
    </w:p>
    <w:p w:rsidR="00712676" w:rsidRDefault="00712676">
      <w:pPr>
        <w:ind w:firstLine="720"/>
        <w:rPr>
          <w:rFonts w:cs="Times New Roman"/>
          <w:i/>
          <w:iCs/>
        </w:rPr>
      </w:pPr>
      <w:r>
        <w:rPr>
          <w:rFonts w:cs="Times New Roman"/>
        </w:rPr>
        <w:lastRenderedPageBreak/>
        <w:t xml:space="preserve">Wanland next contends </w:t>
      </w:r>
      <w:r w:rsidR="00A73D06">
        <w:rPr>
          <w:rFonts w:cs="Times New Roman"/>
        </w:rPr>
        <w:t xml:space="preserve">that </w:t>
      </w:r>
      <w:r>
        <w:rPr>
          <w:rFonts w:cs="Times New Roman"/>
        </w:rPr>
        <w:t xml:space="preserve">he substantially complied with the probation requirements and his late filings were merely technical violations.  We </w:t>
      </w:r>
      <w:r w:rsidR="00490478">
        <w:rPr>
          <w:rFonts w:cs="Times New Roman"/>
        </w:rPr>
        <w:t>cannot</w:t>
      </w:r>
      <w:r>
        <w:rPr>
          <w:rFonts w:cs="Times New Roman"/>
        </w:rPr>
        <w:t xml:space="preserve"> excuse even “insubstantial” or “technical” violations because probationers must fully comply with all aspects of probation conditions.  (</w:t>
      </w:r>
      <w:r>
        <w:rPr>
          <w:rFonts w:cs="Times New Roman"/>
          <w:i/>
          <w:iCs/>
        </w:rPr>
        <w:t>In the Matter of Potack</w:t>
      </w:r>
      <w:r>
        <w:rPr>
          <w:rFonts w:cs="Times New Roman"/>
        </w:rPr>
        <w:t xml:space="preserve"> (Review Dept. 1991) 1 Cal. State Bar Ct. Rptr. 525, 537.)  “</w:t>
      </w:r>
      <w:r w:rsidR="00F14937">
        <w:rPr>
          <w:rFonts w:cs="Times New Roman"/>
        </w:rPr>
        <w:t>[</w:t>
      </w:r>
      <w:r>
        <w:rPr>
          <w:rFonts w:cs="Times New Roman"/>
        </w:rPr>
        <w:t>S</w:t>
      </w:r>
      <w:r w:rsidR="00F14937">
        <w:rPr>
          <w:rFonts w:cs="Times New Roman"/>
        </w:rPr>
        <w:t>]</w:t>
      </w:r>
      <w:r>
        <w:rPr>
          <w:rFonts w:cs="Times New Roman"/>
        </w:rPr>
        <w:t>ubstantial compliance with a probation condition is not a defense to culpability.</w:t>
      </w:r>
      <w:r w:rsidR="00F14937">
        <w:rPr>
          <w:rFonts w:cs="Times New Roman"/>
        </w:rPr>
        <w:t xml:space="preserve">  [Citation.]</w:t>
      </w:r>
      <w:r>
        <w:rPr>
          <w:rFonts w:cs="Times New Roman"/>
        </w:rPr>
        <w:t>”  (</w:t>
      </w:r>
      <w:r>
        <w:rPr>
          <w:rFonts w:cs="Times New Roman"/>
          <w:i/>
          <w:iCs/>
        </w:rPr>
        <w:t>In the Matter of Rose</w:t>
      </w:r>
      <w:r>
        <w:rPr>
          <w:rFonts w:cs="Times New Roman"/>
        </w:rPr>
        <w:t xml:space="preserve"> (Review Dept. 1997) 3 Cal. State Bar Ct. Rptr. 646, 652.)  </w:t>
      </w:r>
    </w:p>
    <w:p w:rsidR="00712676" w:rsidRDefault="00712676">
      <w:pPr>
        <w:jc w:val="center"/>
        <w:rPr>
          <w:rFonts w:cs="Times New Roman"/>
        </w:rPr>
      </w:pPr>
      <w:r>
        <w:rPr>
          <w:rFonts w:cs="Times New Roman"/>
          <w:b/>
          <w:bCs/>
        </w:rPr>
        <w:t>V</w:t>
      </w:r>
      <w:r w:rsidR="00A73D06">
        <w:rPr>
          <w:rFonts w:cs="Times New Roman"/>
          <w:b/>
          <w:bCs/>
        </w:rPr>
        <w:t>I</w:t>
      </w:r>
      <w:r>
        <w:rPr>
          <w:rFonts w:cs="Times New Roman"/>
          <w:b/>
          <w:bCs/>
        </w:rPr>
        <w:t>.  AGGRAVATION AND MITIGATION</w:t>
      </w:r>
    </w:p>
    <w:p w:rsidR="00A73D06" w:rsidRDefault="00712676">
      <w:pPr>
        <w:ind w:firstLine="720"/>
        <w:rPr>
          <w:rFonts w:cs="Times New Roman"/>
        </w:rPr>
      </w:pPr>
      <w:r>
        <w:rPr>
          <w:rFonts w:cs="Times New Roman"/>
        </w:rPr>
        <w:t xml:space="preserve">The offering party bears the burden of proof for aggravating and mitigating circumstances.  Wanland must establish mitigation by clear and convincing evidence </w:t>
      </w:r>
    </w:p>
    <w:p w:rsidR="0017074D" w:rsidRDefault="00712676" w:rsidP="0017074D">
      <w:pPr>
        <w:rPr>
          <w:rFonts w:cs="Times New Roman"/>
        </w:rPr>
      </w:pPr>
      <w:r>
        <w:rPr>
          <w:rFonts w:cs="Times New Roman"/>
        </w:rPr>
        <w:t>(std. 1.2(e))</w:t>
      </w:r>
      <w:r w:rsidR="00F14937">
        <w:rPr>
          <w:rFonts w:cs="Times New Roman"/>
        </w:rPr>
        <w:t>,</w:t>
      </w:r>
      <w:r w:rsidR="00F14937">
        <w:rPr>
          <w:rStyle w:val="FootnoteReference"/>
        </w:rPr>
        <w:footnoteReference w:id="6"/>
      </w:r>
      <w:r w:rsidR="00F14937">
        <w:rPr>
          <w:rFonts w:cs="Times New Roman"/>
        </w:rPr>
        <w:t xml:space="preserve"> </w:t>
      </w:r>
      <w:r>
        <w:rPr>
          <w:rFonts w:cs="Times New Roman"/>
        </w:rPr>
        <w:t xml:space="preserve">while the State Bar has the same burden to prove aggravating circumstances.  </w:t>
      </w:r>
      <w:r w:rsidR="00F14937">
        <w:rPr>
          <w:rFonts w:cs="Times New Roman"/>
        </w:rPr>
        <w:t xml:space="preserve">  (Std. 1.2(b).)</w:t>
      </w:r>
    </w:p>
    <w:p w:rsidR="0017074D" w:rsidRDefault="00A73D06" w:rsidP="0017074D">
      <w:pPr>
        <w:numPr>
          <w:ilvl w:val="0"/>
          <w:numId w:val="20"/>
        </w:numPr>
        <w:ind w:left="0" w:firstLine="0"/>
        <w:rPr>
          <w:rFonts w:cs="Times New Roman"/>
          <w:b/>
          <w:bCs/>
        </w:rPr>
      </w:pPr>
      <w:r>
        <w:rPr>
          <w:rFonts w:cs="Times New Roman"/>
          <w:b/>
          <w:bCs/>
        </w:rPr>
        <w:t>THREE FACTORS IN AGGRAVATION</w:t>
      </w:r>
    </w:p>
    <w:p w:rsidR="0017074D" w:rsidRDefault="00712676" w:rsidP="008E1155">
      <w:pPr>
        <w:ind w:firstLine="720"/>
        <w:rPr>
          <w:rFonts w:cs="Times New Roman"/>
        </w:rPr>
      </w:pPr>
      <w:r>
        <w:rPr>
          <w:rFonts w:cs="Times New Roman"/>
        </w:rPr>
        <w:t>Like the hearing judge, we find three factors in aggravation.  First, Wanland committed prior misconduct when he violated the bankruptcy court orders resulting in sanctions</w:t>
      </w:r>
      <w:r w:rsidR="00B714AB">
        <w:rPr>
          <w:rFonts w:cs="Times New Roman"/>
        </w:rPr>
        <w:t xml:space="preserve">, </w:t>
      </w:r>
      <w:r w:rsidR="008E1155">
        <w:rPr>
          <w:rFonts w:cs="Times New Roman"/>
        </w:rPr>
        <w:t>prompting</w:t>
      </w:r>
      <w:r w:rsidR="00B714AB">
        <w:rPr>
          <w:rFonts w:cs="Times New Roman"/>
        </w:rPr>
        <w:t xml:space="preserve"> the underlying discipline order</w:t>
      </w:r>
      <w:r>
        <w:rPr>
          <w:rFonts w:cs="Times New Roman"/>
        </w:rPr>
        <w:t>.  (Std.</w:t>
      </w:r>
      <w:r w:rsidR="00703957">
        <w:rPr>
          <w:rFonts w:cs="Times New Roman"/>
        </w:rPr>
        <w:t xml:space="preserve"> </w:t>
      </w:r>
      <w:r>
        <w:rPr>
          <w:rFonts w:cs="Times New Roman"/>
        </w:rPr>
        <w:t>1.2(b)(i).)</w:t>
      </w:r>
      <w:r w:rsidR="00F14937">
        <w:rPr>
          <w:rFonts w:cs="Times New Roman"/>
        </w:rPr>
        <w:t xml:space="preserve"> </w:t>
      </w:r>
      <w:r w:rsidR="00B5751D">
        <w:rPr>
          <w:rFonts w:cs="Times New Roman"/>
        </w:rPr>
        <w:t xml:space="preserve"> </w:t>
      </w:r>
      <w:r>
        <w:rPr>
          <w:rFonts w:cs="Times New Roman"/>
        </w:rPr>
        <w:t xml:space="preserve">Second, </w:t>
      </w:r>
      <w:r w:rsidR="0052288F">
        <w:rPr>
          <w:rFonts w:cs="Times New Roman"/>
        </w:rPr>
        <w:t>he</w:t>
      </w:r>
      <w:r>
        <w:rPr>
          <w:rFonts w:cs="Times New Roman"/>
        </w:rPr>
        <w:t xml:space="preserve"> committed multiple acts of wrongdoing when he repeatedly filed late probation reports.  (Std. 1.2(b)(ii).)  In fact, Wanland needed </w:t>
      </w:r>
      <w:r w:rsidR="0052288F">
        <w:rPr>
          <w:rFonts w:cs="Times New Roman"/>
        </w:rPr>
        <w:t>continual</w:t>
      </w:r>
      <w:r>
        <w:rPr>
          <w:rFonts w:cs="Times New Roman"/>
        </w:rPr>
        <w:t xml:space="preserve"> reminders to file the reports, which is “inconsistent with the self-governing nature of probation as a rehabilitative part of the attorney disciplinary system.”  (</w:t>
      </w:r>
      <w:r>
        <w:rPr>
          <w:rFonts w:cs="Times New Roman"/>
          <w:i/>
          <w:iCs/>
        </w:rPr>
        <w:t xml:space="preserve">In the Matter of Gorman </w:t>
      </w:r>
      <w:r>
        <w:rPr>
          <w:rFonts w:cs="Times New Roman"/>
        </w:rPr>
        <w:t xml:space="preserve">(Review Dept. 2003) 4 Cal. State Bar Ct. Rptr. 567, 573.)  Third, Wanland committed uncharged misconduct by failing to </w:t>
      </w:r>
      <w:r w:rsidR="0052288F">
        <w:rPr>
          <w:rFonts w:cs="Times New Roman"/>
        </w:rPr>
        <w:t>provide</w:t>
      </w:r>
      <w:r w:rsidR="00B5751D">
        <w:rPr>
          <w:rFonts w:cs="Times New Roman"/>
        </w:rPr>
        <w:t xml:space="preserve"> </w:t>
      </w:r>
      <w:r>
        <w:rPr>
          <w:rFonts w:cs="Times New Roman"/>
        </w:rPr>
        <w:t xml:space="preserve">Probation </w:t>
      </w:r>
      <w:r w:rsidR="00ED0EA2">
        <w:rPr>
          <w:rFonts w:cs="Times New Roman"/>
        </w:rPr>
        <w:t xml:space="preserve">with </w:t>
      </w:r>
      <w:r>
        <w:rPr>
          <w:rFonts w:cs="Times New Roman"/>
        </w:rPr>
        <w:t>proper proof of restitution.</w:t>
      </w:r>
      <w:r w:rsidR="00F14937">
        <w:rPr>
          <w:rFonts w:cs="Times New Roman"/>
        </w:rPr>
        <w:t xml:space="preserve">           (Std. 1.2(b)(iii).)  </w:t>
      </w:r>
      <w:r>
        <w:rPr>
          <w:rFonts w:cs="Times New Roman"/>
        </w:rPr>
        <w:t xml:space="preserve">Although </w:t>
      </w:r>
      <w:r w:rsidR="00ED0EA2">
        <w:rPr>
          <w:rFonts w:cs="Times New Roman"/>
        </w:rPr>
        <w:t>he</w:t>
      </w:r>
      <w:r>
        <w:rPr>
          <w:rFonts w:cs="Times New Roman"/>
        </w:rPr>
        <w:t xml:space="preserve"> made all restitution payments, he did not </w:t>
      </w:r>
      <w:r w:rsidR="00ED0EA2">
        <w:rPr>
          <w:rFonts w:cs="Times New Roman"/>
        </w:rPr>
        <w:t>furnish</w:t>
      </w:r>
      <w:r>
        <w:rPr>
          <w:rFonts w:cs="Times New Roman"/>
        </w:rPr>
        <w:t xml:space="preserve"> proof that the IRS and Wells Fargo Bank actually </w:t>
      </w:r>
      <w:r>
        <w:rPr>
          <w:rFonts w:cs="Times New Roman"/>
          <w:i/>
          <w:iCs/>
        </w:rPr>
        <w:t>received</w:t>
      </w:r>
      <w:r>
        <w:rPr>
          <w:rFonts w:cs="Times New Roman"/>
        </w:rPr>
        <w:t xml:space="preserve"> payment</w:t>
      </w:r>
      <w:r w:rsidR="00ED0EA2">
        <w:rPr>
          <w:rFonts w:cs="Times New Roman"/>
        </w:rPr>
        <w:t>,</w:t>
      </w:r>
      <w:r>
        <w:rPr>
          <w:rFonts w:cs="Times New Roman"/>
        </w:rPr>
        <w:t xml:space="preserve"> by either cancelled check (front and back) </w:t>
      </w:r>
      <w:r>
        <w:rPr>
          <w:rFonts w:cs="Times New Roman"/>
        </w:rPr>
        <w:lastRenderedPageBreak/>
        <w:t>or payee declaration, as Probation had requested.  We assign moderate weight to the totality of the aggravation evidence.</w:t>
      </w:r>
    </w:p>
    <w:p w:rsidR="0017074D" w:rsidRDefault="0017074D" w:rsidP="0017074D">
      <w:pPr>
        <w:rPr>
          <w:rFonts w:cs="Times New Roman"/>
        </w:rPr>
      </w:pPr>
      <w:r w:rsidRPr="0017074D">
        <w:rPr>
          <w:rFonts w:cs="Times New Roman"/>
          <w:b/>
        </w:rPr>
        <w:t>B.</w:t>
      </w:r>
      <w:r w:rsidR="00ED0EA2">
        <w:rPr>
          <w:rFonts w:cs="Times New Roman"/>
        </w:rPr>
        <w:tab/>
      </w:r>
      <w:r w:rsidRPr="0017074D">
        <w:rPr>
          <w:rFonts w:cs="Times New Roman"/>
          <w:b/>
        </w:rPr>
        <w:t>TWO FACTORS IN MITIGATION</w:t>
      </w:r>
      <w:r w:rsidR="00ED0EA2">
        <w:rPr>
          <w:rFonts w:cs="Times New Roman"/>
        </w:rPr>
        <w:t xml:space="preserve"> </w:t>
      </w:r>
    </w:p>
    <w:p w:rsidR="00ED0EA2" w:rsidRDefault="00712676" w:rsidP="008F3942">
      <w:pPr>
        <w:pStyle w:val="FootnoteText"/>
        <w:spacing w:line="480" w:lineRule="auto"/>
      </w:pPr>
      <w:r>
        <w:t xml:space="preserve">We agree with the hearing judge that Wanland proved two factors in mitigation. </w:t>
      </w:r>
    </w:p>
    <w:p w:rsidR="0017074D" w:rsidRDefault="00712676" w:rsidP="008F3942">
      <w:pPr>
        <w:pStyle w:val="FootnoteText"/>
        <w:spacing w:line="480" w:lineRule="auto"/>
      </w:pPr>
      <w:r>
        <w:t>First</w:t>
      </w:r>
      <w:r w:rsidR="00490478">
        <w:t>, and most significantly</w:t>
      </w:r>
      <w:r>
        <w:t xml:space="preserve">, the State Bar delayed filing the NDC.  (Std. 1.2(e)(ix); see </w:t>
      </w:r>
      <w:r>
        <w:rPr>
          <w:i/>
          <w:iCs/>
        </w:rPr>
        <w:t xml:space="preserve">Sodikoff v. State Bar </w:t>
      </w:r>
      <w:r>
        <w:t>(1975) 14 Cal.3d 422, 431-432 [whether delay constitutes mitigating circumstance d</w:t>
      </w:r>
      <w:r w:rsidR="007C3112">
        <w:t>etermined on case-by-case basis</w:t>
      </w:r>
      <w:r>
        <w:t xml:space="preserve">]; see also </w:t>
      </w:r>
      <w:r>
        <w:rPr>
          <w:i/>
          <w:iCs/>
        </w:rPr>
        <w:t>In the Matter of Carr</w:t>
      </w:r>
      <w:r>
        <w:t xml:space="preserve"> (Review Dept. 1992) 2 Cal. State Bar Ct. Rptr. 244</w:t>
      </w:r>
      <w:r w:rsidR="00F14937">
        <w:t>, 257</w:t>
      </w:r>
      <w:r>
        <w:t xml:space="preserve"> [st</w:t>
      </w:r>
      <w:r w:rsidR="00DB1C36">
        <w:t>d.</w:t>
      </w:r>
      <w:r>
        <w:t xml:space="preserve"> 1.2(e)(ix) particularly relevant in probation revocation proceedi</w:t>
      </w:r>
      <w:r w:rsidR="007C3112">
        <w:t xml:space="preserve">ngs that must be expedited].)  </w:t>
      </w:r>
      <w:r>
        <w:t xml:space="preserve">Wanland urges that this delay entitles him to a dismissal because he could not remember </w:t>
      </w:r>
      <w:r w:rsidR="00DB1C36">
        <w:t xml:space="preserve">important facts, including </w:t>
      </w:r>
      <w:r>
        <w:t>whether he submitted the final three quarterly reports</w:t>
      </w:r>
      <w:r w:rsidR="00DB1C36">
        <w:t>.</w:t>
      </w:r>
      <w:r>
        <w:t xml:space="preserve">  But </w:t>
      </w:r>
      <w:r w:rsidR="00DB1C36">
        <w:t>he</w:t>
      </w:r>
      <w:r>
        <w:t xml:space="preserve"> suffered no </w:t>
      </w:r>
      <w:r w:rsidR="007C3112">
        <w:t xml:space="preserve">legally cognizable </w:t>
      </w:r>
      <w:r>
        <w:t>prejudice</w:t>
      </w:r>
      <w:r w:rsidR="007C3112">
        <w:t xml:space="preserve"> in this case</w:t>
      </w:r>
      <w:r>
        <w:t xml:space="preserve"> because the State Bar did not successfully prove that he failed to file his final reports, and Wanland stipulated t</w:t>
      </w:r>
      <w:r w:rsidR="00DB1C36">
        <w:t>o</w:t>
      </w:r>
      <w:r>
        <w:t xml:space="preserve"> the other </w:t>
      </w:r>
      <w:r w:rsidR="00DB1C36">
        <w:t xml:space="preserve">late </w:t>
      </w:r>
      <w:r>
        <w:t>filings</w:t>
      </w:r>
      <w:r w:rsidR="00DB1C36">
        <w:t>.</w:t>
      </w:r>
      <w:r>
        <w:rPr>
          <w:rStyle w:val="FootnoteReference"/>
        </w:rPr>
        <w:t xml:space="preserve">  </w:t>
      </w:r>
      <w:r>
        <w:t xml:space="preserve">Even so, it is unacceptable that the State Bar filed the NDC 18 months after Wanland’s probation had expired and five years after he </w:t>
      </w:r>
      <w:r w:rsidR="00DB1C36">
        <w:t xml:space="preserve">had </w:t>
      </w:r>
      <w:r>
        <w:t xml:space="preserve">paid restitution and completed Ethics School.  (See </w:t>
      </w:r>
      <w:r>
        <w:rPr>
          <w:i/>
          <w:iCs/>
        </w:rPr>
        <w:t xml:space="preserve">In the Matter of Wolff </w:t>
      </w:r>
      <w:r w:rsidR="00F14937">
        <w:rPr>
          <w:iCs/>
        </w:rPr>
        <w:t xml:space="preserve">(Review Dept. 2006) </w:t>
      </w:r>
      <w:r>
        <w:t xml:space="preserve">5 Cal. State Bar Ct. Rptr. </w:t>
      </w:r>
      <w:r w:rsidR="00F14937">
        <w:t>1, 13</w:t>
      </w:r>
      <w:r>
        <w:t xml:space="preserve"> [delay may be considered in mitigation even though no prejudice].)</w:t>
      </w:r>
      <w:r>
        <w:rPr>
          <w:rStyle w:val="FootnoteReference"/>
        </w:rPr>
        <w:t xml:space="preserve"> </w:t>
      </w:r>
      <w:r>
        <w:rPr>
          <w:rStyle w:val="FootnoteReference"/>
        </w:rPr>
        <w:footnoteReference w:id="7"/>
      </w:r>
      <w:r>
        <w:t xml:space="preserve">  Th</w:t>
      </w:r>
      <w:r w:rsidR="00490478">
        <w:t>e</w:t>
      </w:r>
      <w:r>
        <w:t xml:space="preserve"> delay significantly mitigates th</w:t>
      </w:r>
      <w:r w:rsidR="00490478">
        <w:t>is</w:t>
      </w:r>
      <w:r>
        <w:t xml:space="preserve"> case.</w:t>
      </w:r>
    </w:p>
    <w:p w:rsidR="008F3942" w:rsidRDefault="00712676" w:rsidP="0017074D">
      <w:pPr>
        <w:ind w:firstLine="720"/>
        <w:rPr>
          <w:rFonts w:cs="Times New Roman"/>
        </w:rPr>
      </w:pPr>
      <w:r>
        <w:rPr>
          <w:rFonts w:cs="Times New Roman"/>
        </w:rPr>
        <w:t xml:space="preserve">As a second </w:t>
      </w:r>
      <w:r w:rsidR="00DB1C36">
        <w:rPr>
          <w:rFonts w:cs="Times New Roman"/>
        </w:rPr>
        <w:t xml:space="preserve">mitigation </w:t>
      </w:r>
      <w:r>
        <w:rPr>
          <w:rFonts w:cs="Times New Roman"/>
        </w:rPr>
        <w:t xml:space="preserve">factor, we assign some credit to Wanland for belatedly completing all </w:t>
      </w:r>
      <w:r w:rsidR="00DB1C36">
        <w:rPr>
          <w:rFonts w:cs="Times New Roman"/>
        </w:rPr>
        <w:t xml:space="preserve">of </w:t>
      </w:r>
      <w:r>
        <w:rPr>
          <w:rFonts w:cs="Times New Roman"/>
        </w:rPr>
        <w:t xml:space="preserve">the terms of his probation.  </w:t>
      </w:r>
      <w:r w:rsidR="007C3112">
        <w:rPr>
          <w:rFonts w:cs="Times New Roman"/>
        </w:rPr>
        <w:t>(</w:t>
      </w:r>
      <w:r>
        <w:rPr>
          <w:rFonts w:cs="Times New Roman"/>
          <w:i/>
          <w:iCs/>
        </w:rPr>
        <w:t>In the Matter of Gorman</w:t>
      </w:r>
      <w:r>
        <w:rPr>
          <w:rFonts w:cs="Times New Roman"/>
        </w:rPr>
        <w:t xml:space="preserve">, </w:t>
      </w:r>
      <w:r>
        <w:rPr>
          <w:rFonts w:cs="Times New Roman"/>
          <w:i/>
          <w:iCs/>
        </w:rPr>
        <w:t>supra</w:t>
      </w:r>
      <w:r>
        <w:rPr>
          <w:rFonts w:cs="Times New Roman"/>
        </w:rPr>
        <w:t xml:space="preserve">, 4 Cal. State Bar Ct. Rptr. at p. 572 [“some” mitigation for sincere “steps to make restitution and comply with probation”]; </w:t>
      </w:r>
      <w:r>
        <w:rPr>
          <w:rFonts w:cs="Times New Roman"/>
          <w:i/>
          <w:iCs/>
        </w:rPr>
        <w:t>In the Matter of Rose</w:t>
      </w:r>
      <w:r>
        <w:rPr>
          <w:rFonts w:cs="Times New Roman"/>
        </w:rPr>
        <w:t xml:space="preserve">, </w:t>
      </w:r>
      <w:r>
        <w:rPr>
          <w:rFonts w:cs="Times New Roman"/>
          <w:i/>
          <w:iCs/>
        </w:rPr>
        <w:t>supra</w:t>
      </w:r>
      <w:r>
        <w:rPr>
          <w:rFonts w:cs="Times New Roman"/>
        </w:rPr>
        <w:t xml:space="preserve">, 3 Cal. State Bar Ct. Rptr. at p. 652 [“belated </w:t>
      </w:r>
      <w:r>
        <w:rPr>
          <w:rFonts w:cs="Times New Roman"/>
        </w:rPr>
        <w:lastRenderedPageBreak/>
        <w:t xml:space="preserve">compliance with a probation condition may be considered as a mitigating factor in determining discipline”].)  </w:t>
      </w:r>
      <w:r w:rsidR="00DB1C36">
        <w:rPr>
          <w:rFonts w:cs="Times New Roman"/>
        </w:rPr>
        <w:t>Notably</w:t>
      </w:r>
      <w:r>
        <w:rPr>
          <w:rFonts w:cs="Times New Roman"/>
        </w:rPr>
        <w:t xml:space="preserve">, Wanland paid full restitution as a condition of probation by making </w:t>
      </w:r>
    </w:p>
    <w:p w:rsidR="0017074D" w:rsidRDefault="00712676" w:rsidP="008F3942">
      <w:pPr>
        <w:rPr>
          <w:rFonts w:cs="Times New Roman"/>
        </w:rPr>
      </w:pPr>
      <w:r>
        <w:rPr>
          <w:rFonts w:cs="Times New Roman"/>
        </w:rPr>
        <w:t xml:space="preserve">monthly payments for two and a half years.  (See </w:t>
      </w:r>
      <w:r>
        <w:rPr>
          <w:rFonts w:cs="Times New Roman"/>
          <w:i/>
          <w:iCs/>
        </w:rPr>
        <w:t>In the Matter of Taggart</w:t>
      </w:r>
      <w:r>
        <w:rPr>
          <w:rFonts w:cs="Times New Roman"/>
        </w:rPr>
        <w:t xml:space="preserve">, </w:t>
      </w:r>
      <w:r>
        <w:rPr>
          <w:rFonts w:cs="Times New Roman"/>
          <w:i/>
          <w:iCs/>
        </w:rPr>
        <w:t xml:space="preserve">supra, </w:t>
      </w:r>
      <w:r>
        <w:rPr>
          <w:rFonts w:cs="Times New Roman"/>
        </w:rPr>
        <w:t xml:space="preserve">4 Cal. State Bar Ct. Rptr. at pp. 310-311 [restitution is important indicator of attorney rehabilitation].)  </w:t>
      </w:r>
    </w:p>
    <w:p w:rsidR="00C05D74" w:rsidRDefault="00712676" w:rsidP="00C05D74">
      <w:pPr>
        <w:ind w:firstLine="720"/>
        <w:rPr>
          <w:rFonts w:cs="Times New Roman"/>
        </w:rPr>
      </w:pPr>
      <w:r>
        <w:rPr>
          <w:rFonts w:cs="Times New Roman"/>
        </w:rPr>
        <w:t xml:space="preserve">Overall, the mitigation outweighs the aggravation.  </w:t>
      </w:r>
    </w:p>
    <w:p w:rsidR="0017074D" w:rsidRDefault="00475729" w:rsidP="0017074D">
      <w:pPr>
        <w:ind w:firstLine="720"/>
        <w:jc w:val="center"/>
        <w:rPr>
          <w:rFonts w:cs="Times New Roman"/>
          <w:b/>
          <w:bCs/>
        </w:rPr>
      </w:pPr>
      <w:r>
        <w:rPr>
          <w:rFonts w:cs="Times New Roman"/>
          <w:b/>
          <w:bCs/>
        </w:rPr>
        <w:t xml:space="preserve">VII.  </w:t>
      </w:r>
      <w:r w:rsidR="00712676">
        <w:rPr>
          <w:rFonts w:cs="Times New Roman"/>
          <w:b/>
          <w:bCs/>
        </w:rPr>
        <w:t>PRINCIPLES OF LAW AND ANALYSIS</w:t>
      </w:r>
    </w:p>
    <w:p w:rsidR="00712676" w:rsidRPr="00D47228" w:rsidRDefault="00D47228" w:rsidP="00D47228">
      <w:pPr>
        <w:rPr>
          <w:rFonts w:cs="Times New Roman"/>
          <w:b/>
          <w:bCs/>
        </w:rPr>
      </w:pPr>
      <w:r>
        <w:rPr>
          <w:rFonts w:cs="Times New Roman"/>
          <w:b/>
          <w:bCs/>
        </w:rPr>
        <w:t>A.</w:t>
      </w:r>
      <w:r>
        <w:rPr>
          <w:rFonts w:cs="Times New Roman"/>
          <w:b/>
          <w:bCs/>
        </w:rPr>
        <w:tab/>
      </w:r>
      <w:r w:rsidR="00712676" w:rsidRPr="00D47228">
        <w:rPr>
          <w:rFonts w:cs="Times New Roman"/>
          <w:b/>
          <w:bCs/>
        </w:rPr>
        <w:t>STATUTE OF LIMITATIONS</w:t>
      </w:r>
    </w:p>
    <w:p w:rsidR="0017074D" w:rsidRDefault="00471882" w:rsidP="00471882">
      <w:pPr>
        <w:ind w:firstLine="720"/>
        <w:rPr>
          <w:rFonts w:cs="Times New Roman"/>
        </w:rPr>
      </w:pPr>
      <w:r>
        <w:rPr>
          <w:rFonts w:cs="Times New Roman"/>
        </w:rPr>
        <w:t>Rule 51(a</w:t>
      </w:r>
      <w:r w:rsidR="00712676">
        <w:rPr>
          <w:rFonts w:cs="Times New Roman"/>
        </w:rPr>
        <w:t xml:space="preserve">) </w:t>
      </w:r>
      <w:r>
        <w:rPr>
          <w:rFonts w:cs="Times New Roman"/>
        </w:rPr>
        <w:t xml:space="preserve">of the Rules of Procedure of the State Bar </w:t>
      </w:r>
      <w:r w:rsidR="00712676">
        <w:rPr>
          <w:rFonts w:cs="Times New Roman"/>
        </w:rPr>
        <w:t>governs the statute of limitations in attorney discipline matters and provides:  “A disciplinary proceeding based solely on a complainant’s allegation of a violation of the State Bar Act or Rules of Professional Conduct shall be initiated within five years from the date of the alleged violation.”</w:t>
      </w:r>
      <w:r w:rsidR="00712676">
        <w:rPr>
          <w:rStyle w:val="FootnoteReference"/>
        </w:rPr>
        <w:footnoteReference w:id="8"/>
      </w:r>
      <w:r w:rsidR="00712676">
        <w:rPr>
          <w:rFonts w:cs="Times New Roman"/>
        </w:rPr>
        <w:t xml:space="preserve">  Wanland contends that his first two late quarterly reports in October 2002 and July 2003, and his Ethics School compliance on June 12, 2003, are time-barred under rule 51(</w:t>
      </w:r>
      <w:r>
        <w:rPr>
          <w:rFonts w:cs="Times New Roman"/>
        </w:rPr>
        <w:t>a</w:t>
      </w:r>
      <w:r w:rsidR="00712676">
        <w:rPr>
          <w:rFonts w:cs="Times New Roman"/>
        </w:rPr>
        <w:t xml:space="preserve">).  We reject this contention </w:t>
      </w:r>
      <w:r w:rsidR="00490478">
        <w:rPr>
          <w:rFonts w:cs="Times New Roman"/>
        </w:rPr>
        <w:t xml:space="preserve">since the State Bar initiated this case and </w:t>
      </w:r>
      <w:r w:rsidR="00712676">
        <w:rPr>
          <w:rFonts w:cs="Times New Roman"/>
        </w:rPr>
        <w:t>rule 51(a) applies only to charges initiated by third-party complaints.  (</w:t>
      </w:r>
      <w:r w:rsidR="00712676">
        <w:rPr>
          <w:rFonts w:cs="Times New Roman"/>
          <w:i/>
          <w:iCs/>
        </w:rPr>
        <w:t>In the Matter of Wolff</w:t>
      </w:r>
      <w:r w:rsidR="001E3527">
        <w:rPr>
          <w:rFonts w:cs="Times New Roman"/>
          <w:i/>
          <w:iCs/>
        </w:rPr>
        <w:t>, supra,</w:t>
      </w:r>
      <w:r w:rsidR="00712676">
        <w:rPr>
          <w:rFonts w:cs="Times New Roman"/>
        </w:rPr>
        <w:t xml:space="preserve"> 5 Cal. State Bar Ct. Rptr. </w:t>
      </w:r>
      <w:r w:rsidR="001E3527">
        <w:rPr>
          <w:rFonts w:cs="Times New Roman"/>
        </w:rPr>
        <w:t>at p.</w:t>
      </w:r>
      <w:r w:rsidR="00712676">
        <w:rPr>
          <w:rFonts w:cs="Times New Roman"/>
        </w:rPr>
        <w:t xml:space="preserve"> 9.)  </w:t>
      </w:r>
    </w:p>
    <w:p w:rsidR="00712676" w:rsidRPr="00D47228" w:rsidRDefault="00D47228" w:rsidP="00D47228">
      <w:pPr>
        <w:rPr>
          <w:rFonts w:cs="Times New Roman"/>
        </w:rPr>
      </w:pPr>
      <w:r>
        <w:rPr>
          <w:rFonts w:cs="Times New Roman"/>
          <w:b/>
        </w:rPr>
        <w:t>B.</w:t>
      </w:r>
      <w:r>
        <w:rPr>
          <w:rFonts w:cs="Times New Roman"/>
          <w:b/>
        </w:rPr>
        <w:tab/>
      </w:r>
      <w:r w:rsidR="00712676">
        <w:rPr>
          <w:rFonts w:cs="Times New Roman"/>
          <w:b/>
          <w:bCs/>
        </w:rPr>
        <w:t>DIS</w:t>
      </w:r>
      <w:r w:rsidR="00126B5C">
        <w:rPr>
          <w:rFonts w:cs="Times New Roman"/>
          <w:b/>
          <w:bCs/>
        </w:rPr>
        <w:t>C</w:t>
      </w:r>
      <w:r w:rsidR="00712676">
        <w:rPr>
          <w:rFonts w:cs="Times New Roman"/>
          <w:b/>
          <w:bCs/>
        </w:rPr>
        <w:t>IPLINE</w:t>
      </w:r>
    </w:p>
    <w:p w:rsidR="00712676" w:rsidRDefault="00712676">
      <w:pPr>
        <w:tabs>
          <w:tab w:val="left" w:pos="720"/>
        </w:tabs>
        <w:rPr>
          <w:rFonts w:cs="Times New Roman"/>
        </w:rPr>
      </w:pPr>
      <w:r>
        <w:rPr>
          <w:rFonts w:cs="Times New Roman"/>
        </w:rPr>
        <w:tab/>
        <w:t xml:space="preserve">The purpose of attorney discipline is not to punish the attorney, but to protect the public, the courts and the legal profession, to maintain high standards for attorneys and to preserve public confidence in the profession.  (Std. 1.3.)  There is no fixed formula to determine the appropriate discipline. </w:t>
      </w:r>
      <w:r w:rsidR="00475729">
        <w:rPr>
          <w:rFonts w:cs="Times New Roman"/>
        </w:rPr>
        <w:t xml:space="preserve"> </w:t>
      </w:r>
      <w:r>
        <w:rPr>
          <w:rFonts w:cs="Times New Roman"/>
        </w:rPr>
        <w:t>(</w:t>
      </w:r>
      <w:r>
        <w:rPr>
          <w:rFonts w:cs="Times New Roman"/>
          <w:i/>
          <w:iCs/>
        </w:rPr>
        <w:t>In the Matter of Brimberry</w:t>
      </w:r>
      <w:r>
        <w:rPr>
          <w:rFonts w:cs="Times New Roman"/>
        </w:rPr>
        <w:t xml:space="preserve"> (Review Dept. 1995) 3 Cal. State Bar Ct. Rptr. 390, 403.)  Ultimately, we balance all relevant factors, including mitigating and </w:t>
      </w:r>
      <w:r>
        <w:rPr>
          <w:rFonts w:cs="Times New Roman"/>
        </w:rPr>
        <w:lastRenderedPageBreak/>
        <w:t>aggravating circumstances, on a case-by-case basis</w:t>
      </w:r>
      <w:r w:rsidR="00475729">
        <w:rPr>
          <w:rFonts w:cs="Times New Roman"/>
        </w:rPr>
        <w:t xml:space="preserve"> to impose</w:t>
      </w:r>
      <w:r>
        <w:rPr>
          <w:rFonts w:cs="Times New Roman"/>
        </w:rPr>
        <w:t xml:space="preserve"> discipline consistent with its purpose.  (</w:t>
      </w:r>
      <w:r>
        <w:rPr>
          <w:rFonts w:cs="Times New Roman"/>
          <w:i/>
          <w:iCs/>
        </w:rPr>
        <w:t>In re Young</w:t>
      </w:r>
      <w:r>
        <w:rPr>
          <w:rFonts w:cs="Times New Roman"/>
        </w:rPr>
        <w:t xml:space="preserve"> (1989) 49 Cal.3d 257, 266.)    </w:t>
      </w:r>
    </w:p>
    <w:p w:rsidR="00712676" w:rsidRDefault="00712676">
      <w:pPr>
        <w:ind w:firstLine="720"/>
        <w:rPr>
          <w:rFonts w:cs="Times New Roman"/>
        </w:rPr>
      </w:pPr>
      <w:r>
        <w:rPr>
          <w:rFonts w:cs="Times New Roman"/>
        </w:rPr>
        <w:t xml:space="preserve">Two standards guide our analysis.  Standard 2.6(a) provides that an attorney who violates section </w:t>
      </w:r>
      <w:r w:rsidR="00475729">
        <w:rPr>
          <w:rFonts w:cs="Times New Roman"/>
        </w:rPr>
        <w:t>6</w:t>
      </w:r>
      <w:r>
        <w:rPr>
          <w:rFonts w:cs="Times New Roman"/>
        </w:rPr>
        <w:t>068 should be suspended or disbarred, depending on the gravity of the offense and the harm to the victim.  Standard 1.7(a) calls for progressive discipline where an attorney has previously been disciplined unless the prior was so remote in time or so minimal in severity that a greater discipline would be manifestly unjust.  Wanland’s earlier discipline was neither remote nor minimal and we therefore apply progressive discipline.</w:t>
      </w:r>
    </w:p>
    <w:p w:rsidR="00712676" w:rsidRDefault="00712676">
      <w:pPr>
        <w:ind w:firstLine="720"/>
        <w:rPr>
          <w:rFonts w:cs="Times New Roman"/>
        </w:rPr>
      </w:pPr>
      <w:r>
        <w:rPr>
          <w:rFonts w:cs="Times New Roman"/>
        </w:rPr>
        <w:t xml:space="preserve">Case law further </w:t>
      </w:r>
      <w:r w:rsidR="00475729">
        <w:rPr>
          <w:rFonts w:cs="Times New Roman"/>
        </w:rPr>
        <w:t>assists</w:t>
      </w:r>
      <w:r>
        <w:rPr>
          <w:rFonts w:cs="Times New Roman"/>
        </w:rPr>
        <w:t xml:space="preserve"> our analysis.  Discipline for probation violations span</w:t>
      </w:r>
      <w:r w:rsidR="00475729">
        <w:rPr>
          <w:rFonts w:cs="Times New Roman"/>
        </w:rPr>
        <w:t>s</w:t>
      </w:r>
      <w:r>
        <w:rPr>
          <w:rFonts w:cs="Times New Roman"/>
        </w:rPr>
        <w:t xml:space="preserve"> from imposing the entire stayed suspension to extending the probation period with no actual suspension.  (</w:t>
      </w:r>
      <w:r>
        <w:rPr>
          <w:rFonts w:cs="Times New Roman"/>
          <w:i/>
          <w:iCs/>
        </w:rPr>
        <w:t>In the Matter of Potack</w:t>
      </w:r>
      <w:r>
        <w:rPr>
          <w:rFonts w:cs="Times New Roman"/>
        </w:rPr>
        <w:t xml:space="preserve">, </w:t>
      </w:r>
      <w:r>
        <w:rPr>
          <w:rFonts w:cs="Times New Roman"/>
          <w:i/>
          <w:iCs/>
        </w:rPr>
        <w:t xml:space="preserve">supra, </w:t>
      </w:r>
      <w:r>
        <w:rPr>
          <w:rFonts w:cs="Times New Roman"/>
        </w:rPr>
        <w:t xml:space="preserve">1 Cal. State Bar Ct. Rptr. at p. 540.)  Cases that recommend actual suspensions involve more serious probation violations than Wanland’s late filings and therefore do not </w:t>
      </w:r>
      <w:r w:rsidR="00475729">
        <w:rPr>
          <w:rFonts w:cs="Times New Roman"/>
        </w:rPr>
        <w:t>offer</w:t>
      </w:r>
      <w:r>
        <w:rPr>
          <w:rFonts w:cs="Times New Roman"/>
        </w:rPr>
        <w:t xml:space="preserve"> useful guidance.  Those violations include failing to complete probation, making no restitution payments or significantly late payments, or having an extensive prior discipline record.</w:t>
      </w:r>
      <w:r>
        <w:rPr>
          <w:rStyle w:val="FootnoteReference"/>
        </w:rPr>
        <w:footnoteReference w:id="9"/>
      </w:r>
      <w:r>
        <w:rPr>
          <w:rFonts w:cs="Times New Roman"/>
        </w:rPr>
        <w:t xml:space="preserve">  </w:t>
      </w:r>
    </w:p>
    <w:p w:rsidR="00712676" w:rsidRDefault="00712676">
      <w:pPr>
        <w:rPr>
          <w:rFonts w:cs="Times New Roman"/>
        </w:rPr>
      </w:pPr>
      <w:r>
        <w:rPr>
          <w:rFonts w:cs="Times New Roman"/>
        </w:rPr>
        <w:tab/>
        <w:t>If timely prosecuted, we</w:t>
      </w:r>
      <w:r w:rsidR="008F3942">
        <w:rPr>
          <w:rFonts w:cs="Times New Roman"/>
        </w:rPr>
        <w:t xml:space="preserve"> </w:t>
      </w:r>
      <w:r w:rsidR="00490478">
        <w:rPr>
          <w:rFonts w:cs="Times New Roman"/>
        </w:rPr>
        <w:t>m</w:t>
      </w:r>
      <w:r w:rsidR="007C3112">
        <w:rPr>
          <w:rFonts w:cs="Times New Roman"/>
        </w:rPr>
        <w:t>ight</w:t>
      </w:r>
      <w:r>
        <w:rPr>
          <w:rFonts w:cs="Times New Roman"/>
        </w:rPr>
        <w:t xml:space="preserve"> ordinarily recommend an actual suspension for Wanland’s probation violations.  But the State Bar’s </w:t>
      </w:r>
      <w:r w:rsidR="00490478">
        <w:rPr>
          <w:rFonts w:cs="Times New Roman"/>
        </w:rPr>
        <w:t xml:space="preserve">filing </w:t>
      </w:r>
      <w:r>
        <w:rPr>
          <w:rFonts w:cs="Times New Roman"/>
        </w:rPr>
        <w:t>delay mitigates this matter and compels us to make an exception</w:t>
      </w:r>
      <w:r w:rsidR="00490478">
        <w:rPr>
          <w:rFonts w:cs="Times New Roman"/>
        </w:rPr>
        <w:t xml:space="preserve"> </w:t>
      </w:r>
      <w:r>
        <w:rPr>
          <w:rFonts w:cs="Times New Roman"/>
        </w:rPr>
        <w:t xml:space="preserve">since Wanland has made substantial progress toward rehabilitation.  </w:t>
      </w:r>
      <w:r w:rsidR="00490478">
        <w:rPr>
          <w:rFonts w:cs="Times New Roman"/>
        </w:rPr>
        <w:t xml:space="preserve">In particular, he has completed </w:t>
      </w:r>
      <w:r>
        <w:rPr>
          <w:rFonts w:cs="Times New Roman"/>
        </w:rPr>
        <w:t xml:space="preserve">probation, paid restitution, demonstrated remorse and expressed a </w:t>
      </w:r>
      <w:r>
        <w:rPr>
          <w:rFonts w:cs="Times New Roman"/>
        </w:rPr>
        <w:lastRenderedPageBreak/>
        <w:t xml:space="preserve">sincere desire to abide by probation deadlines on his own initiative.  </w:t>
      </w:r>
      <w:r w:rsidR="00490478">
        <w:rPr>
          <w:rFonts w:cs="Times New Roman"/>
        </w:rPr>
        <w:t xml:space="preserve">(See </w:t>
      </w:r>
      <w:r w:rsidR="00490478">
        <w:rPr>
          <w:rFonts w:cs="Times New Roman"/>
          <w:i/>
          <w:iCs/>
        </w:rPr>
        <w:t>In re Chira</w:t>
      </w:r>
      <w:r w:rsidR="00490478">
        <w:rPr>
          <w:rFonts w:cs="Times New Roman"/>
        </w:rPr>
        <w:t xml:space="preserve"> (1986) 42 Cal.3d 904, 909 [actual suspension ordinarily warranted but not imposed because it would be punitive under compelling circumstances of case].)</w:t>
      </w:r>
    </w:p>
    <w:p w:rsidR="00475729" w:rsidRDefault="00712676">
      <w:pPr>
        <w:ind w:firstLine="720"/>
        <w:rPr>
          <w:rFonts w:cs="Times New Roman"/>
        </w:rPr>
      </w:pPr>
      <w:r>
        <w:rPr>
          <w:rFonts w:cs="Times New Roman"/>
        </w:rPr>
        <w:t>Mindful that the goals of probation are to protect the public and rehabilitate the attorney (</w:t>
      </w:r>
      <w:r>
        <w:rPr>
          <w:rFonts w:cs="Times New Roman"/>
          <w:i/>
          <w:iCs/>
        </w:rPr>
        <w:t>In the Matter of Potack, supra,</w:t>
      </w:r>
      <w:r>
        <w:rPr>
          <w:rFonts w:cs="Times New Roman"/>
        </w:rPr>
        <w:t xml:space="preserve"> 1 Cal. State Bar. Ct. Rptr. </w:t>
      </w:r>
      <w:r w:rsidR="00475729">
        <w:rPr>
          <w:rFonts w:cs="Times New Roman"/>
        </w:rPr>
        <w:t>a</w:t>
      </w:r>
      <w:r>
        <w:rPr>
          <w:rFonts w:cs="Times New Roman"/>
        </w:rPr>
        <w:t xml:space="preserve">t p. 540), we recommend a 90-day stayed suspension subject to a one-year probation.  This discipline is progressive under </w:t>
      </w:r>
    </w:p>
    <w:p w:rsidR="0017074D" w:rsidRDefault="00126B5C" w:rsidP="0017074D">
      <w:pPr>
        <w:rPr>
          <w:rFonts w:cs="Times New Roman"/>
        </w:rPr>
      </w:pPr>
      <w:r>
        <w:rPr>
          <w:rFonts w:cs="Times New Roman"/>
        </w:rPr>
        <w:t>s</w:t>
      </w:r>
      <w:r w:rsidR="00712676">
        <w:rPr>
          <w:rFonts w:cs="Times New Roman"/>
        </w:rPr>
        <w:t>tandard</w:t>
      </w:r>
      <w:r>
        <w:rPr>
          <w:rFonts w:cs="Times New Roman"/>
        </w:rPr>
        <w:t xml:space="preserve"> </w:t>
      </w:r>
      <w:r w:rsidR="00712676">
        <w:rPr>
          <w:rFonts w:cs="Times New Roman"/>
        </w:rPr>
        <w:t xml:space="preserve">1.7(a) since Wanland received a 60-day stayed suspension in his prior disciplinary case.  The new probation period will give </w:t>
      </w:r>
      <w:r>
        <w:rPr>
          <w:rFonts w:cs="Times New Roman"/>
        </w:rPr>
        <w:t>him</w:t>
      </w:r>
      <w:r w:rsidR="00712676">
        <w:rPr>
          <w:rFonts w:cs="Times New Roman"/>
        </w:rPr>
        <w:t xml:space="preserve"> an opportunity to fully comply with all </w:t>
      </w:r>
      <w:r w:rsidR="00475729">
        <w:rPr>
          <w:rFonts w:cs="Times New Roman"/>
        </w:rPr>
        <w:t xml:space="preserve">of </w:t>
      </w:r>
      <w:r w:rsidR="00712676">
        <w:rPr>
          <w:rFonts w:cs="Times New Roman"/>
        </w:rPr>
        <w:t xml:space="preserve">Probation’s directives.  Wanland </w:t>
      </w:r>
      <w:r w:rsidR="00475729">
        <w:rPr>
          <w:rFonts w:cs="Times New Roman"/>
        </w:rPr>
        <w:t>will</w:t>
      </w:r>
      <w:r w:rsidR="00712676">
        <w:rPr>
          <w:rFonts w:cs="Times New Roman"/>
        </w:rPr>
        <w:t xml:space="preserve"> </w:t>
      </w:r>
      <w:r>
        <w:rPr>
          <w:rFonts w:cs="Times New Roman"/>
        </w:rPr>
        <w:t xml:space="preserve">face </w:t>
      </w:r>
      <w:r w:rsidR="009F1238">
        <w:rPr>
          <w:rFonts w:cs="Times New Roman"/>
        </w:rPr>
        <w:t xml:space="preserve">further </w:t>
      </w:r>
      <w:r w:rsidR="00712676">
        <w:rPr>
          <w:rFonts w:cs="Times New Roman"/>
        </w:rPr>
        <w:t>progressive discipline or even disbarment if he violates probation or commits any future misconduct since it would be his third disciplin</w:t>
      </w:r>
      <w:r w:rsidR="00475729">
        <w:rPr>
          <w:rFonts w:cs="Times New Roman"/>
        </w:rPr>
        <w:t>e</w:t>
      </w:r>
      <w:r w:rsidR="00712676">
        <w:rPr>
          <w:rFonts w:cs="Times New Roman"/>
        </w:rPr>
        <w:t xml:space="preserve">.  (Std. 1.7(b); </w:t>
      </w:r>
      <w:r w:rsidR="00712676">
        <w:rPr>
          <w:rFonts w:cs="Times New Roman"/>
          <w:i/>
          <w:iCs/>
        </w:rPr>
        <w:t>In the Matter of Rose</w:t>
      </w:r>
      <w:r w:rsidR="00712676">
        <w:rPr>
          <w:rFonts w:cs="Times New Roman"/>
        </w:rPr>
        <w:t xml:space="preserve">, </w:t>
      </w:r>
      <w:r w:rsidR="00712676">
        <w:rPr>
          <w:rFonts w:cs="Times New Roman"/>
          <w:i/>
          <w:iCs/>
        </w:rPr>
        <w:t>supra</w:t>
      </w:r>
      <w:r w:rsidR="00712676">
        <w:rPr>
          <w:rFonts w:cs="Times New Roman"/>
        </w:rPr>
        <w:t>, 3 Cal. State Bar Ct. Rptr. 646</w:t>
      </w:r>
      <w:r w:rsidR="001E3527">
        <w:rPr>
          <w:rFonts w:cs="Times New Roman"/>
        </w:rPr>
        <w:t>, 654-655</w:t>
      </w:r>
      <w:r w:rsidR="00712676">
        <w:rPr>
          <w:rFonts w:cs="Times New Roman"/>
        </w:rPr>
        <w:t xml:space="preserve"> [disbarment recommended where attorney’s third and fourth disciplines were for probation violations].)</w:t>
      </w:r>
      <w:r w:rsidR="00712676">
        <w:rPr>
          <w:rStyle w:val="FootnoteReference"/>
        </w:rPr>
        <w:footnoteReference w:id="10"/>
      </w:r>
    </w:p>
    <w:p w:rsidR="0017074D" w:rsidRDefault="00475729" w:rsidP="0017074D">
      <w:pPr>
        <w:ind w:left="360"/>
        <w:jc w:val="center"/>
        <w:rPr>
          <w:rFonts w:cs="Times New Roman"/>
          <w:b/>
          <w:bCs/>
        </w:rPr>
      </w:pPr>
      <w:r>
        <w:rPr>
          <w:rFonts w:cs="Times New Roman"/>
          <w:b/>
          <w:bCs/>
        </w:rPr>
        <w:t>VIII.</w:t>
      </w:r>
      <w:r>
        <w:rPr>
          <w:rFonts w:cs="Times New Roman"/>
          <w:b/>
          <w:bCs/>
        </w:rPr>
        <w:tab/>
      </w:r>
      <w:r w:rsidR="00712676">
        <w:rPr>
          <w:rFonts w:cs="Times New Roman"/>
          <w:b/>
          <w:bCs/>
        </w:rPr>
        <w:t>CONCLUSIONS OF LAW</w:t>
      </w:r>
    </w:p>
    <w:p w:rsidR="00712676" w:rsidRDefault="00712676">
      <w:pPr>
        <w:rPr>
          <w:rFonts w:cs="Times New Roman"/>
        </w:rPr>
      </w:pPr>
      <w:r>
        <w:rPr>
          <w:rFonts w:cs="Times New Roman"/>
        </w:rPr>
        <w:tab/>
        <w:t xml:space="preserve">The State Bar’s excessive delay in filing </w:t>
      </w:r>
      <w:r w:rsidR="00C30427">
        <w:rPr>
          <w:rFonts w:cs="Times New Roman"/>
        </w:rPr>
        <w:t>the</w:t>
      </w:r>
      <w:r>
        <w:rPr>
          <w:rFonts w:cs="Times New Roman"/>
        </w:rPr>
        <w:t xml:space="preserve"> NDC sufficiently mitigates this case to justify recommending a stayed suspension for Wanland’s violations of his 2002 probation.</w:t>
      </w:r>
    </w:p>
    <w:p w:rsidR="00712676" w:rsidRDefault="00712676">
      <w:pPr>
        <w:ind w:firstLine="720"/>
        <w:jc w:val="center"/>
        <w:rPr>
          <w:rFonts w:cs="Times New Roman"/>
        </w:rPr>
      </w:pPr>
      <w:r>
        <w:rPr>
          <w:rFonts w:cs="Times New Roman"/>
          <w:b/>
          <w:bCs/>
        </w:rPr>
        <w:t>IX.  RECOMMENDATION</w:t>
      </w:r>
    </w:p>
    <w:p w:rsidR="00712676" w:rsidRDefault="00712676">
      <w:pPr>
        <w:rPr>
          <w:rFonts w:cs="Times New Roman"/>
        </w:rPr>
      </w:pPr>
      <w:r>
        <w:rPr>
          <w:rFonts w:cs="Times New Roman"/>
        </w:rPr>
        <w:tab/>
        <w:t>We recommend that Donald Martin Wanland, Jr. be suspended from the practice of law in the State of California for 90 days, that execution of that suspension by stayed, and that he be placed on probation for one year on the following conditions:</w:t>
      </w:r>
    </w:p>
    <w:p w:rsidR="00712676" w:rsidRDefault="00712676">
      <w:pPr>
        <w:pStyle w:val="ListParagraph"/>
        <w:numPr>
          <w:ilvl w:val="0"/>
          <w:numId w:val="7"/>
        </w:numPr>
        <w:spacing w:line="240" w:lineRule="auto"/>
        <w:ind w:left="720" w:hanging="720"/>
        <w:rPr>
          <w:rFonts w:cs="Times New Roman"/>
        </w:rPr>
      </w:pPr>
      <w:r>
        <w:rPr>
          <w:rFonts w:cs="Times New Roman"/>
        </w:rPr>
        <w:lastRenderedPageBreak/>
        <w:t>Wanland must comply with the provisions of the State Bar Act and the Rules of Professional Conduct.</w:t>
      </w:r>
    </w:p>
    <w:p w:rsidR="00712676" w:rsidRDefault="00712676">
      <w:pPr>
        <w:spacing w:line="240" w:lineRule="auto"/>
        <w:rPr>
          <w:rFonts w:cs="Times New Roman"/>
        </w:rPr>
      </w:pPr>
    </w:p>
    <w:p w:rsidR="00712676" w:rsidRDefault="00712676">
      <w:pPr>
        <w:pStyle w:val="ListParagraph"/>
        <w:numPr>
          <w:ilvl w:val="0"/>
          <w:numId w:val="7"/>
        </w:numPr>
        <w:spacing w:line="240" w:lineRule="auto"/>
        <w:ind w:left="720" w:hanging="720"/>
        <w:rPr>
          <w:rFonts w:cs="Times New Roman"/>
        </w:rPr>
      </w:pPr>
      <w:r>
        <w:rPr>
          <w:rFonts w:cs="Times New Roman"/>
        </w:rPr>
        <w:t>Within 10 days of any change in the information required to be maintained on the membership records of the State Bar pursuant to Busines</w:t>
      </w:r>
      <w:r w:rsidR="001E3527">
        <w:rPr>
          <w:rFonts w:cs="Times New Roman"/>
        </w:rPr>
        <w:t>s and Professions Code section 6</w:t>
      </w:r>
      <w:r>
        <w:rPr>
          <w:rFonts w:cs="Times New Roman"/>
        </w:rPr>
        <w:t>002.1, subdivision (a), including his current office address and telephone number, or if no office is maintained, the address to be used for State Bar purposes, he must report such change in writing to the Membership Records Office of the State Bar and the State Bar’s Office of Probation.</w:t>
      </w:r>
    </w:p>
    <w:p w:rsidR="00712676" w:rsidRDefault="00712676">
      <w:pPr>
        <w:pStyle w:val="ListParagraph"/>
        <w:spacing w:line="240" w:lineRule="auto"/>
        <w:rPr>
          <w:rFonts w:cs="Times New Roman"/>
        </w:rPr>
      </w:pPr>
    </w:p>
    <w:p w:rsidR="00712676" w:rsidRDefault="00712676">
      <w:pPr>
        <w:pStyle w:val="ListParagraph"/>
        <w:numPr>
          <w:ilvl w:val="0"/>
          <w:numId w:val="7"/>
        </w:numPr>
        <w:spacing w:line="240" w:lineRule="auto"/>
        <w:ind w:left="720" w:hanging="720"/>
        <w:rPr>
          <w:rFonts w:cs="Times New Roman"/>
        </w:rPr>
      </w:pPr>
      <w:r>
        <w:rPr>
          <w:rFonts w:cs="Times New Roman"/>
        </w:rPr>
        <w:t>He must submit written quarterly reports to the Office of Probation on each January 10, April 10, July 10, and October 10 of the period of probation.  Under penalty of perjury, he must state whether he has complied with the State Bar Act, the Rules of Professional Conduct, and all conditions of probation during the preceding calendar quarter.  In addition to all quarterly reports, a final report, containing the same information, is due no earlier than 20 days before the last day of the probation period and no later than the last day of the probation period.</w:t>
      </w:r>
    </w:p>
    <w:p w:rsidR="00712676" w:rsidRDefault="00712676">
      <w:pPr>
        <w:spacing w:line="240" w:lineRule="auto"/>
        <w:rPr>
          <w:rFonts w:cs="Times New Roman"/>
        </w:rPr>
      </w:pPr>
    </w:p>
    <w:p w:rsidR="00712676" w:rsidRDefault="00712676">
      <w:pPr>
        <w:pStyle w:val="ListParagraph"/>
        <w:numPr>
          <w:ilvl w:val="0"/>
          <w:numId w:val="7"/>
        </w:numPr>
        <w:spacing w:line="240" w:lineRule="auto"/>
        <w:ind w:left="720" w:hanging="720"/>
        <w:rPr>
          <w:rFonts w:cs="Times New Roman"/>
        </w:rPr>
      </w:pPr>
      <w:r>
        <w:rPr>
          <w:rFonts w:cs="Times New Roman"/>
        </w:rPr>
        <w:t xml:space="preserve">Subject to asserting applicable privileges, he must answer fully, promptly, and truthfully, any inquiries of the Office of Probation which are directed to him personally or in writing, relating to whether he is complying or has complied with the conditions contained herein. </w:t>
      </w:r>
    </w:p>
    <w:p w:rsidR="00712676" w:rsidRDefault="00712676">
      <w:pPr>
        <w:pStyle w:val="ListParagraph"/>
        <w:spacing w:line="240" w:lineRule="auto"/>
        <w:rPr>
          <w:rFonts w:cs="Times New Roman"/>
        </w:rPr>
      </w:pPr>
    </w:p>
    <w:p w:rsidR="00712676" w:rsidRDefault="00712676">
      <w:pPr>
        <w:pStyle w:val="ListParagraph"/>
        <w:numPr>
          <w:ilvl w:val="0"/>
          <w:numId w:val="7"/>
        </w:numPr>
        <w:spacing w:line="240" w:lineRule="auto"/>
        <w:ind w:left="720" w:hanging="720"/>
        <w:rPr>
          <w:rFonts w:cs="Times New Roman"/>
        </w:rPr>
      </w:pPr>
      <w:r>
        <w:rPr>
          <w:rFonts w:cs="Times New Roman"/>
        </w:rPr>
        <w:t>Within one year of the effective date of the discipline herein, he must submit to the Office of Probation satisfactory evidence of completion of the State Bar’s Ethics School and passage of the test given at the end of that session.  This requirement is separate from any Minimum Continuing Legal Education (MCLE) requirement, and he shall not receive MCLE credit for attending Ethics School.  (Rules Proc. of State Bar, rule 3201.)</w:t>
      </w:r>
    </w:p>
    <w:p w:rsidR="00712676" w:rsidRDefault="00712676">
      <w:pPr>
        <w:spacing w:line="240" w:lineRule="auto"/>
        <w:rPr>
          <w:rFonts w:cs="Times New Roman"/>
        </w:rPr>
      </w:pPr>
    </w:p>
    <w:p w:rsidR="00712676" w:rsidRDefault="00712676">
      <w:pPr>
        <w:pStyle w:val="ListParagraph"/>
        <w:numPr>
          <w:ilvl w:val="0"/>
          <w:numId w:val="7"/>
        </w:numPr>
        <w:spacing w:line="240" w:lineRule="auto"/>
        <w:ind w:left="720" w:hanging="720"/>
        <w:rPr>
          <w:rFonts w:cs="Times New Roman"/>
        </w:rPr>
      </w:pPr>
      <w:r>
        <w:rPr>
          <w:rFonts w:cs="Times New Roman"/>
        </w:rPr>
        <w:t>The period of probation will commence on the effective date of the Supreme Court order imposing discipline in this matter.  At the expiration of the period of probation, if he has complied with all conditions of probation, the 90-day period of stayed suspension will be satisfied and that suspension will be terminated.</w:t>
      </w:r>
    </w:p>
    <w:p w:rsidR="00712676" w:rsidRDefault="00712676">
      <w:pPr>
        <w:pStyle w:val="ListParagraph"/>
        <w:spacing w:line="240" w:lineRule="auto"/>
        <w:rPr>
          <w:rFonts w:cs="Times New Roman"/>
        </w:rPr>
      </w:pPr>
    </w:p>
    <w:p w:rsidR="00712676" w:rsidRDefault="00C30427">
      <w:pPr>
        <w:pStyle w:val="ListParagraph"/>
        <w:ind w:left="1080"/>
        <w:jc w:val="center"/>
        <w:rPr>
          <w:rFonts w:cs="Times New Roman"/>
          <w:b/>
          <w:bCs/>
        </w:rPr>
      </w:pPr>
      <w:r>
        <w:rPr>
          <w:rFonts w:cs="Times New Roman"/>
          <w:b/>
          <w:bCs/>
        </w:rPr>
        <w:t>X</w:t>
      </w:r>
      <w:r w:rsidR="00712676">
        <w:rPr>
          <w:rFonts w:cs="Times New Roman"/>
          <w:b/>
          <w:bCs/>
        </w:rPr>
        <w:t>.  PROFESSIONAL RESPONSIBILITY EXAMINATION</w:t>
      </w:r>
    </w:p>
    <w:p w:rsidR="00712676" w:rsidRDefault="00712676">
      <w:pPr>
        <w:tabs>
          <w:tab w:val="left" w:pos="720"/>
        </w:tabs>
        <w:rPr>
          <w:rFonts w:cs="Times New Roman"/>
        </w:rPr>
      </w:pPr>
      <w:r>
        <w:rPr>
          <w:rFonts w:cs="Times New Roman"/>
        </w:rPr>
        <w:tab/>
        <w:t>We further recommend that Wanland be ordered to take and pass the Multistate Professional Responsibility Examination administered by the National Conference of Bar Examiners within one year of the effective date of the Supreme Court order in this matter and to provide satisfactory proof of such passage to the Office of Probation within the same period.  Failure to do so may result in an automatic suspension. (Cal. Rules of Court, rule 9.10(b).)</w:t>
      </w:r>
    </w:p>
    <w:p w:rsidR="00C05D74" w:rsidRDefault="00C05D74">
      <w:pPr>
        <w:tabs>
          <w:tab w:val="left" w:pos="720"/>
        </w:tabs>
        <w:rPr>
          <w:rFonts w:cs="Times New Roman"/>
        </w:rPr>
      </w:pPr>
    </w:p>
    <w:p w:rsidR="00712676" w:rsidRDefault="00712676">
      <w:pPr>
        <w:jc w:val="center"/>
        <w:rPr>
          <w:rFonts w:cs="Times New Roman"/>
        </w:rPr>
      </w:pPr>
      <w:r>
        <w:rPr>
          <w:rFonts w:cs="Times New Roman"/>
          <w:b/>
          <w:bCs/>
        </w:rPr>
        <w:lastRenderedPageBreak/>
        <w:t>X</w:t>
      </w:r>
      <w:r w:rsidR="00C30427">
        <w:rPr>
          <w:rFonts w:cs="Times New Roman"/>
          <w:b/>
          <w:bCs/>
        </w:rPr>
        <w:t>I</w:t>
      </w:r>
      <w:r>
        <w:rPr>
          <w:rFonts w:cs="Times New Roman"/>
          <w:b/>
          <w:bCs/>
        </w:rPr>
        <w:t>.  COSTS</w:t>
      </w:r>
    </w:p>
    <w:p w:rsidR="00712676" w:rsidRDefault="00712676">
      <w:pPr>
        <w:rPr>
          <w:rFonts w:cs="Times New Roman"/>
        </w:rPr>
      </w:pPr>
      <w:r>
        <w:rPr>
          <w:rFonts w:cs="Times New Roman"/>
        </w:rPr>
        <w:tab/>
        <w:t>We further recommend that costs be awarded to the State Bar in accordance with Business and Prof</w:t>
      </w:r>
      <w:r w:rsidR="008F092F">
        <w:rPr>
          <w:rFonts w:cs="Times New Roman"/>
        </w:rPr>
        <w:t>essions Code section 6</w:t>
      </w:r>
      <w:r>
        <w:rPr>
          <w:rFonts w:cs="Times New Roman"/>
        </w:rPr>
        <w:t>086.10, such costs being enforceable both as provided in section 6140.7 and as a money judgment.</w:t>
      </w:r>
    </w:p>
    <w:p w:rsidR="00712676" w:rsidRDefault="00712676">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PURCELL, J.</w:t>
      </w:r>
    </w:p>
    <w:p w:rsidR="00712676" w:rsidRDefault="00712676">
      <w:pPr>
        <w:rPr>
          <w:rFonts w:cs="Times New Roman"/>
        </w:rPr>
      </w:pPr>
      <w:r>
        <w:rPr>
          <w:rFonts w:cs="Times New Roman"/>
        </w:rPr>
        <w:t>We concur:</w:t>
      </w:r>
    </w:p>
    <w:p w:rsidR="00712676" w:rsidRDefault="00712676">
      <w:pPr>
        <w:rPr>
          <w:rFonts w:cs="Times New Roman"/>
        </w:rPr>
      </w:pPr>
      <w:r>
        <w:rPr>
          <w:rFonts w:cs="Times New Roman"/>
        </w:rPr>
        <w:t>REMKE, P. J.</w:t>
      </w:r>
    </w:p>
    <w:p w:rsidR="00712676" w:rsidRDefault="00712676">
      <w:pPr>
        <w:rPr>
          <w:rFonts w:cs="Times New Roman"/>
        </w:rPr>
      </w:pPr>
      <w:r>
        <w:rPr>
          <w:rFonts w:cs="Times New Roman"/>
        </w:rPr>
        <w:t>EPSTEIN, J.</w:t>
      </w:r>
    </w:p>
    <w:p w:rsidR="00712676" w:rsidRDefault="00712676">
      <w:pPr>
        <w:rPr>
          <w:rFonts w:cs="Times New Roman"/>
        </w:rPr>
      </w:pPr>
    </w:p>
    <w:sectPr w:rsidR="00712676" w:rsidSect="003714DD">
      <w:footerReference w:type="default" r:id="rId8"/>
      <w:pgSz w:w="12240" w:h="15840" w:code="1"/>
      <w:pgMar w:top="1440" w:right="1440" w:bottom="864" w:left="144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527" w:rsidRDefault="001E3527">
      <w:pPr>
        <w:spacing w:line="240" w:lineRule="auto"/>
        <w:rPr>
          <w:rFonts w:cs="Times New Roman"/>
        </w:rPr>
      </w:pPr>
      <w:r>
        <w:rPr>
          <w:rFonts w:cs="Times New Roman"/>
        </w:rPr>
        <w:separator/>
      </w:r>
    </w:p>
  </w:endnote>
  <w:endnote w:type="continuationSeparator" w:id="0">
    <w:p w:rsidR="001E3527" w:rsidRDefault="001E3527">
      <w:pPr>
        <w:spacing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527" w:rsidRDefault="001E3527">
    <w:pPr>
      <w:pStyle w:val="Footer"/>
      <w:spacing w:before="120" w:line="240" w:lineRule="auto"/>
      <w:jc w:val="center"/>
      <w:rPr>
        <w:rFonts w:cs="Times New Roman"/>
      </w:rPr>
    </w:pPr>
    <w:r>
      <w:rPr>
        <w:rFonts w:cs="Times New Roman"/>
      </w:rPr>
      <w:t>-</w:t>
    </w:r>
    <w:r w:rsidR="00803400">
      <w:rPr>
        <w:rFonts w:cs="Times New Roman"/>
      </w:rPr>
      <w:fldChar w:fldCharType="begin"/>
    </w:r>
    <w:r>
      <w:rPr>
        <w:rFonts w:cs="Times New Roman"/>
      </w:rPr>
      <w:instrText xml:space="preserve"> PAGE   \* MERGEFORMAT </w:instrText>
    </w:r>
    <w:r w:rsidR="00803400">
      <w:rPr>
        <w:rFonts w:cs="Times New Roman"/>
      </w:rPr>
      <w:fldChar w:fldCharType="separate"/>
    </w:r>
    <w:r w:rsidR="00162C05">
      <w:rPr>
        <w:rFonts w:cs="Times New Roman"/>
        <w:noProof/>
      </w:rPr>
      <w:t>12</w:t>
    </w:r>
    <w:r w:rsidR="00803400">
      <w:rPr>
        <w:rFonts w:cs="Times New Roman"/>
      </w:rPr>
      <w:fldChar w:fldCharType="end"/>
    </w:r>
    <w:r>
      <w:rPr>
        <w:rFonts w:cs="Times New Roman"/>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527" w:rsidRDefault="001E3527">
      <w:pPr>
        <w:spacing w:line="240" w:lineRule="auto"/>
        <w:rPr>
          <w:rFonts w:cs="Times New Roman"/>
        </w:rPr>
      </w:pPr>
      <w:r>
        <w:rPr>
          <w:rFonts w:cs="Times New Roman"/>
        </w:rPr>
        <w:separator/>
      </w:r>
    </w:p>
  </w:footnote>
  <w:footnote w:type="continuationSeparator" w:id="0">
    <w:p w:rsidR="001E3527" w:rsidRDefault="001E3527">
      <w:pPr>
        <w:spacing w:line="240" w:lineRule="auto"/>
        <w:rPr>
          <w:rFonts w:cs="Times New Roman"/>
        </w:rPr>
      </w:pPr>
      <w:r>
        <w:rPr>
          <w:rFonts w:cs="Times New Roman"/>
        </w:rPr>
        <w:continuationSeparator/>
      </w:r>
    </w:p>
  </w:footnote>
  <w:footnote w:type="continuationNotice" w:id="1">
    <w:p w:rsidR="001E3527" w:rsidRDefault="001E3527">
      <w:pPr>
        <w:spacing w:line="240" w:lineRule="auto"/>
        <w:rPr>
          <w:rFonts w:cs="Times New Roman"/>
        </w:rPr>
      </w:pPr>
    </w:p>
  </w:footnote>
  <w:footnote w:id="2">
    <w:p w:rsidR="001E3527" w:rsidRDefault="001E3527" w:rsidP="008F3942">
      <w:pPr>
        <w:pStyle w:val="FootnoteText"/>
      </w:pPr>
      <w:r>
        <w:rPr>
          <w:rStyle w:val="FootnoteReference"/>
        </w:rPr>
        <w:footnoteRef/>
      </w:r>
      <w:r>
        <w:t xml:space="preserve"> Evidence by a clear and convincing standard requires that the proof be “ ‘so clear as to leave no substantial doubt’ [and must be] ‘sufficiently strong to command the unhesitating assent of every reasonable mind.’ ”  (</w:t>
      </w:r>
      <w:r>
        <w:rPr>
          <w:i/>
          <w:iCs/>
        </w:rPr>
        <w:t>Sheehan v. Sullivan</w:t>
      </w:r>
      <w:r>
        <w:t xml:space="preserve"> (1899) 126 Cal. 189, 193.)</w:t>
      </w:r>
    </w:p>
  </w:footnote>
  <w:footnote w:id="3">
    <w:p w:rsidR="001E3527" w:rsidRDefault="001E3527" w:rsidP="008F3942">
      <w:pPr>
        <w:pStyle w:val="FootnoteText"/>
      </w:pPr>
      <w:r>
        <w:rPr>
          <w:rStyle w:val="FootnoteReference"/>
        </w:rPr>
        <w:footnoteRef/>
      </w:r>
      <w:r>
        <w:t xml:space="preserve"> Section 6068, subdivision (k)</w:t>
      </w:r>
      <w:r w:rsidR="009F1238">
        <w:t>,</w:t>
      </w:r>
      <w:r>
        <w:t xml:space="preserve"> requires an attorney “[t]o comply with all conditions attached to any disciplinary probation, including a probation imposed with the concurrence of the attorney.”  All further references to “section(s)” are to the Business and Professions Code unless otherwise noted.  </w:t>
      </w:r>
    </w:p>
  </w:footnote>
  <w:footnote w:id="4">
    <w:p w:rsidR="001E3527" w:rsidRDefault="001E3527" w:rsidP="00B714AB">
      <w:pPr>
        <w:pStyle w:val="FootnoteText"/>
        <w:spacing w:after="120"/>
      </w:pPr>
      <w:r>
        <w:rPr>
          <w:rStyle w:val="FootnoteReference"/>
        </w:rPr>
        <w:footnoteRef/>
      </w:r>
      <w:r>
        <w:t xml:space="preserve"> </w:t>
      </w:r>
      <w:r w:rsidRPr="003714DD">
        <w:t xml:space="preserve">(See </w:t>
      </w:r>
      <w:r w:rsidRPr="003714DD">
        <w:rPr>
          <w:i/>
          <w:iCs/>
        </w:rPr>
        <w:t>Durbin v. State Bar</w:t>
      </w:r>
      <w:r w:rsidRPr="003714DD">
        <w:t xml:space="preserve"> (1979) 23 Cal.3d 461</w:t>
      </w:r>
      <w:r>
        <w:t>, 467</w:t>
      </w:r>
      <w:r w:rsidRPr="003714DD">
        <w:t xml:space="preserve"> [general intent for willful violations of Rule 955(c)]; </w:t>
      </w:r>
      <w:r>
        <w:rPr>
          <w:i/>
          <w:iCs/>
        </w:rPr>
        <w:t>Zitn</w:t>
      </w:r>
      <w:r w:rsidRPr="003714DD">
        <w:rPr>
          <w:i/>
          <w:iCs/>
        </w:rPr>
        <w:t xml:space="preserve">y v. State Bar </w:t>
      </w:r>
      <w:r w:rsidRPr="003714DD">
        <w:t>(1966) 64 Cal.2d 787, 792 [general intent for willful violations of Rules of Professional Conduct];</w:t>
      </w:r>
      <w:r w:rsidRPr="003714DD">
        <w:rPr>
          <w:i/>
          <w:iCs/>
        </w:rPr>
        <w:t xml:space="preserve"> In the Matter of Taggart</w:t>
      </w:r>
      <w:r w:rsidRPr="003714DD">
        <w:t xml:space="preserve"> (Review Dept. 2001) 4 Cal. State Bar Ct. Rptr. 302, 309 [general intent for willful “probation </w:t>
      </w:r>
      <w:r>
        <w:t>revocation</w:t>
      </w:r>
      <w:r w:rsidRPr="003714DD">
        <w:t xml:space="preserve"> (and other disciplinary) proceedings”].)</w:t>
      </w:r>
      <w:r>
        <w:t xml:space="preserve">  </w:t>
      </w:r>
    </w:p>
  </w:footnote>
  <w:footnote w:id="5">
    <w:p w:rsidR="001E3527" w:rsidRDefault="001E3527" w:rsidP="009F1238">
      <w:pPr>
        <w:pStyle w:val="FootnoteText"/>
        <w:spacing w:after="120"/>
      </w:pPr>
      <w:r>
        <w:rPr>
          <w:rStyle w:val="FootnoteReference"/>
        </w:rPr>
        <w:footnoteRef/>
      </w:r>
      <w:r>
        <w:t xml:space="preserve"> We strike the Black’s Law Dictionary attachment to Wanland’s opening brief.  Since this document was not admitted at trial, it violates rule 306(a) of the Rules of Procedure of the State Bar that permits us to consider only evidence in the Hearing Department record.  </w:t>
      </w:r>
    </w:p>
  </w:footnote>
  <w:footnote w:id="6">
    <w:p w:rsidR="001E3527" w:rsidRDefault="001E3527" w:rsidP="00F14937">
      <w:pPr>
        <w:pStyle w:val="FootnoteText"/>
      </w:pPr>
      <w:r>
        <w:rPr>
          <w:rStyle w:val="FootnoteReference"/>
        </w:rPr>
        <w:footnoteRef/>
      </w:r>
      <w:r>
        <w:t xml:space="preserve"> All further references to “standard(s)” are to the Rules of Procedure of the State Bar, title IV, Standards for Attorney Sanctions for Professional Misconduct unless otherwise noted.</w:t>
      </w:r>
    </w:p>
  </w:footnote>
  <w:footnote w:id="7">
    <w:p w:rsidR="001E3527" w:rsidRDefault="001E3527" w:rsidP="008F3942">
      <w:pPr>
        <w:pStyle w:val="FootnoteText"/>
      </w:pPr>
      <w:r>
        <w:rPr>
          <w:rStyle w:val="FootnoteReference"/>
        </w:rPr>
        <w:footnoteRef/>
      </w:r>
      <w:r>
        <w:t xml:space="preserve"> We also reject Wanland’s claim for dismissal under the affirmative defenses of laches, estoppel, ratification and waiver since he suffered no prejudice, as described above.</w:t>
      </w:r>
    </w:p>
  </w:footnote>
  <w:footnote w:id="8">
    <w:p w:rsidR="001E3527" w:rsidRDefault="001E3527" w:rsidP="008F3942">
      <w:pPr>
        <w:pStyle w:val="FootnoteText"/>
      </w:pPr>
      <w:r>
        <w:rPr>
          <w:rStyle w:val="FootnoteReference"/>
        </w:rPr>
        <w:footnoteRef/>
      </w:r>
      <w:r>
        <w:t xml:space="preserve"> All further references to “rule(s)” are to the Rules of Professional Conduct of the State Bar unless otherwise noted.</w:t>
      </w:r>
    </w:p>
  </w:footnote>
  <w:footnote w:id="9">
    <w:p w:rsidR="001E3527" w:rsidRDefault="001E3527" w:rsidP="008F3942">
      <w:pPr>
        <w:pStyle w:val="FootnoteText"/>
      </w:pPr>
      <w:r>
        <w:rPr>
          <w:rStyle w:val="FootnoteReference"/>
        </w:rPr>
        <w:footnoteRef/>
      </w:r>
      <w:r>
        <w:t xml:space="preserve"> (See, e.g., </w:t>
      </w:r>
      <w:r>
        <w:rPr>
          <w:i/>
          <w:iCs/>
        </w:rPr>
        <w:t>In the Matter of Gorman, supra,</w:t>
      </w:r>
      <w:r>
        <w:t xml:space="preserve"> 4 Cal. State Bar Ct. Rptr. at pp. 572-575 [30-day actual suspension for paying restitution nine months late and failing to timely attend Ethics School];</w:t>
      </w:r>
      <w:r>
        <w:rPr>
          <w:i/>
          <w:iCs/>
        </w:rPr>
        <w:t xml:space="preserve"> In the Matter of Taggart, supra, </w:t>
      </w:r>
      <w:r>
        <w:t xml:space="preserve">4 Cal. State Bar Ct. Rptr. at pp. 311-313 [six-month actual suspension for failing to pay any restitution over three years and attempt to discharge restitution obligation in bankruptcy]; </w:t>
      </w:r>
      <w:r>
        <w:rPr>
          <w:i/>
          <w:iCs/>
        </w:rPr>
        <w:t>In the Matter of Tiernan</w:t>
      </w:r>
      <w:r>
        <w:t xml:space="preserve"> (Review Dept. 1996) 3 Cal. State Bar Ct. Rptr. 523, 528 [one-year actual suspension for failing to timely submit five reports or to cooperate and four prior discipline records]; </w:t>
      </w:r>
      <w:r>
        <w:rPr>
          <w:i/>
          <w:iCs/>
        </w:rPr>
        <w:t>In the Matter of Broderick</w:t>
      </w:r>
      <w:r>
        <w:t xml:space="preserve"> (Review Dept. 1994) 3 Cal. State Bar Ct. Rptr. 138 [one-year actual suspension for failing to make any restitution payments or obtain counseling and filing no quarterly reports].)</w:t>
      </w:r>
    </w:p>
  </w:footnote>
  <w:footnote w:id="10">
    <w:p w:rsidR="001E3527" w:rsidRDefault="001E3527" w:rsidP="008F3942">
      <w:pPr>
        <w:pStyle w:val="FootnoteText"/>
      </w:pPr>
      <w:r>
        <w:rPr>
          <w:rStyle w:val="FootnoteReference"/>
        </w:rPr>
        <w:footnoteRef/>
      </w:r>
      <w:r>
        <w:t xml:space="preserve">The State Bar did not seek review but makes three requests:  (1) increase the actual suspension; (2) find aggravation for lack of remorse; and (3) reverse the hearing judge’s finding that the State Bar did not prove Wanland failed to submit his final three quarterly reports.  The State Bar’s requests are denied for lack of evidence or as meritless for reasons set forth in this opinion.  Although we conduct </w:t>
      </w:r>
      <w:r>
        <w:rPr>
          <w:i/>
          <w:iCs/>
        </w:rPr>
        <w:t xml:space="preserve">de novo </w:t>
      </w:r>
      <w:r>
        <w:t>review of all issues, we discourage responding parties from requesting review of issues that the appellant did not raise.  (</w:t>
      </w:r>
      <w:r>
        <w:rPr>
          <w:i/>
          <w:iCs/>
        </w:rPr>
        <w:t>In the Matter of Thomson</w:t>
      </w:r>
      <w:r>
        <w:t xml:space="preserve"> (Review Dept. 2006) 4 Cal. State Bar Ct. Rptr. 966, 977.)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0054"/>
    <w:multiLevelType w:val="hybridMultilevel"/>
    <w:tmpl w:val="2068BEE0"/>
    <w:lvl w:ilvl="0" w:tplc="D0F8742C">
      <w:start w:val="1"/>
      <w:numFmt w:val="upperLetter"/>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8665DB1"/>
    <w:multiLevelType w:val="hybridMultilevel"/>
    <w:tmpl w:val="21F653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541C1"/>
    <w:multiLevelType w:val="hybridMultilevel"/>
    <w:tmpl w:val="D00E5860"/>
    <w:lvl w:ilvl="0" w:tplc="F16EB282">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205559"/>
    <w:multiLevelType w:val="hybridMultilevel"/>
    <w:tmpl w:val="6CC88F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5112C"/>
    <w:multiLevelType w:val="hybridMultilevel"/>
    <w:tmpl w:val="7444D698"/>
    <w:lvl w:ilvl="0" w:tplc="F732C5D8">
      <w:start w:val="1"/>
      <w:numFmt w:val="lowerLetter"/>
      <w:lvlText w:val="%1."/>
      <w:lvlJc w:val="left"/>
      <w:pPr>
        <w:ind w:left="2520" w:hanging="360"/>
      </w:pPr>
      <w:rPr>
        <w:rFonts w:ascii="Times New Roman" w:hAnsi="Times New Roman" w:cs="Times New Roman" w:hint="default"/>
      </w:rPr>
    </w:lvl>
    <w:lvl w:ilvl="1" w:tplc="04090019">
      <w:start w:val="1"/>
      <w:numFmt w:val="lowerLetter"/>
      <w:lvlText w:val="%2."/>
      <w:lvlJc w:val="left"/>
      <w:pPr>
        <w:ind w:left="3240" w:hanging="360"/>
      </w:pPr>
      <w:rPr>
        <w:rFonts w:ascii="Times New Roman" w:hAnsi="Times New Roman" w:cs="Times New Roman"/>
      </w:rPr>
    </w:lvl>
    <w:lvl w:ilvl="2" w:tplc="0409001B">
      <w:start w:val="1"/>
      <w:numFmt w:val="lowerRoman"/>
      <w:lvlText w:val="%3."/>
      <w:lvlJc w:val="right"/>
      <w:pPr>
        <w:ind w:left="3960" w:hanging="180"/>
      </w:pPr>
      <w:rPr>
        <w:rFonts w:ascii="Times New Roman" w:hAnsi="Times New Roman" w:cs="Times New Roman"/>
      </w:rPr>
    </w:lvl>
    <w:lvl w:ilvl="3" w:tplc="0409000F">
      <w:start w:val="1"/>
      <w:numFmt w:val="decimal"/>
      <w:lvlText w:val="%4."/>
      <w:lvlJc w:val="left"/>
      <w:pPr>
        <w:ind w:left="4680" w:hanging="360"/>
      </w:pPr>
      <w:rPr>
        <w:rFonts w:ascii="Times New Roman" w:hAnsi="Times New Roman" w:cs="Times New Roman"/>
      </w:rPr>
    </w:lvl>
    <w:lvl w:ilvl="4" w:tplc="04090019">
      <w:start w:val="1"/>
      <w:numFmt w:val="lowerLetter"/>
      <w:lvlText w:val="%5."/>
      <w:lvlJc w:val="left"/>
      <w:pPr>
        <w:ind w:left="5400" w:hanging="360"/>
      </w:pPr>
      <w:rPr>
        <w:rFonts w:ascii="Times New Roman" w:hAnsi="Times New Roman" w:cs="Times New Roman"/>
      </w:rPr>
    </w:lvl>
    <w:lvl w:ilvl="5" w:tplc="0409001B">
      <w:start w:val="1"/>
      <w:numFmt w:val="lowerRoman"/>
      <w:lvlText w:val="%6."/>
      <w:lvlJc w:val="right"/>
      <w:pPr>
        <w:ind w:left="6120" w:hanging="180"/>
      </w:pPr>
      <w:rPr>
        <w:rFonts w:ascii="Times New Roman" w:hAnsi="Times New Roman" w:cs="Times New Roman"/>
      </w:rPr>
    </w:lvl>
    <w:lvl w:ilvl="6" w:tplc="0409000F">
      <w:start w:val="1"/>
      <w:numFmt w:val="decimal"/>
      <w:lvlText w:val="%7."/>
      <w:lvlJc w:val="left"/>
      <w:pPr>
        <w:ind w:left="6840" w:hanging="360"/>
      </w:pPr>
      <w:rPr>
        <w:rFonts w:ascii="Times New Roman" w:hAnsi="Times New Roman" w:cs="Times New Roman"/>
      </w:rPr>
    </w:lvl>
    <w:lvl w:ilvl="7" w:tplc="04090019">
      <w:start w:val="1"/>
      <w:numFmt w:val="lowerLetter"/>
      <w:lvlText w:val="%8."/>
      <w:lvlJc w:val="left"/>
      <w:pPr>
        <w:ind w:left="7560" w:hanging="360"/>
      </w:pPr>
      <w:rPr>
        <w:rFonts w:ascii="Times New Roman" w:hAnsi="Times New Roman" w:cs="Times New Roman"/>
      </w:rPr>
    </w:lvl>
    <w:lvl w:ilvl="8" w:tplc="0409001B">
      <w:start w:val="1"/>
      <w:numFmt w:val="lowerRoman"/>
      <w:lvlText w:val="%9."/>
      <w:lvlJc w:val="right"/>
      <w:pPr>
        <w:ind w:left="8280" w:hanging="180"/>
      </w:pPr>
      <w:rPr>
        <w:rFonts w:ascii="Times New Roman" w:hAnsi="Times New Roman" w:cs="Times New Roman"/>
      </w:rPr>
    </w:lvl>
  </w:abstractNum>
  <w:abstractNum w:abstractNumId="5">
    <w:nsid w:val="18BF1A66"/>
    <w:multiLevelType w:val="hybridMultilevel"/>
    <w:tmpl w:val="4282085C"/>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nsid w:val="206D2D05"/>
    <w:multiLevelType w:val="hybridMultilevel"/>
    <w:tmpl w:val="2C8426D4"/>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27E07E29"/>
    <w:multiLevelType w:val="hybridMultilevel"/>
    <w:tmpl w:val="91A0510C"/>
    <w:lvl w:ilvl="0" w:tplc="9D624482">
      <w:start w:val="4"/>
      <w:numFmt w:val="upperRoman"/>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283401DC"/>
    <w:multiLevelType w:val="hybridMultilevel"/>
    <w:tmpl w:val="DDF24482"/>
    <w:lvl w:ilvl="0" w:tplc="349A41DA">
      <w:start w:val="2"/>
      <w:numFmt w:val="upperLetter"/>
      <w:lvlText w:val="%1."/>
      <w:lvlJc w:val="left"/>
      <w:pPr>
        <w:tabs>
          <w:tab w:val="num" w:pos="1125"/>
        </w:tabs>
        <w:ind w:left="1125" w:hanging="405"/>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9">
    <w:nsid w:val="2BA7559A"/>
    <w:multiLevelType w:val="hybridMultilevel"/>
    <w:tmpl w:val="74DA4332"/>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nsid w:val="2EE41D6D"/>
    <w:multiLevelType w:val="hybridMultilevel"/>
    <w:tmpl w:val="7DEE80EC"/>
    <w:lvl w:ilvl="0" w:tplc="DB8E7060">
      <w:start w:val="1"/>
      <w:numFmt w:val="lowerRoman"/>
      <w:lvlText w:val="%1."/>
      <w:lvlJc w:val="left"/>
      <w:pPr>
        <w:ind w:left="3240" w:hanging="720"/>
      </w:pPr>
      <w:rPr>
        <w:rFonts w:ascii="Times New Roman" w:hAnsi="Times New Roman" w:cs="Times New Roman" w:hint="default"/>
      </w:rPr>
    </w:lvl>
    <w:lvl w:ilvl="1" w:tplc="04090019">
      <w:start w:val="1"/>
      <w:numFmt w:val="lowerLetter"/>
      <w:lvlText w:val="%2."/>
      <w:lvlJc w:val="left"/>
      <w:pPr>
        <w:ind w:left="3600" w:hanging="360"/>
      </w:pPr>
      <w:rPr>
        <w:rFonts w:ascii="Times New Roman" w:hAnsi="Times New Roman" w:cs="Times New Roman"/>
      </w:rPr>
    </w:lvl>
    <w:lvl w:ilvl="2" w:tplc="0409001B">
      <w:start w:val="1"/>
      <w:numFmt w:val="lowerRoman"/>
      <w:lvlText w:val="%3."/>
      <w:lvlJc w:val="right"/>
      <w:pPr>
        <w:ind w:left="4320" w:hanging="180"/>
      </w:pPr>
      <w:rPr>
        <w:rFonts w:ascii="Times New Roman" w:hAnsi="Times New Roman" w:cs="Times New Roman"/>
      </w:rPr>
    </w:lvl>
    <w:lvl w:ilvl="3" w:tplc="0409000F">
      <w:start w:val="1"/>
      <w:numFmt w:val="decimal"/>
      <w:lvlText w:val="%4."/>
      <w:lvlJc w:val="left"/>
      <w:pPr>
        <w:ind w:left="5040" w:hanging="360"/>
      </w:pPr>
      <w:rPr>
        <w:rFonts w:ascii="Times New Roman" w:hAnsi="Times New Roman" w:cs="Times New Roman"/>
      </w:rPr>
    </w:lvl>
    <w:lvl w:ilvl="4" w:tplc="04090019">
      <w:start w:val="1"/>
      <w:numFmt w:val="lowerLetter"/>
      <w:lvlText w:val="%5."/>
      <w:lvlJc w:val="left"/>
      <w:pPr>
        <w:ind w:left="5760" w:hanging="360"/>
      </w:pPr>
      <w:rPr>
        <w:rFonts w:ascii="Times New Roman" w:hAnsi="Times New Roman" w:cs="Times New Roman"/>
      </w:rPr>
    </w:lvl>
    <w:lvl w:ilvl="5" w:tplc="0409001B">
      <w:start w:val="1"/>
      <w:numFmt w:val="lowerRoman"/>
      <w:lvlText w:val="%6."/>
      <w:lvlJc w:val="right"/>
      <w:pPr>
        <w:ind w:left="6480" w:hanging="180"/>
      </w:pPr>
      <w:rPr>
        <w:rFonts w:ascii="Times New Roman" w:hAnsi="Times New Roman" w:cs="Times New Roman"/>
      </w:rPr>
    </w:lvl>
    <w:lvl w:ilvl="6" w:tplc="0409000F">
      <w:start w:val="1"/>
      <w:numFmt w:val="decimal"/>
      <w:lvlText w:val="%7."/>
      <w:lvlJc w:val="left"/>
      <w:pPr>
        <w:ind w:left="7200" w:hanging="360"/>
      </w:pPr>
      <w:rPr>
        <w:rFonts w:ascii="Times New Roman" w:hAnsi="Times New Roman" w:cs="Times New Roman"/>
      </w:rPr>
    </w:lvl>
    <w:lvl w:ilvl="7" w:tplc="04090019">
      <w:start w:val="1"/>
      <w:numFmt w:val="lowerLetter"/>
      <w:lvlText w:val="%8."/>
      <w:lvlJc w:val="left"/>
      <w:pPr>
        <w:ind w:left="7920" w:hanging="360"/>
      </w:pPr>
      <w:rPr>
        <w:rFonts w:ascii="Times New Roman" w:hAnsi="Times New Roman" w:cs="Times New Roman"/>
      </w:rPr>
    </w:lvl>
    <w:lvl w:ilvl="8" w:tplc="0409001B">
      <w:start w:val="1"/>
      <w:numFmt w:val="lowerRoman"/>
      <w:lvlText w:val="%9."/>
      <w:lvlJc w:val="right"/>
      <w:pPr>
        <w:ind w:left="8640" w:hanging="180"/>
      </w:pPr>
      <w:rPr>
        <w:rFonts w:ascii="Times New Roman" w:hAnsi="Times New Roman" w:cs="Times New Roman"/>
      </w:rPr>
    </w:lvl>
  </w:abstractNum>
  <w:abstractNum w:abstractNumId="11">
    <w:nsid w:val="40F37E5E"/>
    <w:multiLevelType w:val="hybridMultilevel"/>
    <w:tmpl w:val="AB78AF9C"/>
    <w:lvl w:ilvl="0" w:tplc="6B0E91B0">
      <w:start w:val="1"/>
      <w:numFmt w:val="decimal"/>
      <w:lvlText w:val="%1."/>
      <w:lvlJc w:val="left"/>
      <w:pPr>
        <w:ind w:left="2160" w:hanging="144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2">
    <w:nsid w:val="40F821A3"/>
    <w:multiLevelType w:val="hybridMultilevel"/>
    <w:tmpl w:val="A43E58CE"/>
    <w:lvl w:ilvl="0" w:tplc="2AEAC922">
      <w:start w:val="1"/>
      <w:numFmt w:val="decimal"/>
      <w:lvlText w:val="%1."/>
      <w:lvlJc w:val="left"/>
      <w:pPr>
        <w:tabs>
          <w:tab w:val="num" w:pos="1020"/>
        </w:tabs>
        <w:ind w:left="1020" w:hanging="6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4BC6403A"/>
    <w:multiLevelType w:val="hybridMultilevel"/>
    <w:tmpl w:val="A1FE3D92"/>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nsid w:val="512C454F"/>
    <w:multiLevelType w:val="hybridMultilevel"/>
    <w:tmpl w:val="AF92E4D2"/>
    <w:lvl w:ilvl="0" w:tplc="9CC227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363A49"/>
    <w:multiLevelType w:val="hybridMultilevel"/>
    <w:tmpl w:val="1D466096"/>
    <w:lvl w:ilvl="0" w:tplc="CA06D5F8">
      <w:start w:val="1"/>
      <w:numFmt w:val="upp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nsid w:val="6C2939EB"/>
    <w:multiLevelType w:val="hybridMultilevel"/>
    <w:tmpl w:val="F69C7E94"/>
    <w:lvl w:ilvl="0" w:tplc="F49A6BE6">
      <w:start w:val="1"/>
      <w:numFmt w:val="upp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7">
    <w:nsid w:val="6ED8141C"/>
    <w:multiLevelType w:val="hybridMultilevel"/>
    <w:tmpl w:val="46B01C24"/>
    <w:lvl w:ilvl="0" w:tplc="D5F26676">
      <w:start w:val="3"/>
      <w:numFmt w:val="upperRoman"/>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72FF60FA"/>
    <w:multiLevelType w:val="hybridMultilevel"/>
    <w:tmpl w:val="CE8A08BA"/>
    <w:lvl w:ilvl="0" w:tplc="324859F0">
      <w:start w:val="2"/>
      <w:numFmt w:val="upperRoman"/>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784B3A80"/>
    <w:multiLevelType w:val="hybridMultilevel"/>
    <w:tmpl w:val="08B2FA62"/>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nsid w:val="7B0E2056"/>
    <w:multiLevelType w:val="hybridMultilevel"/>
    <w:tmpl w:val="74FAF798"/>
    <w:lvl w:ilvl="0" w:tplc="0A4A29A8">
      <w:start w:val="6"/>
      <w:numFmt w:val="upperRoman"/>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15"/>
  </w:num>
  <w:num w:numId="2">
    <w:abstractNumId w:val="9"/>
  </w:num>
  <w:num w:numId="3">
    <w:abstractNumId w:val="13"/>
  </w:num>
  <w:num w:numId="4">
    <w:abstractNumId w:val="5"/>
  </w:num>
  <w:num w:numId="5">
    <w:abstractNumId w:val="19"/>
  </w:num>
  <w:num w:numId="6">
    <w:abstractNumId w:val="16"/>
  </w:num>
  <w:num w:numId="7">
    <w:abstractNumId w:val="11"/>
  </w:num>
  <w:num w:numId="8">
    <w:abstractNumId w:val="4"/>
  </w:num>
  <w:num w:numId="9">
    <w:abstractNumId w:val="10"/>
  </w:num>
  <w:num w:numId="10">
    <w:abstractNumId w:val="18"/>
  </w:num>
  <w:num w:numId="11">
    <w:abstractNumId w:val="0"/>
  </w:num>
  <w:num w:numId="12">
    <w:abstractNumId w:val="8"/>
  </w:num>
  <w:num w:numId="13">
    <w:abstractNumId w:val="20"/>
  </w:num>
  <w:num w:numId="14">
    <w:abstractNumId w:val="6"/>
  </w:num>
  <w:num w:numId="15">
    <w:abstractNumId w:val="17"/>
  </w:num>
  <w:num w:numId="16">
    <w:abstractNumId w:val="12"/>
  </w:num>
  <w:num w:numId="17">
    <w:abstractNumId w:val="7"/>
  </w:num>
  <w:num w:numId="18">
    <w:abstractNumId w:val="14"/>
  </w:num>
  <w:num w:numId="19">
    <w:abstractNumId w:val="1"/>
  </w:num>
  <w:num w:numId="20">
    <w:abstractNumId w:val="3"/>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oNotHyphenateCaps/>
  <w:characterSpacingControl w:val="doNotCompress"/>
  <w:doNotValidateAgainstSchema/>
  <w:doNotDemarcateInvalidXml/>
  <w:footnotePr>
    <w:footnote w:id="-1"/>
    <w:footnote w:id="0"/>
    <w:footnote w:id="1"/>
  </w:footnotePr>
  <w:endnotePr>
    <w:endnote w:id="-1"/>
    <w:endnote w:id="0"/>
  </w:endnotePr>
  <w:compat>
    <w:useFELayout/>
  </w:compat>
  <w:rsids>
    <w:rsidRoot w:val="00712676"/>
    <w:rsid w:val="000B6C1C"/>
    <w:rsid w:val="00126B5C"/>
    <w:rsid w:val="00162C05"/>
    <w:rsid w:val="0017074D"/>
    <w:rsid w:val="001E3527"/>
    <w:rsid w:val="00213D67"/>
    <w:rsid w:val="0026410D"/>
    <w:rsid w:val="00325126"/>
    <w:rsid w:val="00354948"/>
    <w:rsid w:val="003714DD"/>
    <w:rsid w:val="003B6578"/>
    <w:rsid w:val="00413B78"/>
    <w:rsid w:val="00415A5A"/>
    <w:rsid w:val="00471882"/>
    <w:rsid w:val="00475729"/>
    <w:rsid w:val="00490478"/>
    <w:rsid w:val="005038E5"/>
    <w:rsid w:val="0052288F"/>
    <w:rsid w:val="0052358A"/>
    <w:rsid w:val="00527A49"/>
    <w:rsid w:val="005D786B"/>
    <w:rsid w:val="00621850"/>
    <w:rsid w:val="00631326"/>
    <w:rsid w:val="00663EC1"/>
    <w:rsid w:val="0068706A"/>
    <w:rsid w:val="006B0C73"/>
    <w:rsid w:val="00703957"/>
    <w:rsid w:val="00712676"/>
    <w:rsid w:val="007155C6"/>
    <w:rsid w:val="00722EFE"/>
    <w:rsid w:val="007C3112"/>
    <w:rsid w:val="00803400"/>
    <w:rsid w:val="008754C9"/>
    <w:rsid w:val="008E1155"/>
    <w:rsid w:val="008F092F"/>
    <w:rsid w:val="008F3942"/>
    <w:rsid w:val="009867AA"/>
    <w:rsid w:val="009F1238"/>
    <w:rsid w:val="009F5AB6"/>
    <w:rsid w:val="00A0189D"/>
    <w:rsid w:val="00A73D06"/>
    <w:rsid w:val="00A810EB"/>
    <w:rsid w:val="00AF5AB4"/>
    <w:rsid w:val="00B5751D"/>
    <w:rsid w:val="00B714AB"/>
    <w:rsid w:val="00C05D74"/>
    <w:rsid w:val="00C30427"/>
    <w:rsid w:val="00C66E5F"/>
    <w:rsid w:val="00C76F21"/>
    <w:rsid w:val="00C92B99"/>
    <w:rsid w:val="00CB3E6B"/>
    <w:rsid w:val="00D40E50"/>
    <w:rsid w:val="00D47228"/>
    <w:rsid w:val="00D63328"/>
    <w:rsid w:val="00D71670"/>
    <w:rsid w:val="00D90C41"/>
    <w:rsid w:val="00DA3EF3"/>
    <w:rsid w:val="00DB1C36"/>
    <w:rsid w:val="00E1132E"/>
    <w:rsid w:val="00E72386"/>
    <w:rsid w:val="00E8487D"/>
    <w:rsid w:val="00E96DBF"/>
    <w:rsid w:val="00EB6BD2"/>
    <w:rsid w:val="00ED0EA2"/>
    <w:rsid w:val="00F12072"/>
    <w:rsid w:val="00F14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AB4"/>
    <w:pPr>
      <w:spacing w:line="480" w:lineRule="auto"/>
    </w:pPr>
    <w:rPr>
      <w:rFonts w:ascii="Times New Roman" w:hAnsi="Times New Roman"/>
      <w:sz w:val="24"/>
      <w:szCs w:val="24"/>
    </w:rPr>
  </w:style>
  <w:style w:type="paragraph" w:styleId="Heading1">
    <w:name w:val="heading 1"/>
    <w:basedOn w:val="Normal"/>
    <w:next w:val="Normal"/>
    <w:link w:val="Heading1Char"/>
    <w:uiPriority w:val="99"/>
    <w:qFormat/>
    <w:rsid w:val="00AF5AB4"/>
    <w:pPr>
      <w:keepNext/>
      <w:jc w:val="center"/>
      <w:outlineLvl w:val="0"/>
    </w:pPr>
    <w:rPr>
      <w:b/>
      <w:bCs/>
      <w:caps/>
    </w:rPr>
  </w:style>
  <w:style w:type="paragraph" w:styleId="Heading2">
    <w:name w:val="heading 2"/>
    <w:basedOn w:val="Normal"/>
    <w:next w:val="Normal"/>
    <w:link w:val="Heading2Char"/>
    <w:uiPriority w:val="99"/>
    <w:qFormat/>
    <w:rsid w:val="00AF5AB4"/>
    <w:pPr>
      <w:keepNext/>
      <w:keepLines/>
      <w:outlineLvl w:val="1"/>
    </w:pPr>
    <w:rPr>
      <w:rFonts w:ascii="Calibri" w:hAnsi="Calibri" w:cs="Calibri"/>
      <w:b/>
      <w:bCs/>
    </w:rPr>
  </w:style>
  <w:style w:type="paragraph" w:styleId="Heading3">
    <w:name w:val="heading 3"/>
    <w:basedOn w:val="Normal"/>
    <w:next w:val="Normal"/>
    <w:link w:val="Heading3Char"/>
    <w:uiPriority w:val="99"/>
    <w:qFormat/>
    <w:rsid w:val="00AF5AB4"/>
    <w:pPr>
      <w:keepNext/>
      <w:keepLines/>
      <w:outlineLvl w:val="2"/>
    </w:pPr>
    <w:rPr>
      <w:rFonts w:ascii="Calibri" w:hAnsi="Calibri" w:cs="Calibr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5AB4"/>
    <w:rPr>
      <w:rFonts w:ascii="Times New Roman" w:hAnsi="Times New Roman" w:cs="Times New Roman"/>
      <w:b/>
      <w:bCs/>
      <w:caps/>
      <w:sz w:val="24"/>
      <w:szCs w:val="24"/>
    </w:rPr>
  </w:style>
  <w:style w:type="character" w:customStyle="1" w:styleId="Heading2Char">
    <w:name w:val="Heading 2 Char"/>
    <w:basedOn w:val="DefaultParagraphFont"/>
    <w:link w:val="Heading2"/>
    <w:uiPriority w:val="99"/>
    <w:rsid w:val="00AF5AB4"/>
    <w:rPr>
      <w:rFonts w:ascii="Times New Roman" w:hAnsi="Times New Roman" w:cs="Times New Roman"/>
      <w:b/>
      <w:bCs/>
      <w:sz w:val="26"/>
      <w:szCs w:val="26"/>
    </w:rPr>
  </w:style>
  <w:style w:type="character" w:customStyle="1" w:styleId="Heading3Char">
    <w:name w:val="Heading 3 Char"/>
    <w:basedOn w:val="DefaultParagraphFont"/>
    <w:link w:val="Heading3"/>
    <w:uiPriority w:val="99"/>
    <w:rsid w:val="00AF5AB4"/>
    <w:rPr>
      <w:rFonts w:ascii="Times New Roman" w:hAnsi="Times New Roman" w:cs="Times New Roman"/>
      <w:sz w:val="24"/>
      <w:szCs w:val="24"/>
      <w:u w:val="single"/>
    </w:rPr>
  </w:style>
  <w:style w:type="paragraph" w:customStyle="1" w:styleId="Multipleheadings">
    <w:name w:val="Multiple headings"/>
    <w:basedOn w:val="Normal"/>
    <w:uiPriority w:val="99"/>
    <w:rsid w:val="00AF5AB4"/>
    <w:pPr>
      <w:keepNext/>
      <w:jc w:val="center"/>
    </w:pPr>
    <w:rPr>
      <w:b/>
      <w:bCs/>
    </w:rPr>
  </w:style>
  <w:style w:type="character" w:customStyle="1" w:styleId="MultipleheadingsChar">
    <w:name w:val="Multiple headings Char"/>
    <w:basedOn w:val="DefaultParagraphFont"/>
    <w:uiPriority w:val="99"/>
    <w:rsid w:val="00AF5AB4"/>
    <w:rPr>
      <w:rFonts w:ascii="Times New Roman" w:hAnsi="Times New Roman" w:cs="Times New Roman"/>
      <w:b/>
      <w:bCs/>
      <w:sz w:val="24"/>
      <w:szCs w:val="24"/>
    </w:rPr>
  </w:style>
  <w:style w:type="paragraph" w:customStyle="1" w:styleId="Mainheading">
    <w:name w:val="Main heading"/>
    <w:basedOn w:val="Normal"/>
    <w:uiPriority w:val="99"/>
    <w:rsid w:val="00AF5AB4"/>
    <w:pPr>
      <w:keepNext/>
      <w:jc w:val="center"/>
    </w:pPr>
    <w:rPr>
      <w:b/>
      <w:bCs/>
    </w:rPr>
  </w:style>
  <w:style w:type="character" w:customStyle="1" w:styleId="MainheadingChar">
    <w:name w:val="Main heading Char"/>
    <w:basedOn w:val="DefaultParagraphFont"/>
    <w:uiPriority w:val="99"/>
    <w:rsid w:val="00AF5AB4"/>
    <w:rPr>
      <w:rFonts w:ascii="Times New Roman" w:hAnsi="Times New Roman" w:cs="Times New Roman"/>
      <w:b/>
      <w:bCs/>
      <w:sz w:val="24"/>
      <w:szCs w:val="24"/>
    </w:rPr>
  </w:style>
  <w:style w:type="paragraph" w:styleId="FootnoteText">
    <w:name w:val="footnote text"/>
    <w:basedOn w:val="Normal"/>
    <w:link w:val="FootnoteTextChar"/>
    <w:autoRedefine/>
    <w:uiPriority w:val="99"/>
    <w:rsid w:val="008F3942"/>
    <w:pPr>
      <w:widowControl w:val="0"/>
      <w:spacing w:line="240" w:lineRule="auto"/>
      <w:ind w:firstLine="720"/>
    </w:pPr>
  </w:style>
  <w:style w:type="character" w:customStyle="1" w:styleId="FootnoteTextChar">
    <w:name w:val="Footnote Text Char"/>
    <w:basedOn w:val="DefaultParagraphFont"/>
    <w:link w:val="FootnoteText"/>
    <w:uiPriority w:val="99"/>
    <w:rsid w:val="008F3942"/>
    <w:rPr>
      <w:rFonts w:ascii="Times New Roman" w:hAnsi="Times New Roman"/>
      <w:sz w:val="24"/>
      <w:szCs w:val="24"/>
    </w:rPr>
  </w:style>
  <w:style w:type="paragraph" w:customStyle="1" w:styleId="Footnote">
    <w:name w:val="Footnote"/>
    <w:basedOn w:val="Normal"/>
    <w:autoRedefine/>
    <w:uiPriority w:val="99"/>
    <w:rsid w:val="00AF5AB4"/>
    <w:pPr>
      <w:spacing w:after="120" w:line="240" w:lineRule="auto"/>
    </w:pPr>
    <w:rPr>
      <w:b/>
      <w:bCs/>
    </w:rPr>
  </w:style>
  <w:style w:type="character" w:customStyle="1" w:styleId="FootnoteChar">
    <w:name w:val="Footnote Char"/>
    <w:basedOn w:val="DefaultParagraphFont"/>
    <w:uiPriority w:val="99"/>
    <w:rsid w:val="00AF5AB4"/>
    <w:rPr>
      <w:rFonts w:ascii="Times New Roman" w:hAnsi="Times New Roman" w:cs="Times New Roman"/>
      <w:b/>
      <w:bCs/>
    </w:rPr>
  </w:style>
  <w:style w:type="character" w:styleId="FootnoteReference">
    <w:name w:val="footnote reference"/>
    <w:basedOn w:val="DefaultParagraphFont"/>
    <w:uiPriority w:val="99"/>
    <w:rsid w:val="00AF5AB4"/>
    <w:rPr>
      <w:rFonts w:ascii="Times New Roman" w:hAnsi="Times New Roman" w:cs="Times New Roman"/>
      <w:vertAlign w:val="superscript"/>
    </w:rPr>
  </w:style>
  <w:style w:type="paragraph" w:styleId="Header">
    <w:name w:val="header"/>
    <w:basedOn w:val="Normal"/>
    <w:link w:val="HeaderChar"/>
    <w:uiPriority w:val="99"/>
    <w:rsid w:val="00AF5AB4"/>
    <w:pPr>
      <w:tabs>
        <w:tab w:val="center" w:pos="4680"/>
        <w:tab w:val="right" w:pos="9360"/>
      </w:tabs>
    </w:pPr>
  </w:style>
  <w:style w:type="character" w:customStyle="1" w:styleId="HeaderChar">
    <w:name w:val="Header Char"/>
    <w:basedOn w:val="DefaultParagraphFont"/>
    <w:link w:val="Header"/>
    <w:uiPriority w:val="99"/>
    <w:rsid w:val="00AF5AB4"/>
    <w:rPr>
      <w:rFonts w:ascii="Times New Roman" w:hAnsi="Times New Roman" w:cs="Times New Roman"/>
    </w:rPr>
  </w:style>
  <w:style w:type="paragraph" w:styleId="Footer">
    <w:name w:val="footer"/>
    <w:basedOn w:val="Normal"/>
    <w:link w:val="FooterChar"/>
    <w:uiPriority w:val="99"/>
    <w:rsid w:val="00AF5AB4"/>
    <w:pPr>
      <w:tabs>
        <w:tab w:val="center" w:pos="4680"/>
        <w:tab w:val="right" w:pos="9360"/>
      </w:tabs>
    </w:pPr>
  </w:style>
  <w:style w:type="character" w:customStyle="1" w:styleId="FooterChar">
    <w:name w:val="Footer Char"/>
    <w:basedOn w:val="DefaultParagraphFont"/>
    <w:link w:val="Footer"/>
    <w:uiPriority w:val="99"/>
    <w:rsid w:val="00AF5AB4"/>
    <w:rPr>
      <w:rFonts w:ascii="Times New Roman" w:hAnsi="Times New Roman" w:cs="Times New Roman"/>
    </w:rPr>
  </w:style>
  <w:style w:type="paragraph" w:styleId="ListParagraph">
    <w:name w:val="List Paragraph"/>
    <w:basedOn w:val="Normal"/>
    <w:uiPriority w:val="99"/>
    <w:qFormat/>
    <w:rsid w:val="00AF5AB4"/>
    <w:pPr>
      <w:ind w:left="720"/>
    </w:pPr>
  </w:style>
  <w:style w:type="paragraph" w:styleId="BalloonText">
    <w:name w:val="Balloon Text"/>
    <w:basedOn w:val="Normal"/>
    <w:link w:val="BalloonTextChar"/>
    <w:uiPriority w:val="99"/>
    <w:rsid w:val="00AF5A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F5AB4"/>
    <w:rPr>
      <w:rFonts w:ascii="Tahoma" w:hAnsi="Tahoma" w:cs="Tahoma"/>
      <w:sz w:val="16"/>
      <w:szCs w:val="16"/>
    </w:rPr>
  </w:style>
  <w:style w:type="paragraph" w:customStyle="1" w:styleId="Default">
    <w:name w:val="Default"/>
    <w:uiPriority w:val="99"/>
    <w:rsid w:val="00AF5AB4"/>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C78D7-4F9D-4F8D-AA6F-06A8280F7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3142</Words>
  <Characters>16886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PUBLIC MATTER – NOT DESIGNATED FOR PUBLICATION</vt:lpstr>
    </vt:vector>
  </TitlesOfParts>
  <Company>State Bar of California</Company>
  <LinksUpToDate>false</LinksUpToDate>
  <CharactersWithSpaces>19989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MATTER – NOT DESIGNATED FOR PUBLICATION</dc:title>
  <dc:subject/>
  <cp:keywords/>
  <dc:description/>
  <cp:lastModifiedBy>Mina Ruiz</cp:lastModifiedBy>
  <cp:revision>2</cp:revision>
  <cp:lastPrinted>2010-10-09T00:00:00Z</cp:lastPrinted>
  <dcterms:created xsi:type="dcterms:W3CDTF">2010-10-09T00:00:00Z</dcterms:created>
  <dcterms:modified xsi:type="dcterms:W3CDTF">2010-10-09T00:00:00Z</dcterms:modified>
</cp:coreProperties>
</file>