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F052E" w:rsidRDefault="00FF052E" w:rsidP="00FF052E">
      <w:pPr>
        <w:contextualSpacing/>
        <w:jc w:val="right"/>
        <w:rPr>
          <w:sz w:val="36"/>
        </w:rPr>
      </w:pPr>
      <w:r w:rsidRPr="00FF052E">
        <w:t>FILED APRIL 8, 2011</w:t>
      </w:r>
    </w:p>
    <w:p w:rsidR="00250669" w:rsidRPr="00932D5B" w:rsidRDefault="00250669" w:rsidP="00C166E7">
      <w:pPr>
        <w:contextualSpacing/>
      </w:pPr>
    </w:p>
    <w:p w:rsidR="00250669" w:rsidRPr="00932D5B" w:rsidRDefault="00250669" w:rsidP="00C166E7">
      <w:pPr>
        <w:contextualSpacing/>
      </w:pPr>
    </w:p>
    <w:p w:rsidR="003D3B12" w:rsidRPr="00932D5B" w:rsidRDefault="003D3B12" w:rsidP="00C166E7">
      <w:pPr>
        <w:contextualSpacing/>
      </w:pPr>
    </w:p>
    <w:p w:rsidR="000A15BD" w:rsidRPr="00932D5B" w:rsidRDefault="000A15BD" w:rsidP="00C166E7">
      <w:pPr>
        <w:contextualSpacing/>
      </w:pPr>
    </w:p>
    <w:p w:rsidR="003D3B12" w:rsidRPr="00932D5B" w:rsidRDefault="003D3B12" w:rsidP="00C166E7">
      <w:pPr>
        <w:contextualSpacing/>
      </w:pPr>
    </w:p>
    <w:p w:rsidR="003D3B12" w:rsidRPr="00932D5B" w:rsidRDefault="003D3B12" w:rsidP="00C166E7">
      <w:pPr>
        <w:pStyle w:val="Heading1"/>
        <w:contextualSpacing/>
      </w:pPr>
      <w:r w:rsidRPr="00932D5B">
        <w:t>STATE BAR COURT OF CALIFORNIA</w:t>
      </w:r>
    </w:p>
    <w:p w:rsidR="003D3B12" w:rsidRPr="00932D5B" w:rsidRDefault="003D3B12" w:rsidP="00C166E7">
      <w:pPr>
        <w:spacing w:line="480" w:lineRule="auto"/>
        <w:contextualSpacing/>
        <w:jc w:val="center"/>
        <w:rPr>
          <w:b/>
          <w:bCs/>
        </w:rPr>
      </w:pPr>
      <w:r w:rsidRPr="00932D5B">
        <w:rPr>
          <w:b/>
          <w:bCs/>
        </w:rPr>
        <w:t xml:space="preserve">HEARING DEPARTMENT – </w:t>
      </w:r>
      <w:bookmarkStart w:id="0" w:name="venue"/>
      <w:bookmarkEnd w:id="0"/>
      <w:r w:rsidR="001666D5">
        <w:rPr>
          <w:b/>
          <w:bCs/>
        </w:rPr>
        <w:t>LOS ANG</w:t>
      </w:r>
      <w:r w:rsidR="00C66E6B">
        <w:rPr>
          <w:b/>
          <w:bCs/>
        </w:rPr>
        <w:t>E</w:t>
      </w:r>
      <w:r w:rsidR="001666D5">
        <w:rPr>
          <w:b/>
          <w:bCs/>
        </w:rPr>
        <w:t>LES</w:t>
      </w:r>
    </w:p>
    <w:p w:rsidR="003D3B12" w:rsidRPr="00932D5B" w:rsidRDefault="003D3B12" w:rsidP="00C166E7">
      <w:pPr>
        <w:spacing w:line="480" w:lineRule="auto"/>
        <w:contextualSpacing/>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RPr="00932D5B" w:rsidTr="000A15BD">
        <w:trPr>
          <w:cantSplit/>
          <w:trHeight w:val="462"/>
        </w:trPr>
        <w:tc>
          <w:tcPr>
            <w:tcW w:w="4373" w:type="dxa"/>
            <w:vMerge w:val="restart"/>
          </w:tcPr>
          <w:p w:rsidR="003D3B12" w:rsidRPr="00932D5B" w:rsidRDefault="003D3B12" w:rsidP="00C166E7">
            <w:pPr>
              <w:contextualSpacing/>
            </w:pPr>
            <w:r w:rsidRPr="00932D5B">
              <w:t>In the Matter of</w:t>
            </w:r>
          </w:p>
          <w:p w:rsidR="000A15BD" w:rsidRPr="00932D5B" w:rsidRDefault="000A15BD" w:rsidP="00C166E7">
            <w:pPr>
              <w:contextualSpacing/>
              <w:rPr>
                <w:b/>
                <w:bCs/>
              </w:rPr>
            </w:pPr>
            <w:bookmarkStart w:id="1" w:name="resp"/>
            <w:bookmarkEnd w:id="1"/>
          </w:p>
          <w:p w:rsidR="003D3B12" w:rsidRPr="00932D5B" w:rsidRDefault="0021164B" w:rsidP="00C166E7">
            <w:pPr>
              <w:contextualSpacing/>
              <w:rPr>
                <w:b/>
                <w:bCs/>
              </w:rPr>
            </w:pPr>
            <w:r w:rsidRPr="0021164B">
              <w:rPr>
                <w:b/>
                <w:bCs/>
              </w:rPr>
              <w:t>GLENN DALE NELSON</w:t>
            </w:r>
            <w:r w:rsidR="00250669" w:rsidRPr="00932D5B">
              <w:rPr>
                <w:b/>
                <w:bCs/>
              </w:rPr>
              <w:t>,</w:t>
            </w:r>
          </w:p>
          <w:p w:rsidR="003D3B12" w:rsidRPr="00932D5B" w:rsidRDefault="003D3B12" w:rsidP="00C166E7">
            <w:pPr>
              <w:contextualSpacing/>
              <w:rPr>
                <w:b/>
                <w:bCs/>
              </w:rPr>
            </w:pPr>
            <w:r w:rsidRPr="00932D5B">
              <w:rPr>
                <w:b/>
                <w:bCs/>
              </w:rPr>
              <w:t xml:space="preserve">Member No.  </w:t>
            </w:r>
            <w:bookmarkStart w:id="2" w:name="member"/>
            <w:bookmarkEnd w:id="2"/>
            <w:r w:rsidR="0021164B">
              <w:rPr>
                <w:b/>
                <w:bCs/>
              </w:rPr>
              <w:t>74832</w:t>
            </w:r>
            <w:r w:rsidR="00250669" w:rsidRPr="00932D5B">
              <w:rPr>
                <w:b/>
                <w:bCs/>
              </w:rPr>
              <w:t>,</w:t>
            </w:r>
          </w:p>
          <w:p w:rsidR="003D3B12" w:rsidRPr="00932D5B" w:rsidRDefault="003D3B12" w:rsidP="00C166E7">
            <w:pPr>
              <w:contextualSpacing/>
              <w:rPr>
                <w:b/>
                <w:bCs/>
              </w:rPr>
            </w:pPr>
          </w:p>
          <w:p w:rsidR="003D3B12" w:rsidRPr="00932D5B" w:rsidRDefault="00D81392" w:rsidP="00C166E7">
            <w:pPr>
              <w:contextualSpacing/>
            </w:pPr>
            <w:bookmarkStart w:id="3" w:name="type"/>
            <w:bookmarkEnd w:id="3"/>
            <w:r w:rsidRPr="00932D5B">
              <w:t>A Member of the State Bar.</w:t>
            </w:r>
          </w:p>
        </w:tc>
        <w:tc>
          <w:tcPr>
            <w:tcW w:w="182" w:type="dxa"/>
            <w:vMerge w:val="restart"/>
            <w:tcBorders>
              <w:bottom w:val="nil"/>
            </w:tcBorders>
          </w:tcPr>
          <w:p w:rsidR="003D3B12" w:rsidRPr="00932D5B" w:rsidRDefault="003D3B12" w:rsidP="00C166E7">
            <w:pPr>
              <w:contextualSpacing/>
              <w:rPr>
                <w:b/>
                <w:bCs/>
              </w:rPr>
            </w:pPr>
            <w:r w:rsidRPr="00932D5B">
              <w:rPr>
                <w:b/>
                <w:bCs/>
              </w:rPr>
              <w:t>)</w:t>
            </w:r>
          </w:p>
          <w:p w:rsidR="003D3B12" w:rsidRPr="00932D5B" w:rsidRDefault="003D3B12" w:rsidP="00C166E7">
            <w:pPr>
              <w:contextualSpacing/>
              <w:rPr>
                <w:b/>
                <w:bCs/>
              </w:rPr>
            </w:pPr>
            <w:r w:rsidRPr="00932D5B">
              <w:rPr>
                <w:b/>
                <w:bCs/>
              </w:rPr>
              <w:t>)</w:t>
            </w:r>
          </w:p>
          <w:p w:rsidR="003D3B12" w:rsidRPr="00932D5B" w:rsidRDefault="003D3B12" w:rsidP="00C166E7">
            <w:pPr>
              <w:contextualSpacing/>
              <w:rPr>
                <w:b/>
                <w:bCs/>
              </w:rPr>
            </w:pPr>
            <w:r w:rsidRPr="00932D5B">
              <w:rPr>
                <w:b/>
                <w:bCs/>
              </w:rPr>
              <w:t>)</w:t>
            </w:r>
          </w:p>
          <w:p w:rsidR="003D3B12" w:rsidRPr="00932D5B" w:rsidRDefault="003D3B12" w:rsidP="00C166E7">
            <w:pPr>
              <w:contextualSpacing/>
              <w:rPr>
                <w:b/>
                <w:bCs/>
              </w:rPr>
            </w:pPr>
            <w:r w:rsidRPr="00932D5B">
              <w:rPr>
                <w:b/>
                <w:bCs/>
              </w:rPr>
              <w:t>)</w:t>
            </w:r>
          </w:p>
          <w:p w:rsidR="003D3B12" w:rsidRPr="00932D5B" w:rsidRDefault="003D3B12" w:rsidP="00C166E7">
            <w:pPr>
              <w:contextualSpacing/>
              <w:rPr>
                <w:b/>
                <w:bCs/>
              </w:rPr>
            </w:pPr>
            <w:r w:rsidRPr="00932D5B">
              <w:rPr>
                <w:b/>
                <w:bCs/>
              </w:rPr>
              <w:t>)</w:t>
            </w:r>
          </w:p>
          <w:p w:rsidR="003D3B12" w:rsidRPr="00932D5B" w:rsidRDefault="003D3B12" w:rsidP="00C166E7">
            <w:pPr>
              <w:contextualSpacing/>
              <w:rPr>
                <w:b/>
                <w:bCs/>
              </w:rPr>
            </w:pPr>
            <w:r w:rsidRPr="00932D5B">
              <w:rPr>
                <w:b/>
                <w:bCs/>
              </w:rPr>
              <w:t>)</w:t>
            </w:r>
          </w:p>
        </w:tc>
        <w:tc>
          <w:tcPr>
            <w:tcW w:w="240" w:type="dxa"/>
            <w:vMerge w:val="restart"/>
            <w:tcBorders>
              <w:bottom w:val="nil"/>
            </w:tcBorders>
          </w:tcPr>
          <w:p w:rsidR="003D3B12" w:rsidRPr="00932D5B" w:rsidRDefault="003D3B12" w:rsidP="00C166E7">
            <w:pPr>
              <w:contextualSpacing/>
              <w:rPr>
                <w:b/>
                <w:bCs/>
              </w:rPr>
            </w:pPr>
          </w:p>
        </w:tc>
        <w:tc>
          <w:tcPr>
            <w:tcW w:w="1096" w:type="dxa"/>
            <w:tcBorders>
              <w:bottom w:val="nil"/>
            </w:tcBorders>
          </w:tcPr>
          <w:p w:rsidR="003D3B12" w:rsidRPr="00932D5B" w:rsidRDefault="003D3B12" w:rsidP="00C166E7">
            <w:pPr>
              <w:contextualSpacing/>
            </w:pPr>
            <w:r w:rsidRPr="00932D5B">
              <w:t>Case No.:</w:t>
            </w:r>
          </w:p>
        </w:tc>
        <w:tc>
          <w:tcPr>
            <w:tcW w:w="3464" w:type="dxa"/>
          </w:tcPr>
          <w:p w:rsidR="003D3B12" w:rsidRPr="00932D5B" w:rsidRDefault="0094560A" w:rsidP="00C166E7">
            <w:pPr>
              <w:contextualSpacing/>
              <w:rPr>
                <w:b/>
                <w:bCs/>
              </w:rPr>
            </w:pPr>
            <w:bookmarkStart w:id="4" w:name="caseno"/>
            <w:bookmarkEnd w:id="4"/>
            <w:r>
              <w:rPr>
                <w:b/>
                <w:bCs/>
              </w:rPr>
              <w:t>0</w:t>
            </w:r>
            <w:r w:rsidR="006E55A1">
              <w:rPr>
                <w:b/>
                <w:bCs/>
              </w:rPr>
              <w:t>8</w:t>
            </w:r>
            <w:r w:rsidR="00D81392" w:rsidRPr="00932D5B">
              <w:rPr>
                <w:b/>
                <w:bCs/>
              </w:rPr>
              <w:t>-</w:t>
            </w:r>
            <w:r w:rsidR="003C4CBE" w:rsidRPr="00932D5B">
              <w:rPr>
                <w:b/>
                <w:bCs/>
              </w:rPr>
              <w:t>O</w:t>
            </w:r>
            <w:r w:rsidR="00D81392" w:rsidRPr="00932D5B">
              <w:rPr>
                <w:b/>
                <w:bCs/>
              </w:rPr>
              <w:t>-</w:t>
            </w:r>
            <w:r w:rsidR="006E55A1">
              <w:rPr>
                <w:b/>
                <w:bCs/>
              </w:rPr>
              <w:t>14180</w:t>
            </w:r>
            <w:r w:rsidR="00FE1AAB" w:rsidRPr="00932D5B">
              <w:rPr>
                <w:b/>
                <w:bCs/>
              </w:rPr>
              <w:t>-LMA</w:t>
            </w:r>
          </w:p>
        </w:tc>
      </w:tr>
      <w:tr w:rsidR="003D3B12" w:rsidRPr="00932D5B" w:rsidTr="000A15BD">
        <w:trPr>
          <w:cantSplit/>
          <w:trHeight w:val="1170"/>
        </w:trPr>
        <w:tc>
          <w:tcPr>
            <w:tcW w:w="4373" w:type="dxa"/>
            <w:vMerge/>
          </w:tcPr>
          <w:p w:rsidR="003D3B12" w:rsidRPr="00932D5B" w:rsidRDefault="003D3B12" w:rsidP="00C166E7">
            <w:pPr>
              <w:contextualSpacing/>
            </w:pPr>
          </w:p>
        </w:tc>
        <w:tc>
          <w:tcPr>
            <w:tcW w:w="182" w:type="dxa"/>
            <w:vMerge/>
            <w:tcBorders>
              <w:bottom w:val="nil"/>
            </w:tcBorders>
          </w:tcPr>
          <w:p w:rsidR="003D3B12" w:rsidRPr="00932D5B" w:rsidRDefault="003D3B12" w:rsidP="00C166E7">
            <w:pPr>
              <w:contextualSpacing/>
              <w:rPr>
                <w:b/>
                <w:bCs/>
              </w:rPr>
            </w:pPr>
          </w:p>
        </w:tc>
        <w:tc>
          <w:tcPr>
            <w:tcW w:w="240" w:type="dxa"/>
            <w:vMerge/>
            <w:tcBorders>
              <w:bottom w:val="nil"/>
            </w:tcBorders>
          </w:tcPr>
          <w:p w:rsidR="003D3B12" w:rsidRPr="00932D5B" w:rsidRDefault="003D3B12" w:rsidP="00C166E7">
            <w:pPr>
              <w:contextualSpacing/>
              <w:rPr>
                <w:b/>
                <w:bCs/>
              </w:rPr>
            </w:pPr>
          </w:p>
        </w:tc>
        <w:tc>
          <w:tcPr>
            <w:tcW w:w="4560" w:type="dxa"/>
            <w:gridSpan w:val="2"/>
            <w:tcBorders>
              <w:bottom w:val="nil"/>
            </w:tcBorders>
          </w:tcPr>
          <w:p w:rsidR="00E7531B" w:rsidRPr="00932D5B" w:rsidRDefault="00D81392" w:rsidP="00C166E7">
            <w:pPr>
              <w:contextualSpacing/>
              <w:rPr>
                <w:b/>
                <w:bCs/>
              </w:rPr>
            </w:pPr>
            <w:bookmarkStart w:id="5" w:name="title"/>
            <w:bookmarkEnd w:id="5"/>
            <w:r w:rsidRPr="00932D5B">
              <w:rPr>
                <w:b/>
                <w:bCs/>
              </w:rPr>
              <w:t>DECISION</w:t>
            </w:r>
            <w:r w:rsidR="00814877" w:rsidRPr="00932D5B">
              <w:rPr>
                <w:b/>
                <w:bCs/>
              </w:rPr>
              <w:t xml:space="preserve"> </w:t>
            </w:r>
            <w:r w:rsidR="00E7531B" w:rsidRPr="00932D5B">
              <w:rPr>
                <w:b/>
                <w:bCs/>
              </w:rPr>
              <w:t>&amp; ORDER OF</w:t>
            </w:r>
          </w:p>
          <w:p w:rsidR="00E7531B" w:rsidRPr="00932D5B" w:rsidRDefault="00E7531B" w:rsidP="00C166E7">
            <w:pPr>
              <w:contextualSpacing/>
              <w:rPr>
                <w:b/>
                <w:bCs/>
              </w:rPr>
            </w:pPr>
            <w:r w:rsidRPr="00932D5B">
              <w:rPr>
                <w:b/>
                <w:bCs/>
              </w:rPr>
              <w:t>INVOLUNTARY INACTIVE ENROLLMENT</w:t>
            </w:r>
            <w:r w:rsidRPr="00932D5B">
              <w:rPr>
                <w:b/>
                <w:bCs/>
                <w:vertAlign w:val="superscript"/>
              </w:rPr>
              <w:footnoteReference w:id="1"/>
            </w:r>
            <w:r w:rsidRPr="00932D5B">
              <w:rPr>
                <w:b/>
                <w:bCs/>
              </w:rPr>
              <w:t xml:space="preserve"> </w:t>
            </w:r>
          </w:p>
          <w:p w:rsidR="003D3B12" w:rsidRPr="00932D5B" w:rsidRDefault="003D3B12" w:rsidP="00C166E7">
            <w:pPr>
              <w:contextualSpacing/>
              <w:rPr>
                <w:b/>
                <w:bCs/>
              </w:rPr>
            </w:pPr>
          </w:p>
        </w:tc>
      </w:tr>
    </w:tbl>
    <w:p w:rsidR="003A2A25" w:rsidRPr="00932D5B" w:rsidRDefault="003A2A25" w:rsidP="00C166E7">
      <w:pPr>
        <w:contextualSpacing/>
        <w:jc w:val="center"/>
        <w:rPr>
          <w:b/>
        </w:rPr>
      </w:pPr>
    </w:p>
    <w:p w:rsidR="0021164B" w:rsidRDefault="0021164B" w:rsidP="00C166E7">
      <w:pPr>
        <w:contextualSpacing/>
        <w:jc w:val="center"/>
        <w:rPr>
          <w:b/>
        </w:rPr>
      </w:pPr>
    </w:p>
    <w:p w:rsidR="00D81392" w:rsidRPr="00932D5B" w:rsidRDefault="00D81392" w:rsidP="00C166E7">
      <w:pPr>
        <w:contextualSpacing/>
        <w:jc w:val="center"/>
        <w:rPr>
          <w:b/>
        </w:rPr>
      </w:pPr>
      <w:r w:rsidRPr="00932D5B">
        <w:rPr>
          <w:b/>
        </w:rPr>
        <w:t xml:space="preserve">I.  </w:t>
      </w:r>
      <w:r w:rsidR="00836F32" w:rsidRPr="00932D5B">
        <w:rPr>
          <w:b/>
        </w:rPr>
        <w:t>INTRODUCTION</w:t>
      </w:r>
    </w:p>
    <w:p w:rsidR="003A2A25" w:rsidRPr="00932D5B" w:rsidRDefault="003A2A25" w:rsidP="00C166E7">
      <w:pPr>
        <w:contextualSpacing/>
        <w:jc w:val="center"/>
        <w:rPr>
          <w:b/>
        </w:rPr>
      </w:pPr>
    </w:p>
    <w:p w:rsidR="0021164B" w:rsidRDefault="0021164B" w:rsidP="00C166E7">
      <w:pPr>
        <w:spacing w:line="480" w:lineRule="auto"/>
        <w:ind w:firstLine="720"/>
        <w:contextualSpacing/>
      </w:pPr>
      <w:r>
        <w:t xml:space="preserve">In this contested, original disciplinary proceeding, the Office of </w:t>
      </w:r>
      <w:r w:rsidR="0094560A">
        <w:t xml:space="preserve">the </w:t>
      </w:r>
      <w:r>
        <w:t xml:space="preserve">Chief Trial Counsel of the State Bar of California (hereafter State Bar) charges respondent </w:t>
      </w:r>
      <w:r w:rsidRPr="00424A43">
        <w:rPr>
          <w:b/>
        </w:rPr>
        <w:t xml:space="preserve">GLENN DALE NELSON </w:t>
      </w:r>
      <w:r>
        <w:t xml:space="preserve">with two counts of professional misconduct.  In count one, the State Bar charges that respondent </w:t>
      </w:r>
      <w:r w:rsidR="00FC4780">
        <w:t xml:space="preserve">repeatedly </w:t>
      </w:r>
      <w:r>
        <w:t xml:space="preserve">failed to comply with three of the </w:t>
      </w:r>
      <w:r w:rsidR="00983DC9">
        <w:t xml:space="preserve">seven </w:t>
      </w:r>
      <w:r>
        <w:t xml:space="preserve">probation conditions </w:t>
      </w:r>
      <w:r w:rsidR="00983DC9">
        <w:t xml:space="preserve">that were imposed on </w:t>
      </w:r>
      <w:r w:rsidR="006D7B1B">
        <w:t xml:space="preserve">him </w:t>
      </w:r>
      <w:r w:rsidR="00983DC9">
        <w:t xml:space="preserve">under the </w:t>
      </w:r>
      <w:r>
        <w:t>Supreme Court</w:t>
      </w:r>
      <w:r w:rsidR="00983DC9">
        <w:t xml:space="preserve">’s </w:t>
      </w:r>
      <w:r>
        <w:t xml:space="preserve">April 26, 2006 order in </w:t>
      </w:r>
      <w:r w:rsidRPr="003C23AD">
        <w:rPr>
          <w:i/>
        </w:rPr>
        <w:t>In Re Glenn Dale Nelson on Discipline</w:t>
      </w:r>
      <w:r>
        <w:t>, case number S141203 (State Bar Court case number 05</w:t>
      </w:r>
      <w:r w:rsidR="00647940">
        <w:noBreakHyphen/>
      </w:r>
      <w:r>
        <w:t>H</w:t>
      </w:r>
      <w:r w:rsidR="00647940">
        <w:noBreakHyphen/>
      </w:r>
      <w:r>
        <w:t xml:space="preserve">03307) (hereafter </w:t>
      </w:r>
      <w:r w:rsidRPr="00424A43">
        <w:rPr>
          <w:i/>
        </w:rPr>
        <w:t>Nelson</w:t>
      </w:r>
      <w:r>
        <w:t xml:space="preserve"> II).  (Bus. &amp; Prof. Code, §</w:t>
      </w:r>
      <w:r w:rsidR="00424A43">
        <w:t> </w:t>
      </w:r>
      <w:r>
        <w:t>6068, subd. (k).)</w:t>
      </w:r>
      <w:r w:rsidR="00424A43">
        <w:rPr>
          <w:rStyle w:val="FootnoteReference"/>
        </w:rPr>
        <w:footnoteReference w:id="2"/>
      </w:r>
      <w:r>
        <w:t xml:space="preserve">   In count two, the State Bar charges that</w:t>
      </w:r>
      <w:r w:rsidR="006D7B1B">
        <w:t xml:space="preserve">, over </w:t>
      </w:r>
      <w:r w:rsidR="00FC4780">
        <w:t xml:space="preserve">a </w:t>
      </w:r>
      <w:r w:rsidR="006D7B1B">
        <w:t>two-year period</w:t>
      </w:r>
      <w:r w:rsidR="00FC4780">
        <w:t xml:space="preserve">, </w:t>
      </w:r>
      <w:r>
        <w:t xml:space="preserve">respondent </w:t>
      </w:r>
      <w:r w:rsidR="00DF13E6">
        <w:t xml:space="preserve">deliberately misrepresented, </w:t>
      </w:r>
      <w:r>
        <w:t>to the State Bar's Office of Probation</w:t>
      </w:r>
      <w:r w:rsidR="00DF13E6">
        <w:t>,</w:t>
      </w:r>
      <w:r>
        <w:t xml:space="preserve"> </w:t>
      </w:r>
      <w:r w:rsidR="006D7B1B">
        <w:lastRenderedPageBreak/>
        <w:t xml:space="preserve">that he was in </w:t>
      </w:r>
      <w:r w:rsidR="00404A22">
        <w:t xml:space="preserve">compliance with the probation condition in </w:t>
      </w:r>
      <w:r w:rsidR="00DF13E6" w:rsidRPr="00424A43">
        <w:rPr>
          <w:i/>
        </w:rPr>
        <w:t>Nelson</w:t>
      </w:r>
      <w:r w:rsidR="00DF13E6">
        <w:t xml:space="preserve"> II</w:t>
      </w:r>
      <w:r w:rsidR="00404A22">
        <w:t xml:space="preserve"> that required him to make </w:t>
      </w:r>
      <w:r w:rsidR="006D7B1B">
        <w:t xml:space="preserve">specified monthly </w:t>
      </w:r>
      <w:r w:rsidR="001C48C9">
        <w:t>restitution</w:t>
      </w:r>
      <w:r w:rsidR="00404A22">
        <w:t xml:space="preserve"> payments to the Client Security Fund (hereafter CSF).</w:t>
      </w:r>
      <w:r w:rsidR="009D7F04">
        <w:t xml:space="preserve">  </w:t>
      </w:r>
      <w:r>
        <w:t>(§ 6106.)</w:t>
      </w:r>
    </w:p>
    <w:p w:rsidR="0021164B" w:rsidRDefault="0021164B" w:rsidP="00C166E7">
      <w:pPr>
        <w:spacing w:line="480" w:lineRule="auto"/>
        <w:ind w:firstLine="720"/>
        <w:contextualSpacing/>
      </w:pPr>
      <w:r>
        <w:t xml:space="preserve">For the reasons set forth </w:t>
      </w:r>
      <w:r w:rsidRPr="00836F32">
        <w:rPr>
          <w:i/>
        </w:rPr>
        <w:t>post</w:t>
      </w:r>
      <w:r>
        <w:t xml:space="preserve">, the court finds that respondent is culpable of </w:t>
      </w:r>
      <w:r w:rsidR="0091727F">
        <w:t>most</w:t>
      </w:r>
      <w:r w:rsidR="00FC4780">
        <w:t xml:space="preserve"> </w:t>
      </w:r>
      <w:r w:rsidR="0091727F">
        <w:t xml:space="preserve">of </w:t>
      </w:r>
      <w:r>
        <w:t xml:space="preserve">the charged misconduct and concludes that the appropriate discipline </w:t>
      </w:r>
      <w:r w:rsidR="00404A22">
        <w:t>r</w:t>
      </w:r>
      <w:r>
        <w:t>ecommend</w:t>
      </w:r>
      <w:r w:rsidR="00404A22">
        <w:t xml:space="preserve">ation is that respondent be disbarred and that he be </w:t>
      </w:r>
      <w:r w:rsidR="0091727F">
        <w:t xml:space="preserve">required to finish </w:t>
      </w:r>
      <w:r w:rsidR="00FF6B78">
        <w:t xml:space="preserve">making </w:t>
      </w:r>
      <w:r w:rsidR="00F550C7">
        <w:t>restitution</w:t>
      </w:r>
      <w:r w:rsidR="00404A22">
        <w:t xml:space="preserve"> </w:t>
      </w:r>
      <w:r w:rsidR="00FF6B78">
        <w:t xml:space="preserve">to </w:t>
      </w:r>
      <w:r w:rsidR="00404A22">
        <w:t>CSF</w:t>
      </w:r>
      <w:r w:rsidR="00F550C7">
        <w:t xml:space="preserve">.  </w:t>
      </w:r>
      <w:r w:rsidR="00FD17FD">
        <w:t>Moreover, because the court recommend</w:t>
      </w:r>
      <w:r w:rsidR="00FC4780">
        <w:t>s</w:t>
      </w:r>
      <w:r w:rsidR="00FD17FD">
        <w:t xml:space="preserve"> that respondent be disbarred, the court must </w:t>
      </w:r>
      <w:r>
        <w:t>order that respondent be involuntarily enrolled as an inactive member of the State Bar of California pending the final disposition of this proceeding.  (§ 6007, subd. (c)(4).)</w:t>
      </w:r>
    </w:p>
    <w:p w:rsidR="0021164B" w:rsidRDefault="0021164B" w:rsidP="00C166E7">
      <w:pPr>
        <w:spacing w:line="480" w:lineRule="auto"/>
        <w:ind w:firstLine="720"/>
        <w:contextualSpacing/>
      </w:pPr>
      <w:r>
        <w:t xml:space="preserve">The State Bar was represented by Deputy Trial Counsel Charles T. Calix.  Respondent represented himself. </w:t>
      </w:r>
    </w:p>
    <w:p w:rsidR="0021164B" w:rsidRPr="00836F32" w:rsidRDefault="0021164B" w:rsidP="00C166E7">
      <w:pPr>
        <w:spacing w:line="480" w:lineRule="auto"/>
        <w:contextualSpacing/>
        <w:jc w:val="center"/>
        <w:rPr>
          <w:b/>
        </w:rPr>
      </w:pPr>
      <w:r w:rsidRPr="00836F32">
        <w:rPr>
          <w:b/>
        </w:rPr>
        <w:t>II.  PERTINENT PROCEDURAL HISTORY</w:t>
      </w:r>
    </w:p>
    <w:p w:rsidR="0021164B" w:rsidRDefault="0021164B" w:rsidP="00C166E7">
      <w:pPr>
        <w:spacing w:line="480" w:lineRule="auto"/>
        <w:ind w:firstLine="720"/>
        <w:contextualSpacing/>
      </w:pPr>
      <w:r>
        <w:t>The State Bar filed the notice of disciplinary charges (</w:t>
      </w:r>
      <w:r w:rsidR="00C166E7">
        <w:t xml:space="preserve">hereafter </w:t>
      </w:r>
      <w:r>
        <w:t xml:space="preserve">NDC) in this matter on July 29, 2009.  Respondent, however, failed to timely file a response to the NDC.  </w:t>
      </w:r>
      <w:r w:rsidR="00F550C7">
        <w:t xml:space="preserve">Thus, </w:t>
      </w:r>
      <w:r>
        <w:t xml:space="preserve">on September 15, 2009, the State Bar filed a motion for entry of respondent’s </w:t>
      </w:r>
      <w:r w:rsidR="000D71F6">
        <w:t>de</w:t>
      </w:r>
      <w:r>
        <w:t>fault, which the court granted in an</w:t>
      </w:r>
      <w:r w:rsidR="007B05B2">
        <w:t xml:space="preserve"> order filed on October 7, 2009.</w:t>
      </w:r>
    </w:p>
    <w:p w:rsidR="00924D45" w:rsidRDefault="00F550C7" w:rsidP="00C166E7">
      <w:pPr>
        <w:spacing w:line="480" w:lineRule="auto"/>
        <w:ind w:firstLine="720"/>
        <w:contextualSpacing/>
      </w:pPr>
      <w:r>
        <w:t>On</w:t>
      </w:r>
      <w:r w:rsidRPr="00F550C7">
        <w:t xml:space="preserve"> </w:t>
      </w:r>
      <w:r>
        <w:t xml:space="preserve">October 23, 2009, respondent filed both a response to the NDC and a motion to </w:t>
      </w:r>
      <w:r w:rsidR="0021164B">
        <w:t xml:space="preserve">set aside </w:t>
      </w:r>
      <w:r>
        <w:t xml:space="preserve">his </w:t>
      </w:r>
      <w:r w:rsidR="0021164B">
        <w:t>default</w:t>
      </w:r>
      <w:r>
        <w:t xml:space="preserve">.  </w:t>
      </w:r>
      <w:r w:rsidR="00924D45" w:rsidRPr="00924D45">
        <w:t xml:space="preserve">And, on October 29, 2009, the State Bar filed </w:t>
      </w:r>
      <w:r w:rsidR="00924D45">
        <w:t xml:space="preserve">a </w:t>
      </w:r>
      <w:r w:rsidR="00924D45" w:rsidRPr="00924D45">
        <w:t xml:space="preserve">response stating that it did not oppose respondent’s motion.  </w:t>
      </w:r>
      <w:r w:rsidR="00924D45">
        <w:t xml:space="preserve">Thereafter, at </w:t>
      </w:r>
      <w:r w:rsidR="00924D45" w:rsidRPr="00924D45">
        <w:t>a status conference</w:t>
      </w:r>
      <w:r w:rsidR="00924D45">
        <w:t xml:space="preserve"> on </w:t>
      </w:r>
      <w:r w:rsidR="00924D45" w:rsidRPr="00924D45">
        <w:t>November 2, 2009</w:t>
      </w:r>
      <w:r w:rsidR="00924D45">
        <w:t xml:space="preserve">, the court granted respondent’s motion and set aside </w:t>
      </w:r>
      <w:r w:rsidR="00540307">
        <w:t xml:space="preserve">his </w:t>
      </w:r>
      <w:r w:rsidR="00924D45">
        <w:t>default.</w:t>
      </w:r>
    </w:p>
    <w:p w:rsidR="0021164B" w:rsidRDefault="00924D45" w:rsidP="00C166E7">
      <w:pPr>
        <w:spacing w:line="480" w:lineRule="auto"/>
        <w:ind w:firstLine="720"/>
        <w:contextualSpacing/>
      </w:pPr>
      <w:r>
        <w:t>O</w:t>
      </w:r>
      <w:r w:rsidR="00F70117">
        <w:t xml:space="preserve">n the motion of the State Bar, </w:t>
      </w:r>
      <w:r w:rsidR="0021164B">
        <w:t xml:space="preserve">the court </w:t>
      </w:r>
      <w:r w:rsidR="00404A22">
        <w:t xml:space="preserve">filed an order </w:t>
      </w:r>
      <w:r>
        <w:t xml:space="preserve">on October 25, 2010, </w:t>
      </w:r>
      <w:r w:rsidR="00AA03B2">
        <w:t>in which it s</w:t>
      </w:r>
      <w:r w:rsidR="00040D45">
        <w:t>anction</w:t>
      </w:r>
      <w:r w:rsidR="00AA03B2">
        <w:t xml:space="preserve">ed </w:t>
      </w:r>
      <w:r w:rsidR="00040D45">
        <w:t>r</w:t>
      </w:r>
      <w:r w:rsidR="0021164B">
        <w:t>espondent</w:t>
      </w:r>
      <w:r w:rsidR="00F550C7">
        <w:t xml:space="preserve"> for </w:t>
      </w:r>
      <w:r w:rsidR="00C166E7">
        <w:t>repeated</w:t>
      </w:r>
      <w:r w:rsidR="0084089E">
        <w:t xml:space="preserve">ly </w:t>
      </w:r>
      <w:r w:rsidR="0021164B">
        <w:t>fail</w:t>
      </w:r>
      <w:r w:rsidR="0084089E">
        <w:t xml:space="preserve">ing </w:t>
      </w:r>
      <w:r w:rsidR="00F70117">
        <w:t>to cooperate with discovery</w:t>
      </w:r>
      <w:r w:rsidR="00040D45">
        <w:t xml:space="preserve"> and </w:t>
      </w:r>
      <w:r w:rsidR="0084089E">
        <w:t xml:space="preserve">for </w:t>
      </w:r>
      <w:r w:rsidR="007B1CAB">
        <w:t>deliberate</w:t>
      </w:r>
      <w:r w:rsidR="0084089E">
        <w:t>ly</w:t>
      </w:r>
      <w:r w:rsidR="007B1CAB">
        <w:t xml:space="preserve"> </w:t>
      </w:r>
      <w:r w:rsidR="0021164B">
        <w:t>disobe</w:t>
      </w:r>
      <w:r w:rsidR="0084089E">
        <w:t xml:space="preserve">ying </w:t>
      </w:r>
      <w:r w:rsidR="00AA03B2">
        <w:t xml:space="preserve">this court’s September 13, 2010 </w:t>
      </w:r>
      <w:r w:rsidR="0021164B">
        <w:t xml:space="preserve">order compelling </w:t>
      </w:r>
      <w:r w:rsidR="00540307">
        <w:t xml:space="preserve">him </w:t>
      </w:r>
      <w:r w:rsidR="0021164B">
        <w:t xml:space="preserve">to respond to </w:t>
      </w:r>
      <w:r w:rsidR="00040D45">
        <w:t xml:space="preserve">a </w:t>
      </w:r>
      <w:r w:rsidR="0021164B">
        <w:t>State Bar</w:t>
      </w:r>
      <w:r w:rsidR="00040D45">
        <w:t xml:space="preserve"> d</w:t>
      </w:r>
      <w:r w:rsidR="0021164B">
        <w:t>emand for pro</w:t>
      </w:r>
      <w:r w:rsidR="00C166E7">
        <w:t xml:space="preserve">duction of documents.  </w:t>
      </w:r>
      <w:r w:rsidR="00540307">
        <w:t xml:space="preserve">In that October 25 order, the court </w:t>
      </w:r>
      <w:r w:rsidR="0084089E">
        <w:t>precluded</w:t>
      </w:r>
      <w:r w:rsidR="00F70117">
        <w:t xml:space="preserve"> </w:t>
      </w:r>
      <w:r w:rsidR="00540307">
        <w:t xml:space="preserve">respondent </w:t>
      </w:r>
      <w:r w:rsidR="00040D45">
        <w:lastRenderedPageBreak/>
        <w:t>“</w:t>
      </w:r>
      <w:r w:rsidR="0021164B">
        <w:t xml:space="preserve">from presenting or offering at trial any documentary evidence relating to </w:t>
      </w:r>
      <w:r w:rsidR="007B1CAB">
        <w:t xml:space="preserve">the </w:t>
      </w:r>
      <w:r w:rsidR="0021164B">
        <w:t xml:space="preserve">factual allegations or charges </w:t>
      </w:r>
      <w:r w:rsidR="00040D45">
        <w:t xml:space="preserve">set forth in </w:t>
      </w:r>
      <w:r w:rsidR="0021164B">
        <w:t xml:space="preserve">the </w:t>
      </w:r>
      <w:r w:rsidR="00AA03B2">
        <w:t>Notice of Disciplinary Charges</w:t>
      </w:r>
      <w:r w:rsidR="00540307">
        <w:t>. . . .</w:t>
      </w:r>
      <w:r w:rsidR="00040D45">
        <w:t>”</w:t>
      </w:r>
    </w:p>
    <w:p w:rsidR="00AA03B2" w:rsidRDefault="00540307" w:rsidP="00C166E7">
      <w:pPr>
        <w:spacing w:line="480" w:lineRule="auto"/>
        <w:ind w:firstLine="720"/>
        <w:contextualSpacing/>
      </w:pPr>
      <w:r>
        <w:t>A one-day t</w:t>
      </w:r>
      <w:r w:rsidR="0021164B">
        <w:t xml:space="preserve">rial was held on December 15, 2010.  Also, on December 15, the parties filed a partial stipulation as to facts and </w:t>
      </w:r>
      <w:r w:rsidR="00FF6B78">
        <w:t xml:space="preserve">as </w:t>
      </w:r>
      <w:r w:rsidR="0021164B">
        <w:t xml:space="preserve">to the </w:t>
      </w:r>
      <w:r w:rsidR="00FF6B78">
        <w:t xml:space="preserve">admissibility </w:t>
      </w:r>
      <w:r w:rsidR="0021164B">
        <w:t>of State Bar exhibits 1 through 25.</w:t>
      </w:r>
      <w:r w:rsidR="00AA03B2">
        <w:t xml:space="preserve">  At</w:t>
      </w:r>
      <w:r w:rsidR="00BF76D8">
        <w:t xml:space="preserve"> trial, </w:t>
      </w:r>
      <w:r w:rsidR="0021164B">
        <w:t xml:space="preserve">the court </w:t>
      </w:r>
      <w:r w:rsidR="00FB39F6">
        <w:t xml:space="preserve">ordered </w:t>
      </w:r>
      <w:r w:rsidR="007838A7">
        <w:t xml:space="preserve">the parties </w:t>
      </w:r>
      <w:r w:rsidR="0021164B">
        <w:t xml:space="preserve">to file </w:t>
      </w:r>
      <w:r w:rsidR="00FB39F6">
        <w:t>p</w:t>
      </w:r>
      <w:r w:rsidR="0021164B">
        <w:t>osttrial brief</w:t>
      </w:r>
      <w:r w:rsidR="007838A7">
        <w:t>s</w:t>
      </w:r>
      <w:r w:rsidR="0021164B">
        <w:t xml:space="preserve"> no later than January 7, 2011.</w:t>
      </w:r>
    </w:p>
    <w:p w:rsidR="0021164B" w:rsidRDefault="0021164B" w:rsidP="00C166E7">
      <w:pPr>
        <w:spacing w:line="480" w:lineRule="auto"/>
        <w:ind w:firstLine="720"/>
        <w:contextualSpacing/>
      </w:pPr>
      <w:r>
        <w:t>The State Bar timely filed its posttrial brief on January 7, 2011.  Respondent, however, filed</w:t>
      </w:r>
      <w:r w:rsidR="0091727F">
        <w:t xml:space="preserve"> his posttrial brief three days</w:t>
      </w:r>
      <w:r>
        <w:t xml:space="preserve"> late on January 10, 2011. </w:t>
      </w:r>
      <w:r w:rsidR="00647940">
        <w:t xml:space="preserve"> </w:t>
      </w:r>
      <w:r>
        <w:t>The court took the case under submission for decisio</w:t>
      </w:r>
      <w:r w:rsidR="007838A7">
        <w:t>n on January 10, 2011.</w:t>
      </w:r>
    </w:p>
    <w:p w:rsidR="0021164B" w:rsidRDefault="0021164B" w:rsidP="00C166E7">
      <w:pPr>
        <w:spacing w:line="480" w:lineRule="auto"/>
        <w:ind w:firstLine="720"/>
        <w:contextualSpacing/>
      </w:pPr>
      <w:r>
        <w:t xml:space="preserve">The State Bar was represented by Deputy Trial Counsel Charles T. Calix.  Respondent represented himself.  </w:t>
      </w:r>
    </w:p>
    <w:p w:rsidR="0021164B" w:rsidRPr="00836F32" w:rsidRDefault="0021164B" w:rsidP="00C166E7">
      <w:pPr>
        <w:spacing w:line="480" w:lineRule="auto"/>
        <w:contextualSpacing/>
        <w:jc w:val="center"/>
        <w:rPr>
          <w:b/>
        </w:rPr>
      </w:pPr>
      <w:r w:rsidRPr="00836F32">
        <w:rPr>
          <w:b/>
        </w:rPr>
        <w:t>III.  FINDINGS OF FACT AND CONCLUSIONS OF LAW</w:t>
      </w:r>
    </w:p>
    <w:p w:rsidR="0021164B" w:rsidRPr="00836F32" w:rsidRDefault="0021164B" w:rsidP="00C166E7">
      <w:pPr>
        <w:spacing w:line="480" w:lineRule="auto"/>
        <w:contextualSpacing/>
        <w:rPr>
          <w:b/>
        </w:rPr>
      </w:pPr>
      <w:r w:rsidRPr="00836F32">
        <w:rPr>
          <w:b/>
        </w:rPr>
        <w:t>A.  Jurisdiction</w:t>
      </w:r>
    </w:p>
    <w:p w:rsidR="0021164B" w:rsidRDefault="0021164B" w:rsidP="00C166E7">
      <w:pPr>
        <w:spacing w:line="480" w:lineRule="auto"/>
        <w:ind w:firstLine="720"/>
        <w:contextualSpacing/>
      </w:pPr>
      <w:r>
        <w:t xml:space="preserve">Respondent was admitted to the practice of law in the State of </w:t>
      </w:r>
      <w:smartTag w:uri="urn:schemas-microsoft-com:office:smarttags" w:element="place">
        <w:smartTag w:uri="urn:schemas-microsoft-com:office:smarttags" w:element="State">
          <w:r>
            <w:t>California</w:t>
          </w:r>
        </w:smartTag>
      </w:smartTag>
      <w:r>
        <w:t xml:space="preserve"> on June 28, 1977, and has been a member of the State Bar of California since that time.  As discussed in more detail </w:t>
      </w:r>
      <w:r w:rsidRPr="00836F32">
        <w:rPr>
          <w:i/>
        </w:rPr>
        <w:t>post</w:t>
      </w:r>
      <w:r>
        <w:t xml:space="preserve">, </w:t>
      </w:r>
      <w:r w:rsidR="00836F32">
        <w:t xml:space="preserve">respondent </w:t>
      </w:r>
      <w:r>
        <w:t>has two prior records of discipline.</w:t>
      </w:r>
    </w:p>
    <w:p w:rsidR="0021164B" w:rsidRPr="00836F32" w:rsidRDefault="0021164B" w:rsidP="00C166E7">
      <w:pPr>
        <w:spacing w:line="480" w:lineRule="auto"/>
        <w:contextualSpacing/>
        <w:rPr>
          <w:b/>
        </w:rPr>
      </w:pPr>
      <w:r w:rsidRPr="00836F32">
        <w:rPr>
          <w:b/>
        </w:rPr>
        <w:t>B.  Credibility Determination</w:t>
      </w:r>
    </w:p>
    <w:p w:rsidR="00446BED" w:rsidRDefault="0021164B" w:rsidP="00C166E7">
      <w:pPr>
        <w:spacing w:line="480" w:lineRule="auto"/>
        <w:ind w:firstLine="720"/>
        <w:contextualSpacing/>
      </w:pPr>
      <w:r>
        <w:t xml:space="preserve">After carefully observing respondent testify before it and after carefully considering, </w:t>
      </w:r>
      <w:r w:rsidR="001F3AE5">
        <w:t xml:space="preserve">inter alia, </w:t>
      </w:r>
      <w:r>
        <w:t>respond</w:t>
      </w:r>
      <w:r w:rsidR="004C58EB">
        <w:t xml:space="preserve">ent's demeanor while testifying and </w:t>
      </w:r>
      <w:r>
        <w:t>the manner in which he testified</w:t>
      </w:r>
      <w:r w:rsidR="004C58EB">
        <w:t xml:space="preserve"> and </w:t>
      </w:r>
      <w:r>
        <w:t xml:space="preserve">after carefully reflecting on the record as a whole, the court finds that </w:t>
      </w:r>
      <w:r w:rsidR="001F3AE5">
        <w:t xml:space="preserve">much of </w:t>
      </w:r>
      <w:r>
        <w:t>respondent’s testimony lacks credibility</w:t>
      </w:r>
      <w:r w:rsidR="000D71F6">
        <w:t>.</w:t>
      </w:r>
      <w:r w:rsidR="00236195">
        <w:t xml:space="preserve">  (Evid. Code, §</w:t>
      </w:r>
      <w:r w:rsidR="00E724FF">
        <w:t xml:space="preserve"> 780; </w:t>
      </w:r>
      <w:r w:rsidR="00E724FF" w:rsidRPr="00E724FF">
        <w:rPr>
          <w:i/>
        </w:rPr>
        <w:t>In the Matter of Wright</w:t>
      </w:r>
      <w:r w:rsidR="00E724FF" w:rsidRPr="00E724FF">
        <w:t xml:space="preserve"> (</w:t>
      </w:r>
      <w:smartTag w:uri="urn:schemas-microsoft-com:office:smarttags" w:element="address">
        <w:r w:rsidR="00E724FF" w:rsidRPr="00E724FF">
          <w:t>Review Dept. 1990</w:t>
        </w:r>
      </w:smartTag>
      <w:r w:rsidR="00E724FF" w:rsidRPr="00E724FF">
        <w:t>) 1 Cal. State Bar Ct. Rptr. 219, 227 [trial court should declare how it weighed the evidence and determined the credibility of the parties and witnesses]</w:t>
      </w:r>
      <w:r w:rsidR="00E724FF">
        <w:t>.)</w:t>
      </w:r>
      <w:r w:rsidR="000D71F6">
        <w:t xml:space="preserve">  </w:t>
      </w:r>
      <w:r w:rsidR="00540307">
        <w:t xml:space="preserve">For example, respondent’s testimony often </w:t>
      </w:r>
      <w:r w:rsidR="000D71F6">
        <w:t>lacked sincerity</w:t>
      </w:r>
      <w:r w:rsidR="00B25BB9">
        <w:t xml:space="preserve"> or was implausible.  </w:t>
      </w:r>
      <w:r w:rsidR="00E724FF">
        <w:t xml:space="preserve">Other times, </w:t>
      </w:r>
      <w:r w:rsidR="00B25BB9">
        <w:t xml:space="preserve">respondent’s </w:t>
      </w:r>
      <w:r w:rsidR="00E724FF">
        <w:t>testimony appeared contrived</w:t>
      </w:r>
      <w:r w:rsidR="00B25BB9">
        <w:t>.</w:t>
      </w:r>
    </w:p>
    <w:p w:rsidR="00BD586F" w:rsidRDefault="00A367BD" w:rsidP="00C166E7">
      <w:pPr>
        <w:spacing w:line="480" w:lineRule="auto"/>
        <w:ind w:firstLine="720"/>
        <w:contextualSpacing/>
      </w:pPr>
      <w:r>
        <w:t xml:space="preserve">The court </w:t>
      </w:r>
      <w:r w:rsidR="00446BED">
        <w:t xml:space="preserve">rejects as incredible </w:t>
      </w:r>
      <w:r w:rsidR="00540307">
        <w:t xml:space="preserve">almost all of </w:t>
      </w:r>
      <w:r w:rsidR="00446BED">
        <w:t xml:space="preserve">respondent’s </w:t>
      </w:r>
      <w:r>
        <w:t xml:space="preserve">proffered </w:t>
      </w:r>
      <w:r w:rsidR="00236195">
        <w:t>“</w:t>
      </w:r>
      <w:r>
        <w:t>explanations</w:t>
      </w:r>
      <w:r w:rsidR="00236195">
        <w:t>”</w:t>
      </w:r>
      <w:r w:rsidR="00540307">
        <w:t xml:space="preserve"> for his misconduct.  Similarly, the court rejects, for want of </w:t>
      </w:r>
      <w:r w:rsidR="00074CCF">
        <w:t>credibility</w:t>
      </w:r>
      <w:r w:rsidR="00540307">
        <w:t xml:space="preserve">, </w:t>
      </w:r>
      <w:r w:rsidR="00446BED">
        <w:t xml:space="preserve">respondent’s </w:t>
      </w:r>
      <w:r w:rsidR="00647940">
        <w:t xml:space="preserve">professed regret and remorse for </w:t>
      </w:r>
      <w:r w:rsidR="00FF6B78">
        <w:t>his misconduct</w:t>
      </w:r>
      <w:r w:rsidR="00540307">
        <w:t xml:space="preserve"> as well as respondent’s </w:t>
      </w:r>
      <w:r w:rsidR="004C58EB">
        <w:t xml:space="preserve">assertion </w:t>
      </w:r>
      <w:r w:rsidR="00BD586F">
        <w:t>that</w:t>
      </w:r>
      <w:r w:rsidR="00B95C7E">
        <w:t xml:space="preserve">, despite his significant prior refusal or inability to do so, </w:t>
      </w:r>
      <w:r w:rsidR="00BD586F">
        <w:t xml:space="preserve">he will now engage in the </w:t>
      </w:r>
      <w:r w:rsidR="00074CCF">
        <w:t>rehabilitative</w:t>
      </w:r>
      <w:r w:rsidR="00BD586F">
        <w:t xml:space="preserve"> process and obey</w:t>
      </w:r>
      <w:r w:rsidR="004C58EB">
        <w:t xml:space="preserve"> the conditions of any disciplinary probation </w:t>
      </w:r>
      <w:r w:rsidR="00B95C7E">
        <w:t xml:space="preserve">imposed on him by the </w:t>
      </w:r>
      <w:r w:rsidR="00BD586F">
        <w:t>Supreme Court</w:t>
      </w:r>
      <w:r w:rsidR="00B95C7E">
        <w:t xml:space="preserve"> in the present proceeding.</w:t>
      </w:r>
    </w:p>
    <w:p w:rsidR="008C15E6" w:rsidRDefault="00BD586F" w:rsidP="00C166E7">
      <w:pPr>
        <w:spacing w:line="480" w:lineRule="auto"/>
        <w:ind w:firstLine="720"/>
        <w:contextualSpacing/>
      </w:pPr>
      <w:r>
        <w:t xml:space="preserve">The </w:t>
      </w:r>
      <w:r w:rsidR="00446BED">
        <w:t xml:space="preserve">court </w:t>
      </w:r>
      <w:r w:rsidR="00BE17B4">
        <w:t xml:space="preserve">further </w:t>
      </w:r>
      <w:r w:rsidR="00446BED">
        <w:t xml:space="preserve">finds respondent’s testimony on </w:t>
      </w:r>
      <w:r w:rsidR="00340817">
        <w:t xml:space="preserve">each of </w:t>
      </w:r>
      <w:r w:rsidR="00B25BB9">
        <w:t xml:space="preserve">the following subjects </w:t>
      </w:r>
      <w:r>
        <w:t xml:space="preserve">to be </w:t>
      </w:r>
      <w:r w:rsidR="00446BED">
        <w:t xml:space="preserve">particularly lacking in credibility:  </w:t>
      </w:r>
      <w:r w:rsidR="007356FF">
        <w:t xml:space="preserve">(1) </w:t>
      </w:r>
      <w:r w:rsidR="0021164B">
        <w:t xml:space="preserve">when respondent first knew </w:t>
      </w:r>
      <w:r w:rsidR="00446BED">
        <w:t xml:space="preserve">(or learned) </w:t>
      </w:r>
      <w:r w:rsidR="0021164B">
        <w:t xml:space="preserve">that he </w:t>
      </w:r>
      <w:r>
        <w:t xml:space="preserve">had </w:t>
      </w:r>
      <w:r w:rsidR="0021164B">
        <w:t xml:space="preserve">not made </w:t>
      </w:r>
      <w:r w:rsidR="00446BED">
        <w:t xml:space="preserve">the </w:t>
      </w:r>
      <w:r w:rsidR="00236195">
        <w:t xml:space="preserve">required minimum </w:t>
      </w:r>
      <w:r w:rsidR="00CC0A6B">
        <w:t>monthly restitution</w:t>
      </w:r>
      <w:r w:rsidR="0021164B">
        <w:t xml:space="preserve"> payments to CSF</w:t>
      </w:r>
      <w:r w:rsidR="00446BED">
        <w:t>;</w:t>
      </w:r>
      <w:r w:rsidR="0021164B">
        <w:t xml:space="preserve"> </w:t>
      </w:r>
      <w:r w:rsidR="007356FF">
        <w:t xml:space="preserve">(2) </w:t>
      </w:r>
      <w:r w:rsidR="0021164B">
        <w:t xml:space="preserve">respondent’s alleged reliance on </w:t>
      </w:r>
      <w:r w:rsidR="00BE17B4">
        <w:t xml:space="preserve">his then wife, </w:t>
      </w:r>
      <w:r w:rsidR="00F9288E">
        <w:t>Tammara Nelson (hereafter Tammara)</w:t>
      </w:r>
      <w:r w:rsidR="00BE17B4">
        <w:t>,</w:t>
      </w:r>
      <w:r w:rsidR="00F9288E">
        <w:t xml:space="preserve"> </w:t>
      </w:r>
      <w:r w:rsidR="00BE17B4">
        <w:t xml:space="preserve">for about two years (from about July 2006 through about September 2008) </w:t>
      </w:r>
      <w:r w:rsidR="00F9288E">
        <w:t xml:space="preserve">to make or to mail his restitution payments to </w:t>
      </w:r>
      <w:r w:rsidR="00BE17B4">
        <w:t>CSF</w:t>
      </w:r>
      <w:r w:rsidR="00F9288E">
        <w:t xml:space="preserve">; </w:t>
      </w:r>
      <w:r w:rsidR="007356FF">
        <w:t xml:space="preserve">(3) </w:t>
      </w:r>
      <w:r w:rsidR="0021164B">
        <w:t>respondent’s claim that</w:t>
      </w:r>
      <w:r w:rsidR="00F9288E">
        <w:t xml:space="preserve">, </w:t>
      </w:r>
      <w:r w:rsidR="00BE17B4">
        <w:t xml:space="preserve">during that same </w:t>
      </w:r>
      <w:r w:rsidR="001E7553">
        <w:t xml:space="preserve">two-year </w:t>
      </w:r>
      <w:r w:rsidR="00BE17B4">
        <w:t>period</w:t>
      </w:r>
      <w:r w:rsidR="00F9288E">
        <w:t xml:space="preserve">, </w:t>
      </w:r>
      <w:r w:rsidR="0021164B">
        <w:t xml:space="preserve">Tammara </w:t>
      </w:r>
      <w:r w:rsidR="0091727F">
        <w:t xml:space="preserve">“embezzled” </w:t>
      </w:r>
      <w:r w:rsidR="001E7553">
        <w:t xml:space="preserve">from him </w:t>
      </w:r>
      <w:r w:rsidR="0091727F">
        <w:t>$11,770</w:t>
      </w:r>
      <w:r w:rsidR="0021164B">
        <w:t xml:space="preserve"> </w:t>
      </w:r>
      <w:r w:rsidR="001E7553">
        <w:t xml:space="preserve">that she was </w:t>
      </w:r>
      <w:r w:rsidR="00E724FF">
        <w:t xml:space="preserve">allegedly to have </w:t>
      </w:r>
      <w:r w:rsidR="00F9288E">
        <w:t xml:space="preserve">sent </w:t>
      </w:r>
      <w:r w:rsidR="0021164B">
        <w:t xml:space="preserve">to CSF for </w:t>
      </w:r>
      <w:r w:rsidR="00E724FF">
        <w:t>respondent</w:t>
      </w:r>
      <w:r w:rsidR="0021164B">
        <w:t>;</w:t>
      </w:r>
      <w:r w:rsidR="00DC2912">
        <w:t xml:space="preserve"> </w:t>
      </w:r>
      <w:r w:rsidR="007356FF">
        <w:t>(4) respondent’s claim that Tammara’s “embezzlement” was part of the negotiations with the lawyers in respondent and Tammara’s divorce proceedings; (5) respondent’s claim that, beca</w:t>
      </w:r>
      <w:r w:rsidR="001E7553">
        <w:t>use Tammara allegedly “embezzled” $11,770</w:t>
      </w:r>
      <w:r w:rsidR="007356FF">
        <w:t xml:space="preserve"> from </w:t>
      </w:r>
      <w:r w:rsidR="001E7553">
        <w:t>him</w:t>
      </w:r>
      <w:r w:rsidR="007356FF">
        <w:t xml:space="preserve">, </w:t>
      </w:r>
      <w:r w:rsidR="001E7553">
        <w:t xml:space="preserve">respondent </w:t>
      </w:r>
      <w:r w:rsidR="007356FF">
        <w:t xml:space="preserve">did not have to give Tammara part of his retirement documents; (6) respondent’s claim that Tammara’s purported “embezzlement” should be in the settlement documents in </w:t>
      </w:r>
      <w:r w:rsidR="001E7553">
        <w:t xml:space="preserve">their </w:t>
      </w:r>
      <w:r w:rsidR="007356FF">
        <w:t>divorce</w:t>
      </w:r>
      <w:r w:rsidR="001E7553">
        <w:t xml:space="preserve"> proceedings; and (7) </w:t>
      </w:r>
      <w:r w:rsidR="0021164B">
        <w:t xml:space="preserve">respondent’s claim that he </w:t>
      </w:r>
      <w:r w:rsidR="001E7553">
        <w:t xml:space="preserve">did not think that he could </w:t>
      </w:r>
      <w:r w:rsidR="00E724FF">
        <w:t>file</w:t>
      </w:r>
      <w:r w:rsidR="001E7553">
        <w:t xml:space="preserve"> a motion to modify his probation conditions in </w:t>
      </w:r>
      <w:r w:rsidR="001E7553" w:rsidRPr="001E7553">
        <w:rPr>
          <w:i/>
        </w:rPr>
        <w:t>Nelson</w:t>
      </w:r>
      <w:r w:rsidR="001E7553">
        <w:t xml:space="preserve"> II to reduce the amount of restitution he was required to pay CSF each month.  </w:t>
      </w:r>
      <w:r w:rsidR="00BF76D8">
        <w:t>In short, r</w:t>
      </w:r>
      <w:r w:rsidR="0021164B">
        <w:t xml:space="preserve">espondent’s testimony on these issues </w:t>
      </w:r>
      <w:r w:rsidR="00BF76D8">
        <w:t>was not even remotely credible</w:t>
      </w:r>
      <w:r w:rsidR="008C15E6">
        <w:t>.</w:t>
      </w:r>
    </w:p>
    <w:p w:rsidR="008C15E6" w:rsidRDefault="008C15E6" w:rsidP="008C15E6">
      <w:pPr>
        <w:rPr>
          <w:b/>
        </w:rPr>
      </w:pPr>
      <w:r>
        <w:rPr>
          <w:b/>
        </w:rPr>
        <w:t>/ / /</w:t>
      </w:r>
    </w:p>
    <w:p w:rsidR="008C15E6" w:rsidRDefault="008C15E6" w:rsidP="008C15E6">
      <w:pPr>
        <w:rPr>
          <w:b/>
        </w:rPr>
      </w:pPr>
    </w:p>
    <w:p w:rsidR="008C15E6" w:rsidRDefault="008C15E6" w:rsidP="008C15E6">
      <w:pPr>
        <w:rPr>
          <w:b/>
        </w:rPr>
      </w:pPr>
      <w:r>
        <w:rPr>
          <w:b/>
        </w:rPr>
        <w:t>/ / /</w:t>
      </w:r>
    </w:p>
    <w:p w:rsidR="008C15E6" w:rsidRDefault="008C15E6" w:rsidP="008C15E6">
      <w:pPr>
        <w:rPr>
          <w:b/>
        </w:rPr>
      </w:pPr>
    </w:p>
    <w:p w:rsidR="008C15E6" w:rsidRDefault="008C15E6" w:rsidP="008C15E6">
      <w:pPr>
        <w:rPr>
          <w:b/>
        </w:rPr>
      </w:pPr>
      <w:r>
        <w:rPr>
          <w:b/>
        </w:rPr>
        <w:t>/ / /</w:t>
      </w:r>
    </w:p>
    <w:p w:rsidR="008C15E6" w:rsidRDefault="008C15E6" w:rsidP="008C15E6">
      <w:pPr>
        <w:rPr>
          <w:b/>
        </w:rPr>
      </w:pPr>
    </w:p>
    <w:p w:rsidR="0021164B" w:rsidRPr="00BF76D8" w:rsidRDefault="00D86B57" w:rsidP="00BF76D8">
      <w:pPr>
        <w:spacing w:line="480" w:lineRule="auto"/>
        <w:contextualSpacing/>
        <w:rPr>
          <w:b/>
        </w:rPr>
      </w:pPr>
      <w:r>
        <w:rPr>
          <w:b/>
        </w:rPr>
        <w:t>C.  Charged Misconduct</w:t>
      </w:r>
    </w:p>
    <w:p w:rsidR="000C2195" w:rsidRPr="000C2195" w:rsidRDefault="000C2195" w:rsidP="000C2195">
      <w:pPr>
        <w:spacing w:line="480" w:lineRule="auto"/>
        <w:ind w:firstLine="720"/>
        <w:contextualSpacing/>
        <w:rPr>
          <w:b/>
        </w:rPr>
      </w:pPr>
      <w:r w:rsidRPr="000C2195">
        <w:rPr>
          <w:b/>
        </w:rPr>
        <w:t xml:space="preserve">1.  Respondent’s </w:t>
      </w:r>
      <w:r w:rsidR="00D14046">
        <w:rPr>
          <w:b/>
        </w:rPr>
        <w:t xml:space="preserve">Discipline </w:t>
      </w:r>
      <w:r w:rsidRPr="000C2195">
        <w:rPr>
          <w:b/>
        </w:rPr>
        <w:t xml:space="preserve">in </w:t>
      </w:r>
      <w:r w:rsidRPr="000C2195">
        <w:rPr>
          <w:b/>
          <w:i/>
        </w:rPr>
        <w:t xml:space="preserve">Nelson </w:t>
      </w:r>
      <w:r w:rsidRPr="000C2195">
        <w:rPr>
          <w:b/>
        </w:rPr>
        <w:t>II</w:t>
      </w:r>
    </w:p>
    <w:p w:rsidR="00A70F76" w:rsidRDefault="009B1FE4" w:rsidP="000C2195">
      <w:pPr>
        <w:spacing w:line="480" w:lineRule="auto"/>
        <w:ind w:firstLine="720"/>
        <w:contextualSpacing/>
      </w:pPr>
      <w:r w:rsidRPr="009B1FE4">
        <w:t xml:space="preserve">In its </w:t>
      </w:r>
      <w:r>
        <w:t>April 26</w:t>
      </w:r>
      <w:r w:rsidRPr="009B1FE4">
        <w:t>, 200</w:t>
      </w:r>
      <w:r>
        <w:t>6</w:t>
      </w:r>
      <w:r w:rsidRPr="009B1FE4">
        <w:t xml:space="preserve"> order in </w:t>
      </w:r>
      <w:r w:rsidRPr="00A36F37">
        <w:rPr>
          <w:i/>
        </w:rPr>
        <w:t>Nelson</w:t>
      </w:r>
      <w:r>
        <w:t xml:space="preserve"> </w:t>
      </w:r>
      <w:r w:rsidR="00A36F37">
        <w:t>I</w:t>
      </w:r>
      <w:r w:rsidRPr="009B1FE4">
        <w:t>I, the Supreme Court placed respondent on one year’s stayed suspension</w:t>
      </w:r>
      <w:r w:rsidR="00983DC9">
        <w:t xml:space="preserve"> and four years</w:t>
      </w:r>
      <w:r w:rsidRPr="009B1FE4">
        <w:t>’ probation</w:t>
      </w:r>
      <w:r w:rsidR="00983DC9">
        <w:t xml:space="preserve"> </w:t>
      </w:r>
      <w:r w:rsidR="00B9546C">
        <w:t xml:space="preserve">with </w:t>
      </w:r>
      <w:r w:rsidR="00983DC9">
        <w:t xml:space="preserve">conditions, but no </w:t>
      </w:r>
      <w:r w:rsidRPr="009B1FE4">
        <w:t>actual suspension.</w:t>
      </w:r>
      <w:r w:rsidR="0064694D">
        <w:rPr>
          <w:rStyle w:val="FootnoteReference"/>
        </w:rPr>
        <w:footnoteReference w:id="3"/>
      </w:r>
      <w:r w:rsidRPr="009B1FE4">
        <w:t xml:space="preserve">  It is notable that the Supreme Court imposed th</w:t>
      </w:r>
      <w:r w:rsidR="00B9546C">
        <w:t xml:space="preserve">at </w:t>
      </w:r>
      <w:r w:rsidRPr="009B1FE4">
        <w:t>discipline</w:t>
      </w:r>
      <w:r w:rsidR="00B9546C">
        <w:t xml:space="preserve"> on respondent</w:t>
      </w:r>
      <w:r w:rsidRPr="009B1FE4">
        <w:t xml:space="preserve">, including each of the probation conditions, in accordance with a stipulation as to facts, conclusions of law, and disposition </w:t>
      </w:r>
      <w:r w:rsidR="00B9546C">
        <w:t xml:space="preserve">that </w:t>
      </w:r>
      <w:r w:rsidRPr="009B1FE4">
        <w:t xml:space="preserve">respondent entered into with the State Bar and </w:t>
      </w:r>
      <w:r w:rsidR="00B9546C">
        <w:t xml:space="preserve">which </w:t>
      </w:r>
      <w:r w:rsidR="00983DC9">
        <w:t xml:space="preserve">the State Bar Court </w:t>
      </w:r>
      <w:r w:rsidRPr="009B1FE4">
        <w:t xml:space="preserve">approved in an order filed on </w:t>
      </w:r>
      <w:r w:rsidR="00983DC9">
        <w:t xml:space="preserve">January 6, 2006, </w:t>
      </w:r>
      <w:r w:rsidRPr="009B1FE4">
        <w:t>in case number 0</w:t>
      </w:r>
      <w:r w:rsidR="00983DC9">
        <w:t>5</w:t>
      </w:r>
      <w:r w:rsidR="00983DC9">
        <w:noBreakHyphen/>
        <w:t>H</w:t>
      </w:r>
      <w:r w:rsidR="00983DC9">
        <w:noBreakHyphen/>
        <w:t>03307</w:t>
      </w:r>
      <w:r w:rsidRPr="009B1FE4">
        <w:t>.</w:t>
      </w:r>
      <w:r w:rsidR="00A70F76">
        <w:t xml:space="preserve">  Thus, t</w:t>
      </w:r>
      <w:r w:rsidR="0064694D">
        <w:t>h</w:t>
      </w:r>
      <w:r w:rsidR="00A70F76">
        <w:t xml:space="preserve">e violations </w:t>
      </w:r>
      <w:r w:rsidR="0064694D">
        <w:t xml:space="preserve"> of the probation conditions </w:t>
      </w:r>
      <w:r w:rsidR="00A70F76">
        <w:t xml:space="preserve">found </w:t>
      </w:r>
      <w:r w:rsidR="00A70F76" w:rsidRPr="00BF76D8">
        <w:rPr>
          <w:i/>
        </w:rPr>
        <w:t>post</w:t>
      </w:r>
      <w:r w:rsidR="00A70F76">
        <w:t xml:space="preserve"> involve respondent’s repeated failures to comply with his own agreement.</w:t>
      </w:r>
    </w:p>
    <w:p w:rsidR="0073256E" w:rsidRDefault="0064694D" w:rsidP="00A70F76">
      <w:pPr>
        <w:spacing w:line="480" w:lineRule="auto"/>
        <w:ind w:firstLine="720"/>
        <w:contextualSpacing/>
      </w:pPr>
      <w:r>
        <w:t xml:space="preserve">The Supreme Court’s April 26, 2006 order in </w:t>
      </w:r>
      <w:r w:rsidRPr="00BF76D8">
        <w:rPr>
          <w:i/>
        </w:rPr>
        <w:t>Nelson</w:t>
      </w:r>
      <w:r>
        <w:t xml:space="preserve"> II became effective on May 26, 2006, and has continuously remained in effect since that time.  At all times material hereto, respondent had notice and was aware of the Supreme Court’s </w:t>
      </w:r>
      <w:r w:rsidR="00D14046">
        <w:t xml:space="preserve">April 26, 2006 </w:t>
      </w:r>
      <w:r>
        <w:t>order.</w:t>
      </w:r>
      <w:r w:rsidR="000D2420">
        <w:t xml:space="preserve">  </w:t>
      </w:r>
      <w:r w:rsidR="00A70F76">
        <w:t xml:space="preserve">The </w:t>
      </w:r>
      <w:r w:rsidR="0073256E">
        <w:t xml:space="preserve">three probation conditions </w:t>
      </w:r>
      <w:r w:rsidR="00D14046">
        <w:t>that r</w:t>
      </w:r>
      <w:r w:rsidR="0073256E">
        <w:t xml:space="preserve">espondent is charged with violating </w:t>
      </w:r>
      <w:r w:rsidR="00D14046">
        <w:t xml:space="preserve">in the present proceeding </w:t>
      </w:r>
      <w:r w:rsidR="0073256E">
        <w:t xml:space="preserve">are as follows: </w:t>
      </w:r>
    </w:p>
    <w:p w:rsidR="00D14046" w:rsidRDefault="00A70F76" w:rsidP="000C2195">
      <w:pPr>
        <w:spacing w:line="480" w:lineRule="auto"/>
        <w:ind w:firstLine="720"/>
        <w:contextualSpacing/>
        <w:rPr>
          <w:b/>
        </w:rPr>
      </w:pPr>
      <w:r>
        <w:tab/>
      </w:r>
      <w:r w:rsidR="001C48C9" w:rsidRPr="001C48C9">
        <w:rPr>
          <w:b/>
        </w:rPr>
        <w:t xml:space="preserve">a.  </w:t>
      </w:r>
      <w:r w:rsidR="00D14046">
        <w:rPr>
          <w:b/>
        </w:rPr>
        <w:t xml:space="preserve">Schedule Meeting with </w:t>
      </w:r>
      <w:r w:rsidR="0073256E" w:rsidRPr="001C48C9">
        <w:rPr>
          <w:b/>
        </w:rPr>
        <w:t>Probation</w:t>
      </w:r>
      <w:r w:rsidR="00D14046">
        <w:rPr>
          <w:b/>
        </w:rPr>
        <w:t xml:space="preserve"> D</w:t>
      </w:r>
      <w:r w:rsidR="0073256E" w:rsidRPr="001C48C9">
        <w:rPr>
          <w:b/>
        </w:rPr>
        <w:t>eputy</w:t>
      </w:r>
    </w:p>
    <w:p w:rsidR="00A70F76" w:rsidRDefault="00A70F76" w:rsidP="000C2195">
      <w:pPr>
        <w:spacing w:line="480" w:lineRule="auto"/>
        <w:ind w:firstLine="720"/>
        <w:contextualSpacing/>
      </w:pPr>
      <w:r>
        <w:t xml:space="preserve">Respondent was required, no later than June 25, 2006, to contact the Office of Probation and </w:t>
      </w:r>
      <w:r w:rsidR="008B5A7B">
        <w:t xml:space="preserve">to </w:t>
      </w:r>
      <w:r>
        <w:t>schedule a meeting with his assigned probation deputy.</w:t>
      </w:r>
    </w:p>
    <w:p w:rsidR="00A70F76" w:rsidRPr="007B6792" w:rsidRDefault="001C48C9" w:rsidP="00A70F76">
      <w:pPr>
        <w:spacing w:line="480" w:lineRule="auto"/>
        <w:ind w:firstLine="720"/>
        <w:contextualSpacing/>
        <w:rPr>
          <w:b/>
        </w:rPr>
      </w:pPr>
      <w:r>
        <w:tab/>
      </w:r>
      <w:r w:rsidRPr="001C48C9">
        <w:rPr>
          <w:b/>
        </w:rPr>
        <w:t>b.</w:t>
      </w:r>
      <w:r>
        <w:t xml:space="preserve">  </w:t>
      </w:r>
      <w:r w:rsidR="00D14046" w:rsidRPr="00D14046">
        <w:rPr>
          <w:b/>
        </w:rPr>
        <w:t xml:space="preserve">Submit </w:t>
      </w:r>
      <w:r w:rsidR="00A70F76" w:rsidRPr="007B6792">
        <w:rPr>
          <w:b/>
        </w:rPr>
        <w:t>Probation Report</w:t>
      </w:r>
      <w:r w:rsidR="00D14046">
        <w:rPr>
          <w:b/>
        </w:rPr>
        <w:t>s</w:t>
      </w:r>
    </w:p>
    <w:p w:rsidR="00623C47" w:rsidRDefault="00A70F76" w:rsidP="00623C47">
      <w:pPr>
        <w:spacing w:line="480" w:lineRule="auto"/>
        <w:ind w:firstLine="720"/>
        <w:contextualSpacing/>
      </w:pPr>
      <w:r>
        <w:t xml:space="preserve">Respondent was required to submit written </w:t>
      </w:r>
      <w:r w:rsidR="008B5A7B">
        <w:t xml:space="preserve">probation </w:t>
      </w:r>
      <w:r>
        <w:t xml:space="preserve">reports to the Office of Probation on every January 10, April 10, July 10, and October 10.  In addition, respondent was required to submit a final </w:t>
      </w:r>
      <w:r w:rsidR="008B5A7B">
        <w:t xml:space="preserve">probation </w:t>
      </w:r>
      <w:r>
        <w:t>report to the Office of Probation within the last 20 days of his probation.  In each of his reports, respondent was required to state, under penalty of perjury, whether he had</w:t>
      </w:r>
      <w:r w:rsidR="008B5A7B">
        <w:t xml:space="preserve">, during the preceding calendar quarter </w:t>
      </w:r>
      <w:r w:rsidR="000D2420">
        <w:t>(</w:t>
      </w:r>
      <w:r w:rsidR="008B5A7B">
        <w:t xml:space="preserve">or </w:t>
      </w:r>
      <w:r w:rsidR="000D2420">
        <w:t xml:space="preserve">other </w:t>
      </w:r>
      <w:r w:rsidR="008B5A7B">
        <w:t>reporting period</w:t>
      </w:r>
      <w:r w:rsidR="000D2420">
        <w:t>)</w:t>
      </w:r>
      <w:r w:rsidR="008B5A7B">
        <w:t xml:space="preserve">, </w:t>
      </w:r>
      <w:r>
        <w:t>complied with the State Bar Act (§</w:t>
      </w:r>
      <w:r w:rsidR="008B5A7B">
        <w:t> </w:t>
      </w:r>
      <w:r>
        <w:t xml:space="preserve">6000, et seq.), the State Bar Rules of Professional Conduct, and all the </w:t>
      </w:r>
      <w:r w:rsidR="008B5A7B">
        <w:t>conditions of his probation.</w:t>
      </w:r>
    </w:p>
    <w:p w:rsidR="00A70F76" w:rsidRPr="007B6792" w:rsidRDefault="00A70F76" w:rsidP="00623C47">
      <w:pPr>
        <w:spacing w:line="480" w:lineRule="auto"/>
        <w:ind w:firstLine="720"/>
        <w:contextualSpacing/>
        <w:rPr>
          <w:b/>
        </w:rPr>
      </w:pPr>
      <w:r>
        <w:tab/>
      </w:r>
      <w:r w:rsidR="001C48C9">
        <w:rPr>
          <w:b/>
        </w:rPr>
        <w:t>c</w:t>
      </w:r>
      <w:r w:rsidRPr="007B6792">
        <w:rPr>
          <w:b/>
        </w:rPr>
        <w:t xml:space="preserve">.  </w:t>
      </w:r>
      <w:r w:rsidR="007939AA">
        <w:rPr>
          <w:b/>
        </w:rPr>
        <w:t>Make</w:t>
      </w:r>
      <w:r w:rsidR="00D14046">
        <w:rPr>
          <w:b/>
        </w:rPr>
        <w:t xml:space="preserve"> </w:t>
      </w:r>
      <w:r w:rsidRPr="007B6792">
        <w:rPr>
          <w:b/>
        </w:rPr>
        <w:t>Restitution</w:t>
      </w:r>
    </w:p>
    <w:p w:rsidR="00DA7D43" w:rsidRDefault="00D34A8C" w:rsidP="00623C47">
      <w:pPr>
        <w:spacing w:line="480" w:lineRule="auto"/>
        <w:ind w:firstLine="720"/>
        <w:contextualSpacing/>
      </w:pPr>
      <w:r>
        <w:t xml:space="preserve">Respondent was required to pay restitution to CSF for </w:t>
      </w:r>
      <w:r w:rsidR="0073256E">
        <w:t xml:space="preserve">the </w:t>
      </w:r>
      <w:r>
        <w:t xml:space="preserve">$40,000 that CSF paid out to one of respondent’s former clients for losses </w:t>
      </w:r>
      <w:r w:rsidR="00623C47">
        <w:t xml:space="preserve">the client incurred </w:t>
      </w:r>
      <w:r w:rsidR="0073256E">
        <w:t xml:space="preserve">as a result of respondent entering into a business transaction with the client </w:t>
      </w:r>
      <w:r w:rsidR="005309ED">
        <w:t>in willful violation in State Bar Rules of Professional Conduct, rule 3</w:t>
      </w:r>
      <w:r w:rsidR="005309ED">
        <w:noBreakHyphen/>
        <w:t>300.</w:t>
      </w:r>
      <w:r w:rsidR="005309ED">
        <w:rPr>
          <w:rStyle w:val="FootnoteReference"/>
        </w:rPr>
        <w:footnoteReference w:id="4"/>
      </w:r>
      <w:r w:rsidR="005309ED">
        <w:t xml:space="preserve">  </w:t>
      </w:r>
      <w:r w:rsidR="000D2420">
        <w:t>R</w:t>
      </w:r>
      <w:r>
        <w:t xml:space="preserve">espondent was </w:t>
      </w:r>
      <w:r w:rsidR="000D2420">
        <w:t xml:space="preserve">also </w:t>
      </w:r>
      <w:r>
        <w:t xml:space="preserve">required to pay </w:t>
      </w:r>
      <w:r w:rsidR="00D14046">
        <w:t xml:space="preserve">CSF (1) </w:t>
      </w:r>
      <w:r>
        <w:t>interest on the $40,000 at the rate of 10 percent per annum fro</w:t>
      </w:r>
      <w:r w:rsidR="00DA7D43">
        <w:t xml:space="preserve">m December 30, 2004, until paid and </w:t>
      </w:r>
      <w:r w:rsidR="00D14046">
        <w:t xml:space="preserve">(2) </w:t>
      </w:r>
      <w:r w:rsidR="00DA7D43">
        <w:t>an assessment for</w:t>
      </w:r>
      <w:r w:rsidR="00D14046">
        <w:t xml:space="preserve"> CSF’s </w:t>
      </w:r>
      <w:r w:rsidR="00DA7D43">
        <w:t xml:space="preserve">procedural costs </w:t>
      </w:r>
      <w:r w:rsidR="005309ED">
        <w:t xml:space="preserve">of </w:t>
      </w:r>
      <w:r w:rsidR="00DA7D43">
        <w:t xml:space="preserve">processing </w:t>
      </w:r>
      <w:r w:rsidR="00DE704B">
        <w:t xml:space="preserve">the </w:t>
      </w:r>
      <w:r w:rsidR="00D14046">
        <w:t xml:space="preserve">former client’s </w:t>
      </w:r>
      <w:r w:rsidR="00DA7D43">
        <w:t>claim for reimburseme</w:t>
      </w:r>
      <w:r w:rsidR="005309ED">
        <w:t xml:space="preserve">nt </w:t>
      </w:r>
      <w:r w:rsidR="00DA7D43">
        <w:t>from the fund.  (§</w:t>
      </w:r>
      <w:r w:rsidR="005309ED">
        <w:t> 6140.5, subd. (c).)</w:t>
      </w:r>
    </w:p>
    <w:p w:rsidR="00A70F76" w:rsidRDefault="00DE704B" w:rsidP="00623C47">
      <w:pPr>
        <w:spacing w:line="480" w:lineRule="auto"/>
        <w:ind w:firstLine="720"/>
        <w:contextualSpacing/>
      </w:pPr>
      <w:r>
        <w:t>R</w:t>
      </w:r>
      <w:r w:rsidR="005309ED">
        <w:t>espondent</w:t>
      </w:r>
      <w:r>
        <w:t xml:space="preserve"> was </w:t>
      </w:r>
      <w:r w:rsidR="00D34A8C">
        <w:t xml:space="preserve">required </w:t>
      </w:r>
      <w:r>
        <w:t xml:space="preserve">to </w:t>
      </w:r>
      <w:r w:rsidR="007939AA">
        <w:t xml:space="preserve">not only </w:t>
      </w:r>
      <w:r>
        <w:t xml:space="preserve">make </w:t>
      </w:r>
      <w:r w:rsidR="00A70F76">
        <w:t xml:space="preserve">the following minimum </w:t>
      </w:r>
      <w:r>
        <w:t xml:space="preserve">monthly </w:t>
      </w:r>
      <w:r w:rsidR="005309ED">
        <w:t xml:space="preserve">restitution </w:t>
      </w:r>
      <w:r w:rsidR="00A70F76">
        <w:t xml:space="preserve">payments </w:t>
      </w:r>
      <w:r>
        <w:t xml:space="preserve">to CSF </w:t>
      </w:r>
      <w:r w:rsidR="005309ED">
        <w:t>from June 2006 through November 2009</w:t>
      </w:r>
      <w:r w:rsidR="007939AA">
        <w:t>,</w:t>
      </w:r>
      <w:r w:rsidR="004A4685">
        <w:rPr>
          <w:rStyle w:val="FootnoteReference"/>
        </w:rPr>
        <w:footnoteReference w:id="5"/>
      </w:r>
      <w:r w:rsidR="007939AA">
        <w:t xml:space="preserve"> but was also required to complete his restitution to CSF no later than January 10, 2010. </w:t>
      </w:r>
    </w:p>
    <w:p w:rsidR="00DE704B" w:rsidRDefault="00DE704B" w:rsidP="00623C47">
      <w:pPr>
        <w:spacing w:line="480" w:lineRule="auto"/>
        <w:ind w:firstLine="720"/>
        <w:contextualSpacing/>
      </w:pPr>
    </w:p>
    <w:p w:rsidR="00A70F76" w:rsidRDefault="00D34A8C" w:rsidP="00623C47">
      <w:pPr>
        <w:tabs>
          <w:tab w:val="left" w:pos="3240"/>
        </w:tabs>
        <w:spacing w:line="480" w:lineRule="auto"/>
        <w:ind w:firstLine="720"/>
        <w:contextualSpacing/>
      </w:pPr>
      <w:r>
        <w:rPr>
          <w:b/>
          <w:u w:val="single"/>
        </w:rPr>
        <w:t xml:space="preserve">Time </w:t>
      </w:r>
      <w:r w:rsidR="00A70F76">
        <w:rPr>
          <w:b/>
          <w:u w:val="single"/>
        </w:rPr>
        <w:t>Period</w:t>
      </w:r>
      <w:r w:rsidR="00A70F76">
        <w:tab/>
      </w:r>
      <w:r w:rsidR="00A70F76">
        <w:tab/>
      </w:r>
      <w:r w:rsidR="00A70F76">
        <w:tab/>
      </w:r>
      <w:r w:rsidR="00A70F76">
        <w:tab/>
      </w:r>
      <w:r w:rsidR="00A70F76">
        <w:tab/>
      </w:r>
      <w:r w:rsidR="00A70F76">
        <w:rPr>
          <w:b/>
          <w:u w:val="single"/>
        </w:rPr>
        <w:t xml:space="preserve">Minimum </w:t>
      </w:r>
      <w:r w:rsidR="000D2420">
        <w:rPr>
          <w:b/>
          <w:u w:val="single"/>
        </w:rPr>
        <w:t xml:space="preserve">Monthly </w:t>
      </w:r>
      <w:r w:rsidR="00A70F76">
        <w:rPr>
          <w:b/>
          <w:u w:val="single"/>
        </w:rPr>
        <w:t>Payments</w:t>
      </w:r>
      <w:r w:rsidR="00A70F76">
        <w:t xml:space="preserve"> </w:t>
      </w:r>
    </w:p>
    <w:p w:rsidR="00A70F76" w:rsidRDefault="00A70F76" w:rsidP="00623C47">
      <w:pPr>
        <w:tabs>
          <w:tab w:val="left" w:pos="3240"/>
        </w:tabs>
        <w:spacing w:line="360" w:lineRule="auto"/>
        <w:ind w:firstLine="720"/>
        <w:contextualSpacing/>
      </w:pPr>
      <w:r>
        <w:t xml:space="preserve">June 2006 through November 2006 </w:t>
      </w:r>
      <w:r>
        <w:tab/>
      </w:r>
      <w:r>
        <w:tab/>
      </w:r>
      <w:r>
        <w:tab/>
        <w:t>$525 per month</w:t>
      </w:r>
    </w:p>
    <w:p w:rsidR="00A70F76" w:rsidRDefault="00A70F76" w:rsidP="00623C47">
      <w:pPr>
        <w:tabs>
          <w:tab w:val="left" w:pos="3240"/>
        </w:tabs>
        <w:spacing w:line="360" w:lineRule="auto"/>
        <w:ind w:firstLine="720"/>
        <w:contextualSpacing/>
      </w:pPr>
      <w:r>
        <w:t>December 2006 through November 2007</w:t>
      </w:r>
      <w:r>
        <w:tab/>
      </w:r>
      <w:r>
        <w:tab/>
        <w:t>$775 per month</w:t>
      </w:r>
    </w:p>
    <w:p w:rsidR="00A70F76" w:rsidRDefault="00A70F76" w:rsidP="00623C47">
      <w:pPr>
        <w:tabs>
          <w:tab w:val="left" w:pos="3240"/>
        </w:tabs>
        <w:ind w:firstLine="720"/>
        <w:contextualSpacing/>
      </w:pPr>
      <w:r>
        <w:t>December 2007 through November 2009</w:t>
      </w:r>
      <w:r>
        <w:tab/>
      </w:r>
      <w:r>
        <w:tab/>
        <w:t>$855 per month</w:t>
      </w:r>
    </w:p>
    <w:p w:rsidR="00A70F76" w:rsidRDefault="00A70F76" w:rsidP="00623C47">
      <w:pPr>
        <w:tabs>
          <w:tab w:val="left" w:pos="3240"/>
        </w:tabs>
        <w:spacing w:line="360" w:lineRule="auto"/>
        <w:ind w:firstLine="720"/>
        <w:contextualSpacing/>
      </w:pPr>
    </w:p>
    <w:p w:rsidR="000D2420" w:rsidRDefault="000D2420" w:rsidP="00623C47">
      <w:pPr>
        <w:spacing w:line="480" w:lineRule="auto"/>
        <w:ind w:firstLine="720"/>
        <w:contextualSpacing/>
      </w:pPr>
      <w:r>
        <w:t>Finally, with each of his probation reports, r</w:t>
      </w:r>
      <w:r w:rsidR="00A70F76">
        <w:t xml:space="preserve">espondent was required to provide the Office of Probation with proof that he made the </w:t>
      </w:r>
      <w:r w:rsidR="005309ED">
        <w:t xml:space="preserve">required </w:t>
      </w:r>
      <w:r w:rsidR="00A70F76">
        <w:t xml:space="preserve">minimum </w:t>
      </w:r>
      <w:r w:rsidR="00A70F76" w:rsidRPr="00431647">
        <w:rPr>
          <w:i/>
        </w:rPr>
        <w:t>monthly</w:t>
      </w:r>
      <w:r w:rsidR="00A70F76">
        <w:t xml:space="preserve"> </w:t>
      </w:r>
      <w:r w:rsidR="003336B0">
        <w:t xml:space="preserve">restitution </w:t>
      </w:r>
      <w:r w:rsidR="00A70F76">
        <w:t xml:space="preserve">payments </w:t>
      </w:r>
      <w:r w:rsidR="003336B0">
        <w:t xml:space="preserve">to CSF </w:t>
      </w:r>
      <w:r>
        <w:t>during the applicable reporting period.</w:t>
      </w:r>
    </w:p>
    <w:p w:rsidR="00B9546C" w:rsidRPr="00B9546C" w:rsidRDefault="00B9546C" w:rsidP="00623C47">
      <w:pPr>
        <w:spacing w:line="480" w:lineRule="auto"/>
        <w:ind w:firstLine="720"/>
        <w:contextualSpacing/>
        <w:rPr>
          <w:b/>
        </w:rPr>
      </w:pPr>
      <w:r w:rsidRPr="00B9546C">
        <w:rPr>
          <w:b/>
        </w:rPr>
        <w:t>2.  Respondent’s Violations</w:t>
      </w:r>
      <w:r w:rsidR="007939AA">
        <w:rPr>
          <w:b/>
        </w:rPr>
        <w:t xml:space="preserve"> of His Probation in </w:t>
      </w:r>
      <w:r w:rsidR="007939AA" w:rsidRPr="007939AA">
        <w:rPr>
          <w:b/>
          <w:i/>
        </w:rPr>
        <w:t>Nelson</w:t>
      </w:r>
      <w:r w:rsidR="007939AA">
        <w:rPr>
          <w:b/>
        </w:rPr>
        <w:t xml:space="preserve"> II </w:t>
      </w:r>
    </w:p>
    <w:p w:rsidR="003614DA" w:rsidRDefault="00144539" w:rsidP="003336B0">
      <w:pPr>
        <w:spacing w:line="480" w:lineRule="auto"/>
        <w:ind w:firstLine="720"/>
        <w:contextualSpacing/>
      </w:pPr>
      <w:r>
        <w:t xml:space="preserve">On </w:t>
      </w:r>
      <w:r w:rsidR="003336B0">
        <w:t>May 11</w:t>
      </w:r>
      <w:r>
        <w:t xml:space="preserve">, 2006, the Office of Probation mailed respondent a letter reminding respondent </w:t>
      </w:r>
      <w:r w:rsidR="0094560A">
        <w:t>o</w:t>
      </w:r>
      <w:r>
        <w:t xml:space="preserve">f the terms and conditions of his four-year probation in </w:t>
      </w:r>
      <w:r w:rsidRPr="00144539">
        <w:rPr>
          <w:i/>
        </w:rPr>
        <w:t>Nelson</w:t>
      </w:r>
      <w:r>
        <w:t xml:space="preserve"> II.  </w:t>
      </w:r>
      <w:r w:rsidR="003336B0">
        <w:t>With that letter, the Office of Probation provided respondent with written instruction</w:t>
      </w:r>
      <w:r w:rsidR="0094560A">
        <w:t>s</w:t>
      </w:r>
      <w:r w:rsidR="003336B0">
        <w:t xml:space="preserve"> </w:t>
      </w:r>
      <w:r w:rsidR="003614DA">
        <w:t xml:space="preserve">on how </w:t>
      </w:r>
      <w:r w:rsidR="003336B0">
        <w:t xml:space="preserve">he was to </w:t>
      </w:r>
      <w:r w:rsidR="003614DA">
        <w:t xml:space="preserve">provide it with </w:t>
      </w:r>
      <w:r w:rsidR="003336B0">
        <w:t>pro</w:t>
      </w:r>
      <w:r w:rsidR="0094560A">
        <w:t>of</w:t>
      </w:r>
      <w:r w:rsidR="003336B0">
        <w:t xml:space="preserve"> that he made </w:t>
      </w:r>
      <w:r w:rsidR="003614DA">
        <w:t xml:space="preserve">the required monthly </w:t>
      </w:r>
      <w:r w:rsidR="00531FC7">
        <w:t>restitution</w:t>
      </w:r>
      <w:r w:rsidR="003614DA">
        <w:t xml:space="preserve"> payments to CSF.    </w:t>
      </w:r>
    </w:p>
    <w:p w:rsidR="003336B0" w:rsidRPr="003336B0" w:rsidRDefault="003336B0" w:rsidP="003336B0">
      <w:pPr>
        <w:spacing w:line="480" w:lineRule="auto"/>
        <w:ind w:firstLine="720"/>
        <w:contextualSpacing/>
      </w:pPr>
      <w:r w:rsidRPr="003336B0">
        <w:t xml:space="preserve">The instructions </w:t>
      </w:r>
      <w:r w:rsidR="003614DA">
        <w:t xml:space="preserve">on providing proof of payments </w:t>
      </w:r>
      <w:r w:rsidRPr="003336B0">
        <w:t>notified respondent, in plain and</w:t>
      </w:r>
      <w:r w:rsidR="003614DA">
        <w:t xml:space="preserve"> clear language, that if he made his monthly </w:t>
      </w:r>
      <w:r w:rsidR="00531FC7">
        <w:t>restitution</w:t>
      </w:r>
      <w:r w:rsidR="003614DA">
        <w:t xml:space="preserve"> payments to </w:t>
      </w:r>
      <w:r w:rsidRPr="003336B0">
        <w:t xml:space="preserve">CSF </w:t>
      </w:r>
      <w:r w:rsidR="003614DA">
        <w:t xml:space="preserve">by </w:t>
      </w:r>
      <w:r w:rsidRPr="003336B0">
        <w:t xml:space="preserve">checks, he </w:t>
      </w:r>
      <w:r w:rsidR="003614DA">
        <w:t xml:space="preserve">was required to </w:t>
      </w:r>
      <w:r w:rsidRPr="003336B0">
        <w:t xml:space="preserve">provide the Office of Probation with </w:t>
      </w:r>
      <w:r w:rsidR="00C16A51">
        <w:t xml:space="preserve">either (1) </w:t>
      </w:r>
      <w:r w:rsidRPr="003336B0">
        <w:t>copies of the front</w:t>
      </w:r>
      <w:r w:rsidR="003614DA">
        <w:t>s</w:t>
      </w:r>
      <w:r w:rsidRPr="003336B0">
        <w:t xml:space="preserve"> and back</w:t>
      </w:r>
      <w:r w:rsidR="003614DA">
        <w:t>s</w:t>
      </w:r>
      <w:r w:rsidRPr="003336B0">
        <w:t xml:space="preserve"> of </w:t>
      </w:r>
      <w:r w:rsidR="00C16A51">
        <w:t xml:space="preserve">the canceled </w:t>
      </w:r>
      <w:r w:rsidRPr="003336B0">
        <w:t>check</w:t>
      </w:r>
      <w:r w:rsidR="003614DA">
        <w:t>s</w:t>
      </w:r>
      <w:r w:rsidRPr="003336B0">
        <w:t xml:space="preserve"> </w:t>
      </w:r>
      <w:r w:rsidR="00C16A51">
        <w:t xml:space="preserve">after they had been paid by respondent’s bank </w:t>
      </w:r>
      <w:r w:rsidRPr="003336B0">
        <w:t xml:space="preserve">or </w:t>
      </w:r>
      <w:r w:rsidR="00C16A51">
        <w:t xml:space="preserve">(2) one or more </w:t>
      </w:r>
      <w:r w:rsidRPr="003336B0">
        <w:t xml:space="preserve">declarations from CSF acknowledging </w:t>
      </w:r>
      <w:r w:rsidR="00C16A51">
        <w:t xml:space="preserve">its </w:t>
      </w:r>
      <w:r w:rsidRPr="003336B0">
        <w:t xml:space="preserve">receipt of his payments (specifying the amount and date received).  The instructions further </w:t>
      </w:r>
      <w:r w:rsidR="003614DA">
        <w:t>notified respondent</w:t>
      </w:r>
      <w:r w:rsidRPr="003336B0">
        <w:t>, in plain and clear language, that i</w:t>
      </w:r>
      <w:r w:rsidR="000D3B6D">
        <w:t>f</w:t>
      </w:r>
      <w:r w:rsidRPr="003336B0">
        <w:t xml:space="preserve"> respondent submit</w:t>
      </w:r>
      <w:r w:rsidR="000D3B6D">
        <w:t>ted</w:t>
      </w:r>
      <w:r w:rsidRPr="003336B0">
        <w:t xml:space="preserve"> </w:t>
      </w:r>
      <w:r w:rsidR="000D3B6D">
        <w:t xml:space="preserve">a </w:t>
      </w:r>
      <w:r w:rsidRPr="003336B0">
        <w:t>cop</w:t>
      </w:r>
      <w:r w:rsidR="000D3B6D">
        <w:t xml:space="preserve">y </w:t>
      </w:r>
      <w:r w:rsidRPr="003336B0">
        <w:t xml:space="preserve">of </w:t>
      </w:r>
      <w:r w:rsidR="000D3B6D">
        <w:t xml:space="preserve">only the </w:t>
      </w:r>
      <w:r w:rsidRPr="003336B0">
        <w:t xml:space="preserve">front of </w:t>
      </w:r>
      <w:r w:rsidR="000D3B6D">
        <w:t xml:space="preserve">a </w:t>
      </w:r>
      <w:r w:rsidRPr="003336B0">
        <w:t xml:space="preserve">check with </w:t>
      </w:r>
      <w:r w:rsidR="000D3B6D">
        <w:t>one of his</w:t>
      </w:r>
      <w:r w:rsidRPr="003336B0">
        <w:t xml:space="preserve"> </w:t>
      </w:r>
      <w:r w:rsidR="000D3B6D">
        <w:t xml:space="preserve">probation </w:t>
      </w:r>
      <w:r w:rsidRPr="003336B0">
        <w:t>report</w:t>
      </w:r>
      <w:r w:rsidR="000C2B5C">
        <w:t>s</w:t>
      </w:r>
      <w:r w:rsidRPr="003336B0">
        <w:t xml:space="preserve">, </w:t>
      </w:r>
      <w:r w:rsidR="00C16A51">
        <w:t xml:space="preserve">respondent was required to </w:t>
      </w:r>
      <w:r w:rsidRPr="003336B0">
        <w:t>submit</w:t>
      </w:r>
      <w:r w:rsidR="000C2B5C">
        <w:t xml:space="preserve">, with his </w:t>
      </w:r>
      <w:r w:rsidR="000C2B5C" w:rsidRPr="00C16A51">
        <w:rPr>
          <w:i/>
        </w:rPr>
        <w:t xml:space="preserve">next </w:t>
      </w:r>
      <w:r w:rsidR="000C2B5C">
        <w:t xml:space="preserve">probation report, </w:t>
      </w:r>
      <w:r w:rsidR="000D3B6D">
        <w:t xml:space="preserve">a </w:t>
      </w:r>
      <w:r w:rsidRPr="003336B0">
        <w:t>cop</w:t>
      </w:r>
      <w:r w:rsidR="000D3B6D">
        <w:t xml:space="preserve">y </w:t>
      </w:r>
      <w:r w:rsidRPr="003336B0">
        <w:t>of the back</w:t>
      </w:r>
      <w:r w:rsidR="000D3B6D">
        <w:t xml:space="preserve"> </w:t>
      </w:r>
      <w:r w:rsidRPr="003336B0">
        <w:t>of th</w:t>
      </w:r>
      <w:r w:rsidR="000D3B6D">
        <w:t xml:space="preserve">at </w:t>
      </w:r>
      <w:r w:rsidRPr="003336B0">
        <w:t xml:space="preserve">check </w:t>
      </w:r>
      <w:r w:rsidR="00DF422B">
        <w:t>after the check had been paid and cancelled by respondent’s bank.</w:t>
      </w:r>
    </w:p>
    <w:p w:rsidR="00B9546C" w:rsidRDefault="003614DA" w:rsidP="00B9546C">
      <w:pPr>
        <w:spacing w:line="480" w:lineRule="auto"/>
        <w:ind w:firstLine="720"/>
        <w:contextualSpacing/>
      </w:pPr>
      <w:r>
        <w:t xml:space="preserve">Respondent actually received the Office of Probation’s May 11, 2006 letter and the </w:t>
      </w:r>
      <w:r w:rsidR="00531FC7">
        <w:t>instructions</w:t>
      </w:r>
      <w:r>
        <w:t xml:space="preserve"> on providing proof of </w:t>
      </w:r>
      <w:r w:rsidR="00531FC7">
        <w:t>restitution</w:t>
      </w:r>
      <w:r>
        <w:t xml:space="preserve"> payments that were included with the letter.</w:t>
      </w:r>
      <w:r w:rsidR="00531FC7">
        <w:t xml:space="preserve">  </w:t>
      </w:r>
      <w:r w:rsidR="00531FC7" w:rsidRPr="00531FC7">
        <w:t xml:space="preserve">(Evid. Code, § 641 [mailbox rule].)  </w:t>
      </w:r>
      <w:r w:rsidR="00192942">
        <w:t xml:space="preserve">Respondent, however, </w:t>
      </w:r>
      <w:r w:rsidR="00B9546C" w:rsidRPr="00B9546C">
        <w:t>never contacted the Office of Probation and scheduled (or had) a meeting with his assigned probation deputy.</w:t>
      </w:r>
    </w:p>
    <w:p w:rsidR="008B5A7B" w:rsidRDefault="008B5A7B" w:rsidP="008B5A7B">
      <w:pPr>
        <w:spacing w:line="480" w:lineRule="auto"/>
        <w:ind w:firstLine="720"/>
        <w:contextualSpacing/>
      </w:pPr>
      <w:r>
        <w:t xml:space="preserve">Furthermore, respondent </w:t>
      </w:r>
      <w:r w:rsidR="003C334F">
        <w:t xml:space="preserve">submitted each of </w:t>
      </w:r>
      <w:r>
        <w:t xml:space="preserve">his first 10 quarterly </w:t>
      </w:r>
      <w:r w:rsidR="003C334F">
        <w:t xml:space="preserve">probation </w:t>
      </w:r>
      <w:r>
        <w:t xml:space="preserve">reports </w:t>
      </w:r>
      <w:r w:rsidR="003C334F">
        <w:t xml:space="preserve">late </w:t>
      </w:r>
      <w:r>
        <w:t>as follows:</w:t>
      </w:r>
    </w:p>
    <w:p w:rsidR="008B5A7B" w:rsidRDefault="008B5A7B" w:rsidP="008B5A7B">
      <w:pPr>
        <w:tabs>
          <w:tab w:val="left" w:pos="3240"/>
        </w:tabs>
        <w:spacing w:line="480" w:lineRule="auto"/>
        <w:ind w:firstLine="720"/>
        <w:contextualSpacing/>
      </w:pPr>
      <w:r w:rsidRPr="004767AB">
        <w:rPr>
          <w:b/>
          <w:u w:val="single"/>
        </w:rPr>
        <w:t>Report</w:t>
      </w:r>
      <w:r>
        <w:rPr>
          <w:b/>
          <w:u w:val="single"/>
        </w:rPr>
        <w:t>’s</w:t>
      </w:r>
      <w:r w:rsidRPr="004767AB">
        <w:rPr>
          <w:b/>
          <w:u w:val="single"/>
        </w:rPr>
        <w:t xml:space="preserve"> Due Date</w:t>
      </w:r>
      <w:r>
        <w:tab/>
      </w:r>
      <w:r w:rsidRPr="004767AB">
        <w:rPr>
          <w:b/>
          <w:u w:val="single"/>
        </w:rPr>
        <w:t xml:space="preserve">Date Report </w:t>
      </w:r>
      <w:r w:rsidR="00192942">
        <w:rPr>
          <w:b/>
          <w:u w:val="single"/>
        </w:rPr>
        <w:t xml:space="preserve">Was Actually </w:t>
      </w:r>
      <w:r w:rsidRPr="004767AB">
        <w:rPr>
          <w:b/>
          <w:u w:val="single"/>
        </w:rPr>
        <w:t>Received</w:t>
      </w:r>
      <w:r>
        <w:t xml:space="preserve"> </w:t>
      </w:r>
    </w:p>
    <w:p w:rsidR="008B5A7B" w:rsidRDefault="008B5A7B" w:rsidP="008B5A7B">
      <w:pPr>
        <w:tabs>
          <w:tab w:val="left" w:pos="3240"/>
        </w:tabs>
        <w:spacing w:line="360" w:lineRule="auto"/>
        <w:ind w:firstLine="720"/>
        <w:contextualSpacing/>
      </w:pPr>
      <w:r>
        <w:t>July 10, 2006</w:t>
      </w:r>
      <w:r>
        <w:tab/>
        <w:t>July 12, 2006</w:t>
      </w:r>
    </w:p>
    <w:p w:rsidR="008B5A7B" w:rsidRDefault="008B5A7B" w:rsidP="008B5A7B">
      <w:pPr>
        <w:tabs>
          <w:tab w:val="left" w:pos="3240"/>
        </w:tabs>
        <w:spacing w:line="360" w:lineRule="auto"/>
        <w:ind w:firstLine="720"/>
        <w:contextualSpacing/>
      </w:pPr>
      <w:r>
        <w:t>Oct</w:t>
      </w:r>
      <w:r w:rsidR="00192942">
        <w:t>ober 10, 2006</w:t>
      </w:r>
      <w:r w:rsidR="00192942">
        <w:tab/>
        <w:t>October 12, 2006</w:t>
      </w:r>
    </w:p>
    <w:p w:rsidR="008B5A7B" w:rsidRDefault="008B5A7B" w:rsidP="008B5A7B">
      <w:pPr>
        <w:tabs>
          <w:tab w:val="left" w:pos="3240"/>
        </w:tabs>
        <w:spacing w:line="360" w:lineRule="auto"/>
        <w:ind w:firstLine="720"/>
        <w:contextualSpacing/>
      </w:pPr>
      <w:r>
        <w:t>January 10, 2007</w:t>
      </w:r>
      <w:r>
        <w:tab/>
        <w:t>January 11, 2007</w:t>
      </w:r>
    </w:p>
    <w:p w:rsidR="008B5A7B" w:rsidRDefault="008B5A7B" w:rsidP="008B5A7B">
      <w:pPr>
        <w:tabs>
          <w:tab w:val="left" w:pos="3240"/>
        </w:tabs>
        <w:spacing w:line="360" w:lineRule="auto"/>
        <w:ind w:firstLine="720"/>
        <w:contextualSpacing/>
      </w:pPr>
      <w:r>
        <w:t>April 10, 2007</w:t>
      </w:r>
      <w:r>
        <w:tab/>
        <w:t>April 12, 2007</w:t>
      </w:r>
    </w:p>
    <w:p w:rsidR="008B5A7B" w:rsidRDefault="008B5A7B" w:rsidP="008B5A7B">
      <w:pPr>
        <w:tabs>
          <w:tab w:val="left" w:pos="3240"/>
        </w:tabs>
        <w:spacing w:line="360" w:lineRule="auto"/>
        <w:ind w:firstLine="720"/>
        <w:contextualSpacing/>
      </w:pPr>
      <w:r>
        <w:t>July 10, 2007</w:t>
      </w:r>
      <w:r>
        <w:tab/>
        <w:t>July 12, 2007</w:t>
      </w:r>
    </w:p>
    <w:p w:rsidR="008B5A7B" w:rsidRDefault="008B5A7B" w:rsidP="008B5A7B">
      <w:pPr>
        <w:tabs>
          <w:tab w:val="left" w:pos="3240"/>
        </w:tabs>
        <w:spacing w:line="360" w:lineRule="auto"/>
        <w:ind w:firstLine="720"/>
        <w:contextualSpacing/>
      </w:pPr>
      <w:r>
        <w:t>October 10, 2007</w:t>
      </w:r>
      <w:r>
        <w:tab/>
        <w:t>October 15, 2007</w:t>
      </w:r>
    </w:p>
    <w:p w:rsidR="008B5A7B" w:rsidRDefault="008B5A7B" w:rsidP="008B5A7B">
      <w:pPr>
        <w:tabs>
          <w:tab w:val="left" w:pos="720"/>
          <w:tab w:val="left" w:pos="1440"/>
          <w:tab w:val="left" w:pos="2160"/>
          <w:tab w:val="left" w:pos="2880"/>
          <w:tab w:val="left" w:pos="3240"/>
          <w:tab w:val="left" w:pos="3600"/>
          <w:tab w:val="left" w:pos="4320"/>
          <w:tab w:val="left" w:pos="4920"/>
        </w:tabs>
        <w:spacing w:line="360" w:lineRule="auto"/>
        <w:ind w:firstLine="720"/>
        <w:contextualSpacing/>
      </w:pPr>
      <w:r>
        <w:t>January 10, 2008</w:t>
      </w:r>
      <w:r>
        <w:tab/>
      </w:r>
      <w:r>
        <w:tab/>
        <w:t>January 14, 2008</w:t>
      </w:r>
      <w:r>
        <w:tab/>
      </w:r>
    </w:p>
    <w:p w:rsidR="008B5A7B" w:rsidRDefault="008B5A7B" w:rsidP="008B5A7B">
      <w:pPr>
        <w:tabs>
          <w:tab w:val="left" w:pos="3240"/>
        </w:tabs>
        <w:spacing w:line="360" w:lineRule="auto"/>
        <w:ind w:firstLine="720"/>
        <w:contextualSpacing/>
      </w:pPr>
      <w:r>
        <w:t>April 10, 2008</w:t>
      </w:r>
      <w:r>
        <w:tab/>
        <w:t>April 14, 2008</w:t>
      </w:r>
    </w:p>
    <w:p w:rsidR="008B5A7B" w:rsidRDefault="008B5A7B" w:rsidP="008B5A7B">
      <w:pPr>
        <w:tabs>
          <w:tab w:val="left" w:pos="3240"/>
        </w:tabs>
        <w:spacing w:line="360" w:lineRule="auto"/>
        <w:ind w:firstLine="720"/>
        <w:contextualSpacing/>
      </w:pPr>
      <w:r>
        <w:t>July 10, 2008</w:t>
      </w:r>
      <w:r>
        <w:tab/>
        <w:t>July 11, 2008</w:t>
      </w:r>
    </w:p>
    <w:p w:rsidR="008B5A7B" w:rsidRDefault="008B5A7B" w:rsidP="008B5A7B">
      <w:pPr>
        <w:tabs>
          <w:tab w:val="left" w:pos="3240"/>
        </w:tabs>
        <w:spacing w:line="480" w:lineRule="auto"/>
        <w:ind w:firstLine="720"/>
        <w:contextualSpacing/>
      </w:pPr>
      <w:r>
        <w:t>October 10, 2008</w:t>
      </w:r>
      <w:r>
        <w:tab/>
        <w:t>October 14, 2008</w:t>
      </w:r>
    </w:p>
    <w:p w:rsidR="00145A3F" w:rsidRDefault="00131818" w:rsidP="00145A3F">
      <w:pPr>
        <w:spacing w:line="480" w:lineRule="auto"/>
        <w:contextualSpacing/>
      </w:pPr>
      <w:r>
        <w:tab/>
      </w:r>
      <w:r w:rsidR="008B5A7B">
        <w:t xml:space="preserve">What is more, </w:t>
      </w:r>
      <w:r w:rsidR="00795E5A">
        <w:t xml:space="preserve">respondent’s second quarterly probation report, which was due October 10, 2006, was improperly completed, and </w:t>
      </w:r>
      <w:r w:rsidR="008B5A7B">
        <w:t xml:space="preserve">respondent </w:t>
      </w:r>
      <w:r w:rsidR="003C334F">
        <w:t xml:space="preserve">never submitted his </w:t>
      </w:r>
      <w:r w:rsidR="001C48C9">
        <w:t>11th,</w:t>
      </w:r>
      <w:r w:rsidR="003C334F">
        <w:t xml:space="preserve"> </w:t>
      </w:r>
      <w:r w:rsidR="001C48C9">
        <w:t xml:space="preserve">12th, </w:t>
      </w:r>
      <w:r w:rsidR="003C334F">
        <w:t xml:space="preserve">or </w:t>
      </w:r>
      <w:r w:rsidR="001C48C9">
        <w:t xml:space="preserve">13th </w:t>
      </w:r>
      <w:r w:rsidR="008B5A7B">
        <w:t xml:space="preserve">quarterly </w:t>
      </w:r>
      <w:r w:rsidR="003C334F">
        <w:t xml:space="preserve">probation </w:t>
      </w:r>
      <w:r w:rsidR="008B5A7B">
        <w:t>reports</w:t>
      </w:r>
      <w:r w:rsidR="003C334F">
        <w:t xml:space="preserve">, which were due </w:t>
      </w:r>
      <w:r w:rsidR="008B5A7B">
        <w:t xml:space="preserve">on January 10, 2009; April 10, 2009; </w:t>
      </w:r>
      <w:r w:rsidR="001C48C9">
        <w:t xml:space="preserve">and </w:t>
      </w:r>
      <w:r w:rsidR="008B5A7B">
        <w:t>July 10, 2009</w:t>
      </w:r>
      <w:r w:rsidR="004A4685">
        <w:t>, respectively.</w:t>
      </w:r>
      <w:r w:rsidR="00F17054">
        <w:t xml:space="preserve">  </w:t>
      </w:r>
    </w:p>
    <w:p w:rsidR="004A4685" w:rsidRDefault="00145A3F" w:rsidP="004A4685">
      <w:pPr>
        <w:spacing w:line="480" w:lineRule="auto"/>
        <w:contextualSpacing/>
      </w:pPr>
      <w:r>
        <w:tab/>
      </w:r>
      <w:r w:rsidR="00192942">
        <w:t>Moreover, respondent admits that he has not submitted a probation report since October 14, 2008.</w:t>
      </w:r>
      <w:r>
        <w:t xml:space="preserve">  Thus, it is clear that respondent never submitted his last three quarterly probation reports, which were due on October 10, 2009; January 10, 2010; and April 10, 2010</w:t>
      </w:r>
      <w:r w:rsidR="00465E49">
        <w:t xml:space="preserve">, respectively, or his </w:t>
      </w:r>
      <w:r>
        <w:t xml:space="preserve">final </w:t>
      </w:r>
      <w:r w:rsidR="00465E49">
        <w:t xml:space="preserve">probation </w:t>
      </w:r>
      <w:r>
        <w:t>report that was due within the last 20 days of his probation.</w:t>
      </w:r>
      <w:r w:rsidR="00465E49">
        <w:t xml:space="preserve">  </w:t>
      </w:r>
      <w:r w:rsidR="00131818">
        <w:t xml:space="preserve">The State Bar, however, </w:t>
      </w:r>
      <w:r w:rsidR="00465E49">
        <w:t xml:space="preserve">failed </w:t>
      </w:r>
      <w:r w:rsidR="0094560A">
        <w:t xml:space="preserve">to </w:t>
      </w:r>
      <w:r w:rsidR="00131818">
        <w:t xml:space="preserve">amend the NDC </w:t>
      </w:r>
      <w:r w:rsidR="00465E49">
        <w:t xml:space="preserve">to charge respondent with failing to submit </w:t>
      </w:r>
      <w:r w:rsidR="00CF0A74">
        <w:t xml:space="preserve">his </w:t>
      </w:r>
      <w:r w:rsidR="00465E49">
        <w:t xml:space="preserve"> </w:t>
      </w:r>
      <w:r w:rsidR="00131818">
        <w:t xml:space="preserve">last </w:t>
      </w:r>
      <w:r w:rsidR="00465E49">
        <w:t xml:space="preserve">four </w:t>
      </w:r>
      <w:r w:rsidR="00131818">
        <w:t xml:space="preserve">probation </w:t>
      </w:r>
      <w:r w:rsidR="00465E49">
        <w:t xml:space="preserve">reports.  Accordingly, </w:t>
      </w:r>
      <w:r w:rsidR="00131818">
        <w:t xml:space="preserve">this </w:t>
      </w:r>
      <w:r w:rsidR="00465E49">
        <w:t xml:space="preserve">court </w:t>
      </w:r>
      <w:r w:rsidR="00CF0A74">
        <w:t xml:space="preserve">will </w:t>
      </w:r>
      <w:r w:rsidR="00465E49">
        <w:t xml:space="preserve">consider </w:t>
      </w:r>
      <w:r w:rsidR="00131818">
        <w:t>that uncharged, but proved misconduct</w:t>
      </w:r>
      <w:r w:rsidR="00213495">
        <w:t xml:space="preserve"> </w:t>
      </w:r>
      <w:r w:rsidR="00213495" w:rsidRPr="000E494A">
        <w:rPr>
          <w:i/>
        </w:rPr>
        <w:t>post</w:t>
      </w:r>
      <w:r w:rsidR="00131818">
        <w:t xml:space="preserve"> “as an aggravating circumstance and not as an independent basis of discipline.”  (</w:t>
      </w:r>
      <w:r w:rsidR="00465E49">
        <w:rPr>
          <w:i/>
        </w:rPr>
        <w:t>In re Silverton</w:t>
      </w:r>
      <w:r w:rsidR="00465E49">
        <w:t xml:space="preserve"> (2005) 36 Cal.4th 81</w:t>
      </w:r>
      <w:r w:rsidR="00131818">
        <w:t>, 93, fn. 4.)</w:t>
      </w:r>
    </w:p>
    <w:p w:rsidR="00213495" w:rsidRDefault="008B5A7B" w:rsidP="00213495">
      <w:pPr>
        <w:spacing w:line="480" w:lineRule="auto"/>
        <w:ind w:firstLine="720"/>
        <w:contextualSpacing/>
      </w:pPr>
      <w:r>
        <w:t xml:space="preserve">Respondent failed to pay restitution </w:t>
      </w:r>
      <w:r w:rsidR="001C48C9">
        <w:t>to CSF in accordance with the conditions of his proba</w:t>
      </w:r>
      <w:r w:rsidR="00CC625A">
        <w:t xml:space="preserve">tion.  </w:t>
      </w:r>
      <w:r w:rsidR="00C75B36">
        <w:t xml:space="preserve">From June 17, 2006, through July 29, 2009, when the State Bar filed the NDC, respondent </w:t>
      </w:r>
      <w:r w:rsidR="00F17054">
        <w:t xml:space="preserve">was to have </w:t>
      </w:r>
      <w:r w:rsidR="00C75B36">
        <w:t>made at least 38 monthly payment</w:t>
      </w:r>
      <w:r w:rsidR="0094560A">
        <w:t>s</w:t>
      </w:r>
      <w:r w:rsidR="00C75B36">
        <w:t xml:space="preserve"> </w:t>
      </w:r>
      <w:r w:rsidR="00F17054">
        <w:t xml:space="preserve">to CSF and those 38 payments were to have totaled at </w:t>
      </w:r>
      <w:r w:rsidR="00C75B36">
        <w:t xml:space="preserve">least $29,550.  </w:t>
      </w:r>
      <w:r w:rsidR="001C48C9">
        <w:t>Regrettably</w:t>
      </w:r>
      <w:r w:rsidR="00C75B36">
        <w:t xml:space="preserve">, during that period, respondent </w:t>
      </w:r>
      <w:r w:rsidR="00DA6F91">
        <w:t xml:space="preserve">actually </w:t>
      </w:r>
      <w:r w:rsidR="00C75B36">
        <w:t xml:space="preserve">made only 21 monthly payments </w:t>
      </w:r>
      <w:r w:rsidR="00F17054">
        <w:t xml:space="preserve">to CSF and those 21 payments totaled </w:t>
      </w:r>
      <w:r w:rsidR="00C75B36">
        <w:t>only $7,800.</w:t>
      </w:r>
    </w:p>
    <w:p w:rsidR="00941B8E" w:rsidRDefault="00941B8E" w:rsidP="00941B8E">
      <w:pPr>
        <w:spacing w:line="480" w:lineRule="auto"/>
        <w:contextualSpacing/>
      </w:pPr>
      <w:r>
        <w:tab/>
      </w:r>
      <w:r w:rsidR="00F17054">
        <w:t xml:space="preserve">What is more, </w:t>
      </w:r>
      <w:r w:rsidR="00CC625A">
        <w:t xml:space="preserve">respondent </w:t>
      </w:r>
      <w:r w:rsidR="00F17054">
        <w:t xml:space="preserve">admits that he </w:t>
      </w:r>
      <w:r w:rsidR="00CC625A" w:rsidRPr="008B0738">
        <w:rPr>
          <w:color w:val="000000"/>
          <w:w w:val="105"/>
        </w:rPr>
        <w:t>has not made a</w:t>
      </w:r>
      <w:r w:rsidR="00F17054">
        <w:rPr>
          <w:color w:val="000000"/>
          <w:w w:val="105"/>
        </w:rPr>
        <w:t xml:space="preserve"> single </w:t>
      </w:r>
      <w:r w:rsidR="00CC625A">
        <w:rPr>
          <w:color w:val="000000"/>
          <w:w w:val="105"/>
        </w:rPr>
        <w:t xml:space="preserve">restitution </w:t>
      </w:r>
      <w:r w:rsidR="00CC625A" w:rsidRPr="008B0738">
        <w:rPr>
          <w:color w:val="000000"/>
          <w:w w:val="105"/>
        </w:rPr>
        <w:t xml:space="preserve">payment </w:t>
      </w:r>
      <w:r w:rsidR="00CC625A">
        <w:rPr>
          <w:color w:val="000000"/>
          <w:w w:val="105"/>
        </w:rPr>
        <w:t xml:space="preserve">to CSF </w:t>
      </w:r>
      <w:r w:rsidR="0091727F">
        <w:rPr>
          <w:color w:val="000000"/>
          <w:w w:val="105"/>
        </w:rPr>
        <w:t xml:space="preserve">since </w:t>
      </w:r>
      <w:r w:rsidR="00CC625A" w:rsidRPr="008B0738">
        <w:rPr>
          <w:color w:val="000000"/>
          <w:w w:val="105"/>
        </w:rPr>
        <w:t>July 2008</w:t>
      </w:r>
      <w:r w:rsidR="00CC625A">
        <w:rPr>
          <w:color w:val="000000"/>
          <w:w w:val="105"/>
        </w:rPr>
        <w:t>.</w:t>
      </w:r>
      <w:r w:rsidR="00213495">
        <w:rPr>
          <w:color w:val="000000"/>
          <w:w w:val="105"/>
        </w:rPr>
        <w:t xml:space="preserve">  Thus, it is clear that respondent </w:t>
      </w:r>
      <w:r>
        <w:rPr>
          <w:color w:val="000000"/>
          <w:w w:val="105"/>
        </w:rPr>
        <w:t xml:space="preserve">also </w:t>
      </w:r>
      <w:r w:rsidR="00213495">
        <w:t xml:space="preserve">failed to </w:t>
      </w:r>
      <w:r>
        <w:t xml:space="preserve">make his last four minimum monthly restitution payments that were due </w:t>
      </w:r>
      <w:r w:rsidR="0094560A">
        <w:t xml:space="preserve">in </w:t>
      </w:r>
      <w:r>
        <w:t>August, September, October, and November 2009.  It is also clear that respondent failed to c</w:t>
      </w:r>
      <w:r w:rsidR="00213495">
        <w:t xml:space="preserve">omplete his restitution to CSF no later than </w:t>
      </w:r>
      <w:r w:rsidR="0094560A">
        <w:t>January</w:t>
      </w:r>
      <w:r w:rsidR="00213495">
        <w:t xml:space="preserve"> 10, 2010.   The State Bar failed to amend the NDC </w:t>
      </w:r>
      <w:r w:rsidR="0094560A">
        <w:t xml:space="preserve">to </w:t>
      </w:r>
      <w:r w:rsidR="00213495">
        <w:t xml:space="preserve">charge </w:t>
      </w:r>
      <w:r w:rsidR="00213495" w:rsidRPr="00941B8E">
        <w:t xml:space="preserve">respondent </w:t>
      </w:r>
      <w:r w:rsidR="0094560A">
        <w:t xml:space="preserve">with </w:t>
      </w:r>
      <w:r w:rsidRPr="00941B8E">
        <w:t>these post</w:t>
      </w:r>
      <w:r>
        <w:t xml:space="preserve">-NDC probation violations.  Accordingly, the court considers them </w:t>
      </w:r>
      <w:r w:rsidRPr="000E494A">
        <w:rPr>
          <w:i/>
        </w:rPr>
        <w:t>post</w:t>
      </w:r>
      <w:r>
        <w:t xml:space="preserve">  only as </w:t>
      </w:r>
      <w:r w:rsidR="00CF0A74">
        <w:t xml:space="preserve">uncharged-but-proved-misconduct </w:t>
      </w:r>
      <w:r>
        <w:t>aggravation.  (</w:t>
      </w:r>
      <w:r>
        <w:rPr>
          <w:i/>
        </w:rPr>
        <w:t>In re Silverton, supra</w:t>
      </w:r>
      <w:r>
        <w:t>, 36 Cal.4th at p. 93, fn. 4.)</w:t>
      </w:r>
    </w:p>
    <w:p w:rsidR="00505037" w:rsidRDefault="001C48C9" w:rsidP="004A4685">
      <w:pPr>
        <w:spacing w:line="480" w:lineRule="auto"/>
        <w:contextualSpacing/>
      </w:pPr>
      <w:r>
        <w:tab/>
      </w:r>
      <w:r w:rsidR="00505037" w:rsidRPr="00505037">
        <w:rPr>
          <w:b/>
          <w:i/>
        </w:rPr>
        <w:t>Count one – Failure  to Comply With Probation Conditions</w:t>
      </w:r>
      <w:r w:rsidR="00CC625A">
        <w:rPr>
          <w:b/>
          <w:i/>
        </w:rPr>
        <w:t xml:space="preserve"> (§ 6068, subd. (k))</w:t>
      </w:r>
    </w:p>
    <w:p w:rsidR="009B1FE4" w:rsidRDefault="00505037" w:rsidP="008D221B">
      <w:pPr>
        <w:spacing w:line="480" w:lineRule="auto"/>
        <w:contextualSpacing/>
      </w:pPr>
      <w:r>
        <w:tab/>
        <w:t>The record establishes, by clear and convincing evidence, that respondent willfully violated his duty, under section 6068, subdivision (k), “To comply with all conditions attached to any disciplinary probation”</w:t>
      </w:r>
      <w:r w:rsidR="00E15F46">
        <w:t xml:space="preserve"> by </w:t>
      </w:r>
      <w:r>
        <w:t>never contact</w:t>
      </w:r>
      <w:r w:rsidR="00E15F46">
        <w:t xml:space="preserve">ing </w:t>
      </w:r>
      <w:r>
        <w:t>the Office of Probation and schedul</w:t>
      </w:r>
      <w:r w:rsidR="00E15F46">
        <w:t xml:space="preserve">ing </w:t>
      </w:r>
      <w:r>
        <w:t xml:space="preserve">a meeting with his assigned probation deputy; </w:t>
      </w:r>
      <w:r w:rsidR="00E15F46">
        <w:t xml:space="preserve">by </w:t>
      </w:r>
      <w:r>
        <w:t>submitt</w:t>
      </w:r>
      <w:r w:rsidR="00E15F46">
        <w:t xml:space="preserve">ing </w:t>
      </w:r>
      <w:r w:rsidR="00795E5A">
        <w:t xml:space="preserve">each of </w:t>
      </w:r>
      <w:r>
        <w:t xml:space="preserve">his first 10 quarterly probation reports late, </w:t>
      </w:r>
      <w:r w:rsidR="00795E5A">
        <w:t xml:space="preserve">by failing to properly complete his second </w:t>
      </w:r>
      <w:r w:rsidR="00FF6B78">
        <w:t>quarterly</w:t>
      </w:r>
      <w:r w:rsidR="00795E5A">
        <w:t xml:space="preserve"> probation report; </w:t>
      </w:r>
      <w:r w:rsidR="00E15F46">
        <w:t xml:space="preserve">by </w:t>
      </w:r>
      <w:r w:rsidR="00795E5A">
        <w:t xml:space="preserve">failing to </w:t>
      </w:r>
      <w:r>
        <w:t>submit</w:t>
      </w:r>
      <w:r w:rsidR="00E15F46">
        <w:t xml:space="preserve"> </w:t>
      </w:r>
      <w:r>
        <w:t xml:space="preserve">his 11th, 12th, </w:t>
      </w:r>
      <w:r w:rsidR="00795E5A">
        <w:t xml:space="preserve">and </w:t>
      </w:r>
      <w:r>
        <w:t>13th quarterly probation reports; by</w:t>
      </w:r>
      <w:r w:rsidR="00E15F46">
        <w:t xml:space="preserve"> </w:t>
      </w:r>
      <w:r w:rsidR="00192942">
        <w:t xml:space="preserve">making only 21 of the 38 required monthly </w:t>
      </w:r>
      <w:r w:rsidR="001739C6">
        <w:t>restitution</w:t>
      </w:r>
      <w:r w:rsidR="00192942">
        <w:t xml:space="preserve"> payments between </w:t>
      </w:r>
      <w:r w:rsidR="00E15F46">
        <w:t>June 17, 2006, and July 29, 2009</w:t>
      </w:r>
      <w:r>
        <w:t xml:space="preserve">; and by </w:t>
      </w:r>
      <w:r w:rsidR="00192942">
        <w:t xml:space="preserve">paying </w:t>
      </w:r>
      <w:r w:rsidR="008D221B">
        <w:t xml:space="preserve">CSF </w:t>
      </w:r>
      <w:r w:rsidR="00192942">
        <w:t xml:space="preserve">only $7,800 of the </w:t>
      </w:r>
      <w:r w:rsidR="002A6966">
        <w:t xml:space="preserve">$29,550 </w:t>
      </w:r>
      <w:r w:rsidR="00192942">
        <w:t xml:space="preserve">he was required to pay CSF </w:t>
      </w:r>
      <w:r w:rsidR="008D221B">
        <w:t>between June 17, 2006, and July 29, 2009.</w:t>
      </w:r>
      <w:r w:rsidR="009B1FE4" w:rsidRPr="009B1FE4">
        <w:rPr>
          <w:vertAlign w:val="superscript"/>
        </w:rPr>
        <w:footnoteReference w:id="6"/>
      </w:r>
    </w:p>
    <w:p w:rsidR="001739C6" w:rsidRPr="001739C6" w:rsidRDefault="001739C6" w:rsidP="001739C6">
      <w:pPr>
        <w:spacing w:line="480" w:lineRule="auto"/>
        <w:contextualSpacing/>
      </w:pPr>
      <w:r>
        <w:tab/>
      </w:r>
      <w:r w:rsidRPr="001739C6">
        <w:t xml:space="preserve">The court rejects respondent’s claim that he lacked the ability to pay the minimum </w:t>
      </w:r>
      <w:r>
        <w:t xml:space="preserve">monthly </w:t>
      </w:r>
      <w:r w:rsidRPr="001739C6">
        <w:t>restitution payments to which he stipulated because he contributed $500 a month to his parents</w:t>
      </w:r>
      <w:r w:rsidR="0094560A">
        <w:t>’</w:t>
      </w:r>
      <w:r w:rsidRPr="001739C6">
        <w:t xml:space="preserve"> support from 2005 through March 2009 and because he paid Tammara $3,500 a month in court-ordered support from late 2008 through November 2010.  Even if respondent lacked the ability to pay the minimum monthly restitution payments to which he stipulated, it is not a defense or an impediment to discipline because, as respondent admits, he never sought relief from either </w:t>
      </w:r>
      <w:r>
        <w:t>t</w:t>
      </w:r>
      <w:r w:rsidRPr="001739C6">
        <w:t xml:space="preserve">he </w:t>
      </w:r>
      <w:smartTag w:uri="urn:schemas-microsoft-com:office:smarttags" w:element="Street">
        <w:smartTag w:uri="urn:schemas-microsoft-com:office:smarttags" w:element="address">
          <w:r w:rsidRPr="001739C6">
            <w:t>State Bar Court</w:t>
          </w:r>
        </w:smartTag>
      </w:smartTag>
      <w:r w:rsidRPr="001739C6">
        <w:t xml:space="preserve"> or the Supreme Court on the basis of an inability to pay.  Therefore, </w:t>
      </w:r>
      <w:r>
        <w:t xml:space="preserve">even </w:t>
      </w:r>
      <w:r w:rsidRPr="001739C6">
        <w:t xml:space="preserve">if respondent did, in fact, lack the ability to pay the required minimum monthly </w:t>
      </w:r>
      <w:r>
        <w:t xml:space="preserve">restitution </w:t>
      </w:r>
      <w:r w:rsidRPr="001739C6">
        <w:t xml:space="preserve">payments, he is not being disciplined for not </w:t>
      </w:r>
      <w:r w:rsidR="00B34602">
        <w:t xml:space="preserve">making those </w:t>
      </w:r>
      <w:r w:rsidRPr="001739C6">
        <w:t>pay</w:t>
      </w:r>
      <w:r w:rsidR="00B34602">
        <w:t xml:space="preserve">ments.  </w:t>
      </w:r>
      <w:r>
        <w:t xml:space="preserve">Instead, he is being </w:t>
      </w:r>
      <w:r w:rsidR="0053762E">
        <w:t>disciplined</w:t>
      </w:r>
      <w:r>
        <w:t xml:space="preserve"> </w:t>
      </w:r>
      <w:r w:rsidRPr="001739C6">
        <w:t xml:space="preserve">for </w:t>
      </w:r>
      <w:r w:rsidR="00B34602">
        <w:t xml:space="preserve">not making the </w:t>
      </w:r>
      <w:r w:rsidRPr="001739C6">
        <w:t>pay</w:t>
      </w:r>
      <w:r w:rsidR="00B34602">
        <w:t xml:space="preserve">ments </w:t>
      </w:r>
      <w:r w:rsidRPr="001739C6">
        <w:t xml:space="preserve">without first attempting to be relieved from </w:t>
      </w:r>
      <w:r w:rsidR="00B34602">
        <w:t xml:space="preserve">the </w:t>
      </w:r>
      <w:r w:rsidR="0053762E">
        <w:t>obligation</w:t>
      </w:r>
      <w:r w:rsidR="00B34602">
        <w:t xml:space="preserve"> of making the payments in whole or in part </w:t>
      </w:r>
      <w:r w:rsidRPr="001739C6">
        <w:t>on the basis of an inability to pay.  (</w:t>
      </w:r>
      <w:r w:rsidRPr="001739C6">
        <w:rPr>
          <w:i/>
        </w:rPr>
        <w:t>In the Matter of Respondent Y</w:t>
      </w:r>
      <w:r w:rsidRPr="001739C6">
        <w:t xml:space="preserve"> (Review Dept. 1998) 3 Cal. State Bar Ct. Rptr. 862, 868, fn. 4.)</w:t>
      </w:r>
    </w:p>
    <w:p w:rsidR="009B1FE4" w:rsidRPr="008D221B" w:rsidRDefault="008D221B" w:rsidP="003C23AD">
      <w:pPr>
        <w:spacing w:before="240" w:line="480" w:lineRule="auto"/>
        <w:ind w:firstLine="720"/>
        <w:contextualSpacing/>
        <w:rPr>
          <w:b/>
        </w:rPr>
      </w:pPr>
      <w:r w:rsidRPr="008D221B">
        <w:rPr>
          <w:b/>
        </w:rPr>
        <w:t xml:space="preserve">3.  Respondent’s Acts Involving Moral Turpitude and Dishonesty </w:t>
      </w:r>
    </w:p>
    <w:p w:rsidR="0098182F" w:rsidRDefault="0098182F" w:rsidP="0098182F">
      <w:pPr>
        <w:spacing w:line="480" w:lineRule="auto"/>
        <w:ind w:firstLine="720"/>
        <w:contextualSpacing/>
      </w:pPr>
      <w:r>
        <w:t xml:space="preserve">From July 2006 through July 2008, respondent submitted </w:t>
      </w:r>
      <w:r w:rsidR="001321E9">
        <w:t xml:space="preserve">his first 9 </w:t>
      </w:r>
      <w:r>
        <w:t>quarterly probation reports to the Office of Probation</w:t>
      </w:r>
      <w:r w:rsidR="001321E9">
        <w:t xml:space="preserve">.  In each of those nine reports, </w:t>
      </w:r>
      <w:r>
        <w:t>respondent stated, under penalty of perjury, that he had “made monthly or quarterly restitution payments, and attached are front/back copies of</w:t>
      </w:r>
      <w:r w:rsidR="00B26AFD">
        <w:t xml:space="preserve"> the cancelled checks . . . .”</w:t>
      </w:r>
    </w:p>
    <w:p w:rsidR="0098182F" w:rsidRDefault="0094560A" w:rsidP="0094560A">
      <w:pPr>
        <w:spacing w:line="480" w:lineRule="auto"/>
        <w:contextualSpacing/>
      </w:pPr>
      <w:r>
        <w:tab/>
      </w:r>
      <w:r w:rsidR="00BF7E62">
        <w:t>In his first 9 probation reports</w:t>
      </w:r>
      <w:r w:rsidR="00FD6D03">
        <w:t>,</w:t>
      </w:r>
      <w:r w:rsidR="00BF7E62">
        <w:t xml:space="preserve"> </w:t>
      </w:r>
      <w:r w:rsidR="0098182F">
        <w:t xml:space="preserve">respondent </w:t>
      </w:r>
      <w:r w:rsidR="00B26AFD">
        <w:t xml:space="preserve">submitted </w:t>
      </w:r>
      <w:r w:rsidR="00FD6D03">
        <w:t>copies of only t</w:t>
      </w:r>
      <w:r w:rsidR="0098182F">
        <w:t>he front</w:t>
      </w:r>
      <w:r w:rsidR="00FD6D03">
        <w:t xml:space="preserve"> sides </w:t>
      </w:r>
      <w:r w:rsidR="0098182F">
        <w:t xml:space="preserve">of 13 checks </w:t>
      </w:r>
      <w:r w:rsidR="001321E9">
        <w:t xml:space="preserve">totaling $11,770 that were </w:t>
      </w:r>
      <w:r w:rsidR="0098182F">
        <w:t>made payable to CSF</w:t>
      </w:r>
      <w:r w:rsidR="00BC0F77">
        <w:t>.</w:t>
      </w:r>
      <w:r w:rsidR="00BC0F77" w:rsidRPr="009B1FE4">
        <w:rPr>
          <w:vertAlign w:val="superscript"/>
        </w:rPr>
        <w:footnoteReference w:id="7"/>
      </w:r>
      <w:r>
        <w:t xml:space="preserve">  </w:t>
      </w:r>
      <w:r w:rsidR="00DF422B">
        <w:t xml:space="preserve">Respondent never provided the Office of Probation with copies of the </w:t>
      </w:r>
      <w:r w:rsidR="00DF422B" w:rsidRPr="003336B0">
        <w:t>back</w:t>
      </w:r>
      <w:r w:rsidR="00FD6D03">
        <w:t xml:space="preserve"> sides </w:t>
      </w:r>
      <w:r w:rsidR="00DF422B" w:rsidRPr="003336B0">
        <w:t>of th</w:t>
      </w:r>
      <w:r w:rsidR="00DF422B">
        <w:t xml:space="preserve">ose 13 </w:t>
      </w:r>
      <w:r w:rsidR="00DF422B" w:rsidRPr="003336B0">
        <w:t>check</w:t>
      </w:r>
      <w:r>
        <w:t>s</w:t>
      </w:r>
      <w:r w:rsidR="00DF422B" w:rsidRPr="003336B0">
        <w:t xml:space="preserve"> </w:t>
      </w:r>
      <w:r w:rsidR="00DF422B">
        <w:t>after the</w:t>
      </w:r>
      <w:r w:rsidR="00FD6D03">
        <w:t xml:space="preserve"> checks </w:t>
      </w:r>
      <w:r w:rsidR="00DF422B">
        <w:t xml:space="preserve">had been paid and cancelled by respondent’s bank.  </w:t>
      </w:r>
      <w:r w:rsidR="00BB4A97">
        <w:t xml:space="preserve">More disturbing, however, is the fact that, when respondent signed </w:t>
      </w:r>
      <w:r w:rsidR="00FD6D03">
        <w:t xml:space="preserve">each of his first 9 </w:t>
      </w:r>
      <w:r w:rsidR="00BB4A97">
        <w:t>probation reports</w:t>
      </w:r>
      <w:r w:rsidR="00FD6D03">
        <w:t xml:space="preserve"> under penalty of perjury</w:t>
      </w:r>
      <w:r w:rsidR="00BB4A97">
        <w:t>, r</w:t>
      </w:r>
      <w:r w:rsidR="0098182F">
        <w:t>espondent</w:t>
      </w:r>
      <w:r w:rsidR="00BB4A97">
        <w:t xml:space="preserve"> knew that the</w:t>
      </w:r>
      <w:r w:rsidR="00FD6D03">
        <w:t xml:space="preserve"> 13 </w:t>
      </w:r>
      <w:r w:rsidR="00FB6A35">
        <w:t xml:space="preserve">copied </w:t>
      </w:r>
      <w:r w:rsidR="00FD6D03">
        <w:t>check</w:t>
      </w:r>
      <w:r w:rsidR="00FB6A35">
        <w:t>s</w:t>
      </w:r>
      <w:r w:rsidR="00FD6D03">
        <w:t xml:space="preserve"> had not been sent or given </w:t>
      </w:r>
      <w:r w:rsidR="00BB4A97">
        <w:t>to CSF.</w:t>
      </w:r>
    </w:p>
    <w:p w:rsidR="00225FF3" w:rsidRDefault="0098182F" w:rsidP="0098182F">
      <w:pPr>
        <w:spacing w:line="480" w:lineRule="auto"/>
        <w:ind w:firstLine="720"/>
        <w:contextualSpacing/>
      </w:pPr>
      <w:r>
        <w:t xml:space="preserve">At trial, respondent </w:t>
      </w:r>
      <w:r w:rsidR="00FB6A35">
        <w:t xml:space="preserve">denied knowing that the 13 checks totaling $11,770 were never given to CSF.  Respondent </w:t>
      </w:r>
      <w:r>
        <w:t xml:space="preserve">testified that he relied on his then wife Tammara to make (or to mail) his restitution payments to CSF and that he first discovered that Tammara had “embezzled” </w:t>
      </w:r>
      <w:r w:rsidR="00225FF3">
        <w:t xml:space="preserve">the </w:t>
      </w:r>
      <w:r>
        <w:t xml:space="preserve">$11,770 from </w:t>
      </w:r>
      <w:r w:rsidR="00225FF3">
        <w:t>him when he received the Office of Probation’s S</w:t>
      </w:r>
      <w:r w:rsidR="00613037">
        <w:t>eptember 30, 2008 letter outlining</w:t>
      </w:r>
      <w:r w:rsidR="00225FF3">
        <w:t xml:space="preserve"> </w:t>
      </w:r>
      <w:r w:rsidR="00FB6A35">
        <w:t xml:space="preserve">respondent’s </w:t>
      </w:r>
      <w:r w:rsidR="00613037">
        <w:t>numerous</w:t>
      </w:r>
      <w:r w:rsidR="00225FF3">
        <w:t xml:space="preserve"> </w:t>
      </w:r>
      <w:r w:rsidR="00FB6A35">
        <w:t xml:space="preserve">and repeated </w:t>
      </w:r>
      <w:r w:rsidR="00613037">
        <w:t>probation</w:t>
      </w:r>
      <w:r w:rsidR="00225FF3">
        <w:t xml:space="preserve"> </w:t>
      </w:r>
      <w:r w:rsidR="00613037">
        <w:t>violations</w:t>
      </w:r>
      <w:r w:rsidR="00225FF3">
        <w:t xml:space="preserve">.  As noted </w:t>
      </w:r>
      <w:r w:rsidR="00225FF3" w:rsidRPr="00F0652C">
        <w:rPr>
          <w:i/>
        </w:rPr>
        <w:t>ante</w:t>
      </w:r>
      <w:r w:rsidR="00225FF3">
        <w:t>, the court does not find res</w:t>
      </w:r>
      <w:r w:rsidR="00FB6A35">
        <w:t xml:space="preserve">pondent’s foregoing denial and </w:t>
      </w:r>
      <w:r w:rsidR="009766B1">
        <w:t>testimony credible.  Th</w:t>
      </w:r>
      <w:r w:rsidR="00FB6A35">
        <w:t>e</w:t>
      </w:r>
      <w:r w:rsidR="00BF7E62">
        <w:t xml:space="preserve">se </w:t>
      </w:r>
      <w:r w:rsidR="009766B1">
        <w:t xml:space="preserve">adverse credibility determinations are </w:t>
      </w:r>
      <w:r w:rsidR="00BF7E62">
        <w:t xml:space="preserve">supported in part </w:t>
      </w:r>
      <w:r w:rsidR="009766B1">
        <w:t xml:space="preserve">by the fact that a State Bar probation deputy </w:t>
      </w:r>
      <w:r w:rsidR="00613037">
        <w:t xml:space="preserve">told </w:t>
      </w:r>
      <w:r w:rsidR="009766B1">
        <w:t xml:space="preserve">respondent in a telephone conversation on August 28, 2007, that it did not appear as though respondent was </w:t>
      </w:r>
      <w:r w:rsidR="00613037">
        <w:t xml:space="preserve">paying CSF </w:t>
      </w:r>
      <w:r w:rsidR="00BF7E62">
        <w:t xml:space="preserve">the required minimum payments of </w:t>
      </w:r>
      <w:r w:rsidR="00613037">
        <w:t xml:space="preserve">at least </w:t>
      </w:r>
      <w:r w:rsidR="009766B1">
        <w:t>$2,325 per quarter</w:t>
      </w:r>
      <w:r w:rsidR="00613037">
        <w:t xml:space="preserve"> </w:t>
      </w:r>
      <w:r w:rsidR="00BF7E62">
        <w:t xml:space="preserve">and </w:t>
      </w:r>
      <w:r w:rsidR="00613037">
        <w:t xml:space="preserve">advised respondent to </w:t>
      </w:r>
      <w:r w:rsidR="00BF7E62">
        <w:t xml:space="preserve">pay </w:t>
      </w:r>
      <w:r w:rsidR="00613037">
        <w:t xml:space="preserve">restitution as required </w:t>
      </w:r>
      <w:r w:rsidR="003B560B">
        <w:t xml:space="preserve">by the stipulation </w:t>
      </w:r>
      <w:r w:rsidR="00BF7E62">
        <w:t xml:space="preserve">he </w:t>
      </w:r>
      <w:r w:rsidR="002A7742">
        <w:t>signed</w:t>
      </w:r>
      <w:r w:rsidR="00BF7E62">
        <w:t xml:space="preserve"> </w:t>
      </w:r>
      <w:r w:rsidR="003B560B">
        <w:t xml:space="preserve">in </w:t>
      </w:r>
      <w:r w:rsidR="003B560B" w:rsidRPr="003B560B">
        <w:rPr>
          <w:i/>
        </w:rPr>
        <w:t>Nelson</w:t>
      </w:r>
      <w:r w:rsidR="003B560B">
        <w:t xml:space="preserve"> II.  In that same telephone conversation, respondent asked </w:t>
      </w:r>
      <w:r w:rsidR="00BF7E62">
        <w:t xml:space="preserve">for </w:t>
      </w:r>
      <w:r w:rsidR="003B560B">
        <w:t xml:space="preserve">additional time </w:t>
      </w:r>
      <w:r w:rsidR="00BF7E62">
        <w:t xml:space="preserve">to </w:t>
      </w:r>
      <w:r w:rsidR="003B560B">
        <w:t xml:space="preserve">review his bank records </w:t>
      </w:r>
      <w:r w:rsidR="00BF7E62">
        <w:t>so that he could d</w:t>
      </w:r>
      <w:r w:rsidR="003B560B">
        <w:t xml:space="preserve">etermine whether he had been making the required minimum payments to CSF.  The probation deputy correctly advised respondent that she </w:t>
      </w:r>
      <w:r w:rsidR="00BF7E62">
        <w:t>was not authorized to g</w:t>
      </w:r>
      <w:r w:rsidR="003B560B">
        <w:t xml:space="preserve">rant extensions of time.  </w:t>
      </w:r>
      <w:r w:rsidR="00BF7E62">
        <w:t>T</w:t>
      </w:r>
      <w:r w:rsidR="003B560B">
        <w:t>hereafter, the probation deputy did not hear back from respondent regarding what he found or did not find during h</w:t>
      </w:r>
      <w:r w:rsidR="00BF7E62">
        <w:t>is review of his bank records.</w:t>
      </w:r>
    </w:p>
    <w:p w:rsidR="00BC0F77" w:rsidRDefault="00BC0F77" w:rsidP="00BC0F77">
      <w:pPr>
        <w:spacing w:line="480" w:lineRule="auto"/>
        <w:contextualSpacing/>
      </w:pPr>
      <w:r>
        <w:rPr>
          <w:b/>
          <w:i/>
        </w:rPr>
        <w:tab/>
      </w:r>
      <w:r w:rsidRPr="00505037">
        <w:rPr>
          <w:b/>
          <w:i/>
        </w:rPr>
        <w:t xml:space="preserve">Count </w:t>
      </w:r>
      <w:r>
        <w:rPr>
          <w:b/>
          <w:i/>
        </w:rPr>
        <w:t xml:space="preserve">Two </w:t>
      </w:r>
      <w:r w:rsidRPr="00505037">
        <w:rPr>
          <w:b/>
          <w:i/>
        </w:rPr>
        <w:t xml:space="preserve">– </w:t>
      </w:r>
      <w:r>
        <w:rPr>
          <w:b/>
          <w:i/>
        </w:rPr>
        <w:t>Acts Involving Moral Turpitude and Dishonesty (§ 6106)</w:t>
      </w:r>
    </w:p>
    <w:p w:rsidR="0018653A" w:rsidRDefault="000769D1" w:rsidP="0018653A">
      <w:pPr>
        <w:spacing w:line="480" w:lineRule="auto"/>
        <w:ind w:firstLine="720"/>
        <w:contextualSpacing/>
      </w:pPr>
      <w:r>
        <w:t>The record establishes, by clear and convincing evidence, that respondent willfully violated section 6106</w:t>
      </w:r>
      <w:r w:rsidR="00D7313D">
        <w:t xml:space="preserve">, </w:t>
      </w:r>
      <w:r>
        <w:t xml:space="preserve">when he submitted each of his first 9 quarterly probation reports to the Office of Probation.  Respondent’s submission of each of his first 9 probation reports involved separate acts </w:t>
      </w:r>
      <w:r w:rsidR="00D7313D">
        <w:t xml:space="preserve">of </w:t>
      </w:r>
      <w:r>
        <w:t>both moral turpitude and dishonesty because</w:t>
      </w:r>
      <w:r w:rsidR="00D7313D">
        <w:t>,</w:t>
      </w:r>
      <w:r>
        <w:t xml:space="preserve"> </w:t>
      </w:r>
      <w:r w:rsidR="00D7313D">
        <w:t xml:space="preserve">in each report, </w:t>
      </w:r>
      <w:r>
        <w:t xml:space="preserve">respondent </w:t>
      </w:r>
      <w:r w:rsidR="00D7313D">
        <w:t xml:space="preserve">deliberately misrepresented that he had made </w:t>
      </w:r>
      <w:r w:rsidR="002A7742">
        <w:t>restitution</w:t>
      </w:r>
      <w:r w:rsidR="00D7313D">
        <w:t xml:space="preserve"> payments to CSF that he knew he had not made.</w:t>
      </w:r>
    </w:p>
    <w:p w:rsidR="003B30B5" w:rsidRDefault="003B30B5">
      <w:pPr>
        <w:rPr>
          <w:b/>
        </w:rPr>
      </w:pPr>
      <w:r>
        <w:rPr>
          <w:b/>
        </w:rPr>
        <w:t>/ / /</w:t>
      </w:r>
    </w:p>
    <w:p w:rsidR="003B30B5" w:rsidRDefault="003B30B5">
      <w:pPr>
        <w:rPr>
          <w:b/>
        </w:rPr>
      </w:pPr>
    </w:p>
    <w:p w:rsidR="003B30B5" w:rsidRDefault="003B30B5">
      <w:pPr>
        <w:rPr>
          <w:b/>
        </w:rPr>
      </w:pPr>
      <w:r>
        <w:rPr>
          <w:b/>
        </w:rPr>
        <w:t>/ / /</w:t>
      </w:r>
    </w:p>
    <w:p w:rsidR="003B30B5" w:rsidRDefault="003B30B5">
      <w:pPr>
        <w:rPr>
          <w:b/>
        </w:rPr>
      </w:pPr>
    </w:p>
    <w:p w:rsidR="0018653A" w:rsidRPr="00932D5B" w:rsidRDefault="0018653A" w:rsidP="0018653A">
      <w:pPr>
        <w:spacing w:line="480" w:lineRule="auto"/>
        <w:contextualSpacing/>
        <w:jc w:val="center"/>
        <w:rPr>
          <w:b/>
        </w:rPr>
      </w:pPr>
      <w:r w:rsidRPr="00932D5B">
        <w:rPr>
          <w:b/>
        </w:rPr>
        <w:t>IV.  AGGRAVATION AND MITIGATION</w:t>
      </w:r>
    </w:p>
    <w:p w:rsidR="0018653A" w:rsidRPr="00932D5B" w:rsidRDefault="0018653A" w:rsidP="0018653A">
      <w:pPr>
        <w:spacing w:line="480" w:lineRule="auto"/>
        <w:contextualSpacing/>
        <w:rPr>
          <w:b/>
        </w:rPr>
      </w:pPr>
      <w:r w:rsidRPr="00932D5B">
        <w:rPr>
          <w:b/>
        </w:rPr>
        <w:t>A.  Aggravation</w:t>
      </w:r>
    </w:p>
    <w:p w:rsidR="00DA5163" w:rsidRPr="00DA5163" w:rsidRDefault="00DA5163" w:rsidP="0018653A">
      <w:pPr>
        <w:pStyle w:val="BodyTextIndent"/>
        <w:contextualSpacing/>
      </w:pPr>
      <w:r>
        <w:t>The State Bar established the following aggravating circumstances by clear and convincing evidence.</w:t>
      </w:r>
    </w:p>
    <w:p w:rsidR="0018653A" w:rsidRPr="00932D5B" w:rsidRDefault="0018653A" w:rsidP="0018653A">
      <w:pPr>
        <w:pStyle w:val="BodyTextIndent"/>
        <w:contextualSpacing/>
        <w:rPr>
          <w:b/>
        </w:rPr>
      </w:pPr>
      <w:r w:rsidRPr="00932D5B">
        <w:rPr>
          <w:b/>
        </w:rPr>
        <w:t>1.  Prior Record of Discipline</w:t>
      </w:r>
    </w:p>
    <w:p w:rsidR="0018653A" w:rsidRDefault="0018653A" w:rsidP="0018653A">
      <w:pPr>
        <w:pStyle w:val="BodyTextIndent"/>
        <w:contextualSpacing/>
      </w:pPr>
      <w:r w:rsidRPr="00932D5B">
        <w:t>Respondent has two prior records of discipline.  (Rules Proc. of State Bar, tit. IV, Stds. for Atty. Sanctions for Prof. Misconduct, std. 1.2(b)(1).)</w:t>
      </w:r>
      <w:r w:rsidRPr="00932D5B">
        <w:rPr>
          <w:rStyle w:val="FootnoteReference"/>
        </w:rPr>
        <w:footnoteReference w:id="8"/>
      </w:r>
    </w:p>
    <w:p w:rsidR="00ED08E8" w:rsidRPr="00ED08E8" w:rsidRDefault="008351FE" w:rsidP="00ED08E8">
      <w:pPr>
        <w:pStyle w:val="BodyTextIndent"/>
        <w:contextualSpacing/>
        <w:rPr>
          <w:b/>
        </w:rPr>
      </w:pPr>
      <w:r w:rsidRPr="00ED08E8">
        <w:tab/>
      </w:r>
      <w:r w:rsidRPr="00ED08E8">
        <w:rPr>
          <w:b/>
        </w:rPr>
        <w:t xml:space="preserve">a.  </w:t>
      </w:r>
      <w:r w:rsidR="00ED08E8" w:rsidRPr="00ED08E8">
        <w:rPr>
          <w:b/>
        </w:rPr>
        <w:t>First Prior Record</w:t>
      </w:r>
    </w:p>
    <w:p w:rsidR="00ED08E8" w:rsidRPr="00ED08E8" w:rsidRDefault="00ED08E8" w:rsidP="00ED08E8">
      <w:pPr>
        <w:pStyle w:val="BodyTextIndent"/>
        <w:contextualSpacing/>
      </w:pPr>
      <w:r w:rsidRPr="00ED08E8">
        <w:t xml:space="preserve">In late 2004, the </w:t>
      </w:r>
      <w:smartTag w:uri="urn:schemas-microsoft-com:office:smarttags" w:element="Street">
        <w:smartTag w:uri="urn:schemas-microsoft-com:office:smarttags" w:element="address">
          <w:r w:rsidRPr="00ED08E8">
            <w:t>State Bar Court</w:t>
          </w:r>
        </w:smartTag>
      </w:smartTag>
      <w:r w:rsidRPr="00ED08E8">
        <w:t xml:space="preserve"> publicly reproved respondent in case number 02</w:t>
      </w:r>
      <w:r>
        <w:noBreakHyphen/>
      </w:r>
      <w:r w:rsidRPr="00ED08E8">
        <w:t>O</w:t>
      </w:r>
      <w:r>
        <w:noBreakHyphen/>
        <w:t>1</w:t>
      </w:r>
      <w:r w:rsidRPr="00ED08E8">
        <w:t xml:space="preserve">5192 (hereafter </w:t>
      </w:r>
      <w:r w:rsidRPr="00ED08E8">
        <w:rPr>
          <w:i/>
        </w:rPr>
        <w:t>Nelson</w:t>
      </w:r>
      <w:r w:rsidRPr="00ED08E8">
        <w:t xml:space="preserve"> I).  The </w:t>
      </w:r>
      <w:smartTag w:uri="urn:schemas-microsoft-com:office:smarttags" w:element="Street">
        <w:smartTag w:uri="urn:schemas-microsoft-com:office:smarttags" w:element="address">
          <w:r w:rsidRPr="00ED08E8">
            <w:t>State Bar Court</w:t>
          </w:r>
        </w:smartTag>
      </w:smartTag>
      <w:r w:rsidRPr="00ED08E8">
        <w:t xml:space="preserve"> attached eight conditions to respondent’s public reproval for five years.</w:t>
      </w:r>
    </w:p>
    <w:p w:rsidR="008351FE" w:rsidRPr="00ED08E8" w:rsidRDefault="00ED08E8" w:rsidP="00ED08E8">
      <w:pPr>
        <w:pStyle w:val="BodyTextIndent"/>
        <w:contextualSpacing/>
      </w:pPr>
      <w:r w:rsidRPr="00ED08E8">
        <w:t>The public reproval and the eight conditions attached to i</w:t>
      </w:r>
      <w:r w:rsidR="002F05C5">
        <w:t>t</w:t>
      </w:r>
      <w:r w:rsidRPr="00ED08E8">
        <w:t xml:space="preserve"> for five years were imposed on respondent </w:t>
      </w:r>
      <w:r>
        <w:t xml:space="preserve">in </w:t>
      </w:r>
      <w:r w:rsidRPr="00ED08E8">
        <w:rPr>
          <w:i/>
        </w:rPr>
        <w:t>Nelson</w:t>
      </w:r>
      <w:r>
        <w:t xml:space="preserve"> I </w:t>
      </w:r>
      <w:r w:rsidRPr="00ED08E8">
        <w:t xml:space="preserve">in accordance with a stipulation as to facts, conclusions of law, and disposition that respondent and the State Bar entered into and which the State Bar Court approved in an order filed on October 27, 2004.  That stipulation conclusively establishes that respondent willfully violated </w:t>
      </w:r>
      <w:r>
        <w:t xml:space="preserve">multiple provisions of </w:t>
      </w:r>
      <w:r w:rsidRPr="00ED08E8">
        <w:t>State Bar Rules of Professional Conduct, rule 3</w:t>
      </w:r>
      <w:r>
        <w:noBreakHyphen/>
      </w:r>
      <w:r w:rsidRPr="00ED08E8">
        <w:t xml:space="preserve">300 when he and his former first wife, Evelyn Nelson, borrowed $80,000 from one of respondent’s clients </w:t>
      </w:r>
      <w:r>
        <w:t>(</w:t>
      </w:r>
      <w:r w:rsidRPr="00ED08E8">
        <w:t>or former clients</w:t>
      </w:r>
      <w:r>
        <w:t>)</w:t>
      </w:r>
      <w:r w:rsidRPr="00ED08E8">
        <w:t>.</w:t>
      </w:r>
    </w:p>
    <w:p w:rsidR="008351FE" w:rsidRPr="0084101B" w:rsidRDefault="00ED08E8" w:rsidP="0018653A">
      <w:pPr>
        <w:pStyle w:val="BodyTextIndent"/>
        <w:contextualSpacing/>
        <w:rPr>
          <w:b/>
        </w:rPr>
      </w:pPr>
      <w:r>
        <w:tab/>
      </w:r>
      <w:r w:rsidRPr="0084101B">
        <w:rPr>
          <w:b/>
        </w:rPr>
        <w:t>b.  Second Prior Record</w:t>
      </w:r>
    </w:p>
    <w:p w:rsidR="00AA122A" w:rsidRDefault="0027144F" w:rsidP="00AA122A">
      <w:pPr>
        <w:spacing w:line="480" w:lineRule="auto"/>
      </w:pPr>
      <w:r>
        <w:tab/>
      </w:r>
      <w:r w:rsidR="0084101B">
        <w:t>Respondent’s second prior record of discipline is the Supreme Court’s April 26</w:t>
      </w:r>
      <w:r w:rsidR="0084101B" w:rsidRPr="009B1FE4">
        <w:t>, 200</w:t>
      </w:r>
      <w:r w:rsidR="0084101B">
        <w:t>6</w:t>
      </w:r>
      <w:r w:rsidR="0084101B" w:rsidRPr="009B1FE4">
        <w:t xml:space="preserve"> order in </w:t>
      </w:r>
      <w:r w:rsidR="0084101B" w:rsidRPr="00A36F37">
        <w:rPr>
          <w:i/>
        </w:rPr>
        <w:t>Nelson</w:t>
      </w:r>
      <w:r w:rsidR="0084101B">
        <w:t xml:space="preserve"> II in which </w:t>
      </w:r>
      <w:r w:rsidR="0084101B" w:rsidRPr="009B1FE4">
        <w:t>the Supreme Court placed respondent on one year’s stayed suspension</w:t>
      </w:r>
      <w:r w:rsidR="0084101B">
        <w:t xml:space="preserve"> and four years</w:t>
      </w:r>
      <w:r w:rsidR="0084101B" w:rsidRPr="009B1FE4">
        <w:t>’ probation</w:t>
      </w:r>
      <w:r w:rsidR="0084101B">
        <w:t xml:space="preserve">.  As noted </w:t>
      </w:r>
      <w:r w:rsidR="0084101B" w:rsidRPr="0084101B">
        <w:rPr>
          <w:i/>
        </w:rPr>
        <w:t>ante</w:t>
      </w:r>
      <w:r w:rsidR="0084101B">
        <w:t>, the Supreme Court imposed that discipline on respondent in accordance with a stipulation that respondent entered into with the State Bar and that the State Bar Court approved in a</w:t>
      </w:r>
      <w:r w:rsidR="0084101B" w:rsidRPr="009B1FE4">
        <w:t xml:space="preserve">n order filed on </w:t>
      </w:r>
      <w:r w:rsidR="0084101B">
        <w:t xml:space="preserve">January 6, 2006, </w:t>
      </w:r>
      <w:r w:rsidR="0084101B" w:rsidRPr="009B1FE4">
        <w:t>in case number 0</w:t>
      </w:r>
      <w:r w:rsidR="0084101B">
        <w:t>5</w:t>
      </w:r>
      <w:r w:rsidR="0084101B">
        <w:noBreakHyphen/>
        <w:t>H</w:t>
      </w:r>
      <w:r w:rsidR="0084101B">
        <w:noBreakHyphen/>
        <w:t>03307</w:t>
      </w:r>
      <w:r w:rsidR="0084101B" w:rsidRPr="009B1FE4">
        <w:t>.</w:t>
      </w:r>
      <w:r w:rsidR="0084101B">
        <w:t xml:space="preserve">  That stipulation conclusively establishes that respondent</w:t>
      </w:r>
      <w:r w:rsidR="00AA122A">
        <w:t xml:space="preserve"> willfully violated State Bar Rules of Professional Conduct, </w:t>
      </w:r>
      <w:r w:rsidR="00AA122A" w:rsidRPr="00DB4436">
        <w:t>rule</w:t>
      </w:r>
      <w:r w:rsidR="00AA122A">
        <w:t xml:space="preserve"> 1</w:t>
      </w:r>
      <w:r w:rsidR="00AA122A">
        <w:noBreakHyphen/>
        <w:t xml:space="preserve">110, which mandates that attorneys comply with the conditions attached to any reproval imposed on them by the </w:t>
      </w:r>
      <w:smartTag w:uri="urn:schemas-microsoft-com:office:smarttags" w:element="Street">
        <w:smartTag w:uri="urn:schemas-microsoft-com:office:smarttags" w:element="address">
          <w:r w:rsidR="00AA122A">
            <w:t>State Bar Court</w:t>
          </w:r>
        </w:smartTag>
      </w:smartTag>
      <w:r w:rsidR="00AA122A">
        <w:t xml:space="preserve">.  Respondent willfully violated the reproval </w:t>
      </w:r>
      <w:r w:rsidR="002A7742">
        <w:t>conditions</w:t>
      </w:r>
      <w:r w:rsidR="00AA122A">
        <w:t xml:space="preserve"> imposed on him by the State Bar Court in </w:t>
      </w:r>
      <w:r w:rsidR="00AA122A" w:rsidRPr="00AA122A">
        <w:rPr>
          <w:i/>
        </w:rPr>
        <w:t>Nelson</w:t>
      </w:r>
      <w:r w:rsidR="00AA122A">
        <w:t xml:space="preserve"> I when he failed to submit any of his first 4 reproval reports on time, to provide proof </w:t>
      </w:r>
      <w:r w:rsidR="00DA5163">
        <w:t xml:space="preserve">that he had made any of the minimum </w:t>
      </w:r>
      <w:r w:rsidR="00AA122A">
        <w:t>restitution payments</w:t>
      </w:r>
      <w:r w:rsidR="00DA5163">
        <w:t xml:space="preserve"> to the client (respondent was required to pay a total of $40,000 restitution within the five-year reproval period)</w:t>
      </w:r>
      <w:r w:rsidR="00AA122A">
        <w:t>, failed to make his minimum restitution payments, and failed to complete Ethics School and to pass the M</w:t>
      </w:r>
      <w:r w:rsidR="002F05C5">
        <w:t xml:space="preserve">ultistate Professional Responsibility Examination </w:t>
      </w:r>
      <w:r w:rsidR="00AA122A">
        <w:t xml:space="preserve">within the first year of his reproval period.  </w:t>
      </w:r>
    </w:p>
    <w:p w:rsidR="0018653A" w:rsidRPr="00932D5B" w:rsidRDefault="0018653A" w:rsidP="0018653A">
      <w:pPr>
        <w:spacing w:line="480" w:lineRule="auto"/>
        <w:contextualSpacing/>
        <w:rPr>
          <w:b/>
        </w:rPr>
      </w:pPr>
      <w:r w:rsidRPr="00932D5B">
        <w:tab/>
      </w:r>
      <w:r w:rsidRPr="00932D5B">
        <w:rPr>
          <w:b/>
        </w:rPr>
        <w:t>2.  Multiple Acts</w:t>
      </w:r>
    </w:p>
    <w:p w:rsidR="0018653A" w:rsidRDefault="0018653A" w:rsidP="0018653A">
      <w:pPr>
        <w:pStyle w:val="BodyTextIndent"/>
        <w:contextualSpacing/>
      </w:pPr>
      <w:r w:rsidRPr="00932D5B">
        <w:t xml:space="preserve">Respondent’s misconduct in the present proceeding involves multiple </w:t>
      </w:r>
      <w:r w:rsidR="008351FE">
        <w:t xml:space="preserve">acts of misconduct.  </w:t>
      </w:r>
      <w:r w:rsidRPr="00932D5B">
        <w:t>(Std. 1.2(b)(ii).)</w:t>
      </w:r>
    </w:p>
    <w:p w:rsidR="00B3766F" w:rsidRPr="00B3766F" w:rsidRDefault="00B3766F" w:rsidP="0018653A">
      <w:pPr>
        <w:pStyle w:val="BodyTextIndent"/>
        <w:contextualSpacing/>
        <w:rPr>
          <w:b/>
        </w:rPr>
      </w:pPr>
      <w:r w:rsidRPr="00B3766F">
        <w:rPr>
          <w:b/>
        </w:rPr>
        <w:t>3.  Additional Misconduct</w:t>
      </w:r>
    </w:p>
    <w:p w:rsidR="00B3766F" w:rsidRDefault="00B3766F" w:rsidP="00B3766F">
      <w:pPr>
        <w:spacing w:line="480" w:lineRule="auto"/>
        <w:contextualSpacing/>
      </w:pPr>
      <w:r>
        <w:tab/>
        <w:t>Respondent never submitted his last three quarterly probation reports, which were due on October 10, 2009; January 10, 2010; and April 10, 2010, respectively, or his final probation report that was due within the last 20 days of his probation.  R</w:t>
      </w:r>
      <w:r>
        <w:rPr>
          <w:color w:val="000000"/>
          <w:w w:val="105"/>
        </w:rPr>
        <w:t xml:space="preserve">espondent also </w:t>
      </w:r>
      <w:r>
        <w:t xml:space="preserve">failed to make his last four minimum monthly restitution payments that were due </w:t>
      </w:r>
      <w:r w:rsidR="002F05C5">
        <w:t xml:space="preserve">in </w:t>
      </w:r>
      <w:r>
        <w:t>August, September, October</w:t>
      </w:r>
      <w:r w:rsidR="002F05C5">
        <w:t>,</w:t>
      </w:r>
      <w:r>
        <w:t xml:space="preserve"> and November 2009.  Respondent also failed to complete his restitution to CSF no later than April 10, 2010.  As noted </w:t>
      </w:r>
      <w:r w:rsidRPr="00B3766F">
        <w:rPr>
          <w:i/>
        </w:rPr>
        <w:t>ante</w:t>
      </w:r>
      <w:r>
        <w:t>, the court finds that this uncharged, but proved misconduct is properly considered as an aggravating circumstance.</w:t>
      </w:r>
      <w:r w:rsidR="0027144F">
        <w:t xml:space="preserve">  (Std.1.2(b)(iii); </w:t>
      </w:r>
      <w:r>
        <w:rPr>
          <w:i/>
        </w:rPr>
        <w:t>In re Silverton, supra,</w:t>
      </w:r>
      <w:r>
        <w:t xml:space="preserve"> 36 Cal.4th at p. 93, fn. 4.)</w:t>
      </w:r>
    </w:p>
    <w:p w:rsidR="00DA5163" w:rsidRPr="0096134A" w:rsidRDefault="00DA5163" w:rsidP="00DA5163">
      <w:pPr>
        <w:spacing w:line="480" w:lineRule="auto"/>
        <w:ind w:firstLine="720"/>
        <w:rPr>
          <w:b/>
          <w:bCs/>
        </w:rPr>
      </w:pPr>
      <w:r w:rsidRPr="0096134A">
        <w:rPr>
          <w:b/>
          <w:bCs/>
        </w:rPr>
        <w:t>3.  Indifference</w:t>
      </w:r>
    </w:p>
    <w:p w:rsidR="00DA5163" w:rsidRPr="0096134A" w:rsidRDefault="00DA5163" w:rsidP="00DA5163">
      <w:pPr>
        <w:spacing w:line="480" w:lineRule="auto"/>
        <w:ind w:firstLine="720"/>
      </w:pPr>
      <w:r w:rsidRPr="0096134A">
        <w:t>Respondent</w:t>
      </w:r>
      <w:r w:rsidR="001568F5">
        <w:t xml:space="preserve"> admits that he did not even attempt to </w:t>
      </w:r>
      <w:r w:rsidRPr="0096134A">
        <w:t xml:space="preserve">rectify </w:t>
      </w:r>
      <w:r w:rsidR="001568F5">
        <w:t>even a portion of his current m</w:t>
      </w:r>
      <w:r w:rsidRPr="0096134A">
        <w:t>isconduct after the Office of Probation notified him of his failures and after the State Bar filed the NDC in this proceeding</w:t>
      </w:r>
      <w:r w:rsidR="001568F5">
        <w:t>.  Nor has respondent made a single restitution payment of any amount since</w:t>
      </w:r>
      <w:r w:rsidR="0027144F">
        <w:t xml:space="preserve"> he stopped having to pay Tammara $3,500 a month in November 2010.  Actions speak louder than words</w:t>
      </w:r>
      <w:r w:rsidRPr="0096134A">
        <w:t xml:space="preserve">.  Respondent’s failure to </w:t>
      </w:r>
      <w:r w:rsidR="0027144F">
        <w:t xml:space="preserve">rectify even one of his many probation violations </w:t>
      </w:r>
      <w:r w:rsidRPr="0096134A">
        <w:t xml:space="preserve">after the State Bar filed the NDC in this proceeding not only defies understanding, it clearly establishes </w:t>
      </w:r>
      <w:r w:rsidR="0027144F">
        <w:t xml:space="preserve">respondent’s </w:t>
      </w:r>
      <w:r w:rsidRPr="0096134A">
        <w:t xml:space="preserve">indifference towards rectification, which is yet another very serious aggravating circumstance.  (Std. 1.2(b)(v); </w:t>
      </w:r>
      <w:r w:rsidRPr="0096134A">
        <w:rPr>
          <w:i/>
        </w:rPr>
        <w:t>In the Matter of Meyer</w:t>
      </w:r>
      <w:r w:rsidRPr="0096134A">
        <w:t xml:space="preserve"> (Review Dept. 1997) 3 Cal. State Bar Ct. Rptr. 697, 702; </w:t>
      </w:r>
      <w:r w:rsidRPr="0096134A">
        <w:rPr>
          <w:i/>
        </w:rPr>
        <w:t>In the Matter of Tiernan</w:t>
      </w:r>
      <w:r w:rsidRPr="0096134A">
        <w:t xml:space="preserve"> (Review Dept. 1996) 3 Cal. State Bar Ct. Rptr. 523, 530.)  By this point in time, respondent should have done more than merely ta</w:t>
      </w:r>
      <w:r w:rsidR="0027144F">
        <w:t>l</w:t>
      </w:r>
      <w:r w:rsidRPr="0096134A">
        <w:t xml:space="preserve">k </w:t>
      </w:r>
      <w:r w:rsidR="0027144F">
        <w:t xml:space="preserve">about complying with Supreme Court disciplinary orders.  </w:t>
      </w:r>
      <w:r w:rsidRPr="0096134A">
        <w:t xml:space="preserve">By now, respondent should have </w:t>
      </w:r>
      <w:r w:rsidR="0027144F">
        <w:t xml:space="preserve">fully </w:t>
      </w:r>
      <w:r w:rsidRPr="0096134A">
        <w:rPr>
          <w:i/>
        </w:rPr>
        <w:t>completed</w:t>
      </w:r>
      <w:r w:rsidRPr="0096134A">
        <w:t xml:space="preserve"> </w:t>
      </w:r>
      <w:r w:rsidR="0027144F">
        <w:t>all of his probation conditions.</w:t>
      </w:r>
      <w:r w:rsidRPr="0096134A">
        <w:t xml:space="preserve">  (See, e.g., </w:t>
      </w:r>
      <w:r w:rsidRPr="0096134A">
        <w:rPr>
          <w:i/>
        </w:rPr>
        <w:t>In the Matter of Gorman</w:t>
      </w:r>
      <w:r w:rsidRPr="0096134A">
        <w:t xml:space="preserve"> (</w:t>
      </w:r>
      <w:smartTag w:uri="urn:schemas-microsoft-com:office:smarttags" w:element="address">
        <w:r w:rsidRPr="0096134A">
          <w:t>Review Dept. 2003</w:t>
        </w:r>
      </w:smartTag>
      <w:r w:rsidRPr="0096134A">
        <w:t>) 4 Cal. State Bar Ct. Rptr. 567, 573.)</w:t>
      </w:r>
    </w:p>
    <w:p w:rsidR="0018653A" w:rsidRPr="00932D5B" w:rsidRDefault="0018653A" w:rsidP="0018653A">
      <w:pPr>
        <w:spacing w:line="480" w:lineRule="auto"/>
        <w:contextualSpacing/>
        <w:rPr>
          <w:b/>
        </w:rPr>
      </w:pPr>
      <w:r w:rsidRPr="00932D5B">
        <w:rPr>
          <w:b/>
        </w:rPr>
        <w:t>B.  Mitigation</w:t>
      </w:r>
    </w:p>
    <w:p w:rsidR="0018653A" w:rsidRDefault="00DA5163" w:rsidP="0018653A">
      <w:pPr>
        <w:pStyle w:val="Header"/>
        <w:tabs>
          <w:tab w:val="clear" w:pos="4320"/>
          <w:tab w:val="clear" w:pos="8640"/>
        </w:tabs>
        <w:spacing w:line="480" w:lineRule="auto"/>
        <w:ind w:firstLine="720"/>
        <w:contextualSpacing/>
      </w:pPr>
      <w:r>
        <w:t xml:space="preserve">Respondent did not establish any mitigating circumstances by clear and convincing evidence. </w:t>
      </w:r>
      <w:r w:rsidR="0027144F">
        <w:t xml:space="preserve"> </w:t>
      </w:r>
      <w:r w:rsidR="0018653A" w:rsidRPr="00932D5B">
        <w:t>Nor is any mitigating circumstance otherwise apparent from the record.</w:t>
      </w:r>
    </w:p>
    <w:p w:rsidR="0021164B" w:rsidRPr="0018653A" w:rsidRDefault="0021164B" w:rsidP="0018653A">
      <w:pPr>
        <w:spacing w:line="480" w:lineRule="auto"/>
        <w:contextualSpacing/>
        <w:jc w:val="center"/>
        <w:rPr>
          <w:b/>
        </w:rPr>
      </w:pPr>
      <w:r w:rsidRPr="0018653A">
        <w:rPr>
          <w:b/>
        </w:rPr>
        <w:t>V.  DISCUSSION</w:t>
      </w:r>
    </w:p>
    <w:p w:rsidR="0021164B" w:rsidRDefault="0021164B" w:rsidP="00C166E7">
      <w:pPr>
        <w:spacing w:line="480" w:lineRule="auto"/>
        <w:ind w:firstLine="720"/>
        <w:contextualSpacing/>
      </w:pPr>
      <w:r>
        <w:t>The purpose of State Bar disciplinary proceedings is not to punish the attorney, but to protect the public, to preserve public confidence in the profession, and to maintain the highest possible professional standards for attorneys.  (</w:t>
      </w:r>
      <w:r w:rsidR="00BB3986">
        <w:t xml:space="preserve">Std. 1.3; </w:t>
      </w:r>
      <w:r w:rsidRPr="00BB3986">
        <w:rPr>
          <w:i/>
        </w:rPr>
        <w:t>Chadwick v. State Bar</w:t>
      </w:r>
      <w:r>
        <w:t xml:space="preserve"> (1989) 49 Cal.3d 103, 111; </w:t>
      </w:r>
      <w:r w:rsidRPr="00BB3986">
        <w:rPr>
          <w:i/>
        </w:rPr>
        <w:t>Cooper v. State Bar</w:t>
      </w:r>
      <w:r>
        <w:t xml:space="preserve"> (1987) 43 Cal.3d 1016, 1025; std. 1.3.) </w:t>
      </w:r>
    </w:p>
    <w:p w:rsidR="0018653A" w:rsidRPr="00932D5B" w:rsidRDefault="0018653A" w:rsidP="0018653A">
      <w:pPr>
        <w:spacing w:line="480" w:lineRule="auto"/>
        <w:ind w:firstLine="720"/>
        <w:contextualSpacing/>
      </w:pPr>
      <w:r w:rsidRPr="00932D5B">
        <w:t>In determining the appropriate level of discipline, the court looks first to the standards for guidance.  (</w:t>
      </w:r>
      <w:r w:rsidRPr="00932D5B">
        <w:rPr>
          <w:i/>
          <w:iCs/>
        </w:rPr>
        <w:t>Drociak v. State Ba</w:t>
      </w:r>
      <w:r w:rsidRPr="00932D5B">
        <w:t>r (1991) 52 Cal.3d 10</w:t>
      </w:r>
      <w:r w:rsidR="003B30B5">
        <w:t>8</w:t>
      </w:r>
      <w:r w:rsidRPr="00932D5B">
        <w:t xml:space="preserve">5, 1090; </w:t>
      </w:r>
      <w:r w:rsidRPr="00932D5B">
        <w:rPr>
          <w:i/>
          <w:iCs/>
        </w:rPr>
        <w:t>In the Matter of Koehler</w:t>
      </w:r>
      <w:r w:rsidRPr="00932D5B">
        <w:t xml:space="preserve"> (Review Dept. 1991) 1 Cal. State Bar Ct. Rptr. 615, 628.)  Second, the court looks to decisional law for guidance.  (</w:t>
      </w:r>
      <w:r w:rsidRPr="00932D5B">
        <w:rPr>
          <w:i/>
          <w:iCs/>
        </w:rPr>
        <w:t>Snyder v. State Bar</w:t>
      </w:r>
      <w:r w:rsidRPr="00932D5B">
        <w:t xml:space="preserve"> (1990) 49 Cal.3d 1302, 1310-1311; </w:t>
      </w:r>
      <w:r w:rsidRPr="00932D5B">
        <w:rPr>
          <w:i/>
          <w:iCs/>
        </w:rPr>
        <w:t>In the Matter of Taylo</w:t>
      </w:r>
      <w:r w:rsidRPr="00932D5B">
        <w:t>r (Review Dept. 1991) 1 Cal. State Bar Ct. Rptr. 563, 580.)</w:t>
      </w:r>
    </w:p>
    <w:p w:rsidR="0018653A" w:rsidRPr="00932D5B" w:rsidRDefault="0018653A" w:rsidP="0018653A">
      <w:pPr>
        <w:spacing w:line="480" w:lineRule="auto"/>
        <w:ind w:firstLine="720"/>
        <w:contextualSpacing/>
      </w:pPr>
      <w:r w:rsidRPr="00932D5B">
        <w:t xml:space="preserve">Standard 1.6(a) provides that, if two or more acts of professional misconduct are found in a single disciplinary proceeding, the sanction imposed shall be the most severe of the applicable sanctions.  The most severe of the applicable sanctions in the present proceeding is found in standard 2.3, which applies to respondent’s section 6106 violations.  Standard 2.3 provides:  </w:t>
      </w:r>
    </w:p>
    <w:p w:rsidR="0018653A" w:rsidRPr="00932D5B" w:rsidRDefault="0018653A" w:rsidP="0018653A">
      <w:pPr>
        <w:ind w:left="1080" w:right="1080"/>
        <w:contextualSpacing/>
      </w:pPr>
      <w:r w:rsidRPr="00932D5B">
        <w:t>Culpability of a member of an act of moral turpitude, fraud, or intentional dishonesty toward a court, client or another person or of concealment of a material fact to a court, client or another person shall result in actual suspension or disbarment depending upon the extent to which the victim of the misconduct is harmed or misled and depending upon the magnitude of the act of misconduct and the degree to which it relates to the member's acts within the practice of law.</w:t>
      </w:r>
    </w:p>
    <w:p w:rsidR="0018653A" w:rsidRPr="00932D5B" w:rsidRDefault="0018653A" w:rsidP="0018653A">
      <w:pPr>
        <w:ind w:left="1080" w:right="1080" w:firstLine="720"/>
        <w:contextualSpacing/>
      </w:pPr>
    </w:p>
    <w:p w:rsidR="0018653A" w:rsidRPr="00932D5B" w:rsidRDefault="0018653A" w:rsidP="0018653A">
      <w:pPr>
        <w:spacing w:line="480" w:lineRule="auto"/>
        <w:ind w:firstLine="720"/>
        <w:contextualSpacing/>
      </w:pPr>
      <w:r w:rsidRPr="00932D5B">
        <w:t>The generalized language of standard 2.3 provides little guidance to the court.  (</w:t>
      </w:r>
      <w:r w:rsidRPr="00932D5B">
        <w:rPr>
          <w:i/>
        </w:rPr>
        <w:t>In re Brown</w:t>
      </w:r>
      <w:r w:rsidRPr="00932D5B">
        <w:t xml:space="preserve"> (1995) 12 Cal.4th 205, 220; see also </w:t>
      </w:r>
      <w:r w:rsidRPr="00932D5B">
        <w:rPr>
          <w:i/>
        </w:rPr>
        <w:t>In re Morse</w:t>
      </w:r>
      <w:r w:rsidRPr="00932D5B">
        <w:t xml:space="preserve"> (1995) 11 Cal.4th 184, 206.)  </w:t>
      </w:r>
      <w:r w:rsidR="00F45BFF">
        <w:t>Standard</w:t>
      </w:r>
      <w:r w:rsidRPr="00932D5B">
        <w:t xml:space="preserve"> 1.7(b)</w:t>
      </w:r>
      <w:r w:rsidR="00F45BFF">
        <w:t xml:space="preserve">, which is also relevant, provides more guidance.  Standard 1.7(b) </w:t>
      </w:r>
      <w:r w:rsidRPr="00932D5B">
        <w:t>provides:</w:t>
      </w:r>
    </w:p>
    <w:p w:rsidR="0018653A" w:rsidRPr="00932D5B" w:rsidRDefault="0018653A" w:rsidP="0018653A">
      <w:pPr>
        <w:ind w:left="1080" w:right="1080"/>
        <w:contextualSpacing/>
      </w:pPr>
      <w:r w:rsidRPr="00932D5B">
        <w:t>If a member is found culpable of professional misconduct in any proceeding in which discipline may be imposed and the member has a record of two prior impositions of discipline . . . , the degree of discipline in the current proceeding shall be disbarment unless the most compelling mitigating circumstances clearly predominate.</w:t>
      </w:r>
    </w:p>
    <w:p w:rsidR="0018653A" w:rsidRPr="00932D5B" w:rsidRDefault="0018653A" w:rsidP="0018653A">
      <w:pPr>
        <w:ind w:left="1080" w:right="1080"/>
        <w:contextualSpacing/>
      </w:pPr>
    </w:p>
    <w:p w:rsidR="0018653A" w:rsidRPr="00932D5B" w:rsidRDefault="0018653A" w:rsidP="0018653A">
      <w:pPr>
        <w:spacing w:line="480" w:lineRule="auto"/>
        <w:contextualSpacing/>
      </w:pPr>
      <w:r w:rsidRPr="00932D5B">
        <w:tab/>
        <w:t>Notwithstanding its unequivocal language to the contrary, standard 1.7(b) is not strictly applied.  In other words, disbarment is not mandatory under standard 1.7(b) even if there are no compelling mitigating circumstances that clearly predominate in a case.  (</w:t>
      </w:r>
      <w:r w:rsidRPr="00932D5B">
        <w:rPr>
          <w:i/>
        </w:rPr>
        <w:t>Conroy v. State Bar</w:t>
      </w:r>
      <w:r w:rsidRPr="00932D5B">
        <w:t xml:space="preserve"> (1991) 53 Cal.3d 495, 506-507, citing </w:t>
      </w:r>
      <w:r w:rsidRPr="00932D5B">
        <w:rPr>
          <w:i/>
        </w:rPr>
        <w:t>Arm v. State Bar</w:t>
      </w:r>
      <w:r w:rsidRPr="00932D5B">
        <w:t xml:space="preserve"> (1990) 50 Cal.3d 763, 778-779, 781.)  Without question, standard 1.7(b) is not to be applied in a method that blindly treats all prior records of discipline as equally aggravating.  </w:t>
      </w:r>
      <w:r w:rsidR="00DB7FBF">
        <w:br/>
      </w:r>
      <w:r w:rsidR="00DB7FBF">
        <w:tab/>
      </w:r>
      <w:r w:rsidRPr="00932D5B">
        <w:t xml:space="preserve">Standard 1.7(b) is </w:t>
      </w:r>
      <w:r w:rsidR="00DB7FBF">
        <w:t xml:space="preserve">to be </w:t>
      </w:r>
      <w:r w:rsidRPr="00932D5B">
        <w:t>applied “with due regard to the nature and extent of the respondent’s prior records.  [Citation.]”  (</w:t>
      </w:r>
      <w:r w:rsidRPr="00932D5B">
        <w:rPr>
          <w:i/>
        </w:rPr>
        <w:t>In the Matter of Meyer</w:t>
      </w:r>
      <w:r w:rsidRPr="00932D5B">
        <w:t xml:space="preserve"> (Review Dept. 1997) 3 Cal. State Bar Ct. Rptr. 697, 704.)  In that regard, great weight is placed “on whether or not there is a ‘common thread’ among the various prior disciplinary proceedings or a ‘habitual course of conduct’ which justifies disbarment.  [Citation.]”  (</w:t>
      </w:r>
      <w:r w:rsidRPr="00932D5B">
        <w:rPr>
          <w:i/>
        </w:rPr>
        <w:t>In the Matter of Shalant</w:t>
      </w:r>
      <w:r w:rsidRPr="00932D5B">
        <w:t xml:space="preserve"> (Review Dept. 2005) 4 </w:t>
      </w:r>
      <w:smartTag w:uri="urn:schemas-microsoft-com:office:smarttags" w:element="place">
        <w:smartTag w:uri="urn:schemas-microsoft-com:office:smarttags" w:element="State">
          <w:r w:rsidRPr="00932D5B">
            <w:t>Cal.</w:t>
          </w:r>
        </w:smartTag>
      </w:smartTag>
      <w:r w:rsidRPr="00932D5B">
        <w:t xml:space="preserve"> State Bar Ct. Rptr. 829, 841.) </w:t>
      </w:r>
    </w:p>
    <w:p w:rsidR="0018653A" w:rsidRDefault="0018653A" w:rsidP="0018653A">
      <w:pPr>
        <w:spacing w:line="480" w:lineRule="auto"/>
        <w:ind w:firstLine="720"/>
        <w:contextualSpacing/>
      </w:pPr>
      <w:r w:rsidRPr="00932D5B">
        <w:t xml:space="preserve">There are common threads among respondent’s misconduct in </w:t>
      </w:r>
      <w:r w:rsidR="00B66D01">
        <w:rPr>
          <w:i/>
        </w:rPr>
        <w:t>Nelson</w:t>
      </w:r>
      <w:r w:rsidRPr="00932D5B">
        <w:t xml:space="preserve"> I</w:t>
      </w:r>
      <w:r w:rsidR="003B30B5">
        <w:t>I</w:t>
      </w:r>
      <w:r w:rsidRPr="00932D5B">
        <w:t xml:space="preserve"> and the present proceeding -- respondent’s third disciplinary proceeding.  Both proceedings involve </w:t>
      </w:r>
      <w:r w:rsidR="00B66D01">
        <w:t>respondent’s failure to comply with conditions (e.g., restitution payments) to which he stipulated.</w:t>
      </w:r>
      <w:r w:rsidRPr="00932D5B">
        <w:t xml:space="preserve">  </w:t>
      </w:r>
    </w:p>
    <w:p w:rsidR="00E06913" w:rsidRDefault="0021164B" w:rsidP="00C166E7">
      <w:pPr>
        <w:spacing w:line="480" w:lineRule="auto"/>
        <w:ind w:firstLine="720"/>
        <w:contextualSpacing/>
      </w:pPr>
      <w:r>
        <w:t>The review department has repeatedly held that the primary goals of attorney disciplinary probation are protection of the public and rehabilitation of the attorney.  (</w:t>
      </w:r>
      <w:r w:rsidRPr="00B66D01">
        <w:rPr>
          <w:i/>
        </w:rPr>
        <w:t>In the Matter of Howard</w:t>
      </w:r>
      <w:r>
        <w:t xml:space="preserve"> (Review Dept. 1993) 2 Ca</w:t>
      </w:r>
      <w:r w:rsidR="00B66D01">
        <w:t>l. State Bar Ct. Rptr. 445, 452</w:t>
      </w:r>
      <w:r>
        <w:t>.)  What is more, an attorney has an independent statutory duty “To comply with all conditions attached to any disciplinary probation</w:t>
      </w:r>
      <w:r w:rsidR="003B30B5">
        <w:t xml:space="preserve"> </w:t>
      </w:r>
      <w:r>
        <w:t>. . .</w:t>
      </w:r>
      <w:r w:rsidR="003B30B5">
        <w:t xml:space="preserve"> .</w:t>
      </w:r>
      <w:r>
        <w:t>” (§ 6068, subd. (k)</w:t>
      </w:r>
      <w:r w:rsidR="00B66D01">
        <w:t>.</w:t>
      </w:r>
      <w:r>
        <w:t>)</w:t>
      </w:r>
    </w:p>
    <w:p w:rsidR="0018653A" w:rsidRDefault="00E06913" w:rsidP="007F5391">
      <w:pPr>
        <w:spacing w:line="480" w:lineRule="auto"/>
        <w:ind w:firstLine="720"/>
        <w:contextualSpacing/>
      </w:pPr>
      <w:r>
        <w:t xml:space="preserve">The court finds that </w:t>
      </w:r>
      <w:r w:rsidRPr="00E06913">
        <w:t xml:space="preserve">respondent's unwillingness or inability to </w:t>
      </w:r>
      <w:r w:rsidR="00B66D01">
        <w:t xml:space="preserve">fully </w:t>
      </w:r>
      <w:r w:rsidRPr="00E06913">
        <w:t xml:space="preserve">comply </w:t>
      </w:r>
      <w:r w:rsidR="00084823">
        <w:t xml:space="preserve">either </w:t>
      </w:r>
      <w:r w:rsidRPr="00E06913">
        <w:t xml:space="preserve">with </w:t>
      </w:r>
      <w:r>
        <w:t>the cond</w:t>
      </w:r>
      <w:r w:rsidR="00084823">
        <w:t>i</w:t>
      </w:r>
      <w:r>
        <w:t xml:space="preserve">tions attached to his public reproval in </w:t>
      </w:r>
      <w:r w:rsidRPr="00E06913">
        <w:rPr>
          <w:i/>
        </w:rPr>
        <w:t>Nelson</w:t>
      </w:r>
      <w:r>
        <w:t xml:space="preserve"> I or </w:t>
      </w:r>
      <w:r w:rsidR="00084823">
        <w:t xml:space="preserve">with </w:t>
      </w:r>
      <w:r>
        <w:t xml:space="preserve">the </w:t>
      </w:r>
      <w:r w:rsidRPr="00E06913">
        <w:t xml:space="preserve">probation </w:t>
      </w:r>
      <w:r>
        <w:t xml:space="preserve">conditions </w:t>
      </w:r>
      <w:r w:rsidRPr="00E06913">
        <w:t>imposed o</w:t>
      </w:r>
      <w:r>
        <w:t xml:space="preserve">n him under the Supreme Court’s order in </w:t>
      </w:r>
      <w:r w:rsidRPr="00E06913">
        <w:rPr>
          <w:i/>
        </w:rPr>
        <w:t>Nelson</w:t>
      </w:r>
      <w:r>
        <w:t xml:space="preserve"> II</w:t>
      </w:r>
      <w:r w:rsidR="00B66D01">
        <w:t xml:space="preserve"> “ ‘</w:t>
      </w:r>
      <w:r w:rsidRPr="00E06913">
        <w:t>demonstrates a lapse of character and a disrespect for the legal system that directly relate to an attorney's fitness to practice law and serve as an officer of the court.  [Citation.]</w:t>
      </w:r>
      <w:r>
        <w:t>’  [Citation.]”  (</w:t>
      </w:r>
      <w:r>
        <w:rPr>
          <w:i/>
        </w:rPr>
        <w:t>In the Matter of Tiernan, supra</w:t>
      </w:r>
      <w:r>
        <w:t xml:space="preserve">, 3 Cal. State Bar Ct. Rptr. at p. 530.)  </w:t>
      </w:r>
      <w:r w:rsidR="003B30B5">
        <w:t xml:space="preserve">The court notes that even in this proceeding, he still </w:t>
      </w:r>
      <w:r w:rsidR="00873105">
        <w:t xml:space="preserve">demonstrated </w:t>
      </w:r>
      <w:r w:rsidR="003B30B5">
        <w:t xml:space="preserve">a </w:t>
      </w:r>
      <w:r>
        <w:t xml:space="preserve">lack of insight into </w:t>
      </w:r>
      <w:r w:rsidR="00873105">
        <w:t xml:space="preserve">the seriousness of the client </w:t>
      </w:r>
      <w:r w:rsidR="00873105" w:rsidRPr="00873105">
        <w:t xml:space="preserve">misconduct </w:t>
      </w:r>
      <w:r w:rsidR="00873105">
        <w:t xml:space="preserve">involved in </w:t>
      </w:r>
      <w:r w:rsidR="00873105" w:rsidRPr="00873105">
        <w:rPr>
          <w:i/>
        </w:rPr>
        <w:t>Nelson</w:t>
      </w:r>
      <w:r w:rsidR="00873105">
        <w:rPr>
          <w:i/>
        </w:rPr>
        <w:t> </w:t>
      </w:r>
      <w:r w:rsidR="00873105">
        <w:t xml:space="preserve">I </w:t>
      </w:r>
      <w:r w:rsidR="003B30B5">
        <w:t xml:space="preserve">which </w:t>
      </w:r>
      <w:r w:rsidR="00873105" w:rsidRPr="00873105">
        <w:t xml:space="preserve">is troubling because </w:t>
      </w:r>
      <w:r w:rsidR="003B30B5">
        <w:t xml:space="preserve">he still fails to appreciate his wrongdoing.  </w:t>
      </w:r>
      <w:r w:rsidR="00873105" w:rsidRPr="00873105">
        <w:t>(</w:t>
      </w:r>
      <w:r w:rsidR="003B30B5">
        <w:t xml:space="preserve">Cf. </w:t>
      </w:r>
      <w:r w:rsidR="00873105" w:rsidRPr="00873105">
        <w:rPr>
          <w:i/>
        </w:rPr>
        <w:t>Blair v. State Bar</w:t>
      </w:r>
      <w:r w:rsidR="00873105" w:rsidRPr="00873105">
        <w:t xml:space="preserve"> </w:t>
      </w:r>
      <w:r w:rsidR="00873105">
        <w:t xml:space="preserve">(1989) 49 Cal.3d 762, 781-782.)  Moreover still, </w:t>
      </w:r>
      <w:r w:rsidR="00084823">
        <w:t xml:space="preserve">in light of the </w:t>
      </w:r>
      <w:r w:rsidR="00873105">
        <w:t>court</w:t>
      </w:r>
      <w:r w:rsidR="00084823">
        <w:t xml:space="preserve">’s finding that respondent’s </w:t>
      </w:r>
      <w:r w:rsidR="007F00D6">
        <w:t>“explanations” for his misconduct l</w:t>
      </w:r>
      <w:r w:rsidR="00084823">
        <w:t xml:space="preserve">ack credibility, respondent’s two prior records of discipline and </w:t>
      </w:r>
      <w:r w:rsidR="007F00D6">
        <w:t xml:space="preserve">the </w:t>
      </w:r>
      <w:r w:rsidR="00084823">
        <w:t>present misconduct</w:t>
      </w:r>
      <w:r w:rsidR="00873105">
        <w:t xml:space="preserve"> </w:t>
      </w:r>
      <w:r w:rsidR="00084823">
        <w:t xml:space="preserve">establish that respondent is either unwilling or unable to conform his conduct to the strictures of the profession and that disbarment </w:t>
      </w:r>
      <w:r w:rsidR="007F5391">
        <w:t>is the only adequate means of protecting the public, the courts, and the profession.</w:t>
      </w:r>
      <w:r w:rsidR="0018653A">
        <w:t xml:space="preserve">  In short, </w:t>
      </w:r>
      <w:r w:rsidR="0018653A" w:rsidRPr="00932D5B">
        <w:t>the court concludes that a disbarment recommendation under standard 1.7(b) is appropriate</w:t>
      </w:r>
      <w:r w:rsidR="0018653A">
        <w:t xml:space="preserve">.  </w:t>
      </w:r>
      <w:r w:rsidR="007F5391">
        <w:t xml:space="preserve">Accordingly, the court will so recommend.  </w:t>
      </w:r>
    </w:p>
    <w:p w:rsidR="007F5391" w:rsidRDefault="007F5391" w:rsidP="007F5391">
      <w:pPr>
        <w:spacing w:line="480" w:lineRule="auto"/>
        <w:ind w:firstLine="720"/>
        <w:contextualSpacing/>
      </w:pPr>
      <w:r>
        <w:t xml:space="preserve">In addition, the court will recommend that, to the extent that he has not yet done so, that respondent be ordered to make restitution to CSF for the amount it reimbursed </w:t>
      </w:r>
      <w:r w:rsidR="003B30B5">
        <w:t xml:space="preserve">Sarah </w:t>
      </w:r>
      <w:r>
        <w:t>Brothers plus applicable interest and costs in accordance with section 6140.5 and that such restitution/reimbursement to CSF be enforceable as provided in section 6140.5, subdivisions (c) and (d).</w:t>
      </w:r>
    </w:p>
    <w:p w:rsidR="0021164B" w:rsidRPr="00DC2912" w:rsidRDefault="0021164B" w:rsidP="00DC2912">
      <w:pPr>
        <w:spacing w:line="480" w:lineRule="auto"/>
        <w:contextualSpacing/>
        <w:jc w:val="center"/>
        <w:rPr>
          <w:b/>
        </w:rPr>
      </w:pPr>
      <w:r w:rsidRPr="00DC2912">
        <w:rPr>
          <w:b/>
        </w:rPr>
        <w:t>VI.  RECOMMENDED DISCIPLINE</w:t>
      </w:r>
    </w:p>
    <w:p w:rsidR="0021164B" w:rsidRDefault="0021164B" w:rsidP="00C166E7">
      <w:pPr>
        <w:spacing w:line="480" w:lineRule="auto"/>
        <w:ind w:firstLine="720"/>
        <w:contextualSpacing/>
      </w:pPr>
      <w:r>
        <w:t xml:space="preserve">The court recommends that respondent </w:t>
      </w:r>
      <w:r w:rsidRPr="00DC2912">
        <w:rPr>
          <w:b/>
        </w:rPr>
        <w:t>GLENN DALE NELSON</w:t>
      </w:r>
      <w:r>
        <w:t xml:space="preserve">, State Bar number 74832, be disbarred from the practice of law in the State of </w:t>
      </w:r>
      <w:smartTag w:uri="urn:schemas-microsoft-com:office:smarttags" w:element="place">
        <w:smartTag w:uri="urn:schemas-microsoft-com:office:smarttags" w:element="State">
          <w:r>
            <w:t>California</w:t>
          </w:r>
        </w:smartTag>
      </w:smartTag>
      <w:r>
        <w:t xml:space="preserve"> and that his name be stricken from the Roll of Attorneys of all persons admitted to practice in this state.  The court further recommends that </w:t>
      </w:r>
      <w:r w:rsidR="007F5391" w:rsidRPr="007F5391">
        <w:t>GLENN DALE NELSON</w:t>
      </w:r>
      <w:r w:rsidR="007F5391">
        <w:t xml:space="preserve"> </w:t>
      </w:r>
      <w:r>
        <w:t>be ordered</w:t>
      </w:r>
      <w:r w:rsidR="0018653A">
        <w:t xml:space="preserve">, to the extent he has not yet done so, </w:t>
      </w:r>
      <w:r>
        <w:t xml:space="preserve">to make restitution to </w:t>
      </w:r>
      <w:r w:rsidR="007F5391">
        <w:t xml:space="preserve">the Client Security Fund for the </w:t>
      </w:r>
      <w:r w:rsidR="00C25925">
        <w:t xml:space="preserve">$40,000 it reimbursed Sarah Brothers </w:t>
      </w:r>
      <w:r>
        <w:t xml:space="preserve">plus </w:t>
      </w:r>
      <w:r w:rsidR="00BB3986">
        <w:t xml:space="preserve">applicable </w:t>
      </w:r>
      <w:r>
        <w:t xml:space="preserve">interest and costs in accordance with Business and </w:t>
      </w:r>
      <w:r w:rsidR="00BB3986">
        <w:t>Professions Code section 6140.5</w:t>
      </w:r>
      <w:r>
        <w:t xml:space="preserve">.  The court further recommends that </w:t>
      </w:r>
      <w:r w:rsidR="00BB3986">
        <w:t xml:space="preserve">this </w:t>
      </w:r>
      <w:r>
        <w:t>restitution</w:t>
      </w:r>
      <w:r w:rsidR="00BB3986">
        <w:t>/re</w:t>
      </w:r>
      <w:r>
        <w:t>imbursement to the Client Security Fund be enforceable as provided in Business and Professions Code section 6140.5, subdivisions (c) and (d).</w:t>
      </w:r>
    </w:p>
    <w:p w:rsidR="0021164B" w:rsidRPr="00BB3986" w:rsidRDefault="0021164B" w:rsidP="00BB3986">
      <w:pPr>
        <w:spacing w:line="480" w:lineRule="auto"/>
        <w:contextualSpacing/>
        <w:jc w:val="center"/>
        <w:rPr>
          <w:b/>
        </w:rPr>
      </w:pPr>
      <w:r w:rsidRPr="00BB3986">
        <w:rPr>
          <w:b/>
        </w:rPr>
        <w:t>VII.  RULE 9.20 &amp; COSTS</w:t>
      </w:r>
    </w:p>
    <w:p w:rsidR="0021164B" w:rsidRDefault="0021164B" w:rsidP="00C166E7">
      <w:pPr>
        <w:spacing w:line="480" w:lineRule="auto"/>
        <w:ind w:firstLine="720"/>
        <w:contextualSpacing/>
      </w:pPr>
      <w:r>
        <w:t>The court further recommends that GLENN DALE NELSON be ordered to comply with California Rules of Court, rule 9.20 and to perform the acts specified in subdivisions (a) and (c) of that rule within 30 and 40 calendar days, respectively, after the effective date of the Supreme Court order in this matter.</w:t>
      </w:r>
    </w:p>
    <w:p w:rsidR="0021164B" w:rsidRDefault="0021164B" w:rsidP="00C166E7">
      <w:pPr>
        <w:spacing w:line="480" w:lineRule="auto"/>
        <w:ind w:firstLine="720"/>
        <w:contextualSpacing/>
      </w:pPr>
      <w:r>
        <w:t>The court further recommends that costs be awarded to the State Bar in accordance with Business and Professions Code section 6086.10 and that those costs be enforceable both as provided in Business and Professions Code section 6140.7 and as a money judgment.</w:t>
      </w:r>
    </w:p>
    <w:p w:rsidR="0021164B" w:rsidRDefault="0021164B" w:rsidP="00BB3986">
      <w:pPr>
        <w:spacing w:line="480" w:lineRule="auto"/>
        <w:contextualSpacing/>
        <w:jc w:val="center"/>
      </w:pPr>
      <w:r w:rsidRPr="00BB3986">
        <w:rPr>
          <w:b/>
        </w:rPr>
        <w:t>VIII.  ORDER OF INVOLUNTARY INACTIVE ENROLLM</w:t>
      </w:r>
      <w:r w:rsidRPr="003B30B5">
        <w:rPr>
          <w:b/>
        </w:rPr>
        <w:t>ENT</w:t>
      </w:r>
    </w:p>
    <w:p w:rsidR="0021164B" w:rsidRDefault="0021164B" w:rsidP="00C166E7">
      <w:pPr>
        <w:spacing w:line="480" w:lineRule="auto"/>
        <w:ind w:firstLine="720"/>
        <w:contextualSpacing/>
      </w:pPr>
      <w:r>
        <w:t>Finally, in accordance with Business and Professions Code section 6007, subdivision (c)(4), the court orders that GLENN DALE NELSON be involuntary enrolled as an inactive member of the State Bar of California effective three calendar days after the service of this decision and order by mail (Rules Proc. of State Bar, rule 5.111(D)(1)).</w:t>
      </w:r>
    </w:p>
    <w:p w:rsidR="0018653A" w:rsidRDefault="0018653A" w:rsidP="00C166E7">
      <w:pPr>
        <w:spacing w:line="480" w:lineRule="auto"/>
        <w:ind w:firstLine="720"/>
        <w:contextualSpacing/>
      </w:pPr>
    </w:p>
    <w:p w:rsidR="0018653A" w:rsidRDefault="0018653A" w:rsidP="00C166E7">
      <w:pPr>
        <w:spacing w:line="480" w:lineRule="auto"/>
        <w:ind w:firstLine="720"/>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BB3986" w:rsidRPr="00932D5B" w:rsidTr="0071458E">
        <w:tc>
          <w:tcPr>
            <w:tcW w:w="4794" w:type="dxa"/>
            <w:tcBorders>
              <w:left w:val="nil"/>
              <w:bottom w:val="nil"/>
            </w:tcBorders>
          </w:tcPr>
          <w:p w:rsidR="00BB3986" w:rsidRPr="00932D5B" w:rsidRDefault="00BB3986" w:rsidP="008C15E6">
            <w:pPr>
              <w:pStyle w:val="Header"/>
              <w:tabs>
                <w:tab w:val="clear" w:pos="4320"/>
                <w:tab w:val="clear" w:pos="8640"/>
              </w:tabs>
              <w:contextualSpacing/>
            </w:pPr>
            <w:r w:rsidRPr="00932D5B">
              <w:t xml:space="preserve">Dated:  </w:t>
            </w:r>
            <w:r>
              <w:t xml:space="preserve">April </w:t>
            </w:r>
            <w:r w:rsidR="008C15E6">
              <w:t>8,</w:t>
            </w:r>
            <w:r w:rsidRPr="00932D5B">
              <w:t xml:space="preserve"> 2011.</w:t>
            </w:r>
          </w:p>
        </w:tc>
        <w:tc>
          <w:tcPr>
            <w:tcW w:w="4561" w:type="dxa"/>
            <w:tcBorders>
              <w:top w:val="single" w:sz="4" w:space="0" w:color="auto"/>
              <w:bottom w:val="nil"/>
              <w:right w:val="nil"/>
            </w:tcBorders>
          </w:tcPr>
          <w:p w:rsidR="00BB3986" w:rsidRPr="00932D5B" w:rsidRDefault="00BB3986" w:rsidP="0071458E">
            <w:pPr>
              <w:contextualSpacing/>
            </w:pPr>
            <w:bookmarkStart w:id="6" w:name="judge"/>
            <w:bookmarkEnd w:id="6"/>
            <w:r w:rsidRPr="00932D5B">
              <w:t>LUCY ARMENDARIZ</w:t>
            </w:r>
          </w:p>
        </w:tc>
      </w:tr>
      <w:tr w:rsidR="00BB3986" w:rsidRPr="00932D5B" w:rsidTr="0071458E">
        <w:tc>
          <w:tcPr>
            <w:tcW w:w="4794" w:type="dxa"/>
            <w:tcBorders>
              <w:left w:val="nil"/>
              <w:bottom w:val="nil"/>
            </w:tcBorders>
          </w:tcPr>
          <w:p w:rsidR="00BB3986" w:rsidRPr="00932D5B" w:rsidRDefault="00BB3986" w:rsidP="0071458E">
            <w:pPr>
              <w:contextualSpacing/>
            </w:pPr>
          </w:p>
        </w:tc>
        <w:tc>
          <w:tcPr>
            <w:tcW w:w="4561" w:type="dxa"/>
            <w:tcBorders>
              <w:bottom w:val="nil"/>
              <w:right w:val="nil"/>
            </w:tcBorders>
          </w:tcPr>
          <w:p w:rsidR="00BB3986" w:rsidRPr="00932D5B" w:rsidRDefault="00BB3986" w:rsidP="0071458E">
            <w:pPr>
              <w:contextualSpacing/>
            </w:pPr>
            <w:r w:rsidRPr="00932D5B">
              <w:t xml:space="preserve">Judge of the </w:t>
            </w:r>
            <w:smartTag w:uri="urn:schemas-microsoft-com:office:smarttags" w:element="Street">
              <w:smartTag w:uri="urn:schemas-microsoft-com:office:smarttags" w:element="address">
                <w:r w:rsidRPr="00932D5B">
                  <w:t>State Bar Court</w:t>
                </w:r>
              </w:smartTag>
            </w:smartTag>
          </w:p>
        </w:tc>
      </w:tr>
    </w:tbl>
    <w:p w:rsidR="00BB3986" w:rsidRPr="00932D5B" w:rsidRDefault="00BB3986" w:rsidP="00BB3986">
      <w:pPr>
        <w:spacing w:line="480" w:lineRule="auto"/>
        <w:contextualSpacing/>
      </w:pPr>
    </w:p>
    <w:p w:rsidR="0021164B" w:rsidRDefault="0021164B" w:rsidP="00C166E7">
      <w:pPr>
        <w:spacing w:line="480" w:lineRule="auto"/>
        <w:ind w:firstLine="720"/>
        <w:contextualSpacing/>
      </w:pPr>
    </w:p>
    <w:sectPr w:rsidR="0021164B" w:rsidSect="003B4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C5" w:rsidRDefault="002F05C5">
      <w:r>
        <w:separator/>
      </w:r>
    </w:p>
  </w:endnote>
  <w:endnote w:type="continuationSeparator" w:id="0">
    <w:p w:rsidR="002F05C5" w:rsidRDefault="002F0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C5" w:rsidRDefault="007634AE" w:rsidP="003B44D5">
    <w:pPr>
      <w:pStyle w:val="Footer"/>
      <w:framePr w:wrap="around" w:vAnchor="text" w:hAnchor="margin" w:xAlign="center" w:y="1"/>
      <w:rPr>
        <w:rStyle w:val="PageNumber"/>
      </w:rPr>
    </w:pPr>
    <w:r>
      <w:rPr>
        <w:rStyle w:val="PageNumber"/>
      </w:rPr>
      <w:fldChar w:fldCharType="begin"/>
    </w:r>
    <w:r w:rsidR="002F05C5">
      <w:rPr>
        <w:rStyle w:val="PageNumber"/>
      </w:rPr>
      <w:instrText xml:space="preserve">PAGE  </w:instrText>
    </w:r>
    <w:r>
      <w:rPr>
        <w:rStyle w:val="PageNumber"/>
      </w:rPr>
      <w:fldChar w:fldCharType="end"/>
    </w:r>
  </w:p>
  <w:p w:rsidR="002F05C5" w:rsidRDefault="002F0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C5" w:rsidRDefault="007634AE" w:rsidP="00200B09">
    <w:pPr>
      <w:pStyle w:val="Footer"/>
      <w:framePr w:wrap="around" w:vAnchor="text" w:hAnchor="margin" w:xAlign="center" w:y="1"/>
      <w:rPr>
        <w:rStyle w:val="PageNumber"/>
      </w:rPr>
    </w:pPr>
    <w:r>
      <w:rPr>
        <w:rStyle w:val="PageNumber"/>
      </w:rPr>
      <w:fldChar w:fldCharType="begin"/>
    </w:r>
    <w:r w:rsidR="002F05C5">
      <w:rPr>
        <w:rStyle w:val="PageNumber"/>
      </w:rPr>
      <w:instrText xml:space="preserve">PAGE  </w:instrText>
    </w:r>
    <w:r>
      <w:rPr>
        <w:rStyle w:val="PageNumber"/>
      </w:rPr>
      <w:fldChar w:fldCharType="separate"/>
    </w:r>
    <w:r w:rsidR="00E73C92">
      <w:rPr>
        <w:rStyle w:val="PageNumber"/>
        <w:noProof/>
      </w:rPr>
      <w:t>- 18 -</w:t>
    </w:r>
    <w:r>
      <w:rPr>
        <w:rStyle w:val="PageNumber"/>
      </w:rPr>
      <w:fldChar w:fldCharType="end"/>
    </w:r>
  </w:p>
  <w:p w:rsidR="002F05C5" w:rsidRDefault="002F05C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C5" w:rsidRDefault="002F05C5">
    <w:pPr>
      <w:pStyle w:val="Footer"/>
      <w:framePr w:wrap="around" w:vAnchor="text" w:hAnchor="margin" w:xAlign="center" w:y="1"/>
      <w:rPr>
        <w:rStyle w:val="PageNumber"/>
      </w:rPr>
    </w:pPr>
  </w:p>
  <w:p w:rsidR="002F05C5" w:rsidRDefault="002F0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C5" w:rsidRDefault="002F05C5">
      <w:r>
        <w:separator/>
      </w:r>
    </w:p>
  </w:footnote>
  <w:footnote w:type="continuationSeparator" w:id="0">
    <w:p w:rsidR="002F05C5" w:rsidRDefault="002F05C5">
      <w:r>
        <w:continuationSeparator/>
      </w:r>
    </w:p>
  </w:footnote>
  <w:footnote w:id="1">
    <w:p w:rsidR="002F05C5" w:rsidRPr="00932D5B" w:rsidRDefault="002F05C5" w:rsidP="00932D5B">
      <w:pPr>
        <w:pStyle w:val="FootnoteTextJwayne"/>
        <w:rPr>
          <w:szCs w:val="24"/>
        </w:rPr>
      </w:pPr>
      <w:r w:rsidRPr="00932D5B">
        <w:rPr>
          <w:rStyle w:val="FootnoteReference"/>
          <w:szCs w:val="24"/>
        </w:rPr>
        <w:footnoteRef/>
      </w:r>
      <w:r w:rsidRPr="00932D5B">
        <w:rPr>
          <w:szCs w:val="24"/>
        </w:rPr>
        <w:t xml:space="preserve"> </w:t>
      </w:r>
      <w:r w:rsidRPr="00932D5B">
        <w:t xml:space="preserve">The Rules of Procedure of the State Bar of California were amended effective January 1, 2011.  </w:t>
      </w:r>
      <w:r>
        <w:t xml:space="preserve">Nonetheless, the </w:t>
      </w:r>
      <w:r w:rsidRPr="00932D5B">
        <w:t xml:space="preserve">former Rules of Procedure of the State Bar </w:t>
      </w:r>
      <w:r>
        <w:t xml:space="preserve">remain applicable in this proceeding because the trial in this proceeding was held before January 1, 2011.  </w:t>
      </w:r>
      <w:r w:rsidRPr="00932D5B">
        <w:t xml:space="preserve">(See Rules Proc. of State Bar (eff. Jan. 1, 2011), Preface, item </w:t>
      </w:r>
      <w:r>
        <w:t>1</w:t>
      </w:r>
      <w:r w:rsidRPr="00932D5B">
        <w:t>.)</w:t>
      </w:r>
    </w:p>
    <w:p w:rsidR="002F05C5" w:rsidRPr="00932D5B" w:rsidRDefault="002F05C5" w:rsidP="00E7531B">
      <w:pPr>
        <w:pStyle w:val="FootnoteText"/>
        <w:rPr>
          <w:szCs w:val="24"/>
        </w:rPr>
      </w:pPr>
    </w:p>
  </w:footnote>
  <w:footnote w:id="2">
    <w:p w:rsidR="002F05C5" w:rsidRDefault="002F05C5">
      <w:pPr>
        <w:pStyle w:val="FootnoteText"/>
      </w:pPr>
      <w:r>
        <w:rPr>
          <w:rStyle w:val="FootnoteReference"/>
        </w:rPr>
        <w:footnoteRef/>
      </w:r>
      <w:r>
        <w:t xml:space="preserve"> </w:t>
      </w:r>
      <w:r w:rsidRPr="00424A43">
        <w:t>Unless otherwise noted, all further statutory references are to the Business and Professions Code</w:t>
      </w:r>
      <w:r>
        <w:t>.</w:t>
      </w:r>
    </w:p>
  </w:footnote>
  <w:footnote w:id="3">
    <w:p w:rsidR="002F05C5" w:rsidRDefault="002F05C5" w:rsidP="000C2195">
      <w:pPr>
        <w:pStyle w:val="FootnoteTextJwayne"/>
      </w:pPr>
      <w:r>
        <w:rPr>
          <w:rStyle w:val="FootnoteReference"/>
        </w:rPr>
        <w:footnoteRef/>
      </w:r>
      <w:r>
        <w:t xml:space="preserve"> </w:t>
      </w:r>
      <w:r w:rsidRPr="0064694D">
        <w:t>Respondent was properly served with the Supreme Court Order by the Clerk of the Supreme Court.</w:t>
      </w:r>
    </w:p>
  </w:footnote>
  <w:footnote w:id="4">
    <w:p w:rsidR="002F05C5" w:rsidRDefault="002F05C5" w:rsidP="005309ED">
      <w:pPr>
        <w:pStyle w:val="FootnoteText"/>
      </w:pPr>
      <w:r>
        <w:rPr>
          <w:rStyle w:val="FootnoteReference"/>
        </w:rPr>
        <w:footnoteRef/>
      </w:r>
      <w:r>
        <w:t xml:space="preserve"> </w:t>
      </w:r>
      <w:r w:rsidRPr="005E1AA0">
        <w:t>Rule 3</w:t>
      </w:r>
      <w:r>
        <w:noBreakHyphen/>
      </w:r>
      <w:r w:rsidRPr="005E1AA0">
        <w:t>300 provides that an attorney “shall not enter into a business transaction with a client; or knowingly acquire an ownership, possessory, security, or other pecuniary interest adverse to a client, unless each of the following requirements has been satisfied: [¶] (A) The transaction or acquisition and its terms are fair and reasonable to the client and are fully disclosed and transmitted in writing to the client in a manner which should reasonably have been understood by the client; and [¶] (B) The client is advised in writing that the client may seek the advice of an independent lawyer of the client's choice and is given a reasonable opportunity to seek that advice; and [¶] (C) The client thereafter consents in writing to the terms of the transaction or the terms of the acquisition.”</w:t>
      </w:r>
    </w:p>
    <w:p w:rsidR="002F05C5" w:rsidRDefault="002F05C5" w:rsidP="005309ED">
      <w:pPr>
        <w:pStyle w:val="FootnoteText"/>
      </w:pPr>
    </w:p>
  </w:footnote>
  <w:footnote w:id="5">
    <w:p w:rsidR="002F05C5" w:rsidRDefault="002F05C5">
      <w:pPr>
        <w:pStyle w:val="FootnoteText"/>
      </w:pPr>
      <w:r>
        <w:rPr>
          <w:rStyle w:val="FootnoteReference"/>
        </w:rPr>
        <w:footnoteRef/>
      </w:r>
      <w:r>
        <w:t xml:space="preserve"> In the NDC, the State Bar incorrectly alleges and charges that respondent was required to start making monthly restitution payments to CSF on December 17, 2005.  As noted </w:t>
      </w:r>
      <w:r w:rsidRPr="00F0652C">
        <w:rPr>
          <w:i/>
        </w:rPr>
        <w:t>ante</w:t>
      </w:r>
      <w:r>
        <w:t xml:space="preserve">, the Supreme Court's April 26, 2006 order in </w:t>
      </w:r>
      <w:r w:rsidRPr="00BF76D8">
        <w:rPr>
          <w:i/>
        </w:rPr>
        <w:t>Nelson</w:t>
      </w:r>
      <w:r>
        <w:t xml:space="preserve"> II did not become effective until May 26, 2006.  Moreover, the Supreme Court’s April 26, 2006 order does not provide for respondent’s probation conditions to begin retroactively in December 2005.  Consequently, just as respondent’s first probation report was not due until July 10, 2006 (not January 10, 2006, or April 10, 2006), respondent’s first monthly restitution payment was not due until June 17, 2006 (not December 17, 2005).</w:t>
      </w:r>
    </w:p>
  </w:footnote>
  <w:footnote w:id="6">
    <w:p w:rsidR="002F05C5" w:rsidRDefault="002F05C5" w:rsidP="009B1FE4">
      <w:pPr>
        <w:pStyle w:val="FootnoteText"/>
      </w:pPr>
      <w:r>
        <w:rPr>
          <w:rStyle w:val="FootnoteReference"/>
        </w:rPr>
        <w:footnoteRef/>
      </w:r>
      <w:r>
        <w:t xml:space="preserve"> </w:t>
      </w:r>
      <w:r w:rsidRPr="005E2384">
        <w:t>Bad faith is not a requirement for finding a probation violation; “instead, a ‘general purpose or willingness’ to commit an act or permit an omission is sufficient.  [Citations.]”  (</w:t>
      </w:r>
      <w:r w:rsidRPr="005E2384">
        <w:rPr>
          <w:i/>
          <w:iCs/>
        </w:rPr>
        <w:t>In</w:t>
      </w:r>
      <w:r>
        <w:rPr>
          <w:i/>
          <w:iCs/>
        </w:rPr>
        <w:t xml:space="preserve"> </w:t>
      </w:r>
      <w:r w:rsidRPr="005E2384">
        <w:rPr>
          <w:i/>
          <w:iCs/>
        </w:rPr>
        <w:t>the Matter of Potack</w:t>
      </w:r>
      <w:r w:rsidRPr="005E2384">
        <w:t xml:space="preserve"> (Review Dept. 1991) 1 Cal. </w:t>
      </w:r>
      <w:r>
        <w:t>State Bar Ct. Rptr. 525, 536.)</w:t>
      </w:r>
    </w:p>
  </w:footnote>
  <w:footnote w:id="7">
    <w:p w:rsidR="002F05C5" w:rsidRDefault="002F05C5" w:rsidP="00BC0F77">
      <w:pPr>
        <w:pStyle w:val="FootnoteText"/>
      </w:pPr>
      <w:r>
        <w:rPr>
          <w:rStyle w:val="FootnoteReference"/>
        </w:rPr>
        <w:footnoteRef/>
      </w:r>
      <w:r>
        <w:t xml:space="preserve"> In each of his 1st, 2nd, 3rd, 4th, 6th, and 7th probation reports, respondent included the copy of one of the 13 checks.  In his 5th and 9th probation reports, he included a copy of two checks.  In his 8</w:t>
      </w:r>
      <w:r w:rsidRPr="002F05C5">
        <w:rPr>
          <w:vertAlign w:val="superscript"/>
        </w:rPr>
        <w:t>th</w:t>
      </w:r>
      <w:r>
        <w:t xml:space="preserve"> report, he included a copy of three checks.  </w:t>
      </w:r>
    </w:p>
  </w:footnote>
  <w:footnote w:id="8">
    <w:p w:rsidR="002F05C5" w:rsidRPr="00932D5B" w:rsidRDefault="002F05C5" w:rsidP="0018653A">
      <w:pPr>
        <w:pStyle w:val="FootnoteText"/>
        <w:rPr>
          <w:szCs w:val="24"/>
        </w:rPr>
      </w:pPr>
      <w:r w:rsidRPr="00932D5B">
        <w:rPr>
          <w:rStyle w:val="FootnoteReference"/>
          <w:szCs w:val="24"/>
        </w:rPr>
        <w:footnoteRef/>
      </w:r>
      <w:r w:rsidRPr="00932D5B">
        <w:rPr>
          <w:szCs w:val="24"/>
        </w:rPr>
        <w:t xml:space="preserve"> All further references to standards are to this source.  The standards were not included in the rule revisions adopted by the Board of Governors effective January 1, 2011.  Nor have the standards been revised to conform to the new organizational structure for all of the Rules of the State Bar.  The standards remain in effect in their current form.</w:t>
      </w:r>
    </w:p>
    <w:p w:rsidR="002F05C5" w:rsidRPr="00932D5B" w:rsidRDefault="002F05C5" w:rsidP="0018653A">
      <w:pPr>
        <w:pStyle w:val="FootnoteText"/>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92" w:rsidRDefault="00E73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92" w:rsidRDefault="00E73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92" w:rsidRDefault="00E73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A2CC6"/>
    <w:multiLevelType w:val="hybridMultilevel"/>
    <w:tmpl w:val="984C0AEA"/>
    <w:lvl w:ilvl="0" w:tplc="8EC0DB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4154EC"/>
    <w:rsid w:val="000010EC"/>
    <w:rsid w:val="00002386"/>
    <w:rsid w:val="00005854"/>
    <w:rsid w:val="0000610E"/>
    <w:rsid w:val="00006D1F"/>
    <w:rsid w:val="0000787F"/>
    <w:rsid w:val="00013C02"/>
    <w:rsid w:val="00023D32"/>
    <w:rsid w:val="00024326"/>
    <w:rsid w:val="00024BC3"/>
    <w:rsid w:val="000255A0"/>
    <w:rsid w:val="00033227"/>
    <w:rsid w:val="00040D45"/>
    <w:rsid w:val="00060A29"/>
    <w:rsid w:val="00061F3A"/>
    <w:rsid w:val="00063E1E"/>
    <w:rsid w:val="00064F47"/>
    <w:rsid w:val="00070285"/>
    <w:rsid w:val="00074CCF"/>
    <w:rsid w:val="000769D1"/>
    <w:rsid w:val="00084823"/>
    <w:rsid w:val="00084A1C"/>
    <w:rsid w:val="00094615"/>
    <w:rsid w:val="0009567D"/>
    <w:rsid w:val="000A15BD"/>
    <w:rsid w:val="000A3424"/>
    <w:rsid w:val="000B0730"/>
    <w:rsid w:val="000B2DCB"/>
    <w:rsid w:val="000C2195"/>
    <w:rsid w:val="000C2B5C"/>
    <w:rsid w:val="000D2420"/>
    <w:rsid w:val="000D2E84"/>
    <w:rsid w:val="000D3744"/>
    <w:rsid w:val="000D3B6D"/>
    <w:rsid w:val="000D5BAC"/>
    <w:rsid w:val="000D6397"/>
    <w:rsid w:val="000D71F6"/>
    <w:rsid w:val="000E3DB1"/>
    <w:rsid w:val="000E432B"/>
    <w:rsid w:val="000E4BC1"/>
    <w:rsid w:val="000F089D"/>
    <w:rsid w:val="000F7293"/>
    <w:rsid w:val="0010510D"/>
    <w:rsid w:val="00106FF5"/>
    <w:rsid w:val="00112D7E"/>
    <w:rsid w:val="001207FC"/>
    <w:rsid w:val="001210EA"/>
    <w:rsid w:val="00126341"/>
    <w:rsid w:val="00131818"/>
    <w:rsid w:val="001321E9"/>
    <w:rsid w:val="00141045"/>
    <w:rsid w:val="001428D0"/>
    <w:rsid w:val="00144539"/>
    <w:rsid w:val="00144E2C"/>
    <w:rsid w:val="00145A0D"/>
    <w:rsid w:val="00145A3F"/>
    <w:rsid w:val="00145BC7"/>
    <w:rsid w:val="001559D1"/>
    <w:rsid w:val="001568F5"/>
    <w:rsid w:val="001639BD"/>
    <w:rsid w:val="001666D5"/>
    <w:rsid w:val="001739C6"/>
    <w:rsid w:val="0018653A"/>
    <w:rsid w:val="00192942"/>
    <w:rsid w:val="001A6A09"/>
    <w:rsid w:val="001B2186"/>
    <w:rsid w:val="001C48C9"/>
    <w:rsid w:val="001C528C"/>
    <w:rsid w:val="001D26F9"/>
    <w:rsid w:val="001D5AE0"/>
    <w:rsid w:val="001D5C91"/>
    <w:rsid w:val="001D6AFF"/>
    <w:rsid w:val="001E37D7"/>
    <w:rsid w:val="001E7553"/>
    <w:rsid w:val="001F3AE5"/>
    <w:rsid w:val="001F3D48"/>
    <w:rsid w:val="001F6600"/>
    <w:rsid w:val="001F7BDA"/>
    <w:rsid w:val="00200B09"/>
    <w:rsid w:val="0020214B"/>
    <w:rsid w:val="0021164B"/>
    <w:rsid w:val="00213495"/>
    <w:rsid w:val="00216F16"/>
    <w:rsid w:val="00222AB3"/>
    <w:rsid w:val="00225FF3"/>
    <w:rsid w:val="00236195"/>
    <w:rsid w:val="00237CE4"/>
    <w:rsid w:val="00245B0B"/>
    <w:rsid w:val="00247563"/>
    <w:rsid w:val="00250669"/>
    <w:rsid w:val="00267C60"/>
    <w:rsid w:val="0027144F"/>
    <w:rsid w:val="00272784"/>
    <w:rsid w:val="00291B18"/>
    <w:rsid w:val="002A3E0B"/>
    <w:rsid w:val="002A6966"/>
    <w:rsid w:val="002A7742"/>
    <w:rsid w:val="002B6BCE"/>
    <w:rsid w:val="002B7A31"/>
    <w:rsid w:val="002C0262"/>
    <w:rsid w:val="002C1B5A"/>
    <w:rsid w:val="002C20A5"/>
    <w:rsid w:val="002C60D3"/>
    <w:rsid w:val="002C66F8"/>
    <w:rsid w:val="002D466A"/>
    <w:rsid w:val="002D7F0B"/>
    <w:rsid w:val="002E4959"/>
    <w:rsid w:val="002E6699"/>
    <w:rsid w:val="002F05C5"/>
    <w:rsid w:val="0030672B"/>
    <w:rsid w:val="0031137C"/>
    <w:rsid w:val="00312B1D"/>
    <w:rsid w:val="00312FEC"/>
    <w:rsid w:val="00316CBB"/>
    <w:rsid w:val="003336B0"/>
    <w:rsid w:val="00335DD5"/>
    <w:rsid w:val="00336B0C"/>
    <w:rsid w:val="00340817"/>
    <w:rsid w:val="0034374D"/>
    <w:rsid w:val="00351883"/>
    <w:rsid w:val="00354659"/>
    <w:rsid w:val="003614DA"/>
    <w:rsid w:val="00367D4A"/>
    <w:rsid w:val="00376820"/>
    <w:rsid w:val="00383BC5"/>
    <w:rsid w:val="003A2A25"/>
    <w:rsid w:val="003A4268"/>
    <w:rsid w:val="003B28A4"/>
    <w:rsid w:val="003B30B5"/>
    <w:rsid w:val="003B44D5"/>
    <w:rsid w:val="003B560B"/>
    <w:rsid w:val="003B6BB9"/>
    <w:rsid w:val="003C23AD"/>
    <w:rsid w:val="003C334F"/>
    <w:rsid w:val="003C4CBE"/>
    <w:rsid w:val="003D07B8"/>
    <w:rsid w:val="003D1750"/>
    <w:rsid w:val="003D3B12"/>
    <w:rsid w:val="003D414B"/>
    <w:rsid w:val="003D5A98"/>
    <w:rsid w:val="003F073E"/>
    <w:rsid w:val="003F6DAA"/>
    <w:rsid w:val="00400F54"/>
    <w:rsid w:val="004035B2"/>
    <w:rsid w:val="00404728"/>
    <w:rsid w:val="0040499B"/>
    <w:rsid w:val="00404A22"/>
    <w:rsid w:val="004154D9"/>
    <w:rsid w:val="004154EC"/>
    <w:rsid w:val="004168E0"/>
    <w:rsid w:val="00424A43"/>
    <w:rsid w:val="00431647"/>
    <w:rsid w:val="00431B60"/>
    <w:rsid w:val="00432DDC"/>
    <w:rsid w:val="004460A8"/>
    <w:rsid w:val="0044699E"/>
    <w:rsid w:val="00446BED"/>
    <w:rsid w:val="004539D0"/>
    <w:rsid w:val="004559CF"/>
    <w:rsid w:val="00465E49"/>
    <w:rsid w:val="004701CE"/>
    <w:rsid w:val="004767AB"/>
    <w:rsid w:val="00477CB7"/>
    <w:rsid w:val="00481412"/>
    <w:rsid w:val="0048560C"/>
    <w:rsid w:val="00495422"/>
    <w:rsid w:val="004A4685"/>
    <w:rsid w:val="004A7CAD"/>
    <w:rsid w:val="004B7980"/>
    <w:rsid w:val="004C1086"/>
    <w:rsid w:val="004C311D"/>
    <w:rsid w:val="004C3729"/>
    <w:rsid w:val="004C58EB"/>
    <w:rsid w:val="004D4106"/>
    <w:rsid w:val="004E0BDA"/>
    <w:rsid w:val="004E11C9"/>
    <w:rsid w:val="004E78B5"/>
    <w:rsid w:val="004F0333"/>
    <w:rsid w:val="004F2E6F"/>
    <w:rsid w:val="004F3038"/>
    <w:rsid w:val="004F46A3"/>
    <w:rsid w:val="004F567F"/>
    <w:rsid w:val="004F60A8"/>
    <w:rsid w:val="004F7C86"/>
    <w:rsid w:val="0050364B"/>
    <w:rsid w:val="00505037"/>
    <w:rsid w:val="005115F3"/>
    <w:rsid w:val="00514EBF"/>
    <w:rsid w:val="00526F79"/>
    <w:rsid w:val="005309ED"/>
    <w:rsid w:val="00531FC7"/>
    <w:rsid w:val="0053762E"/>
    <w:rsid w:val="00540307"/>
    <w:rsid w:val="005501A9"/>
    <w:rsid w:val="0055791C"/>
    <w:rsid w:val="005667B0"/>
    <w:rsid w:val="00570382"/>
    <w:rsid w:val="005839C5"/>
    <w:rsid w:val="0058499A"/>
    <w:rsid w:val="005863FC"/>
    <w:rsid w:val="00587A4A"/>
    <w:rsid w:val="005920A0"/>
    <w:rsid w:val="00593144"/>
    <w:rsid w:val="0059429C"/>
    <w:rsid w:val="00595E95"/>
    <w:rsid w:val="00597E70"/>
    <w:rsid w:val="00597FA4"/>
    <w:rsid w:val="005B2576"/>
    <w:rsid w:val="005C4047"/>
    <w:rsid w:val="005C615D"/>
    <w:rsid w:val="005F0BCC"/>
    <w:rsid w:val="005F0F45"/>
    <w:rsid w:val="005F65C0"/>
    <w:rsid w:val="00600AEF"/>
    <w:rsid w:val="006108CF"/>
    <w:rsid w:val="00613037"/>
    <w:rsid w:val="00614F01"/>
    <w:rsid w:val="0061502B"/>
    <w:rsid w:val="00623C47"/>
    <w:rsid w:val="00634871"/>
    <w:rsid w:val="0063648C"/>
    <w:rsid w:val="00640483"/>
    <w:rsid w:val="0064097E"/>
    <w:rsid w:val="00642916"/>
    <w:rsid w:val="006432A5"/>
    <w:rsid w:val="0064694D"/>
    <w:rsid w:val="00647940"/>
    <w:rsid w:val="00647C34"/>
    <w:rsid w:val="00650144"/>
    <w:rsid w:val="0066282C"/>
    <w:rsid w:val="00666063"/>
    <w:rsid w:val="00667C72"/>
    <w:rsid w:val="00681DB1"/>
    <w:rsid w:val="006A0FCE"/>
    <w:rsid w:val="006A2A34"/>
    <w:rsid w:val="006A3C3A"/>
    <w:rsid w:val="006B1114"/>
    <w:rsid w:val="006B17A6"/>
    <w:rsid w:val="006B4882"/>
    <w:rsid w:val="006C42E8"/>
    <w:rsid w:val="006C56CA"/>
    <w:rsid w:val="006D62FB"/>
    <w:rsid w:val="006D695C"/>
    <w:rsid w:val="006D6B84"/>
    <w:rsid w:val="006D6C8B"/>
    <w:rsid w:val="006D7B1B"/>
    <w:rsid w:val="006E5142"/>
    <w:rsid w:val="006E55A1"/>
    <w:rsid w:val="006F0E77"/>
    <w:rsid w:val="006F1E4C"/>
    <w:rsid w:val="00700357"/>
    <w:rsid w:val="007040BB"/>
    <w:rsid w:val="00711EA4"/>
    <w:rsid w:val="0071458E"/>
    <w:rsid w:val="007176F7"/>
    <w:rsid w:val="0072011A"/>
    <w:rsid w:val="00731B27"/>
    <w:rsid w:val="0073256E"/>
    <w:rsid w:val="0073354D"/>
    <w:rsid w:val="007340C6"/>
    <w:rsid w:val="007356FF"/>
    <w:rsid w:val="00736C6C"/>
    <w:rsid w:val="00757366"/>
    <w:rsid w:val="007634AE"/>
    <w:rsid w:val="00773BE7"/>
    <w:rsid w:val="00774B24"/>
    <w:rsid w:val="00780464"/>
    <w:rsid w:val="007838A7"/>
    <w:rsid w:val="00785694"/>
    <w:rsid w:val="00787512"/>
    <w:rsid w:val="007939AA"/>
    <w:rsid w:val="00795E5A"/>
    <w:rsid w:val="0079636C"/>
    <w:rsid w:val="007A24D5"/>
    <w:rsid w:val="007A55EA"/>
    <w:rsid w:val="007B05B2"/>
    <w:rsid w:val="007B121C"/>
    <w:rsid w:val="007B1CAB"/>
    <w:rsid w:val="007B6792"/>
    <w:rsid w:val="007D201B"/>
    <w:rsid w:val="007D3EDE"/>
    <w:rsid w:val="007E0313"/>
    <w:rsid w:val="007E7EE8"/>
    <w:rsid w:val="007F00D6"/>
    <w:rsid w:val="007F2814"/>
    <w:rsid w:val="007F5391"/>
    <w:rsid w:val="007F781B"/>
    <w:rsid w:val="00800224"/>
    <w:rsid w:val="00803E6D"/>
    <w:rsid w:val="00804ED2"/>
    <w:rsid w:val="0080521A"/>
    <w:rsid w:val="00810196"/>
    <w:rsid w:val="00814877"/>
    <w:rsid w:val="00825C09"/>
    <w:rsid w:val="00833805"/>
    <w:rsid w:val="008351FE"/>
    <w:rsid w:val="00836F32"/>
    <w:rsid w:val="0084089E"/>
    <w:rsid w:val="0084101B"/>
    <w:rsid w:val="00846D4F"/>
    <w:rsid w:val="00864832"/>
    <w:rsid w:val="00873105"/>
    <w:rsid w:val="00876065"/>
    <w:rsid w:val="00887E61"/>
    <w:rsid w:val="00893A16"/>
    <w:rsid w:val="00893D38"/>
    <w:rsid w:val="008A2753"/>
    <w:rsid w:val="008A413D"/>
    <w:rsid w:val="008B5A7B"/>
    <w:rsid w:val="008C15E6"/>
    <w:rsid w:val="008D221B"/>
    <w:rsid w:val="008E20A3"/>
    <w:rsid w:val="008E6266"/>
    <w:rsid w:val="008E7C9D"/>
    <w:rsid w:val="008F2EA7"/>
    <w:rsid w:val="008F7B92"/>
    <w:rsid w:val="00912086"/>
    <w:rsid w:val="0091727F"/>
    <w:rsid w:val="00924D45"/>
    <w:rsid w:val="00924FDB"/>
    <w:rsid w:val="00932D5B"/>
    <w:rsid w:val="00937061"/>
    <w:rsid w:val="00941B8E"/>
    <w:rsid w:val="0094560A"/>
    <w:rsid w:val="00962BA3"/>
    <w:rsid w:val="00972C24"/>
    <w:rsid w:val="00973EFA"/>
    <w:rsid w:val="00974ADD"/>
    <w:rsid w:val="009766B1"/>
    <w:rsid w:val="00980945"/>
    <w:rsid w:val="0098182F"/>
    <w:rsid w:val="00983DC9"/>
    <w:rsid w:val="00985894"/>
    <w:rsid w:val="009A0A71"/>
    <w:rsid w:val="009B1FE4"/>
    <w:rsid w:val="009B7116"/>
    <w:rsid w:val="009C1E19"/>
    <w:rsid w:val="009C51E9"/>
    <w:rsid w:val="009C7EEC"/>
    <w:rsid w:val="009D1532"/>
    <w:rsid w:val="009D6DA4"/>
    <w:rsid w:val="009D7F04"/>
    <w:rsid w:val="009F44F7"/>
    <w:rsid w:val="009F62BB"/>
    <w:rsid w:val="00A01907"/>
    <w:rsid w:val="00A04285"/>
    <w:rsid w:val="00A05AC2"/>
    <w:rsid w:val="00A11BCC"/>
    <w:rsid w:val="00A158FB"/>
    <w:rsid w:val="00A209A1"/>
    <w:rsid w:val="00A2152B"/>
    <w:rsid w:val="00A256BC"/>
    <w:rsid w:val="00A33C93"/>
    <w:rsid w:val="00A34FC0"/>
    <w:rsid w:val="00A367BD"/>
    <w:rsid w:val="00A36F37"/>
    <w:rsid w:val="00A433A8"/>
    <w:rsid w:val="00A4507F"/>
    <w:rsid w:val="00A55415"/>
    <w:rsid w:val="00A70F76"/>
    <w:rsid w:val="00A76D24"/>
    <w:rsid w:val="00A777EA"/>
    <w:rsid w:val="00A81EA3"/>
    <w:rsid w:val="00A91350"/>
    <w:rsid w:val="00AA03B2"/>
    <w:rsid w:val="00AA122A"/>
    <w:rsid w:val="00AA668C"/>
    <w:rsid w:val="00AB13A5"/>
    <w:rsid w:val="00AB3CFD"/>
    <w:rsid w:val="00AC2D95"/>
    <w:rsid w:val="00AC4BF6"/>
    <w:rsid w:val="00AD0C63"/>
    <w:rsid w:val="00AD2CBA"/>
    <w:rsid w:val="00AD2F82"/>
    <w:rsid w:val="00AD5B59"/>
    <w:rsid w:val="00AE2BAB"/>
    <w:rsid w:val="00AF22C9"/>
    <w:rsid w:val="00B129D4"/>
    <w:rsid w:val="00B156AF"/>
    <w:rsid w:val="00B17D2C"/>
    <w:rsid w:val="00B25BB9"/>
    <w:rsid w:val="00B26AFD"/>
    <w:rsid w:val="00B27C3F"/>
    <w:rsid w:val="00B34602"/>
    <w:rsid w:val="00B3766F"/>
    <w:rsid w:val="00B40506"/>
    <w:rsid w:val="00B428D8"/>
    <w:rsid w:val="00B454F4"/>
    <w:rsid w:val="00B50C23"/>
    <w:rsid w:val="00B510C6"/>
    <w:rsid w:val="00B55568"/>
    <w:rsid w:val="00B57AB5"/>
    <w:rsid w:val="00B624E3"/>
    <w:rsid w:val="00B66D01"/>
    <w:rsid w:val="00B72B0F"/>
    <w:rsid w:val="00B809BC"/>
    <w:rsid w:val="00B82D7B"/>
    <w:rsid w:val="00B83C08"/>
    <w:rsid w:val="00B9546C"/>
    <w:rsid w:val="00B95C7E"/>
    <w:rsid w:val="00BA07C6"/>
    <w:rsid w:val="00BA34C3"/>
    <w:rsid w:val="00BB0D69"/>
    <w:rsid w:val="00BB199E"/>
    <w:rsid w:val="00BB3986"/>
    <w:rsid w:val="00BB4A97"/>
    <w:rsid w:val="00BC0F77"/>
    <w:rsid w:val="00BD586F"/>
    <w:rsid w:val="00BE17B4"/>
    <w:rsid w:val="00BE7FA1"/>
    <w:rsid w:val="00BF76D8"/>
    <w:rsid w:val="00BF7E62"/>
    <w:rsid w:val="00C013FE"/>
    <w:rsid w:val="00C04C11"/>
    <w:rsid w:val="00C166E7"/>
    <w:rsid w:val="00C16A51"/>
    <w:rsid w:val="00C25925"/>
    <w:rsid w:val="00C27083"/>
    <w:rsid w:val="00C35BF7"/>
    <w:rsid w:val="00C66E6B"/>
    <w:rsid w:val="00C75B36"/>
    <w:rsid w:val="00C76524"/>
    <w:rsid w:val="00C77EEE"/>
    <w:rsid w:val="00C827A8"/>
    <w:rsid w:val="00C82934"/>
    <w:rsid w:val="00C92368"/>
    <w:rsid w:val="00C95D00"/>
    <w:rsid w:val="00CA0186"/>
    <w:rsid w:val="00CA64BF"/>
    <w:rsid w:val="00CB320E"/>
    <w:rsid w:val="00CC0A6B"/>
    <w:rsid w:val="00CC625A"/>
    <w:rsid w:val="00CC665F"/>
    <w:rsid w:val="00CC78FC"/>
    <w:rsid w:val="00CD0651"/>
    <w:rsid w:val="00CE0CAB"/>
    <w:rsid w:val="00CE1DE9"/>
    <w:rsid w:val="00CF0A74"/>
    <w:rsid w:val="00D04783"/>
    <w:rsid w:val="00D14046"/>
    <w:rsid w:val="00D27628"/>
    <w:rsid w:val="00D34A70"/>
    <w:rsid w:val="00D34A8C"/>
    <w:rsid w:val="00D42A1A"/>
    <w:rsid w:val="00D52E5D"/>
    <w:rsid w:val="00D65E04"/>
    <w:rsid w:val="00D7313D"/>
    <w:rsid w:val="00D81392"/>
    <w:rsid w:val="00D81C5D"/>
    <w:rsid w:val="00D8215A"/>
    <w:rsid w:val="00D86B57"/>
    <w:rsid w:val="00D91962"/>
    <w:rsid w:val="00DA2800"/>
    <w:rsid w:val="00DA5163"/>
    <w:rsid w:val="00DA6701"/>
    <w:rsid w:val="00DA6F91"/>
    <w:rsid w:val="00DA7D43"/>
    <w:rsid w:val="00DB1E0B"/>
    <w:rsid w:val="00DB4436"/>
    <w:rsid w:val="00DB54AF"/>
    <w:rsid w:val="00DB6A61"/>
    <w:rsid w:val="00DB7FBF"/>
    <w:rsid w:val="00DC0067"/>
    <w:rsid w:val="00DC2912"/>
    <w:rsid w:val="00DC311E"/>
    <w:rsid w:val="00DC3A7C"/>
    <w:rsid w:val="00DD701A"/>
    <w:rsid w:val="00DE3BA3"/>
    <w:rsid w:val="00DE704B"/>
    <w:rsid w:val="00DF0A6F"/>
    <w:rsid w:val="00DF13E6"/>
    <w:rsid w:val="00DF422B"/>
    <w:rsid w:val="00DF6A61"/>
    <w:rsid w:val="00E04778"/>
    <w:rsid w:val="00E06913"/>
    <w:rsid w:val="00E15F46"/>
    <w:rsid w:val="00E246EF"/>
    <w:rsid w:val="00E32AEB"/>
    <w:rsid w:val="00E3630F"/>
    <w:rsid w:val="00E378F4"/>
    <w:rsid w:val="00E40EB2"/>
    <w:rsid w:val="00E44256"/>
    <w:rsid w:val="00E637AB"/>
    <w:rsid w:val="00E678B8"/>
    <w:rsid w:val="00E71CAC"/>
    <w:rsid w:val="00E724FF"/>
    <w:rsid w:val="00E73C92"/>
    <w:rsid w:val="00E74853"/>
    <w:rsid w:val="00E7531B"/>
    <w:rsid w:val="00E8184E"/>
    <w:rsid w:val="00E84729"/>
    <w:rsid w:val="00E87DA5"/>
    <w:rsid w:val="00E908DB"/>
    <w:rsid w:val="00EA76D6"/>
    <w:rsid w:val="00EB7764"/>
    <w:rsid w:val="00EB77BA"/>
    <w:rsid w:val="00EC7FCE"/>
    <w:rsid w:val="00ED08E8"/>
    <w:rsid w:val="00ED48C3"/>
    <w:rsid w:val="00EE3AFC"/>
    <w:rsid w:val="00EF5177"/>
    <w:rsid w:val="00F03B8F"/>
    <w:rsid w:val="00F0744F"/>
    <w:rsid w:val="00F15F7F"/>
    <w:rsid w:val="00F17054"/>
    <w:rsid w:val="00F2290A"/>
    <w:rsid w:val="00F253E9"/>
    <w:rsid w:val="00F27210"/>
    <w:rsid w:val="00F36DBB"/>
    <w:rsid w:val="00F40F27"/>
    <w:rsid w:val="00F45785"/>
    <w:rsid w:val="00F45BFF"/>
    <w:rsid w:val="00F52BCC"/>
    <w:rsid w:val="00F550C7"/>
    <w:rsid w:val="00F70117"/>
    <w:rsid w:val="00F75D4D"/>
    <w:rsid w:val="00F80764"/>
    <w:rsid w:val="00F84896"/>
    <w:rsid w:val="00F9288E"/>
    <w:rsid w:val="00FA6B5E"/>
    <w:rsid w:val="00FB1409"/>
    <w:rsid w:val="00FB39F6"/>
    <w:rsid w:val="00FB6A35"/>
    <w:rsid w:val="00FC4780"/>
    <w:rsid w:val="00FC6259"/>
    <w:rsid w:val="00FD17FD"/>
    <w:rsid w:val="00FD23A7"/>
    <w:rsid w:val="00FD681B"/>
    <w:rsid w:val="00FD6A42"/>
    <w:rsid w:val="00FD6D03"/>
    <w:rsid w:val="00FE1AAB"/>
    <w:rsid w:val="00FF052E"/>
    <w:rsid w:val="00FF2BD3"/>
    <w:rsid w:val="00FF5CB7"/>
    <w:rsid w:val="00FF6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CF"/>
    <w:rPr>
      <w:sz w:val="24"/>
      <w:szCs w:val="24"/>
    </w:rPr>
  </w:style>
  <w:style w:type="paragraph" w:styleId="Heading1">
    <w:name w:val="heading 1"/>
    <w:basedOn w:val="Normal"/>
    <w:next w:val="Normal"/>
    <w:qFormat/>
    <w:rsid w:val="006108CF"/>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108CF"/>
    <w:pPr>
      <w:spacing w:before="28"/>
      <w:ind w:right="90"/>
    </w:pPr>
    <w:rPr>
      <w:sz w:val="19"/>
      <w:szCs w:val="19"/>
    </w:rPr>
  </w:style>
  <w:style w:type="paragraph" w:styleId="Header">
    <w:name w:val="header"/>
    <w:basedOn w:val="Normal"/>
    <w:link w:val="HeaderChar"/>
    <w:semiHidden/>
    <w:rsid w:val="006108CF"/>
    <w:pPr>
      <w:tabs>
        <w:tab w:val="center" w:pos="4320"/>
        <w:tab w:val="right" w:pos="8640"/>
      </w:tabs>
    </w:pPr>
  </w:style>
  <w:style w:type="paragraph" w:styleId="Footer">
    <w:name w:val="footer"/>
    <w:basedOn w:val="Normal"/>
    <w:semiHidden/>
    <w:rsid w:val="006108CF"/>
    <w:pPr>
      <w:tabs>
        <w:tab w:val="center" w:pos="4320"/>
        <w:tab w:val="right" w:pos="8640"/>
      </w:tabs>
    </w:pPr>
  </w:style>
  <w:style w:type="character" w:styleId="PageNumber">
    <w:name w:val="page number"/>
    <w:basedOn w:val="DefaultParagraphFont"/>
    <w:semiHidden/>
    <w:rsid w:val="006108CF"/>
  </w:style>
  <w:style w:type="paragraph" w:styleId="FootnoteText">
    <w:name w:val="footnote text"/>
    <w:basedOn w:val="Normal"/>
    <w:link w:val="FootnoteTextChar"/>
    <w:semiHidden/>
    <w:qFormat/>
    <w:rsid w:val="006108CF"/>
    <w:pPr>
      <w:ind w:firstLine="720"/>
    </w:pPr>
    <w:rPr>
      <w:szCs w:val="20"/>
    </w:rPr>
  </w:style>
  <w:style w:type="character" w:styleId="FootnoteReference">
    <w:name w:val="footnote reference"/>
    <w:basedOn w:val="DefaultParagraphFont"/>
    <w:rsid w:val="006108CF"/>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BodyTextIndent">
    <w:name w:val="Body Text Indent"/>
    <w:basedOn w:val="Normal"/>
    <w:link w:val="BodyTextIndentChar"/>
    <w:semiHidden/>
    <w:rsid w:val="000E432B"/>
    <w:pPr>
      <w:spacing w:line="480" w:lineRule="auto"/>
      <w:ind w:firstLine="720"/>
    </w:pPr>
  </w:style>
  <w:style w:type="character" w:customStyle="1" w:styleId="BodyTextIndentChar">
    <w:name w:val="Body Text Indent Char"/>
    <w:basedOn w:val="DefaultParagraphFont"/>
    <w:link w:val="BodyTextIndent"/>
    <w:semiHidden/>
    <w:rsid w:val="000E432B"/>
    <w:rPr>
      <w:sz w:val="24"/>
      <w:szCs w:val="24"/>
    </w:rPr>
  </w:style>
  <w:style w:type="character" w:customStyle="1" w:styleId="HeaderChar">
    <w:name w:val="Header Char"/>
    <w:basedOn w:val="DefaultParagraphFont"/>
    <w:link w:val="Header"/>
    <w:semiHidden/>
    <w:rsid w:val="00013C02"/>
    <w:rPr>
      <w:sz w:val="24"/>
      <w:szCs w:val="24"/>
    </w:rPr>
  </w:style>
  <w:style w:type="paragraph" w:customStyle="1" w:styleId="FootnoteTextJwayne">
    <w:name w:val="Footnote Text Jwayne"/>
    <w:basedOn w:val="FootnoteText"/>
    <w:link w:val="FootnoteTextJwayneChar"/>
    <w:qFormat/>
    <w:rsid w:val="00F45785"/>
  </w:style>
  <w:style w:type="character" w:customStyle="1" w:styleId="FootnoteTextJwayneChar">
    <w:name w:val="Footnote Text Jwayne Char"/>
    <w:basedOn w:val="HeaderChar"/>
    <w:link w:val="FootnoteTextJwayne"/>
    <w:rsid w:val="00F45785"/>
    <w:rPr>
      <w:lang w:val="en-US" w:eastAsia="en-US" w:bidi="ar-SA"/>
    </w:rPr>
  </w:style>
  <w:style w:type="character" w:customStyle="1" w:styleId="CharChar3">
    <w:name w:val="Char Char3"/>
    <w:basedOn w:val="DefaultParagraphFont"/>
    <w:semiHidden/>
    <w:rsid w:val="000F089D"/>
    <w:rPr>
      <w:sz w:val="24"/>
      <w:szCs w:val="24"/>
    </w:rPr>
  </w:style>
  <w:style w:type="paragraph" w:styleId="BodyTextIndent2">
    <w:name w:val="Body Text Indent 2"/>
    <w:basedOn w:val="Normal"/>
    <w:rsid w:val="005B2576"/>
    <w:pPr>
      <w:spacing w:after="120" w:line="480" w:lineRule="auto"/>
      <w:ind w:left="360"/>
    </w:pPr>
  </w:style>
  <w:style w:type="character" w:customStyle="1" w:styleId="FootnoteTextChar">
    <w:name w:val="Footnote Text Char"/>
    <w:basedOn w:val="DefaultParagraphFont"/>
    <w:link w:val="FootnoteText"/>
    <w:semiHidden/>
    <w:rsid w:val="00E7531B"/>
    <w:rPr>
      <w:sz w:val="24"/>
    </w:rPr>
  </w:style>
  <w:style w:type="table" w:styleId="TableGrid">
    <w:name w:val="Table Grid"/>
    <w:basedOn w:val="TableNormal"/>
    <w:uiPriority w:val="59"/>
    <w:rsid w:val="00B454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515070">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4925</Words>
  <Characters>25863</Characters>
  <Application>Microsoft Office Word</Application>
  <DocSecurity>0</DocSecurity>
  <Lines>215</Lines>
  <Paragraphs>61</Paragraphs>
  <ScaleCrop>false</ScaleCrop>
  <Company/>
  <LinksUpToDate>false</LinksUpToDate>
  <CharactersWithSpaces>30727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2011-04-11T19:36:00Z</dcterms:created>
  <dcterms:modified xsi:type="dcterms:W3CDTF">2011-04-11T19:36:00Z</dcterms:modified>
</cp:coreProperties>
</file>