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C196D" w:rsidRDefault="003D3B12" w:rsidP="00EC196D">
      <w:pPr>
        <w:jc w:val="right"/>
        <w:rPr>
          <w:b/>
          <w:strike/>
          <w:sz w:val="36"/>
        </w:rPr>
      </w:pPr>
    </w:p>
    <w:p w:rsidR="003D3B12" w:rsidRPr="00EC196D" w:rsidRDefault="00EC196D" w:rsidP="00EC196D">
      <w:pPr>
        <w:jc w:val="right"/>
        <w:rPr>
          <w:sz w:val="36"/>
        </w:rPr>
      </w:pPr>
      <w:r w:rsidRPr="00EC196D">
        <w:rPr>
          <w:b/>
        </w:rPr>
        <w:t>FILED JUNE 9,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836B7">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F836B7">
            <w:pPr>
              <w:rPr>
                <w:b/>
                <w:bCs/>
              </w:rPr>
            </w:pPr>
            <w:bookmarkStart w:id="1" w:name="resp"/>
            <w:bookmarkEnd w:id="1"/>
            <w:r>
              <w:rPr>
                <w:b/>
                <w:bCs/>
              </w:rPr>
              <w:t>OSCAR CRUZ PARRA</w:t>
            </w:r>
          </w:p>
          <w:p w:rsidR="003D3B12" w:rsidRDefault="003D3B12">
            <w:pPr>
              <w:rPr>
                <w:b/>
                <w:bCs/>
              </w:rPr>
            </w:pPr>
          </w:p>
          <w:p w:rsidR="003D3B12" w:rsidRDefault="003D3B12">
            <w:pPr>
              <w:rPr>
                <w:b/>
                <w:bCs/>
              </w:rPr>
            </w:pPr>
            <w:r>
              <w:rPr>
                <w:b/>
                <w:bCs/>
              </w:rPr>
              <w:t>Member No</w:t>
            </w:r>
            <w:r w:rsidR="002228A3">
              <w:rPr>
                <w:b/>
                <w:bCs/>
              </w:rPr>
              <w:t xml:space="preserve">. </w:t>
            </w:r>
            <w:bookmarkStart w:id="2" w:name="member"/>
            <w:bookmarkEnd w:id="2"/>
            <w:r w:rsidR="00F836B7">
              <w:rPr>
                <w:b/>
                <w:bCs/>
              </w:rPr>
              <w:t>59883</w:t>
            </w:r>
          </w:p>
          <w:p w:rsidR="003D3B12" w:rsidRDefault="003D3B12">
            <w:pPr>
              <w:rPr>
                <w:b/>
                <w:bCs/>
              </w:rPr>
            </w:pPr>
          </w:p>
          <w:p w:rsidR="003D3B12" w:rsidRDefault="00F836B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773B2B">
              <w:t>s</w:t>
            </w:r>
            <w:r>
              <w:t>.:</w:t>
            </w:r>
          </w:p>
        </w:tc>
        <w:tc>
          <w:tcPr>
            <w:tcW w:w="3468" w:type="dxa"/>
          </w:tcPr>
          <w:p w:rsidR="00F836B7" w:rsidRDefault="00F836B7">
            <w:pPr>
              <w:rPr>
                <w:b/>
                <w:bCs/>
              </w:rPr>
            </w:pPr>
            <w:bookmarkStart w:id="4" w:name="caseno"/>
            <w:bookmarkEnd w:id="4"/>
            <w:r>
              <w:rPr>
                <w:b/>
                <w:bCs/>
              </w:rPr>
              <w:t>08-O-14736 (09-O-12339)</w:t>
            </w:r>
          </w:p>
          <w:p w:rsidR="003D3B12" w:rsidRDefault="00F836B7">
            <w:pPr>
              <w:rPr>
                <w:b/>
                <w:bCs/>
              </w:rPr>
            </w:pPr>
            <w:r>
              <w:rPr>
                <w:b/>
                <w:bCs/>
              </w:rPr>
              <w:t>09-O-11664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F836B7">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3818C1" w:rsidRDefault="0071343E" w:rsidP="005D478E">
      <w:pPr>
        <w:widowControl w:val="0"/>
        <w:spacing w:line="480" w:lineRule="auto"/>
        <w:jc w:val="center"/>
      </w:pPr>
      <w:r>
        <w:fldChar w:fldCharType="begin"/>
      </w:r>
      <w:r w:rsidR="003818C1">
        <w:instrText xml:space="preserve"> SEQ CHAPTER \h \r 1</w:instrText>
      </w:r>
      <w:r>
        <w:fldChar w:fldCharType="end"/>
      </w:r>
      <w:r w:rsidR="003818C1">
        <w:rPr>
          <w:b/>
        </w:rPr>
        <w:t>I</w:t>
      </w:r>
      <w:r w:rsidR="005416C8">
        <w:rPr>
          <w:b/>
        </w:rPr>
        <w:t xml:space="preserve">.  </w:t>
      </w:r>
      <w:r w:rsidR="003818C1">
        <w:rPr>
          <w:b/>
          <w:u w:val="single"/>
        </w:rPr>
        <w:t>INTRODUCTION</w:t>
      </w:r>
    </w:p>
    <w:p w:rsidR="003818C1" w:rsidRDefault="00DD5ADC" w:rsidP="005D478E">
      <w:pPr>
        <w:widowControl w:val="0"/>
        <w:spacing w:line="480" w:lineRule="auto"/>
      </w:pPr>
      <w:r>
        <w:tab/>
        <w:t>In thi</w:t>
      </w:r>
      <w:r w:rsidR="001F0968">
        <w:t>s disciplinary ma</w:t>
      </w:r>
      <w:r w:rsidR="003818C1">
        <w:t xml:space="preserve">tter, </w:t>
      </w:r>
      <w:r w:rsidR="008E4B09">
        <w:t>Hugh G</w:t>
      </w:r>
      <w:r w:rsidR="002228A3">
        <w:t xml:space="preserve">. </w:t>
      </w:r>
      <w:r w:rsidR="008E4B09">
        <w:t xml:space="preserve">Radigan </w:t>
      </w:r>
      <w:r w:rsidR="003818C1">
        <w:t xml:space="preserve">appeared for the Office of the Chief Trial </w:t>
      </w:r>
      <w:r w:rsidR="00A739FF">
        <w:t>Counsel of the State Ba</w:t>
      </w:r>
      <w:r w:rsidR="003818C1">
        <w:t>r of California (State Bar)</w:t>
      </w:r>
      <w:r w:rsidR="005416C8">
        <w:t xml:space="preserve">.  </w:t>
      </w:r>
      <w:r w:rsidR="002228A3">
        <w:t>Respondent</w:t>
      </w:r>
      <w:r w:rsidR="003818C1">
        <w:t xml:space="preserve"> </w:t>
      </w:r>
      <w:r w:rsidR="006E0EEF">
        <w:t xml:space="preserve">Oscar Cruz Parra </w:t>
      </w:r>
      <w:r w:rsidR="003818C1">
        <w:t>did not appear in person or by counsel.</w:t>
      </w:r>
    </w:p>
    <w:p w:rsidR="003818C1" w:rsidRPr="00F434E6" w:rsidRDefault="003818C1" w:rsidP="005D478E">
      <w:pPr>
        <w:widowControl w:val="0"/>
        <w:spacing w:line="480" w:lineRule="auto"/>
        <w:rPr>
          <w:b/>
          <w:i/>
          <w:u w:val="single"/>
        </w:rPr>
      </w:pPr>
      <w:r>
        <w:tab/>
        <w:t xml:space="preserve">After considering the evidence and the law, the court recommends, among other things, that </w:t>
      </w:r>
      <w:r w:rsidR="00B66DBE">
        <w:t>respondent be disbarred</w:t>
      </w:r>
      <w:r w:rsidR="00434992" w:rsidRPr="00434992">
        <w:t xml:space="preserve"> </w:t>
      </w:r>
      <w:r w:rsidR="00434992">
        <w:t xml:space="preserve">and that he be ordered to make specified restitution.  </w:t>
      </w:r>
    </w:p>
    <w:p w:rsidR="003818C1" w:rsidRDefault="003818C1" w:rsidP="00B66DBE">
      <w:pPr>
        <w:widowControl w:val="0"/>
        <w:spacing w:line="480" w:lineRule="auto"/>
        <w:jc w:val="center"/>
      </w:pPr>
      <w:r>
        <w:rPr>
          <w:b/>
        </w:rPr>
        <w:t>II</w:t>
      </w:r>
      <w:proofErr w:type="gramStart"/>
      <w:r w:rsidR="005416C8">
        <w:rPr>
          <w:b/>
        </w:rPr>
        <w:t xml:space="preserve">.  </w:t>
      </w:r>
      <w:r>
        <w:rPr>
          <w:b/>
          <w:u w:val="single"/>
        </w:rPr>
        <w:t>SIGNIFICANT</w:t>
      </w:r>
      <w:proofErr w:type="gramEnd"/>
      <w:r>
        <w:rPr>
          <w:b/>
          <w:u w:val="single"/>
        </w:rPr>
        <w:t xml:space="preserve"> PROCEDURAL HISTORY</w:t>
      </w:r>
    </w:p>
    <w:p w:rsidR="00773B2B" w:rsidRDefault="00773B2B" w:rsidP="00773B2B">
      <w:pPr>
        <w:spacing w:line="480" w:lineRule="auto"/>
        <w:rPr>
          <w:b/>
          <w:bCs/>
        </w:rPr>
      </w:pPr>
      <w:r>
        <w:rPr>
          <w:b/>
          <w:bCs/>
        </w:rPr>
        <w:t>A.</w:t>
      </w:r>
      <w:r w:rsidR="00C85AA9">
        <w:rPr>
          <w:b/>
          <w:bCs/>
        </w:rPr>
        <w:t xml:space="preserve">  </w:t>
      </w:r>
      <w:r w:rsidRPr="00C85AA9">
        <w:rPr>
          <w:b/>
          <w:bCs/>
          <w:u w:val="single"/>
        </w:rPr>
        <w:t>Case nos</w:t>
      </w:r>
      <w:r w:rsidR="002228A3" w:rsidRPr="00C85AA9">
        <w:rPr>
          <w:b/>
          <w:bCs/>
          <w:u w:val="single"/>
        </w:rPr>
        <w:t xml:space="preserve">.  </w:t>
      </w:r>
      <w:r w:rsidRPr="00C85AA9">
        <w:rPr>
          <w:b/>
          <w:bCs/>
          <w:u w:val="single"/>
        </w:rPr>
        <w:t>08-O-14736 (09-O-12339)</w:t>
      </w:r>
    </w:p>
    <w:p w:rsidR="003818C1" w:rsidRDefault="003818C1" w:rsidP="00773B2B">
      <w:pPr>
        <w:widowControl w:val="0"/>
        <w:spacing w:line="480" w:lineRule="auto"/>
      </w:pPr>
      <w:r>
        <w:tab/>
        <w:t xml:space="preserve">The Notice of Disciplinary Charges (NDC) was filed on </w:t>
      </w:r>
      <w:r w:rsidR="002034B7">
        <w:t>October 6, 2009</w:t>
      </w:r>
      <w:r>
        <w:t xml:space="preserve">, and was properly served on respondent on that same date at </w:t>
      </w:r>
      <w:r w:rsidR="00EA29D7">
        <w:t>his</w:t>
      </w:r>
      <w:r>
        <w:t xml:space="preserve"> official membership records address, by </w:t>
      </w:r>
      <w:r>
        <w:lastRenderedPageBreak/>
        <w:t>certified mail, return receipt requested, as provided in Business and Professions Code section</w:t>
      </w:r>
      <w:r>
        <w:rPr>
          <w:vertAlign w:val="superscript"/>
        </w:rPr>
        <w:footnoteReference w:id="1"/>
      </w:r>
      <w:r>
        <w:t xml:space="preserve"> 6002.1, subdivision (c) (official address)</w:t>
      </w:r>
      <w:r w:rsidR="005416C8">
        <w:t xml:space="preserve">.  </w:t>
      </w:r>
      <w:r>
        <w:t>Service was deemed complete as of the time of mailing</w:t>
      </w:r>
      <w:r w:rsidR="005416C8">
        <w:t xml:space="preserve">.  </w:t>
      </w:r>
      <w:proofErr w:type="gramStart"/>
      <w:r>
        <w:t>(</w:t>
      </w:r>
      <w:r>
        <w:rPr>
          <w:i/>
        </w:rPr>
        <w:t>Lydon v</w:t>
      </w:r>
      <w:r w:rsidR="002228A3">
        <w:rPr>
          <w:i/>
        </w:rPr>
        <w:t>.</w:t>
      </w:r>
      <w:proofErr w:type="gramEnd"/>
      <w:r w:rsidR="002228A3">
        <w:rPr>
          <w:i/>
        </w:rPr>
        <w:t xml:space="preserve">  </w:t>
      </w:r>
      <w:proofErr w:type="gramStart"/>
      <w:r>
        <w:rPr>
          <w:i/>
        </w:rPr>
        <w:t>State Bar</w:t>
      </w:r>
      <w:r>
        <w:t xml:space="preserve"> (1988) 45 Cal.3d 1181, 1186.)</w:t>
      </w:r>
      <w:proofErr w:type="gramEnd"/>
      <w:r>
        <w:t xml:space="preserve"> </w:t>
      </w:r>
      <w:r w:rsidR="002034B7">
        <w:t xml:space="preserve"> The return receipt indicates that the NDC was received on October 8, 2009.</w:t>
      </w:r>
    </w:p>
    <w:p w:rsidR="003818C1" w:rsidRDefault="003818C1" w:rsidP="005D478E">
      <w:pPr>
        <w:widowControl w:val="0"/>
        <w:spacing w:line="480" w:lineRule="auto"/>
      </w:pPr>
      <w:r>
        <w:tab/>
      </w:r>
      <w:r w:rsidR="00DB50BB">
        <w:t xml:space="preserve">On </w:t>
      </w:r>
      <w:r w:rsidR="002034B7">
        <w:t>October 14, 2009</w:t>
      </w:r>
      <w:r>
        <w:t xml:space="preserve">, respondent was properly served at </w:t>
      </w:r>
      <w:r w:rsidR="00EA29D7">
        <w:t>his</w:t>
      </w:r>
      <w:r>
        <w:t xml:space="preserve"> official address with a notice advising </w:t>
      </w:r>
      <w:r w:rsidR="00EA29D7">
        <w:t>him</w:t>
      </w:r>
      <w:r>
        <w:t>, among other things, that a status conference would be held on</w:t>
      </w:r>
      <w:r w:rsidR="002034B7">
        <w:t xml:space="preserve"> November 16, 2009.</w:t>
      </w:r>
      <w:r w:rsidR="0073737A">
        <w:rPr>
          <w:rStyle w:val="FootnoteReference"/>
        </w:rPr>
        <w:footnoteReference w:id="2"/>
      </w:r>
    </w:p>
    <w:p w:rsidR="00773B2B" w:rsidRDefault="00773B2B" w:rsidP="005D478E">
      <w:pPr>
        <w:widowControl w:val="0"/>
        <w:spacing w:line="480" w:lineRule="auto"/>
      </w:pPr>
      <w:r>
        <w:rPr>
          <w:b/>
          <w:bCs/>
        </w:rPr>
        <w:t>B.</w:t>
      </w:r>
      <w:r w:rsidR="00C85AA9">
        <w:rPr>
          <w:b/>
          <w:bCs/>
        </w:rPr>
        <w:t xml:space="preserve">  </w:t>
      </w:r>
      <w:r w:rsidRPr="00C85AA9">
        <w:rPr>
          <w:b/>
          <w:bCs/>
          <w:u w:val="single"/>
        </w:rPr>
        <w:t>Case no</w:t>
      </w:r>
      <w:r w:rsidR="002228A3" w:rsidRPr="00C85AA9">
        <w:rPr>
          <w:b/>
          <w:bCs/>
          <w:u w:val="single"/>
        </w:rPr>
        <w:t xml:space="preserve">.  </w:t>
      </w:r>
      <w:r w:rsidRPr="00C85AA9">
        <w:rPr>
          <w:b/>
          <w:bCs/>
          <w:u w:val="single"/>
        </w:rPr>
        <w:t>09-O-11664</w:t>
      </w:r>
    </w:p>
    <w:p w:rsidR="00773B2B" w:rsidRDefault="00773B2B" w:rsidP="00773B2B">
      <w:pPr>
        <w:widowControl w:val="0"/>
        <w:spacing w:line="480" w:lineRule="auto"/>
      </w:pPr>
      <w:r>
        <w:tab/>
        <w:t xml:space="preserve">The NDC was filed on </w:t>
      </w:r>
      <w:r w:rsidR="002B2335">
        <w:t>October 14, 2009</w:t>
      </w:r>
      <w:r>
        <w:t xml:space="preserve">, and was properly served on respondent on that same date at </w:t>
      </w:r>
      <w:r w:rsidR="00EA29D7">
        <w:t>his</w:t>
      </w:r>
      <w:r>
        <w:t xml:space="preserve"> official address, by certified </w:t>
      </w:r>
      <w:r w:rsidR="00093F83">
        <w:t>mail, return receipt requested.</w:t>
      </w:r>
      <w:r w:rsidR="002B2335">
        <w:t xml:space="preserve">  The return receipt indicates that the NDC was received on October 16, 2009.</w:t>
      </w:r>
    </w:p>
    <w:p w:rsidR="00773B2B" w:rsidRDefault="00773B2B" w:rsidP="00773B2B">
      <w:pPr>
        <w:widowControl w:val="0"/>
        <w:spacing w:line="480" w:lineRule="auto"/>
      </w:pPr>
      <w:r>
        <w:tab/>
      </w:r>
      <w:r w:rsidR="00DB50BB">
        <w:t xml:space="preserve">On </w:t>
      </w:r>
      <w:r w:rsidR="002B2335">
        <w:t>October 22, 2009</w:t>
      </w:r>
      <w:r>
        <w:t xml:space="preserve">, respondent was properly served at </w:t>
      </w:r>
      <w:r w:rsidR="00EA29D7">
        <w:t>his</w:t>
      </w:r>
      <w:r>
        <w:t xml:space="preserve"> official address with a notice advising </w:t>
      </w:r>
      <w:r w:rsidR="00EA29D7">
        <w:t>him</w:t>
      </w:r>
      <w:r>
        <w:t>, among other things, that a status conference would be held on</w:t>
      </w:r>
      <w:r w:rsidR="002B2335">
        <w:t xml:space="preserve"> November 30, 2009.</w:t>
      </w:r>
    </w:p>
    <w:p w:rsidR="00773B2B" w:rsidRDefault="00AB1F18" w:rsidP="00773B2B">
      <w:pPr>
        <w:widowControl w:val="0"/>
        <w:spacing w:line="480" w:lineRule="auto"/>
      </w:pPr>
      <w:r>
        <w:rPr>
          <w:b/>
        </w:rPr>
        <w:t>C.</w:t>
      </w:r>
      <w:r w:rsidR="00C85AA9">
        <w:rPr>
          <w:b/>
        </w:rPr>
        <w:t xml:space="preserve">  </w:t>
      </w:r>
      <w:r w:rsidR="00C85AA9">
        <w:rPr>
          <w:b/>
          <w:u w:val="single"/>
        </w:rPr>
        <w:t>Both C</w:t>
      </w:r>
      <w:r w:rsidRPr="00C85AA9">
        <w:rPr>
          <w:b/>
          <w:u w:val="single"/>
        </w:rPr>
        <w:t>ases</w:t>
      </w:r>
      <w:r w:rsidR="00773B2B">
        <w:t xml:space="preserve">        </w:t>
      </w:r>
    </w:p>
    <w:p w:rsidR="000A5429" w:rsidRDefault="000A5429" w:rsidP="000A5429">
      <w:pPr>
        <w:widowControl w:val="0"/>
        <w:spacing w:line="480" w:lineRule="auto"/>
      </w:pPr>
      <w:r>
        <w:tab/>
        <w:t>Respondent did not appear at the November 16, 2009 status conference.  On November 18, 2009, he was properly served with a status conference order at his official address by first-class mail, postage prepaid.  The order indicated, among other things, that the cases had been consolidated and that the November 30, 2009 status conference date was vacated.</w:t>
      </w:r>
    </w:p>
    <w:p w:rsidR="00773B2B" w:rsidRDefault="00773B2B" w:rsidP="00773B2B">
      <w:pPr>
        <w:widowControl w:val="0"/>
        <w:spacing w:line="480" w:lineRule="auto"/>
      </w:pPr>
      <w:r>
        <w:t xml:space="preserve">         </w:t>
      </w:r>
      <w:r w:rsidR="001C287A">
        <w:t>R</w:t>
      </w:r>
      <w:r w:rsidR="002228A3">
        <w:t>espondent</w:t>
      </w:r>
      <w:r>
        <w:t xml:space="preserve"> did not file a responsive pleading to the NDC</w:t>
      </w:r>
      <w:r w:rsidR="00D2761A">
        <w:t>s</w:t>
      </w:r>
      <w:r w:rsidR="005416C8">
        <w:t xml:space="preserve">.  </w:t>
      </w:r>
      <w:r w:rsidR="00DB50BB">
        <w:t xml:space="preserve">On </w:t>
      </w:r>
      <w:r w:rsidR="004C43B4">
        <w:t>January 21, 2010</w:t>
      </w:r>
      <w:r>
        <w:t>, a motion for entry of default was filed</w:t>
      </w:r>
      <w:r w:rsidR="004C43B4">
        <w:t>.  It had been properly served</w:t>
      </w:r>
      <w:r>
        <w:t xml:space="preserve"> on </w:t>
      </w:r>
      <w:r w:rsidR="004C43B4">
        <w:t>him</w:t>
      </w:r>
      <w:r>
        <w:t xml:space="preserve"> at </w:t>
      </w:r>
      <w:r w:rsidR="00EA29D7">
        <w:t>his</w:t>
      </w:r>
      <w:r>
        <w:t xml:space="preserve"> official address by certified mail, return receipt requested</w:t>
      </w:r>
      <w:r w:rsidR="004C43B4">
        <w:t xml:space="preserve"> on January 19, 2010</w:t>
      </w:r>
      <w:r w:rsidR="001C287A">
        <w:t xml:space="preserve">.  </w:t>
      </w:r>
      <w:r>
        <w:t xml:space="preserve">The motion advised </w:t>
      </w:r>
      <w:r w:rsidR="00EA29D7">
        <w:t>him</w:t>
      </w:r>
      <w:r>
        <w:t xml:space="preserve"> that </w:t>
      </w:r>
      <w:r>
        <w:lastRenderedPageBreak/>
        <w:t xml:space="preserve">minimum discipline of </w:t>
      </w:r>
      <w:r w:rsidR="004C43B4">
        <w:t>disbarment or significant actual suspension</w:t>
      </w:r>
      <w:r>
        <w:t xml:space="preserve"> would be sought if </w:t>
      </w:r>
      <w:r w:rsidR="00EA29D7">
        <w:t>he</w:t>
      </w:r>
      <w:r>
        <w:t xml:space="preserve"> was found culpable</w:t>
      </w:r>
      <w:r w:rsidR="005416C8">
        <w:t xml:space="preserve">.  </w:t>
      </w:r>
      <w:r w:rsidR="002228A3">
        <w:t>Respondent</w:t>
      </w:r>
      <w:r>
        <w:t xml:space="preserve"> did not respond to the motion</w:t>
      </w:r>
      <w:r w:rsidR="002228A3">
        <w:t xml:space="preserve">.  </w:t>
      </w:r>
    </w:p>
    <w:p w:rsidR="00773B2B" w:rsidRDefault="00773B2B" w:rsidP="00773B2B">
      <w:pPr>
        <w:widowControl w:val="0"/>
        <w:spacing w:line="480" w:lineRule="auto"/>
      </w:pPr>
      <w:r>
        <w:tab/>
      </w:r>
      <w:r w:rsidR="00DB50BB">
        <w:t xml:space="preserve">On </w:t>
      </w:r>
      <w:r w:rsidR="001F19C3">
        <w:t>February 18, 2010</w:t>
      </w:r>
      <w:r>
        <w:t xml:space="preserve">, the court entered respondent’s default and enrolled </w:t>
      </w:r>
      <w:r w:rsidR="00EA29D7">
        <w:t>him</w:t>
      </w:r>
      <w:r>
        <w:t xml:space="preserve"> inactive effective three days after service of the order</w:t>
      </w:r>
      <w:r w:rsidR="005416C8">
        <w:t xml:space="preserve">.  </w:t>
      </w:r>
      <w:r>
        <w:t xml:space="preserve">The order was filed and properly served on </w:t>
      </w:r>
      <w:r w:rsidR="00EA29D7">
        <w:t>him</w:t>
      </w:r>
      <w:r>
        <w:t xml:space="preserve"> at </w:t>
      </w:r>
      <w:r w:rsidR="00EA29D7">
        <w:t>his</w:t>
      </w:r>
      <w:r>
        <w:t xml:space="preserve"> official address on that same date by certified mail, return receipt requested</w:t>
      </w:r>
      <w:r w:rsidR="002228A3">
        <w:t xml:space="preserve">. </w:t>
      </w:r>
      <w:r w:rsidR="001F19C3">
        <w:t xml:space="preserve"> The return receipt, signed by “Sari Cantero,” indicates the order was received on February 22, 2010.</w:t>
      </w:r>
      <w:r w:rsidR="002228A3">
        <w:t xml:space="preserve"> </w:t>
      </w:r>
    </w:p>
    <w:p w:rsidR="003818C1" w:rsidRDefault="003818C1" w:rsidP="005D478E">
      <w:pPr>
        <w:widowControl w:val="0"/>
        <w:spacing w:line="480" w:lineRule="auto"/>
      </w:pPr>
      <w:r>
        <w:tab/>
        <w:t>The State Bar’s and the court’s efforts to contact respondent were fruitless</w:t>
      </w:r>
      <w:r w:rsidR="005416C8">
        <w:t xml:space="preserve">.  </w:t>
      </w:r>
      <w:r>
        <w:t>The court concludes that respondent was given sufficient notice of the pendency of this proceeding, including notice by certified mail and by regular mail, to satisfy the requirements of due process</w:t>
      </w:r>
      <w:r w:rsidR="005416C8">
        <w:t xml:space="preserve">.  </w:t>
      </w:r>
      <w:proofErr w:type="gramStart"/>
      <w:r>
        <w:t>(</w:t>
      </w:r>
      <w:r>
        <w:rPr>
          <w:i/>
        </w:rPr>
        <w:t>Jones v</w:t>
      </w:r>
      <w:r w:rsidR="002228A3">
        <w:rPr>
          <w:i/>
        </w:rPr>
        <w:t xml:space="preserve">. </w:t>
      </w:r>
      <w:r>
        <w:rPr>
          <w:i/>
        </w:rPr>
        <w:t>Flowers, et al</w:t>
      </w:r>
      <w:r w:rsidR="002228A3">
        <w:rPr>
          <w:i/>
        </w:rPr>
        <w:t xml:space="preserve">. </w:t>
      </w:r>
      <w:r>
        <w:t>(2006</w:t>
      </w:r>
      <w:r w:rsidR="007F7302">
        <w:t>)</w:t>
      </w:r>
      <w:r>
        <w:t xml:space="preserve"> 547 U.S</w:t>
      </w:r>
      <w:r w:rsidR="002228A3">
        <w:t xml:space="preserve">. </w:t>
      </w:r>
      <w:r>
        <w:t>220, 126 S.Ct</w:t>
      </w:r>
      <w:r w:rsidR="002228A3">
        <w:t xml:space="preserve">. </w:t>
      </w:r>
      <w:r>
        <w:t>1708, 164 L.Ed.2d 415.)</w:t>
      </w:r>
      <w:proofErr w:type="gramEnd"/>
    </w:p>
    <w:p w:rsidR="003818C1" w:rsidRDefault="003818C1" w:rsidP="005D478E">
      <w:pPr>
        <w:widowControl w:val="0"/>
        <w:spacing w:line="480" w:lineRule="auto"/>
      </w:pPr>
      <w:r>
        <w:tab/>
        <w:t xml:space="preserve">The matter was submitted for decision without hearing </w:t>
      </w:r>
      <w:r w:rsidR="00553C44">
        <w:t>on March 15, 2010.  T</w:t>
      </w:r>
      <w:r>
        <w:t xml:space="preserve">he State Bar </w:t>
      </w:r>
      <w:r w:rsidR="00553C44">
        <w:t>properly served a</w:t>
      </w:r>
      <w:r>
        <w:t xml:space="preserve"> brief on </w:t>
      </w:r>
      <w:r w:rsidR="00553C44">
        <w:t xml:space="preserve">respondent at his official address on Friday, March 12, 2010.  The brief, however, was not filed until Tuesday, March 16, 2010, at the </w:t>
      </w:r>
      <w:r w:rsidR="00553C44" w:rsidRPr="007C16EF">
        <w:rPr>
          <w:rFonts w:eastAsiaTheme="minorEastAsia"/>
        </w:rPr>
        <w:t>San Francisco</w:t>
      </w:r>
      <w:r w:rsidR="00553C44">
        <w:t xml:space="preserve"> office of the </w:t>
      </w:r>
      <w:r w:rsidR="00553C44" w:rsidRPr="005329BD">
        <w:rPr>
          <w:rFonts w:eastAsiaTheme="minorEastAsia"/>
        </w:rPr>
        <w:t>State Bar Court</w:t>
      </w:r>
      <w:r w:rsidR="00553C44">
        <w:t xml:space="preserve">.  Accordingly, the court, on its own motion, </w:t>
      </w:r>
      <w:r w:rsidR="00FA75EC">
        <w:t>vacates the March 15 submission date.  The matter stands submitted as of March 16, 2010.</w:t>
      </w:r>
    </w:p>
    <w:p w:rsidR="003818C1" w:rsidRDefault="003818C1" w:rsidP="005D478E">
      <w:pPr>
        <w:widowControl w:val="0"/>
        <w:spacing w:line="480" w:lineRule="auto"/>
        <w:jc w:val="center"/>
      </w:pPr>
      <w:r>
        <w:rPr>
          <w:b/>
        </w:rPr>
        <w:t>III</w:t>
      </w:r>
      <w:proofErr w:type="gramStart"/>
      <w:r w:rsidR="005416C8">
        <w:rPr>
          <w:b/>
        </w:rPr>
        <w:t xml:space="preserve">.  </w:t>
      </w:r>
      <w:r>
        <w:rPr>
          <w:b/>
          <w:u w:val="single"/>
        </w:rPr>
        <w:t>FINDINGS</w:t>
      </w:r>
      <w:proofErr w:type="gramEnd"/>
      <w:r>
        <w:rPr>
          <w:b/>
          <w:u w:val="single"/>
        </w:rPr>
        <w:t xml:space="preserve"> OF FACT AND CONCLUSIONS OF LAW</w:t>
      </w:r>
    </w:p>
    <w:p w:rsidR="003818C1" w:rsidRDefault="003818C1" w:rsidP="005D478E">
      <w:pPr>
        <w:widowControl w:val="0"/>
        <w:spacing w:line="480" w:lineRule="auto"/>
      </w:pPr>
      <w:r>
        <w:tab/>
        <w:t>The court's findings are based on the allegations contained in the NDC as they are deemed admitted and no further proof is required to establish the truth of those allegations</w:t>
      </w:r>
      <w:r w:rsidR="005416C8">
        <w:t xml:space="preserve">.  </w:t>
      </w:r>
      <w:r>
        <w:t>(§6088; Rules of Proc</w:t>
      </w:r>
      <w:r w:rsidR="002228A3">
        <w:t xml:space="preserve">. </w:t>
      </w:r>
      <w:r>
        <w:t>of State Bar</w:t>
      </w:r>
      <w:r>
        <w:rPr>
          <w:vertAlign w:val="superscript"/>
        </w:rPr>
        <w:footnoteReference w:id="3"/>
      </w:r>
      <w:r>
        <w:t>, rule 200(d</w:t>
      </w:r>
      <w:proofErr w:type="gramStart"/>
      <w:r>
        <w:t>)(</w:t>
      </w:r>
      <w:proofErr w:type="gramEnd"/>
      <w:r>
        <w:t>1)(A).)  The findings are also based on any evidence admitted.</w:t>
      </w:r>
    </w:p>
    <w:p w:rsidR="003818C1" w:rsidRDefault="003818C1" w:rsidP="005D478E">
      <w:pPr>
        <w:widowControl w:val="0"/>
        <w:spacing w:line="480" w:lineRule="auto"/>
      </w:pPr>
      <w:r>
        <w:tab/>
        <w:t>It is the prosecution's burden to establish culpability of the charges by clear and convincing evidence</w:t>
      </w:r>
      <w:r w:rsidR="005416C8">
        <w:t xml:space="preserve">.  </w:t>
      </w:r>
      <w:proofErr w:type="gramStart"/>
      <w:r>
        <w:t>(</w:t>
      </w:r>
      <w:r>
        <w:rPr>
          <w:i/>
        </w:rPr>
        <w:t>In the Matter of Glasser</w:t>
      </w:r>
      <w:r>
        <w:t xml:space="preserve"> (Review </w:t>
      </w:r>
      <w:r w:rsidR="001E2B33">
        <w:t xml:space="preserve">Dept. </w:t>
      </w:r>
      <w:r>
        <w:t xml:space="preserve">1990) 1 </w:t>
      </w:r>
      <w:r w:rsidR="00EF5D6A">
        <w:t xml:space="preserve">Cal. State Bar Ct. </w:t>
      </w:r>
      <w:r w:rsidR="009D74C7">
        <w:t>Rptr. 163</w:t>
      </w:r>
      <w:r>
        <w:t>, 171.)</w:t>
      </w:r>
      <w:proofErr w:type="gramEnd"/>
      <w:r>
        <w:tab/>
        <w:t xml:space="preserve"> </w:t>
      </w:r>
    </w:p>
    <w:p w:rsidR="003818C1" w:rsidRDefault="003818C1" w:rsidP="005D478E">
      <w:pPr>
        <w:widowControl w:val="0"/>
        <w:spacing w:line="480" w:lineRule="auto"/>
      </w:pPr>
      <w:r>
        <w:rPr>
          <w:b/>
        </w:rPr>
        <w:lastRenderedPageBreak/>
        <w:t>A</w:t>
      </w:r>
      <w:r w:rsidR="005416C8">
        <w:rPr>
          <w:b/>
        </w:rPr>
        <w:t xml:space="preserve">.  </w:t>
      </w:r>
      <w:r>
        <w:rPr>
          <w:b/>
          <w:u w:val="single"/>
        </w:rPr>
        <w:t>Jurisdiction</w:t>
      </w:r>
    </w:p>
    <w:p w:rsidR="003818C1" w:rsidRDefault="003818C1" w:rsidP="005D478E">
      <w:pPr>
        <w:widowControl w:val="0"/>
        <w:spacing w:line="480" w:lineRule="auto"/>
      </w:pPr>
      <w:r>
        <w:tab/>
      </w:r>
      <w:r w:rsidR="006B1F14">
        <w:t>R</w:t>
      </w:r>
      <w:r w:rsidR="002228A3">
        <w:t>espondent</w:t>
      </w:r>
      <w:r>
        <w:t xml:space="preserve"> was admitted to the practice of law in California on</w:t>
      </w:r>
      <w:r w:rsidR="00CB0947">
        <w:t xml:space="preserve"> June 18, 1974</w:t>
      </w:r>
      <w:r>
        <w:t>, and has been a member of the State Bar at all times since.</w:t>
      </w:r>
    </w:p>
    <w:p w:rsidR="003818C1" w:rsidRDefault="003818C1" w:rsidP="005D478E">
      <w:pPr>
        <w:widowControl w:val="0"/>
        <w:spacing w:line="480" w:lineRule="auto"/>
      </w:pPr>
      <w:r>
        <w:rPr>
          <w:b/>
        </w:rPr>
        <w:t>B</w:t>
      </w:r>
      <w:r w:rsidR="005416C8">
        <w:rPr>
          <w:b/>
        </w:rPr>
        <w:t xml:space="preserve">.  </w:t>
      </w:r>
      <w:r>
        <w:rPr>
          <w:b/>
          <w:u w:val="single"/>
        </w:rPr>
        <w:t>Case no</w:t>
      </w:r>
      <w:r w:rsidR="002228A3">
        <w:rPr>
          <w:b/>
          <w:u w:val="single"/>
        </w:rPr>
        <w:t xml:space="preserve">.  </w:t>
      </w:r>
      <w:r w:rsidR="00811FDD">
        <w:rPr>
          <w:b/>
          <w:u w:val="single"/>
        </w:rPr>
        <w:t>08-O-</w:t>
      </w:r>
      <w:proofErr w:type="gramStart"/>
      <w:r w:rsidR="00811FDD">
        <w:rPr>
          <w:b/>
          <w:u w:val="single"/>
        </w:rPr>
        <w:t>14736</w:t>
      </w:r>
      <w:r>
        <w:rPr>
          <w:b/>
          <w:u w:val="single"/>
        </w:rPr>
        <w:t xml:space="preserve">  (</w:t>
      </w:r>
      <w:proofErr w:type="gramEnd"/>
      <w:r>
        <w:rPr>
          <w:b/>
          <w:u w:val="single"/>
        </w:rPr>
        <w:t xml:space="preserve">The </w:t>
      </w:r>
      <w:r w:rsidR="00B9409E">
        <w:rPr>
          <w:b/>
          <w:u w:val="single"/>
        </w:rPr>
        <w:t>Ceballos Estate</w:t>
      </w:r>
      <w:r w:rsidR="009540C5">
        <w:rPr>
          <w:b/>
          <w:u w:val="single"/>
        </w:rPr>
        <w:t xml:space="preserve"> </w:t>
      </w:r>
      <w:r>
        <w:rPr>
          <w:b/>
          <w:u w:val="single"/>
        </w:rPr>
        <w:t>Matter)</w:t>
      </w:r>
      <w:r>
        <w:rPr>
          <w:b/>
        </w:rPr>
        <w:t xml:space="preserve">  </w:t>
      </w:r>
    </w:p>
    <w:p w:rsidR="003818C1" w:rsidRDefault="003818C1" w:rsidP="005D478E">
      <w:pPr>
        <w:widowControl w:val="0"/>
        <w:spacing w:line="480" w:lineRule="auto"/>
      </w:pPr>
      <w:r>
        <w:rPr>
          <w:b/>
        </w:rPr>
        <w:tab/>
        <w:t>1</w:t>
      </w:r>
      <w:r w:rsidR="005416C8">
        <w:rPr>
          <w:b/>
        </w:rPr>
        <w:t xml:space="preserve">.  </w:t>
      </w:r>
      <w:r>
        <w:rPr>
          <w:b/>
          <w:u w:val="single"/>
        </w:rPr>
        <w:t>Facts</w:t>
      </w:r>
    </w:p>
    <w:p w:rsidR="00064DFB" w:rsidRDefault="0015301C" w:rsidP="00064DFB">
      <w:pPr>
        <w:spacing w:line="480" w:lineRule="auto"/>
        <w:rPr>
          <w:color w:val="000000"/>
        </w:rPr>
      </w:pPr>
      <w:r>
        <w:rPr>
          <w:color w:val="000000"/>
        </w:rPr>
        <w:tab/>
      </w:r>
      <w:r w:rsidR="00C85080">
        <w:rPr>
          <w:color w:val="000000"/>
        </w:rPr>
        <w:t xml:space="preserve">On January 30, 2001, </w:t>
      </w:r>
      <w:r w:rsidR="002228A3">
        <w:rPr>
          <w:color w:val="000000"/>
        </w:rPr>
        <w:t>respondent</w:t>
      </w:r>
      <w:r w:rsidR="00C85080">
        <w:rPr>
          <w:color w:val="000000"/>
        </w:rPr>
        <w:t xml:space="preserve"> filed a petition for probate in the </w:t>
      </w:r>
      <w:r w:rsidR="00064DFB">
        <w:rPr>
          <w:color w:val="000000"/>
        </w:rPr>
        <w:t xml:space="preserve">matter </w:t>
      </w:r>
      <w:r w:rsidR="00C85080">
        <w:rPr>
          <w:color w:val="000000"/>
        </w:rPr>
        <w:t xml:space="preserve">entitled </w:t>
      </w:r>
      <w:r w:rsidR="00C85080" w:rsidRPr="00064DFB">
        <w:rPr>
          <w:i/>
          <w:color w:val="000000"/>
        </w:rPr>
        <w:t>In the Matter of the Estate of Mary Louise Ceballos</w:t>
      </w:r>
      <w:r w:rsidR="00064DFB">
        <w:rPr>
          <w:color w:val="000000"/>
        </w:rPr>
        <w:t>.  (Los Angeles County Superior Court,</w:t>
      </w:r>
      <w:r w:rsidR="00C85080">
        <w:rPr>
          <w:color w:val="000000"/>
        </w:rPr>
        <w:t xml:space="preserve"> case number BP065872</w:t>
      </w:r>
      <w:r w:rsidR="00064DFB">
        <w:rPr>
          <w:color w:val="000000"/>
        </w:rPr>
        <w:t xml:space="preserve">.) </w:t>
      </w:r>
      <w:r w:rsidR="00C85080">
        <w:rPr>
          <w:color w:val="000000"/>
        </w:rPr>
        <w:t xml:space="preserve"> </w:t>
      </w:r>
      <w:r w:rsidR="00064DFB">
        <w:rPr>
          <w:color w:val="000000"/>
        </w:rPr>
        <w:t>H</w:t>
      </w:r>
      <w:r>
        <w:rPr>
          <w:color w:val="000000"/>
        </w:rPr>
        <w:t>is client, Karen Blanco</w:t>
      </w:r>
      <w:r w:rsidR="00C85080">
        <w:rPr>
          <w:color w:val="000000"/>
        </w:rPr>
        <w:t xml:space="preserve">, </w:t>
      </w:r>
      <w:r w:rsidR="00064DFB">
        <w:rPr>
          <w:color w:val="000000"/>
        </w:rPr>
        <w:t xml:space="preserve">was </w:t>
      </w:r>
      <w:r w:rsidR="00C85080">
        <w:rPr>
          <w:color w:val="000000"/>
        </w:rPr>
        <w:t>the administrator for the estate</w:t>
      </w:r>
      <w:r w:rsidR="00064DFB">
        <w:rPr>
          <w:color w:val="000000"/>
        </w:rPr>
        <w:t xml:space="preserve">.  </w:t>
      </w:r>
      <w:r w:rsidR="00C85080">
        <w:rPr>
          <w:color w:val="000000"/>
        </w:rPr>
        <w:t xml:space="preserve"> </w:t>
      </w:r>
    </w:p>
    <w:p w:rsidR="00C85080" w:rsidRDefault="00064DFB" w:rsidP="00C85080">
      <w:pPr>
        <w:spacing w:line="480" w:lineRule="auto"/>
      </w:pPr>
      <w:r>
        <w:rPr>
          <w:color w:val="000000"/>
        </w:rPr>
        <w:tab/>
      </w:r>
      <w:r w:rsidR="00C85080">
        <w:rPr>
          <w:color w:val="000000"/>
        </w:rPr>
        <w:t xml:space="preserve">In early 2003, </w:t>
      </w:r>
      <w:r w:rsidR="002228A3">
        <w:rPr>
          <w:color w:val="000000"/>
        </w:rPr>
        <w:t>respondent</w:t>
      </w:r>
      <w:r w:rsidR="00C85080">
        <w:rPr>
          <w:color w:val="000000"/>
        </w:rPr>
        <w:t xml:space="preserve"> informed Blanco that he could not locate two heirs of the estate, Joan and Dale Laskey</w:t>
      </w:r>
      <w:r w:rsidR="00FD56A3">
        <w:rPr>
          <w:color w:val="000000"/>
        </w:rPr>
        <w:t>.  Respondent</w:t>
      </w:r>
      <w:r w:rsidR="00C85080">
        <w:rPr>
          <w:color w:val="000000"/>
        </w:rPr>
        <w:t xml:space="preserve"> instructed Blanco to transfer $80,369</w:t>
      </w:r>
      <w:r w:rsidR="002228A3">
        <w:rPr>
          <w:color w:val="000000"/>
        </w:rPr>
        <w:t>.</w:t>
      </w:r>
      <w:r w:rsidR="00C85080">
        <w:rPr>
          <w:color w:val="000000"/>
        </w:rPr>
        <w:t>82 from the estate's accounts (to which Blanco was the sole signatory) into his client trust account, while he tried to locate the Laskeys</w:t>
      </w:r>
      <w:r w:rsidR="002228A3">
        <w:rPr>
          <w:color w:val="000000"/>
        </w:rPr>
        <w:t xml:space="preserve">.  </w:t>
      </w:r>
      <w:r w:rsidR="00C85080">
        <w:rPr>
          <w:color w:val="000000"/>
        </w:rPr>
        <w:t xml:space="preserve">Blanco </w:t>
      </w:r>
      <w:r>
        <w:rPr>
          <w:color w:val="000000"/>
        </w:rPr>
        <w:t>did so.</w:t>
      </w:r>
      <w:r w:rsidR="002228A3">
        <w:rPr>
          <w:color w:val="000000"/>
        </w:rPr>
        <w:t xml:space="preserve">  </w:t>
      </w:r>
      <w:r w:rsidR="00C85080">
        <w:rPr>
          <w:color w:val="000000"/>
        </w:rPr>
        <w:t xml:space="preserve">The court had not issued any order that the $80,369.82 be removed from the estate's accounts as </w:t>
      </w:r>
      <w:r w:rsidR="002228A3">
        <w:rPr>
          <w:color w:val="000000"/>
        </w:rPr>
        <w:t>respondent</w:t>
      </w:r>
      <w:r w:rsidR="00C85080">
        <w:rPr>
          <w:color w:val="000000"/>
        </w:rPr>
        <w:t xml:space="preserve"> instructed.</w:t>
      </w:r>
    </w:p>
    <w:p w:rsidR="00C414C0" w:rsidRDefault="00064DFB" w:rsidP="00C414C0">
      <w:pPr>
        <w:spacing w:line="480" w:lineRule="auto"/>
      </w:pPr>
      <w:r>
        <w:rPr>
          <w:color w:val="000000"/>
        </w:rPr>
        <w:tab/>
      </w:r>
      <w:r w:rsidR="00C85080">
        <w:rPr>
          <w:color w:val="000000"/>
        </w:rPr>
        <w:t xml:space="preserve">On March 3, 2003, </w:t>
      </w:r>
      <w:r w:rsidR="002228A3">
        <w:rPr>
          <w:color w:val="000000"/>
        </w:rPr>
        <w:t>respondent</w:t>
      </w:r>
      <w:r w:rsidR="00C85080">
        <w:rPr>
          <w:color w:val="000000"/>
        </w:rPr>
        <w:t xml:space="preserve"> deposited the $80,369.82 check into his client trust account (CTA).  </w:t>
      </w:r>
      <w:r>
        <w:rPr>
          <w:color w:val="000000"/>
        </w:rPr>
        <w:t>Before</w:t>
      </w:r>
      <w:r w:rsidR="00C85080">
        <w:rPr>
          <w:color w:val="000000"/>
        </w:rPr>
        <w:t xml:space="preserve"> the deposit, the balance in the CTA was $2,378.56 and</w:t>
      </w:r>
      <w:r>
        <w:rPr>
          <w:color w:val="000000"/>
        </w:rPr>
        <w:t>,</w:t>
      </w:r>
      <w:r w:rsidR="00C85080">
        <w:rPr>
          <w:color w:val="000000"/>
        </w:rPr>
        <w:t xml:space="preserve"> after</w:t>
      </w:r>
      <w:r>
        <w:rPr>
          <w:color w:val="000000"/>
        </w:rPr>
        <w:t>,</w:t>
      </w:r>
      <w:r w:rsidR="00C85080">
        <w:rPr>
          <w:color w:val="000000"/>
        </w:rPr>
        <w:t xml:space="preserve"> </w:t>
      </w:r>
      <w:r>
        <w:rPr>
          <w:color w:val="000000"/>
        </w:rPr>
        <w:t>it</w:t>
      </w:r>
      <w:r w:rsidR="00C85080">
        <w:rPr>
          <w:color w:val="000000"/>
        </w:rPr>
        <w:t xml:space="preserve"> was $82,748.38</w:t>
      </w:r>
      <w:r w:rsidR="002228A3">
        <w:rPr>
          <w:color w:val="000000"/>
        </w:rPr>
        <w:t xml:space="preserve">.  </w:t>
      </w:r>
      <w:r w:rsidR="00C85080">
        <w:rPr>
          <w:color w:val="000000"/>
        </w:rPr>
        <w:t>None of the $2,378.56 already on deposit was related to the estate.</w:t>
      </w:r>
    </w:p>
    <w:p w:rsidR="009E7D18" w:rsidRDefault="00C414C0" w:rsidP="009E7D18">
      <w:pPr>
        <w:spacing w:line="480" w:lineRule="auto"/>
      </w:pPr>
      <w:r>
        <w:tab/>
      </w:r>
      <w:r w:rsidR="00C85080">
        <w:rPr>
          <w:color w:val="000000"/>
        </w:rPr>
        <w:t>On March 10, 2003, the court issued an order that the estate assets of $212,199.43 be distributed as follows:</w:t>
      </w:r>
      <w:r>
        <w:rPr>
          <w:color w:val="000000"/>
        </w:rPr>
        <w:t xml:space="preserve">  $ 5,737.44 each to Karen Blanco and to respondent; </w:t>
      </w:r>
      <w:r w:rsidR="00E906EC">
        <w:rPr>
          <w:color w:val="000000"/>
        </w:rPr>
        <w:t>$40,184.91 each to Charles Ceballos, Yolanda Ceballos, Joan Laskey and Dale Laskey;</w:t>
      </w:r>
      <w:r w:rsidR="00257769">
        <w:rPr>
          <w:color w:val="000000"/>
        </w:rPr>
        <w:t xml:space="preserve"> $26,803.33 to Ronald Ceballos; and </w:t>
      </w:r>
      <w:r w:rsidR="009E7D18">
        <w:rPr>
          <w:color w:val="000000"/>
        </w:rPr>
        <w:t>$13,381.58 to American Research Bureau.</w:t>
      </w:r>
    </w:p>
    <w:p w:rsidR="00C85080" w:rsidRDefault="00C85080" w:rsidP="009E7D18">
      <w:pPr>
        <w:spacing w:line="480" w:lineRule="auto"/>
      </w:pPr>
      <w:r>
        <w:rPr>
          <w:color w:val="000000"/>
        </w:rPr>
        <w:t xml:space="preserve">   </w:t>
      </w:r>
      <w:r>
        <w:rPr>
          <w:color w:val="000000"/>
        </w:rPr>
        <w:tab/>
        <w:t>The $212,199.43 in estate assets were distributed as ordered from the estate's account, except for the $80,369.82 reserved in the CTA for the Laskeys.</w:t>
      </w:r>
    </w:p>
    <w:p w:rsidR="00C85080" w:rsidRPr="009E3571" w:rsidRDefault="001B6E97" w:rsidP="00E70A4B">
      <w:pPr>
        <w:spacing w:line="480" w:lineRule="auto"/>
      </w:pPr>
      <w:r>
        <w:rPr>
          <w:color w:val="000000"/>
        </w:rPr>
        <w:tab/>
      </w:r>
      <w:r w:rsidR="00C85080">
        <w:rPr>
          <w:color w:val="000000"/>
        </w:rPr>
        <w:t xml:space="preserve">On March 6, 2003, </w:t>
      </w:r>
      <w:r w:rsidR="002228A3">
        <w:rPr>
          <w:color w:val="000000"/>
        </w:rPr>
        <w:t>respondent</w:t>
      </w:r>
      <w:r w:rsidR="00C85080">
        <w:rPr>
          <w:color w:val="000000"/>
        </w:rPr>
        <w:t xml:space="preserve"> began issuing checks from the CTA to himself and to other</w:t>
      </w:r>
      <w:r w:rsidR="00E70A4B">
        <w:rPr>
          <w:color w:val="000000"/>
        </w:rPr>
        <w:t xml:space="preserve">s not </w:t>
      </w:r>
      <w:r w:rsidR="00C85080">
        <w:rPr>
          <w:color w:val="000000"/>
        </w:rPr>
        <w:t xml:space="preserve">related to the estate against the $80,369.82 belonging to the Laskeys, without the </w:t>
      </w:r>
      <w:r w:rsidR="00C85080">
        <w:rPr>
          <w:color w:val="000000"/>
        </w:rPr>
        <w:lastRenderedPageBreak/>
        <w:t>consent or knowledge of Blanco or the Laskeys and without an order by the court in the action</w:t>
      </w:r>
      <w:r w:rsidR="002228A3">
        <w:rPr>
          <w:color w:val="000000"/>
        </w:rPr>
        <w:t xml:space="preserve">.  </w:t>
      </w:r>
      <w:r w:rsidR="00E70A4B">
        <w:rPr>
          <w:color w:val="000000"/>
        </w:rPr>
        <w:tab/>
        <w:t>B</w:t>
      </w:r>
      <w:r w:rsidR="00C85080">
        <w:rPr>
          <w:color w:val="000000"/>
        </w:rPr>
        <w:t>eginning on March 6, 2003, the balance in the CTA repeatedly dipped below the $80,369.82 that should have remained in an interest-bearing account for the benefit of the Laskeys, until the balance fell to negative $1.50 on November 30, 2008 without any payment to the Laskeys.</w:t>
      </w:r>
      <w:r w:rsidR="00E70A4B">
        <w:rPr>
          <w:color w:val="000000"/>
        </w:rPr>
        <w:t xml:space="preserve">  </w:t>
      </w:r>
      <w:r w:rsidR="005E3A6E">
        <w:rPr>
          <w:color w:val="000000"/>
        </w:rPr>
        <w:t>R</w:t>
      </w:r>
      <w:r w:rsidR="002228A3">
        <w:rPr>
          <w:color w:val="000000"/>
        </w:rPr>
        <w:t>espondent</w:t>
      </w:r>
      <w:r w:rsidR="00C85080">
        <w:rPr>
          <w:color w:val="000000"/>
        </w:rPr>
        <w:t xml:space="preserve"> intentionally misappropriated $80,369.82 for his own use and purposes.</w:t>
      </w:r>
    </w:p>
    <w:p w:rsidR="00C85080" w:rsidRDefault="00C91AC7" w:rsidP="00C91AC7">
      <w:pPr>
        <w:spacing w:line="480" w:lineRule="auto"/>
      </w:pPr>
      <w:r>
        <w:tab/>
      </w:r>
      <w:r w:rsidR="00C85080" w:rsidRPr="004C1D4D">
        <w:rPr>
          <w:color w:val="000000"/>
        </w:rPr>
        <w:t xml:space="preserve">In February 2008, </w:t>
      </w:r>
      <w:r w:rsidR="002228A3">
        <w:rPr>
          <w:color w:val="000000"/>
        </w:rPr>
        <w:t>respondent</w:t>
      </w:r>
      <w:r w:rsidR="00C85080" w:rsidRPr="004C1D4D">
        <w:rPr>
          <w:color w:val="000000"/>
        </w:rPr>
        <w:t xml:space="preserve"> informed Blanco that he was still attempting to locate the Laskeys; that he </w:t>
      </w:r>
      <w:r w:rsidR="00556356">
        <w:rPr>
          <w:color w:val="000000"/>
        </w:rPr>
        <w:t>aske</w:t>
      </w:r>
      <w:r w:rsidR="00C85080" w:rsidRPr="004C1D4D">
        <w:rPr>
          <w:color w:val="000000"/>
        </w:rPr>
        <w:t>d the Daily</w:t>
      </w:r>
      <w:r w:rsidR="00556356">
        <w:rPr>
          <w:color w:val="000000"/>
        </w:rPr>
        <w:t xml:space="preserve"> </w:t>
      </w:r>
      <w:r w:rsidR="00C85080" w:rsidRPr="004C1D4D">
        <w:rPr>
          <w:color w:val="000000"/>
        </w:rPr>
        <w:t>Journal Corporation (DJC) to search for an address for the</w:t>
      </w:r>
      <w:r w:rsidR="00556356">
        <w:rPr>
          <w:color w:val="000000"/>
        </w:rPr>
        <w:t>m</w:t>
      </w:r>
      <w:r w:rsidR="00C85080" w:rsidRPr="004C1D4D">
        <w:rPr>
          <w:color w:val="000000"/>
        </w:rPr>
        <w:t xml:space="preserve">; and that he would </w:t>
      </w:r>
      <w:r w:rsidR="00556356">
        <w:rPr>
          <w:color w:val="000000"/>
        </w:rPr>
        <w:t>ask the</w:t>
      </w:r>
      <w:r w:rsidR="00C85080" w:rsidRPr="004C1D4D">
        <w:rPr>
          <w:color w:val="000000"/>
        </w:rPr>
        <w:t xml:space="preserve"> DJC to publish a notice to the</w:t>
      </w:r>
      <w:r w:rsidR="00556356">
        <w:rPr>
          <w:color w:val="000000"/>
        </w:rPr>
        <w:t>m</w:t>
      </w:r>
      <w:r w:rsidR="00C85080" w:rsidRPr="004C1D4D">
        <w:rPr>
          <w:color w:val="000000"/>
        </w:rPr>
        <w:t xml:space="preserve"> if they could not be found</w:t>
      </w:r>
      <w:r w:rsidR="00FD56A3">
        <w:rPr>
          <w:color w:val="000000"/>
        </w:rPr>
        <w:t xml:space="preserve">.  </w:t>
      </w:r>
      <w:r w:rsidR="00556356">
        <w:rPr>
          <w:color w:val="000000"/>
        </w:rPr>
        <w:t xml:space="preserve">He </w:t>
      </w:r>
      <w:proofErr w:type="gramStart"/>
      <w:r w:rsidR="00556356">
        <w:rPr>
          <w:color w:val="000000"/>
        </w:rPr>
        <w:t xml:space="preserve">also </w:t>
      </w:r>
      <w:r w:rsidR="00C85080" w:rsidRPr="004C1D4D">
        <w:rPr>
          <w:color w:val="000000"/>
        </w:rPr>
        <w:t xml:space="preserve"> informed</w:t>
      </w:r>
      <w:proofErr w:type="gramEnd"/>
      <w:r w:rsidR="00C85080" w:rsidRPr="004C1D4D">
        <w:rPr>
          <w:color w:val="000000"/>
        </w:rPr>
        <w:t xml:space="preserve"> </w:t>
      </w:r>
      <w:r w:rsidR="00556356">
        <w:rPr>
          <w:color w:val="000000"/>
        </w:rPr>
        <w:t>her</w:t>
      </w:r>
      <w:r w:rsidR="00C85080" w:rsidRPr="004C1D4D">
        <w:rPr>
          <w:color w:val="000000"/>
        </w:rPr>
        <w:t xml:space="preserve"> that he would advise her of the outcome of these efforts.</w:t>
      </w:r>
    </w:p>
    <w:p w:rsidR="00C85080" w:rsidRDefault="00AB64EF" w:rsidP="00AB64EF">
      <w:pPr>
        <w:tabs>
          <w:tab w:val="num" w:pos="576"/>
        </w:tabs>
        <w:spacing w:line="480" w:lineRule="auto"/>
      </w:pPr>
      <w:r>
        <w:rPr>
          <w:color w:val="000000"/>
        </w:rPr>
        <w:tab/>
      </w:r>
      <w:r w:rsidR="00C8108A">
        <w:rPr>
          <w:color w:val="000000"/>
        </w:rPr>
        <w:t>R</w:t>
      </w:r>
      <w:r w:rsidR="002228A3">
        <w:rPr>
          <w:color w:val="000000"/>
        </w:rPr>
        <w:t>espondent</w:t>
      </w:r>
      <w:r w:rsidR="00C85080">
        <w:rPr>
          <w:color w:val="000000"/>
        </w:rPr>
        <w:t xml:space="preserve"> never contacted Blanco with the status of the matter</w:t>
      </w:r>
      <w:r w:rsidR="002228A3">
        <w:rPr>
          <w:color w:val="000000"/>
        </w:rPr>
        <w:t xml:space="preserve">.  </w:t>
      </w:r>
      <w:r w:rsidR="00C85080">
        <w:rPr>
          <w:color w:val="000000"/>
        </w:rPr>
        <w:t xml:space="preserve">On November 5, 2008, Blanco left </w:t>
      </w:r>
      <w:r>
        <w:rPr>
          <w:color w:val="000000"/>
        </w:rPr>
        <w:t xml:space="preserve">respondent </w:t>
      </w:r>
      <w:r w:rsidR="00C85080">
        <w:rPr>
          <w:color w:val="000000"/>
        </w:rPr>
        <w:t>a telephone message asking for the status.</w:t>
      </w:r>
      <w:r>
        <w:rPr>
          <w:color w:val="000000"/>
        </w:rPr>
        <w:t xml:space="preserve">  He</w:t>
      </w:r>
      <w:r w:rsidR="00C85080">
        <w:rPr>
          <w:color w:val="000000"/>
        </w:rPr>
        <w:t xml:space="preserve"> never contacted </w:t>
      </w:r>
      <w:r>
        <w:rPr>
          <w:color w:val="000000"/>
        </w:rPr>
        <w:t>her</w:t>
      </w:r>
      <w:r w:rsidR="00C85080">
        <w:rPr>
          <w:color w:val="000000"/>
        </w:rPr>
        <w:t xml:space="preserve"> with the status; never distributed $80,369.82 to the Laskeys; never closed the action pending with the court</w:t>
      </w:r>
      <w:r>
        <w:rPr>
          <w:color w:val="000000"/>
        </w:rPr>
        <w:t>;</w:t>
      </w:r>
      <w:r w:rsidR="00C85080">
        <w:rPr>
          <w:color w:val="000000"/>
        </w:rPr>
        <w:t xml:space="preserve"> and essentially abandoned the matter, thereby exposing Blanco to liability for </w:t>
      </w:r>
      <w:r>
        <w:rPr>
          <w:color w:val="000000"/>
        </w:rPr>
        <w:t xml:space="preserve">not </w:t>
      </w:r>
      <w:r w:rsidR="00C85080">
        <w:rPr>
          <w:color w:val="000000"/>
        </w:rPr>
        <w:t>complet</w:t>
      </w:r>
      <w:r>
        <w:rPr>
          <w:color w:val="000000"/>
        </w:rPr>
        <w:t>ing</w:t>
      </w:r>
      <w:r w:rsidR="00C85080">
        <w:rPr>
          <w:color w:val="000000"/>
        </w:rPr>
        <w:t xml:space="preserve"> her duties.</w:t>
      </w:r>
    </w:p>
    <w:p w:rsidR="003818C1" w:rsidRDefault="003818C1" w:rsidP="005D478E">
      <w:pPr>
        <w:widowControl w:val="0"/>
        <w:spacing w:line="480" w:lineRule="auto"/>
      </w:pPr>
      <w:r>
        <w:tab/>
      </w:r>
      <w:r w:rsidR="00DB50BB">
        <w:t xml:space="preserve">On </w:t>
      </w:r>
      <w:r w:rsidR="00CB0E50">
        <w:t>November 12, 2008</w:t>
      </w:r>
      <w:r>
        <w:t xml:space="preserve">, the State Bar opened an investigation pursuant to a complaint filed by </w:t>
      </w:r>
      <w:r w:rsidR="00CB0E50">
        <w:t>Blanco</w:t>
      </w:r>
      <w:r>
        <w:t xml:space="preserve"> regarding allegations of misconduct by respondent in this matter</w:t>
      </w:r>
      <w:r w:rsidR="005416C8">
        <w:t xml:space="preserve">.  </w:t>
      </w:r>
      <w:r w:rsidR="00DB50BB">
        <w:t xml:space="preserve">On </w:t>
      </w:r>
      <w:r w:rsidR="00500B8E">
        <w:t>March 17, April 7 and 17 and July 2, 2009</w:t>
      </w:r>
      <w:r>
        <w:t>, a State Ba</w:t>
      </w:r>
      <w:r w:rsidR="00CB0E50">
        <w:t>r investigator sent respondent</w:t>
      </w:r>
      <w:r>
        <w:t xml:space="preserve"> letter</w:t>
      </w:r>
      <w:r w:rsidR="00CB0E50">
        <w:t>s</w:t>
      </w:r>
      <w:r>
        <w:t xml:space="preserve"> requesting that respondent answer in writing </w:t>
      </w:r>
      <w:r w:rsidR="00692BE6">
        <w:t xml:space="preserve">by specified dates </w:t>
      </w:r>
      <w:r>
        <w:t xml:space="preserve">specific allegations of misconduct regarding the </w:t>
      </w:r>
      <w:r w:rsidR="00CB0E50">
        <w:t>Blanco</w:t>
      </w:r>
      <w:r>
        <w:t xml:space="preserve"> complaint</w:t>
      </w:r>
      <w:r w:rsidR="005416C8">
        <w:t xml:space="preserve">.  </w:t>
      </w:r>
      <w:r>
        <w:t>The letter</w:t>
      </w:r>
      <w:r w:rsidR="00CB0E50">
        <w:t>s</w:t>
      </w:r>
      <w:r>
        <w:t xml:space="preserve"> </w:t>
      </w:r>
      <w:r w:rsidR="00CB0E50">
        <w:t>were</w:t>
      </w:r>
      <w:r>
        <w:t xml:space="preserve"> addressed to respondent’s official membership records address and sent by first-class mail, postage prepaid</w:t>
      </w:r>
      <w:r w:rsidR="005416C8">
        <w:t>.</w:t>
      </w:r>
      <w:r w:rsidR="00500B8E">
        <w:rPr>
          <w:rStyle w:val="FootnoteReference"/>
        </w:rPr>
        <w:footnoteReference w:id="4"/>
      </w:r>
      <w:r w:rsidR="005416C8">
        <w:t xml:space="preserve">  </w:t>
      </w:r>
      <w:r w:rsidR="00CB0E50">
        <w:t xml:space="preserve">None was </w:t>
      </w:r>
      <w:r>
        <w:t>returned to the State Bar as undeliverable or for any other reason</w:t>
      </w:r>
      <w:r w:rsidR="005416C8">
        <w:t xml:space="preserve">.  </w:t>
      </w:r>
      <w:r w:rsidR="002228A3">
        <w:t>Respondent</w:t>
      </w:r>
      <w:r>
        <w:t xml:space="preserve"> </w:t>
      </w:r>
      <w:r w:rsidR="00CB0E50">
        <w:t xml:space="preserve">received the letters but </w:t>
      </w:r>
      <w:r>
        <w:t>did not answer the</w:t>
      </w:r>
      <w:r w:rsidR="00CB0E50">
        <w:t>m</w:t>
      </w:r>
      <w:r w:rsidR="002228A3">
        <w:t xml:space="preserve">.  </w:t>
      </w:r>
    </w:p>
    <w:p w:rsidR="003818C1" w:rsidRDefault="003818C1" w:rsidP="005D478E">
      <w:pPr>
        <w:widowControl w:val="0"/>
        <w:spacing w:line="480" w:lineRule="auto"/>
      </w:pPr>
      <w:r>
        <w:rPr>
          <w:b/>
        </w:rPr>
        <w:tab/>
        <w:t>2</w:t>
      </w:r>
      <w:r w:rsidR="005416C8">
        <w:rPr>
          <w:b/>
        </w:rPr>
        <w:t xml:space="preserve">.  </w:t>
      </w:r>
      <w:r>
        <w:rPr>
          <w:b/>
          <w:u w:val="single"/>
        </w:rPr>
        <w:t>Conclusions of Law</w:t>
      </w:r>
    </w:p>
    <w:p w:rsidR="003818C1" w:rsidRDefault="003818C1" w:rsidP="005D478E">
      <w:pPr>
        <w:widowControl w:val="0"/>
        <w:spacing w:line="480" w:lineRule="auto"/>
      </w:pPr>
      <w:r>
        <w:lastRenderedPageBreak/>
        <w:tab/>
      </w:r>
      <w:r>
        <w:tab/>
      </w:r>
      <w:proofErr w:type="gramStart"/>
      <w:r w:rsidR="00D143E9">
        <w:rPr>
          <w:b/>
        </w:rPr>
        <w:t>a</w:t>
      </w:r>
      <w:r w:rsidR="005416C8">
        <w:rPr>
          <w:b/>
        </w:rPr>
        <w:t xml:space="preserve">.  </w:t>
      </w:r>
      <w:r>
        <w:rPr>
          <w:b/>
          <w:u w:val="single"/>
        </w:rPr>
        <w:t>Count</w:t>
      </w:r>
      <w:proofErr w:type="gramEnd"/>
      <w:r>
        <w:rPr>
          <w:b/>
          <w:u w:val="single"/>
        </w:rPr>
        <w:t xml:space="preserve"> </w:t>
      </w:r>
      <w:r w:rsidR="00D143E9">
        <w:rPr>
          <w:b/>
          <w:u w:val="single"/>
        </w:rPr>
        <w:t>1</w:t>
      </w:r>
      <w:r>
        <w:rPr>
          <w:b/>
          <w:u w:val="single"/>
        </w:rPr>
        <w:t xml:space="preserve"> - Section 6106 (Moral Turpitude)</w:t>
      </w:r>
    </w:p>
    <w:p w:rsidR="003818C1" w:rsidRDefault="003818C1" w:rsidP="005D478E">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3818C1" w:rsidRDefault="003818C1" w:rsidP="005D52EC">
      <w:pPr>
        <w:tabs>
          <w:tab w:val="num" w:pos="504"/>
        </w:tabs>
        <w:spacing w:line="480" w:lineRule="auto"/>
      </w:pPr>
      <w:r>
        <w:tab/>
        <w:t xml:space="preserve">There is clear and convincing evidence that respondent violated section 6106 by </w:t>
      </w:r>
      <w:r w:rsidR="005D52EC">
        <w:t>m</w:t>
      </w:r>
      <w:r w:rsidR="005D52EC">
        <w:rPr>
          <w:color w:val="000000"/>
        </w:rPr>
        <w:t xml:space="preserve">isappropriating $80,369.82 belonging to the Laskeys.  </w:t>
      </w:r>
      <w:r>
        <w:t xml:space="preserve">Accordingly, </w:t>
      </w:r>
      <w:r w:rsidR="00EA29D7">
        <w:t>he</w:t>
      </w:r>
      <w:r>
        <w:t xml:space="preserve"> committed an act of moral turpitude, dishonesty or corruption in wilful violation of section 6106.</w:t>
      </w:r>
    </w:p>
    <w:p w:rsidR="00D143E9" w:rsidRPr="00D143E9" w:rsidRDefault="00D143E9" w:rsidP="00D143E9">
      <w:pPr>
        <w:widowControl w:val="0"/>
        <w:spacing w:line="480" w:lineRule="auto"/>
      </w:pPr>
      <w:r>
        <w:tab/>
      </w:r>
      <w:r>
        <w:tab/>
      </w:r>
      <w:r>
        <w:rPr>
          <w:b/>
        </w:rPr>
        <w:t xml:space="preserve"> b</w:t>
      </w:r>
      <w:r w:rsidR="005416C8">
        <w:rPr>
          <w:b/>
        </w:rPr>
        <w:t xml:space="preserve">.  </w:t>
      </w:r>
      <w:r>
        <w:rPr>
          <w:b/>
          <w:u w:val="single"/>
        </w:rPr>
        <w:t xml:space="preserve">Count 2 - </w:t>
      </w:r>
      <w:r w:rsidRPr="005603F0">
        <w:rPr>
          <w:b/>
          <w:u w:val="single"/>
        </w:rPr>
        <w:t>Rule of Professional Conduct,</w:t>
      </w:r>
      <w:r w:rsidRPr="005603F0">
        <w:rPr>
          <w:b/>
          <w:u w:val="single"/>
          <w:vertAlign w:val="superscript"/>
        </w:rPr>
        <w:footnoteReference w:id="5"/>
      </w:r>
      <w:r w:rsidRPr="005603F0">
        <w:rPr>
          <w:b/>
          <w:u w:val="single"/>
        </w:rPr>
        <w:t xml:space="preserve"> </w:t>
      </w:r>
      <w:r>
        <w:rPr>
          <w:b/>
          <w:u w:val="single"/>
        </w:rPr>
        <w:t xml:space="preserve">Rule 4-100(A)(Maintaining </w:t>
      </w:r>
      <w:r>
        <w:rPr>
          <w:b/>
        </w:rPr>
        <w:tab/>
      </w:r>
      <w:r>
        <w:rPr>
          <w:b/>
        </w:rPr>
        <w:tab/>
      </w:r>
      <w:r>
        <w:rPr>
          <w:b/>
        </w:rPr>
        <w:tab/>
      </w:r>
      <w:r>
        <w:rPr>
          <w:b/>
        </w:rPr>
        <w:tab/>
      </w:r>
      <w:r w:rsidRPr="00D143E9">
        <w:rPr>
          <w:b/>
          <w:u w:val="single"/>
        </w:rPr>
        <w:t>Client Funds in Trust Account)</w:t>
      </w:r>
    </w:p>
    <w:p w:rsidR="00D143E9" w:rsidRDefault="00D143E9" w:rsidP="00D143E9">
      <w:pPr>
        <w:widowControl w:val="0"/>
        <w:spacing w:line="480" w:lineRule="auto"/>
      </w:pPr>
      <w:r>
        <w:tab/>
        <w:t>Rule 4-100(A) of the Rules of Professional Conduct requires, in relevant part, that an attorney place all funds held for the benefit of clients, including advances for costs and expenses, in a client trust account.</w:t>
      </w:r>
    </w:p>
    <w:p w:rsidR="005D52EC" w:rsidRDefault="00D143E9" w:rsidP="00D143E9">
      <w:pPr>
        <w:widowControl w:val="0"/>
        <w:spacing w:line="480" w:lineRule="auto"/>
      </w:pPr>
      <w:r>
        <w:tab/>
        <w:t>There is clear and convincing evidence that respondent wilfully violated rule 4-100(A) by not maintaining $</w:t>
      </w:r>
      <w:r w:rsidR="005D52EC">
        <w:rPr>
          <w:color w:val="000000"/>
        </w:rPr>
        <w:t xml:space="preserve">80,369.82 </w:t>
      </w:r>
      <w:r>
        <w:t xml:space="preserve">of </w:t>
      </w:r>
      <w:r w:rsidR="005D52EC">
        <w:t>the estate’s funds for distribution to the Laskeys</w:t>
      </w:r>
      <w:r>
        <w:t xml:space="preserve"> in the trust account</w:t>
      </w:r>
      <w:r w:rsidR="002228A3">
        <w:t xml:space="preserve">.  </w:t>
      </w:r>
    </w:p>
    <w:p w:rsidR="00D143E9" w:rsidRPr="005603F0" w:rsidRDefault="00D143E9" w:rsidP="00D143E9">
      <w:pPr>
        <w:widowControl w:val="0"/>
        <w:spacing w:line="480" w:lineRule="auto"/>
      </w:pPr>
      <w:r w:rsidRPr="005603F0">
        <w:tab/>
      </w:r>
      <w:r w:rsidRPr="005603F0">
        <w:tab/>
      </w:r>
      <w:proofErr w:type="gramStart"/>
      <w:r>
        <w:rPr>
          <w:b/>
        </w:rPr>
        <w:t>c</w:t>
      </w:r>
      <w:r w:rsidR="005416C8">
        <w:rPr>
          <w:b/>
        </w:rPr>
        <w:t xml:space="preserve">.  </w:t>
      </w:r>
      <w:r w:rsidRPr="005603F0">
        <w:rPr>
          <w:b/>
          <w:u w:val="single"/>
        </w:rPr>
        <w:t>Count</w:t>
      </w:r>
      <w:proofErr w:type="gramEnd"/>
      <w:r w:rsidRPr="005603F0">
        <w:rPr>
          <w:b/>
          <w:u w:val="single"/>
        </w:rPr>
        <w:t xml:space="preserve"> </w:t>
      </w:r>
      <w:r>
        <w:rPr>
          <w:b/>
          <w:u w:val="single"/>
        </w:rPr>
        <w:t xml:space="preserve">3 </w:t>
      </w:r>
      <w:r w:rsidRPr="005603F0">
        <w:rPr>
          <w:b/>
          <w:u w:val="single"/>
        </w:rPr>
        <w:t>- Rule 3-110(A) (Competence)</w:t>
      </w:r>
    </w:p>
    <w:p w:rsidR="00D143E9" w:rsidRPr="005603F0" w:rsidRDefault="00D143E9" w:rsidP="00D143E9">
      <w:pPr>
        <w:spacing w:line="480" w:lineRule="auto"/>
        <w:ind w:firstLine="720"/>
      </w:pPr>
      <w:r w:rsidRPr="005603F0">
        <w:t>Rule 3-110(A) prohibits an attorney from intentionally, recklessly or repeatedly failing to perform legal services competently.</w:t>
      </w:r>
    </w:p>
    <w:p w:rsidR="00AF4B3A" w:rsidRDefault="00D143E9" w:rsidP="0023687A">
      <w:pPr>
        <w:spacing w:line="480" w:lineRule="auto"/>
      </w:pPr>
      <w:r w:rsidRPr="005603F0">
        <w:tab/>
        <w:t xml:space="preserve">By </w:t>
      </w:r>
      <w:r w:rsidR="00AF4B3A">
        <w:rPr>
          <w:color w:val="000000"/>
        </w:rPr>
        <w:t xml:space="preserve">not contacting Blanco with the status of the matter; not distributing $80,369.82 to the Laskeys; not closing the action pending with the court; and by abandoning the matter, </w:t>
      </w:r>
      <w:r w:rsidRPr="005603F0">
        <w:t xml:space="preserve">respondent intentionally, recklessly or repeatedly did not perform competently in wilful violation of rule </w:t>
      </w:r>
    </w:p>
    <w:p w:rsidR="00D143E9" w:rsidRPr="005603F0" w:rsidRDefault="00D143E9" w:rsidP="0023687A">
      <w:pPr>
        <w:spacing w:line="480" w:lineRule="auto"/>
      </w:pPr>
      <w:proofErr w:type="gramStart"/>
      <w:r w:rsidRPr="005603F0">
        <w:t>3-110(A).</w:t>
      </w:r>
      <w:proofErr w:type="gramEnd"/>
    </w:p>
    <w:p w:rsidR="003818C1" w:rsidRDefault="003818C1" w:rsidP="005D478E">
      <w:pPr>
        <w:widowControl w:val="0"/>
        <w:spacing w:line="480" w:lineRule="auto"/>
      </w:pPr>
      <w:r>
        <w:rPr>
          <w:b/>
        </w:rPr>
        <w:tab/>
      </w:r>
      <w:r>
        <w:rPr>
          <w:b/>
        </w:rPr>
        <w:tab/>
      </w:r>
      <w:proofErr w:type="gramStart"/>
      <w:r w:rsidR="00813871">
        <w:rPr>
          <w:b/>
        </w:rPr>
        <w:t>d</w:t>
      </w:r>
      <w:r w:rsidR="005416C8">
        <w:rPr>
          <w:b/>
        </w:rPr>
        <w:t xml:space="preserve">.  </w:t>
      </w:r>
      <w:r>
        <w:rPr>
          <w:b/>
          <w:u w:val="single"/>
        </w:rPr>
        <w:t>Count</w:t>
      </w:r>
      <w:proofErr w:type="gramEnd"/>
      <w:r>
        <w:rPr>
          <w:b/>
          <w:u w:val="single"/>
        </w:rPr>
        <w:t xml:space="preserve"> </w:t>
      </w:r>
      <w:r w:rsidR="00813871">
        <w:rPr>
          <w:b/>
          <w:u w:val="single"/>
        </w:rPr>
        <w:t>4</w:t>
      </w:r>
      <w:r>
        <w:rPr>
          <w:b/>
          <w:u w:val="single"/>
        </w:rPr>
        <w:t xml:space="preserve"> - Section 6068, </w:t>
      </w:r>
      <w:r w:rsidR="00D01541">
        <w:rPr>
          <w:b/>
          <w:u w:val="single"/>
        </w:rPr>
        <w:t>subd. (</w:t>
      </w:r>
      <w:r>
        <w:rPr>
          <w:b/>
          <w:u w:val="single"/>
        </w:rPr>
        <w:t xml:space="preserve">i) (Not Participating in Disciplinary </w:t>
      </w:r>
      <w:r>
        <w:rPr>
          <w:b/>
        </w:rPr>
        <w:lastRenderedPageBreak/>
        <w:tab/>
      </w:r>
      <w:r>
        <w:rPr>
          <w:b/>
          <w:u w:val="single"/>
        </w:rPr>
        <w:t>Investigation)</w:t>
      </w:r>
    </w:p>
    <w:p w:rsidR="003818C1" w:rsidRDefault="003818C1" w:rsidP="005D478E">
      <w:pPr>
        <w:widowControl w:val="0"/>
        <w:spacing w:line="480" w:lineRule="auto"/>
      </w:pPr>
      <w:r>
        <w:tab/>
        <w:t>Section 6068, subdivision (i) requires an attorney to participate and cooperate in any disciplinary investigation or other disciplinary or regulatory proceeding pending against him- or herself.</w:t>
      </w:r>
    </w:p>
    <w:p w:rsidR="003818C1" w:rsidRDefault="003818C1" w:rsidP="005D478E">
      <w:pPr>
        <w:widowControl w:val="0"/>
        <w:spacing w:line="480" w:lineRule="auto"/>
        <w:rPr>
          <w:b/>
          <w:u w:val="single"/>
        </w:rPr>
      </w:pPr>
      <w:r>
        <w:tab/>
        <w:t xml:space="preserve">By </w:t>
      </w:r>
      <w:r w:rsidR="00C016B0">
        <w:t>not responding to the State Bar investigator’s letters of March 17, April 7 and 17 and July 2, 2009</w:t>
      </w:r>
      <w:r>
        <w:t xml:space="preserve">, respondent did not participate in the investigation of the allegations of misconduct regarding the </w:t>
      </w:r>
      <w:r w:rsidR="00C016B0">
        <w:t xml:space="preserve">Blanco </w:t>
      </w:r>
      <w:r>
        <w:t>case in wilful violation of 6068, subdivision (i).</w:t>
      </w:r>
    </w:p>
    <w:p w:rsidR="003818C1" w:rsidRDefault="00811FDD" w:rsidP="005D478E">
      <w:pPr>
        <w:widowControl w:val="0"/>
        <w:spacing w:line="480" w:lineRule="auto"/>
        <w:rPr>
          <w:b/>
        </w:rPr>
      </w:pPr>
      <w:r>
        <w:rPr>
          <w:b/>
        </w:rPr>
        <w:t>C</w:t>
      </w:r>
      <w:r w:rsidR="005416C8">
        <w:rPr>
          <w:b/>
        </w:rPr>
        <w:t xml:space="preserve">.  </w:t>
      </w:r>
      <w:r w:rsidR="003818C1">
        <w:rPr>
          <w:b/>
          <w:u w:val="single"/>
        </w:rPr>
        <w:t>Case no</w:t>
      </w:r>
      <w:r w:rsidR="002228A3">
        <w:rPr>
          <w:b/>
          <w:u w:val="single"/>
        </w:rPr>
        <w:t xml:space="preserve">.  </w:t>
      </w:r>
      <w:r w:rsidR="002331B1">
        <w:rPr>
          <w:b/>
          <w:u w:val="single"/>
        </w:rPr>
        <w:t>09-O-12339</w:t>
      </w:r>
      <w:r w:rsidR="003818C1">
        <w:rPr>
          <w:b/>
          <w:u w:val="single"/>
        </w:rPr>
        <w:t xml:space="preserve"> (The </w:t>
      </w:r>
      <w:r w:rsidR="00734646">
        <w:rPr>
          <w:b/>
          <w:u w:val="single"/>
        </w:rPr>
        <w:t>Bradford Estate</w:t>
      </w:r>
      <w:r w:rsidR="003818C1">
        <w:rPr>
          <w:b/>
          <w:u w:val="single"/>
        </w:rPr>
        <w:t xml:space="preserve"> Matter)</w:t>
      </w:r>
      <w:r w:rsidR="003818C1">
        <w:rPr>
          <w:b/>
        </w:rPr>
        <w:t xml:space="preserve">  </w:t>
      </w:r>
    </w:p>
    <w:p w:rsidR="003818C1" w:rsidRDefault="003818C1" w:rsidP="005D478E">
      <w:pPr>
        <w:widowControl w:val="0"/>
        <w:spacing w:line="480" w:lineRule="auto"/>
      </w:pPr>
      <w:r>
        <w:rPr>
          <w:b/>
        </w:rPr>
        <w:tab/>
        <w:t>1</w:t>
      </w:r>
      <w:r w:rsidR="005416C8">
        <w:rPr>
          <w:b/>
        </w:rPr>
        <w:t xml:space="preserve">.  </w:t>
      </w:r>
      <w:r>
        <w:rPr>
          <w:b/>
          <w:u w:val="single"/>
        </w:rPr>
        <w:t>Facts</w:t>
      </w:r>
    </w:p>
    <w:p w:rsidR="00DB68E4" w:rsidRDefault="001F29EC" w:rsidP="001F29EC">
      <w:pPr>
        <w:spacing w:line="480" w:lineRule="auto"/>
      </w:pPr>
      <w:r>
        <w:rPr>
          <w:color w:val="000000"/>
        </w:rPr>
        <w:tab/>
      </w:r>
      <w:r w:rsidR="00DB68E4">
        <w:rPr>
          <w:color w:val="000000"/>
        </w:rPr>
        <w:t xml:space="preserve">On November 4, 2003, </w:t>
      </w:r>
      <w:r w:rsidR="002228A3">
        <w:rPr>
          <w:color w:val="000000"/>
        </w:rPr>
        <w:t>respondent</w:t>
      </w:r>
      <w:r w:rsidR="00DB68E4">
        <w:rPr>
          <w:color w:val="000000"/>
        </w:rPr>
        <w:t xml:space="preserve"> filed, in pro per, a petition for probate in the </w:t>
      </w:r>
      <w:r>
        <w:rPr>
          <w:color w:val="000000"/>
        </w:rPr>
        <w:t xml:space="preserve">matter </w:t>
      </w:r>
      <w:r w:rsidR="00DB68E4">
        <w:rPr>
          <w:color w:val="000000"/>
        </w:rPr>
        <w:t xml:space="preserve">entitled </w:t>
      </w:r>
      <w:r w:rsidR="00DB68E4" w:rsidRPr="001F29EC">
        <w:rPr>
          <w:i/>
          <w:color w:val="000000"/>
        </w:rPr>
        <w:t>In the Matter of the Estate of Paul S</w:t>
      </w:r>
      <w:r w:rsidR="002228A3" w:rsidRPr="001F29EC">
        <w:rPr>
          <w:i/>
          <w:color w:val="000000"/>
        </w:rPr>
        <w:t xml:space="preserve">. </w:t>
      </w:r>
      <w:r w:rsidR="00DB68E4" w:rsidRPr="001F29EC">
        <w:rPr>
          <w:i/>
          <w:color w:val="000000"/>
        </w:rPr>
        <w:t>Bradford</w:t>
      </w:r>
      <w:r>
        <w:rPr>
          <w:color w:val="000000"/>
        </w:rPr>
        <w:t>.  (Los Angeles County Superior Court,</w:t>
      </w:r>
      <w:r w:rsidR="00DB68E4">
        <w:rPr>
          <w:color w:val="000000"/>
        </w:rPr>
        <w:t xml:space="preserve"> case n</w:t>
      </w:r>
      <w:r>
        <w:rPr>
          <w:color w:val="000000"/>
        </w:rPr>
        <w:t>o.</w:t>
      </w:r>
      <w:r w:rsidR="00DB68E4">
        <w:rPr>
          <w:color w:val="000000"/>
        </w:rPr>
        <w:t xml:space="preserve"> BP082357</w:t>
      </w:r>
      <w:r w:rsidR="002228A3">
        <w:rPr>
          <w:color w:val="000000"/>
        </w:rPr>
        <w:t>.</w:t>
      </w:r>
      <w:r>
        <w:rPr>
          <w:color w:val="000000"/>
        </w:rPr>
        <w:t>)</w:t>
      </w:r>
      <w:r w:rsidR="002228A3">
        <w:rPr>
          <w:color w:val="000000"/>
        </w:rPr>
        <w:t xml:space="preserve">  </w:t>
      </w:r>
      <w:r w:rsidR="00DB68E4">
        <w:rPr>
          <w:color w:val="000000"/>
        </w:rPr>
        <w:t xml:space="preserve">Cecilio and Lourdes Jauregui were the named beneficiaries of the estate and </w:t>
      </w:r>
      <w:r w:rsidR="002228A3">
        <w:rPr>
          <w:color w:val="000000"/>
        </w:rPr>
        <w:t>respondent</w:t>
      </w:r>
      <w:r w:rsidR="00DB68E4">
        <w:rPr>
          <w:color w:val="000000"/>
        </w:rPr>
        <w:t xml:space="preserve"> was the named executor for the estate in the decedent's will.</w:t>
      </w:r>
    </w:p>
    <w:p w:rsidR="00DB68E4" w:rsidRDefault="000716FF" w:rsidP="000716FF">
      <w:pPr>
        <w:spacing w:line="480" w:lineRule="auto"/>
      </w:pPr>
      <w:r>
        <w:rPr>
          <w:color w:val="000000"/>
        </w:rPr>
        <w:tab/>
      </w:r>
      <w:r w:rsidR="00DB50BB">
        <w:rPr>
          <w:color w:val="000000"/>
        </w:rPr>
        <w:t xml:space="preserve">On </w:t>
      </w:r>
      <w:r w:rsidR="00DB68E4">
        <w:rPr>
          <w:color w:val="000000"/>
        </w:rPr>
        <w:t xml:space="preserve">December 17, 2003, the court appointed </w:t>
      </w:r>
      <w:r w:rsidR="002228A3">
        <w:rPr>
          <w:color w:val="000000"/>
        </w:rPr>
        <w:t>respondent</w:t>
      </w:r>
      <w:r w:rsidR="00DB68E4">
        <w:rPr>
          <w:color w:val="000000"/>
        </w:rPr>
        <w:t xml:space="preserve"> as the executor for the estate.</w:t>
      </w:r>
    </w:p>
    <w:p w:rsidR="00DB68E4" w:rsidRDefault="000716FF" w:rsidP="000716FF">
      <w:pPr>
        <w:spacing w:line="480" w:lineRule="auto"/>
      </w:pPr>
      <w:r>
        <w:rPr>
          <w:color w:val="000000"/>
        </w:rPr>
        <w:tab/>
      </w:r>
      <w:r w:rsidR="00DB68E4">
        <w:rPr>
          <w:color w:val="000000"/>
        </w:rPr>
        <w:t xml:space="preserve">On January 12, 2004, </w:t>
      </w:r>
      <w:r w:rsidR="002228A3">
        <w:rPr>
          <w:color w:val="000000"/>
        </w:rPr>
        <w:t>respondent</w:t>
      </w:r>
      <w:r w:rsidR="00DB68E4">
        <w:rPr>
          <w:color w:val="000000"/>
        </w:rPr>
        <w:t xml:space="preserve"> opened an account for the estate at Citizens Business Bank with a deposit of $164,684.93</w:t>
      </w:r>
      <w:r w:rsidR="007E06A5">
        <w:rPr>
          <w:color w:val="000000"/>
        </w:rPr>
        <w:t>.</w:t>
      </w:r>
    </w:p>
    <w:p w:rsidR="00DB68E4" w:rsidRDefault="007E06A5" w:rsidP="007E06A5">
      <w:pPr>
        <w:spacing w:line="480" w:lineRule="auto"/>
      </w:pPr>
      <w:r>
        <w:rPr>
          <w:color w:val="000000"/>
        </w:rPr>
        <w:tab/>
      </w:r>
      <w:r w:rsidR="00DB68E4">
        <w:rPr>
          <w:color w:val="000000"/>
        </w:rPr>
        <w:t xml:space="preserve">On June 26, 2006, </w:t>
      </w:r>
      <w:r w:rsidR="002228A3">
        <w:rPr>
          <w:color w:val="000000"/>
        </w:rPr>
        <w:t>respondent</w:t>
      </w:r>
      <w:r w:rsidR="00DB68E4">
        <w:rPr>
          <w:color w:val="000000"/>
        </w:rPr>
        <w:t xml:space="preserve"> falsely represented under penalty of perjury in a final account</w:t>
      </w:r>
      <w:r>
        <w:rPr>
          <w:color w:val="000000"/>
        </w:rPr>
        <w:t>ing</w:t>
      </w:r>
      <w:r w:rsidR="00DB68E4">
        <w:rPr>
          <w:color w:val="000000"/>
        </w:rPr>
        <w:t xml:space="preserve"> filed with the court that he had disbursed $35,152.05 from the account for estate-related expenses between January 16, 2004 and June 23, 2006. </w:t>
      </w:r>
      <w:r>
        <w:rPr>
          <w:color w:val="000000"/>
        </w:rPr>
        <w:t xml:space="preserve"> </w:t>
      </w:r>
      <w:r w:rsidR="001B0221">
        <w:rPr>
          <w:color w:val="000000"/>
        </w:rPr>
        <w:t>Specifical</w:t>
      </w:r>
      <w:r w:rsidR="00DB68E4">
        <w:rPr>
          <w:color w:val="000000"/>
        </w:rPr>
        <w:t xml:space="preserve">ly, </w:t>
      </w:r>
      <w:r w:rsidR="002228A3">
        <w:rPr>
          <w:color w:val="000000"/>
        </w:rPr>
        <w:t>respondent</w:t>
      </w:r>
      <w:r w:rsidR="00DB68E4">
        <w:rPr>
          <w:color w:val="000000"/>
        </w:rPr>
        <w:t xml:space="preserve"> falsely represented that he issued check numbers 102, 107, 111, 114, 116, 117, 118, 119, 123, 124, 125, 130, 132, 133, 134, 141, 142, 159, and 176 to third parties for estate-related expenses and that the sum of the checks issued was $14,311.45</w:t>
      </w:r>
      <w:r>
        <w:rPr>
          <w:color w:val="000000"/>
        </w:rPr>
        <w:t>.</w:t>
      </w:r>
      <w:r w:rsidR="002E61A5">
        <w:rPr>
          <w:rStyle w:val="FootnoteReference"/>
          <w:color w:val="000000"/>
        </w:rPr>
        <w:footnoteReference w:id="6"/>
      </w:r>
      <w:r>
        <w:rPr>
          <w:color w:val="000000"/>
        </w:rPr>
        <w:t xml:space="preserve">  In reality, </w:t>
      </w:r>
      <w:r w:rsidR="00DB68E4">
        <w:rPr>
          <w:color w:val="000000"/>
        </w:rPr>
        <w:t>he had issued those checks</w:t>
      </w:r>
      <w:r>
        <w:rPr>
          <w:color w:val="000000"/>
        </w:rPr>
        <w:t xml:space="preserve">, totaling </w:t>
      </w:r>
      <w:r>
        <w:rPr>
          <w:color w:val="000000"/>
        </w:rPr>
        <w:lastRenderedPageBreak/>
        <w:t>$144,006,</w:t>
      </w:r>
      <w:r w:rsidR="00DB68E4">
        <w:rPr>
          <w:color w:val="000000"/>
        </w:rPr>
        <w:t xml:space="preserve"> to his accounts and to cash for his own use and purposes between February 2004 and February 2006 as follows:</w:t>
      </w:r>
    </w:p>
    <w:tbl>
      <w:tblPr>
        <w:tblStyle w:val="TableGrid"/>
        <w:tblW w:w="0" w:type="auto"/>
        <w:tblLook w:val="0460"/>
      </w:tblPr>
      <w:tblGrid>
        <w:gridCol w:w="1016"/>
        <w:gridCol w:w="2309"/>
        <w:gridCol w:w="2376"/>
        <w:gridCol w:w="2976"/>
      </w:tblGrid>
      <w:tr w:rsidR="00DB68E4" w:rsidTr="0099381E">
        <w:tc>
          <w:tcPr>
            <w:tcW w:w="0" w:type="auto"/>
          </w:tcPr>
          <w:p w:rsidR="00DB68E4" w:rsidRPr="00C621C4" w:rsidRDefault="00021590" w:rsidP="00D24E32">
            <w:pPr>
              <w:rPr>
                <w:u w:val="single"/>
              </w:rPr>
            </w:pPr>
            <w:r>
              <w:t>Check #</w:t>
            </w:r>
            <w:r w:rsidR="005416C8">
              <w:rPr>
                <w:u w:val="single"/>
              </w:rPr>
              <w:t xml:space="preserve"> </w:t>
            </w:r>
            <w:r w:rsidR="00DB68E4" w:rsidRPr="00C621C4">
              <w:rPr>
                <w:u w:val="single"/>
              </w:rPr>
              <w:t xml:space="preserve">    </w:t>
            </w:r>
          </w:p>
        </w:tc>
        <w:tc>
          <w:tcPr>
            <w:tcW w:w="0" w:type="auto"/>
          </w:tcPr>
          <w:p w:rsidR="00DB68E4" w:rsidRDefault="001F21B2" w:rsidP="00D24E32">
            <w:r>
              <w:rPr>
                <w:color w:val="000000"/>
              </w:rPr>
              <w:t xml:space="preserve">Amount </w:t>
            </w:r>
            <w:r w:rsidR="00DB68E4">
              <w:rPr>
                <w:color w:val="000000"/>
              </w:rPr>
              <w:t xml:space="preserve"> </w:t>
            </w:r>
            <w:r w:rsidR="00DB68E4" w:rsidRPr="001F21B2">
              <w:rPr>
                <w:color w:val="000000"/>
              </w:rPr>
              <w:t>Represented</w:t>
            </w:r>
          </w:p>
        </w:tc>
        <w:tc>
          <w:tcPr>
            <w:tcW w:w="0" w:type="auto"/>
          </w:tcPr>
          <w:p w:rsidR="00DB68E4" w:rsidRDefault="00DB68E4" w:rsidP="00D24E32">
            <w:r>
              <w:rPr>
                <w:color w:val="000000"/>
              </w:rPr>
              <w:t xml:space="preserve">Actual </w:t>
            </w:r>
            <w:r w:rsidR="001F21B2">
              <w:rPr>
                <w:color w:val="000000"/>
              </w:rPr>
              <w:t xml:space="preserve">Check </w:t>
            </w:r>
            <w:r>
              <w:rPr>
                <w:color w:val="000000"/>
              </w:rPr>
              <w:t xml:space="preserve">Amount </w:t>
            </w:r>
          </w:p>
        </w:tc>
        <w:tc>
          <w:tcPr>
            <w:tcW w:w="0" w:type="auto"/>
          </w:tcPr>
          <w:p w:rsidR="00DB68E4" w:rsidRDefault="00DB68E4" w:rsidP="00D24E32">
            <w:pPr>
              <w:rPr>
                <w:color w:val="000000"/>
              </w:rPr>
            </w:pPr>
            <w:r>
              <w:rPr>
                <w:color w:val="000000"/>
              </w:rPr>
              <w:t xml:space="preserve">Payee As </w:t>
            </w:r>
            <w:r w:rsidR="006A2264" w:rsidRPr="006A2264">
              <w:rPr>
                <w:color w:val="000000"/>
              </w:rPr>
              <w:t>Represented</w:t>
            </w:r>
          </w:p>
          <w:p w:rsidR="00DB68E4" w:rsidRPr="00C621C4" w:rsidRDefault="00DB68E4" w:rsidP="00D24E32">
            <w:pPr>
              <w:rPr>
                <w:u w:val="single"/>
              </w:rPr>
            </w:pPr>
          </w:p>
        </w:tc>
      </w:tr>
      <w:tr w:rsidR="00DB68E4" w:rsidTr="0099381E">
        <w:trPr>
          <w:trHeight w:val="503"/>
        </w:trPr>
        <w:tc>
          <w:tcPr>
            <w:tcW w:w="0" w:type="auto"/>
          </w:tcPr>
          <w:p w:rsidR="00DB68E4" w:rsidRDefault="00DB68E4" w:rsidP="00D24E32">
            <w:r>
              <w:rPr>
                <w:color w:val="000000"/>
              </w:rPr>
              <w:t>102</w:t>
            </w:r>
          </w:p>
        </w:tc>
        <w:tc>
          <w:tcPr>
            <w:tcW w:w="0" w:type="auto"/>
          </w:tcPr>
          <w:p w:rsidR="00DB68E4" w:rsidRDefault="00DB68E4" w:rsidP="00D24E32">
            <w:pPr>
              <w:ind w:left="279" w:hanging="279"/>
            </w:pPr>
            <w:r>
              <w:rPr>
                <w:color w:val="000000"/>
              </w:rPr>
              <w:t>$1,532</w:t>
            </w:r>
          </w:p>
        </w:tc>
        <w:tc>
          <w:tcPr>
            <w:tcW w:w="0" w:type="auto"/>
          </w:tcPr>
          <w:p w:rsidR="00DB68E4" w:rsidRDefault="007F0CE0" w:rsidP="00D24E32">
            <w:pPr>
              <w:ind w:left="813" w:hanging="813"/>
            </w:pPr>
            <w:r>
              <w:t>$15,000</w:t>
            </w:r>
          </w:p>
        </w:tc>
        <w:tc>
          <w:tcPr>
            <w:tcW w:w="0" w:type="auto"/>
          </w:tcPr>
          <w:p w:rsidR="00DB68E4" w:rsidRDefault="00DB68E4" w:rsidP="00D24E32">
            <w:r>
              <w:rPr>
                <w:color w:val="000000"/>
              </w:rPr>
              <w:t>USAA Insurance</w:t>
            </w:r>
          </w:p>
        </w:tc>
      </w:tr>
      <w:tr w:rsidR="00DB68E4" w:rsidTr="0099381E">
        <w:tc>
          <w:tcPr>
            <w:tcW w:w="0" w:type="auto"/>
          </w:tcPr>
          <w:p w:rsidR="00DB68E4" w:rsidRDefault="00DB68E4" w:rsidP="00D24E32">
            <w:r>
              <w:rPr>
                <w:color w:val="000000"/>
              </w:rPr>
              <w:t>107</w:t>
            </w:r>
          </w:p>
        </w:tc>
        <w:tc>
          <w:tcPr>
            <w:tcW w:w="0" w:type="auto"/>
          </w:tcPr>
          <w:p w:rsidR="00DB68E4" w:rsidRDefault="00DB68E4" w:rsidP="00D24E32">
            <w:r>
              <w:rPr>
                <w:color w:val="000000"/>
              </w:rPr>
              <w:t>$</w:t>
            </w:r>
            <w:r w:rsidR="00C21F2D">
              <w:rPr>
                <w:color w:val="000000"/>
              </w:rPr>
              <w:t xml:space="preserve">     </w:t>
            </w:r>
            <w:r>
              <w:rPr>
                <w:color w:val="000000"/>
              </w:rPr>
              <w:t>56.00</w:t>
            </w:r>
          </w:p>
        </w:tc>
        <w:tc>
          <w:tcPr>
            <w:tcW w:w="0" w:type="auto"/>
          </w:tcPr>
          <w:p w:rsidR="00DB68E4" w:rsidRDefault="00A934DA" w:rsidP="00D24E32">
            <w:pPr>
              <w:ind w:left="813" w:hanging="813"/>
            </w:pPr>
            <w:r>
              <w:rPr>
                <w:color w:val="000000"/>
              </w:rPr>
              <w:t>$</w:t>
            </w:r>
            <w:r w:rsidR="00B24FEC">
              <w:rPr>
                <w:color w:val="000000"/>
              </w:rPr>
              <w:t xml:space="preserve"> </w:t>
            </w:r>
            <w:r w:rsidR="00860BB2">
              <w:rPr>
                <w:color w:val="000000"/>
              </w:rPr>
              <w:t xml:space="preserve"> </w:t>
            </w:r>
            <w:r w:rsidR="00DB68E4">
              <w:rPr>
                <w:color w:val="000000"/>
              </w:rPr>
              <w:t>5,000</w:t>
            </w:r>
          </w:p>
        </w:tc>
        <w:tc>
          <w:tcPr>
            <w:tcW w:w="0" w:type="auto"/>
          </w:tcPr>
          <w:p w:rsidR="00DB68E4" w:rsidRDefault="00DB68E4" w:rsidP="00D24E32">
            <w:r>
              <w:rPr>
                <w:color w:val="000000"/>
              </w:rPr>
              <w:t>L.A</w:t>
            </w:r>
            <w:r w:rsidR="002228A3">
              <w:rPr>
                <w:color w:val="000000"/>
              </w:rPr>
              <w:t xml:space="preserve">. </w:t>
            </w:r>
            <w:r>
              <w:rPr>
                <w:color w:val="000000"/>
              </w:rPr>
              <w:t>Superior Court</w:t>
            </w:r>
          </w:p>
        </w:tc>
      </w:tr>
      <w:tr w:rsidR="00DB68E4" w:rsidTr="0099381E">
        <w:tc>
          <w:tcPr>
            <w:tcW w:w="0" w:type="auto"/>
          </w:tcPr>
          <w:p w:rsidR="00DB68E4" w:rsidRDefault="00DB68E4" w:rsidP="00D24E32">
            <w:r>
              <w:rPr>
                <w:color w:val="000000"/>
              </w:rPr>
              <w:t>111</w:t>
            </w:r>
          </w:p>
        </w:tc>
        <w:tc>
          <w:tcPr>
            <w:tcW w:w="0" w:type="auto"/>
          </w:tcPr>
          <w:p w:rsidR="00DB68E4" w:rsidRDefault="00DB68E4" w:rsidP="00D24E32">
            <w:r>
              <w:rPr>
                <w:color w:val="000000"/>
              </w:rPr>
              <w:t>$1,795.35</w:t>
            </w:r>
          </w:p>
        </w:tc>
        <w:tc>
          <w:tcPr>
            <w:tcW w:w="0" w:type="auto"/>
          </w:tcPr>
          <w:p w:rsidR="00DB68E4" w:rsidRDefault="00DB68E4" w:rsidP="00D24E32">
            <w:r>
              <w:rPr>
                <w:color w:val="000000"/>
              </w:rPr>
              <w:t>$20,000</w:t>
            </w:r>
          </w:p>
        </w:tc>
        <w:tc>
          <w:tcPr>
            <w:tcW w:w="0" w:type="auto"/>
          </w:tcPr>
          <w:p w:rsidR="00DB68E4" w:rsidRDefault="00DB68E4" w:rsidP="00D24E32">
            <w:r>
              <w:rPr>
                <w:color w:val="000000"/>
              </w:rPr>
              <w:t>I</w:t>
            </w:r>
            <w:r w:rsidR="00C714C9">
              <w:rPr>
                <w:color w:val="000000"/>
              </w:rPr>
              <w:t>RS</w:t>
            </w:r>
          </w:p>
        </w:tc>
      </w:tr>
      <w:tr w:rsidR="00DB68E4" w:rsidTr="0099381E">
        <w:tc>
          <w:tcPr>
            <w:tcW w:w="0" w:type="auto"/>
          </w:tcPr>
          <w:p w:rsidR="00DB68E4" w:rsidRDefault="00DB68E4" w:rsidP="00D24E32">
            <w:r>
              <w:rPr>
                <w:color w:val="000000"/>
              </w:rPr>
              <w:t>114</w:t>
            </w:r>
          </w:p>
        </w:tc>
        <w:tc>
          <w:tcPr>
            <w:tcW w:w="0" w:type="auto"/>
          </w:tcPr>
          <w:p w:rsidR="00DB68E4" w:rsidRDefault="00DD7653" w:rsidP="00D24E32">
            <w:r>
              <w:rPr>
                <w:color w:val="000000"/>
              </w:rPr>
              <w:t>$</w:t>
            </w:r>
            <w:r w:rsidR="00C21F2D">
              <w:rPr>
                <w:color w:val="000000"/>
              </w:rPr>
              <w:t xml:space="preserve">   </w:t>
            </w:r>
            <w:r w:rsidR="00DB68E4">
              <w:rPr>
                <w:color w:val="000000"/>
              </w:rPr>
              <w:t>705.84</w:t>
            </w:r>
          </w:p>
        </w:tc>
        <w:tc>
          <w:tcPr>
            <w:tcW w:w="0" w:type="auto"/>
          </w:tcPr>
          <w:p w:rsidR="00DB68E4" w:rsidRDefault="00DB68E4" w:rsidP="00D24E32">
            <w:r>
              <w:rPr>
                <w:color w:val="000000"/>
              </w:rPr>
              <w:t>$  5,000</w:t>
            </w:r>
          </w:p>
        </w:tc>
        <w:tc>
          <w:tcPr>
            <w:tcW w:w="0" w:type="auto"/>
          </w:tcPr>
          <w:p w:rsidR="00DB68E4" w:rsidRDefault="00DB68E4" w:rsidP="00D24E32">
            <w:r>
              <w:rPr>
                <w:color w:val="000000"/>
              </w:rPr>
              <w:t>Franchise Tax Board</w:t>
            </w:r>
          </w:p>
        </w:tc>
      </w:tr>
      <w:tr w:rsidR="00DB68E4" w:rsidTr="0099381E">
        <w:tc>
          <w:tcPr>
            <w:tcW w:w="0" w:type="auto"/>
          </w:tcPr>
          <w:p w:rsidR="00DB68E4" w:rsidRDefault="00DB68E4" w:rsidP="00D24E32">
            <w:r>
              <w:rPr>
                <w:color w:val="000000"/>
              </w:rPr>
              <w:t>116</w:t>
            </w:r>
          </w:p>
        </w:tc>
        <w:tc>
          <w:tcPr>
            <w:tcW w:w="0" w:type="auto"/>
          </w:tcPr>
          <w:p w:rsidR="00DB68E4" w:rsidRDefault="00DB68E4" w:rsidP="00D24E32">
            <w:r>
              <w:rPr>
                <w:color w:val="000000"/>
              </w:rPr>
              <w:t>$</w:t>
            </w:r>
            <w:r w:rsidR="00C21F2D">
              <w:rPr>
                <w:color w:val="000000"/>
              </w:rPr>
              <w:t xml:space="preserve">   </w:t>
            </w:r>
            <w:r>
              <w:rPr>
                <w:color w:val="000000"/>
              </w:rPr>
              <w:t>953.45</w:t>
            </w:r>
          </w:p>
        </w:tc>
        <w:tc>
          <w:tcPr>
            <w:tcW w:w="0" w:type="auto"/>
          </w:tcPr>
          <w:p w:rsidR="00DB68E4" w:rsidRDefault="00DB68E4" w:rsidP="00D24E32">
            <w:r>
              <w:rPr>
                <w:color w:val="000000"/>
              </w:rPr>
              <w:t>$  5,000</w:t>
            </w:r>
          </w:p>
        </w:tc>
        <w:tc>
          <w:tcPr>
            <w:tcW w:w="0" w:type="auto"/>
          </w:tcPr>
          <w:p w:rsidR="00DB68E4" w:rsidRDefault="007753AE" w:rsidP="00D24E32">
            <w:r>
              <w:t>IRS</w:t>
            </w:r>
          </w:p>
        </w:tc>
      </w:tr>
      <w:tr w:rsidR="00DB68E4" w:rsidTr="0099381E">
        <w:tc>
          <w:tcPr>
            <w:tcW w:w="0" w:type="auto"/>
          </w:tcPr>
          <w:p w:rsidR="00DB68E4" w:rsidRDefault="00DB68E4" w:rsidP="00D24E32">
            <w:r>
              <w:rPr>
                <w:color w:val="000000"/>
              </w:rPr>
              <w:t>117</w:t>
            </w:r>
          </w:p>
        </w:tc>
        <w:tc>
          <w:tcPr>
            <w:tcW w:w="0" w:type="auto"/>
          </w:tcPr>
          <w:p w:rsidR="00DB68E4" w:rsidRDefault="00DB68E4" w:rsidP="00D24E32">
            <w:r>
              <w:rPr>
                <w:color w:val="000000"/>
              </w:rPr>
              <w:t>$</w:t>
            </w:r>
            <w:r w:rsidR="00C21F2D">
              <w:rPr>
                <w:color w:val="000000"/>
              </w:rPr>
              <w:t xml:space="preserve">   </w:t>
            </w:r>
            <w:r>
              <w:rPr>
                <w:color w:val="000000"/>
              </w:rPr>
              <w:t>378.93</w:t>
            </w:r>
          </w:p>
        </w:tc>
        <w:tc>
          <w:tcPr>
            <w:tcW w:w="0" w:type="auto"/>
          </w:tcPr>
          <w:p w:rsidR="00DB68E4" w:rsidRDefault="00DB68E4" w:rsidP="00D24E32">
            <w:r>
              <w:rPr>
                <w:color w:val="000000"/>
              </w:rPr>
              <w:t>$</w:t>
            </w:r>
            <w:r w:rsidR="00B24FEC">
              <w:rPr>
                <w:color w:val="000000"/>
              </w:rPr>
              <w:t>1</w:t>
            </w:r>
            <w:r>
              <w:rPr>
                <w:color w:val="000000"/>
              </w:rPr>
              <w:t>0,000</w:t>
            </w:r>
          </w:p>
        </w:tc>
        <w:tc>
          <w:tcPr>
            <w:tcW w:w="0" w:type="auto"/>
          </w:tcPr>
          <w:p w:rsidR="00DB68E4" w:rsidRDefault="00DB68E4" w:rsidP="00D24E32">
            <w:r>
              <w:rPr>
                <w:color w:val="000000"/>
              </w:rPr>
              <w:t>Franchise Tax Board</w:t>
            </w:r>
          </w:p>
        </w:tc>
      </w:tr>
      <w:tr w:rsidR="00DB68E4" w:rsidTr="0099381E">
        <w:tc>
          <w:tcPr>
            <w:tcW w:w="0" w:type="auto"/>
          </w:tcPr>
          <w:p w:rsidR="00DB68E4" w:rsidRDefault="00DB68E4" w:rsidP="00D24E32">
            <w:pPr>
              <w:ind w:right="440"/>
            </w:pPr>
            <w:r>
              <w:rPr>
                <w:color w:val="000000"/>
              </w:rPr>
              <w:t>118</w:t>
            </w:r>
          </w:p>
        </w:tc>
        <w:tc>
          <w:tcPr>
            <w:tcW w:w="0" w:type="auto"/>
          </w:tcPr>
          <w:p w:rsidR="00DB68E4" w:rsidRDefault="00DB68E4" w:rsidP="00D24E32">
            <w:r>
              <w:rPr>
                <w:color w:val="000000"/>
              </w:rPr>
              <w:t>$</w:t>
            </w:r>
            <w:r w:rsidR="006A6A77">
              <w:rPr>
                <w:color w:val="000000"/>
              </w:rPr>
              <w:t xml:space="preserve">   </w:t>
            </w:r>
            <w:r>
              <w:rPr>
                <w:color w:val="000000"/>
              </w:rPr>
              <w:t>236.45</w:t>
            </w:r>
          </w:p>
        </w:tc>
        <w:tc>
          <w:tcPr>
            <w:tcW w:w="0" w:type="auto"/>
          </w:tcPr>
          <w:p w:rsidR="00DB68E4" w:rsidRDefault="00DB68E4" w:rsidP="00D24E32">
            <w:r>
              <w:rPr>
                <w:color w:val="000000"/>
              </w:rPr>
              <w:t>$10,006</w:t>
            </w:r>
          </w:p>
        </w:tc>
        <w:tc>
          <w:tcPr>
            <w:tcW w:w="0" w:type="auto"/>
          </w:tcPr>
          <w:p w:rsidR="00DB68E4" w:rsidRDefault="00DB68E4" w:rsidP="00D24E32">
            <w:r>
              <w:rPr>
                <w:color w:val="000000"/>
              </w:rPr>
              <w:t>USAA Insurance</w:t>
            </w:r>
          </w:p>
        </w:tc>
      </w:tr>
      <w:tr w:rsidR="00DB68E4" w:rsidTr="0099381E">
        <w:tc>
          <w:tcPr>
            <w:tcW w:w="0" w:type="auto"/>
          </w:tcPr>
          <w:p w:rsidR="00DB68E4" w:rsidRDefault="00DB68E4" w:rsidP="00D24E32">
            <w:r>
              <w:rPr>
                <w:color w:val="000000"/>
              </w:rPr>
              <w:t>119</w:t>
            </w:r>
          </w:p>
        </w:tc>
        <w:tc>
          <w:tcPr>
            <w:tcW w:w="0" w:type="auto"/>
          </w:tcPr>
          <w:p w:rsidR="00DB68E4" w:rsidRDefault="00DB68E4" w:rsidP="00D24E32">
            <w:r>
              <w:rPr>
                <w:color w:val="000000"/>
              </w:rPr>
              <w:t>$</w:t>
            </w:r>
            <w:r w:rsidR="006A6A77">
              <w:rPr>
                <w:color w:val="000000"/>
              </w:rPr>
              <w:t xml:space="preserve">  </w:t>
            </w:r>
            <w:r>
              <w:rPr>
                <w:color w:val="000000"/>
              </w:rPr>
              <w:t>435.00</w:t>
            </w:r>
          </w:p>
        </w:tc>
        <w:tc>
          <w:tcPr>
            <w:tcW w:w="0" w:type="auto"/>
          </w:tcPr>
          <w:p w:rsidR="00DB68E4" w:rsidRDefault="00DB68E4" w:rsidP="00D24E32">
            <w:r>
              <w:rPr>
                <w:color w:val="000000"/>
              </w:rPr>
              <w:t>$</w:t>
            </w:r>
            <w:r w:rsidR="00B91C63">
              <w:rPr>
                <w:color w:val="000000"/>
              </w:rPr>
              <w:t xml:space="preserve">  </w:t>
            </w:r>
            <w:r>
              <w:rPr>
                <w:color w:val="000000"/>
              </w:rPr>
              <w:t>1,500</w:t>
            </w:r>
          </w:p>
        </w:tc>
        <w:tc>
          <w:tcPr>
            <w:tcW w:w="0" w:type="auto"/>
          </w:tcPr>
          <w:p w:rsidR="00DB68E4" w:rsidRDefault="00DB68E4" w:rsidP="00D24E32">
            <w:r>
              <w:rPr>
                <w:color w:val="000000"/>
              </w:rPr>
              <w:t>USAA Insurance</w:t>
            </w:r>
          </w:p>
        </w:tc>
      </w:tr>
      <w:tr w:rsidR="00DB68E4" w:rsidTr="0099381E">
        <w:tc>
          <w:tcPr>
            <w:tcW w:w="0" w:type="auto"/>
          </w:tcPr>
          <w:p w:rsidR="00DB68E4" w:rsidRDefault="00DB68E4" w:rsidP="00D24E32">
            <w:r>
              <w:rPr>
                <w:color w:val="000000"/>
              </w:rPr>
              <w:t>123</w:t>
            </w:r>
          </w:p>
        </w:tc>
        <w:tc>
          <w:tcPr>
            <w:tcW w:w="0" w:type="auto"/>
          </w:tcPr>
          <w:p w:rsidR="00DB68E4" w:rsidRDefault="00DB68E4" w:rsidP="00D24E32">
            <w:r>
              <w:rPr>
                <w:color w:val="000000"/>
              </w:rPr>
              <w:t>$</w:t>
            </w:r>
            <w:r w:rsidR="006A6A77">
              <w:rPr>
                <w:color w:val="000000"/>
              </w:rPr>
              <w:t xml:space="preserve">  </w:t>
            </w:r>
            <w:r>
              <w:rPr>
                <w:color w:val="000000"/>
              </w:rPr>
              <w:t>375.00</w:t>
            </w:r>
          </w:p>
        </w:tc>
        <w:tc>
          <w:tcPr>
            <w:tcW w:w="0" w:type="auto"/>
          </w:tcPr>
          <w:p w:rsidR="00DB68E4" w:rsidRDefault="00DB68E4" w:rsidP="00D24E32">
            <w:r>
              <w:rPr>
                <w:color w:val="000000"/>
              </w:rPr>
              <w:t>$</w:t>
            </w:r>
            <w:r w:rsidR="00F96A35">
              <w:rPr>
                <w:color w:val="000000"/>
              </w:rPr>
              <w:t xml:space="preserve">  </w:t>
            </w:r>
            <w:r>
              <w:rPr>
                <w:color w:val="000000"/>
              </w:rPr>
              <w:t>5,000</w:t>
            </w:r>
          </w:p>
        </w:tc>
        <w:tc>
          <w:tcPr>
            <w:tcW w:w="0" w:type="auto"/>
          </w:tcPr>
          <w:p w:rsidR="00DB68E4" w:rsidRDefault="00DB68E4" w:rsidP="00D24E32">
            <w:r>
              <w:rPr>
                <w:color w:val="000000"/>
              </w:rPr>
              <w:t>L</w:t>
            </w:r>
            <w:r w:rsidR="00086546">
              <w:rPr>
                <w:color w:val="000000"/>
              </w:rPr>
              <w:t>.</w:t>
            </w:r>
            <w:r>
              <w:rPr>
                <w:color w:val="000000"/>
              </w:rPr>
              <w:t xml:space="preserve"> A</w:t>
            </w:r>
            <w:r w:rsidR="00086546">
              <w:rPr>
                <w:color w:val="000000"/>
              </w:rPr>
              <w:t>.</w:t>
            </w:r>
            <w:r>
              <w:rPr>
                <w:color w:val="000000"/>
              </w:rPr>
              <w:t xml:space="preserve"> County Tax Collector</w:t>
            </w:r>
          </w:p>
        </w:tc>
      </w:tr>
      <w:tr w:rsidR="00DB68E4" w:rsidTr="0099381E">
        <w:tc>
          <w:tcPr>
            <w:tcW w:w="0" w:type="auto"/>
          </w:tcPr>
          <w:p w:rsidR="00DB68E4" w:rsidRDefault="00DB68E4" w:rsidP="00D24E32">
            <w:r>
              <w:rPr>
                <w:color w:val="000000"/>
              </w:rPr>
              <w:t>124</w:t>
            </w:r>
          </w:p>
        </w:tc>
        <w:tc>
          <w:tcPr>
            <w:tcW w:w="0" w:type="auto"/>
          </w:tcPr>
          <w:p w:rsidR="00DB68E4" w:rsidRDefault="00DB68E4" w:rsidP="00D24E32">
            <w:r>
              <w:rPr>
                <w:color w:val="000000"/>
              </w:rPr>
              <w:t>$</w:t>
            </w:r>
            <w:r w:rsidR="006A6A77">
              <w:rPr>
                <w:color w:val="000000"/>
              </w:rPr>
              <w:t xml:space="preserve">  </w:t>
            </w:r>
            <w:r>
              <w:rPr>
                <w:color w:val="000000"/>
              </w:rPr>
              <w:t>561.23</w:t>
            </w:r>
          </w:p>
        </w:tc>
        <w:tc>
          <w:tcPr>
            <w:tcW w:w="0" w:type="auto"/>
          </w:tcPr>
          <w:p w:rsidR="00DB68E4" w:rsidRDefault="00DB68E4" w:rsidP="00D24E32">
            <w:r>
              <w:rPr>
                <w:color w:val="000000"/>
              </w:rPr>
              <w:t>$</w:t>
            </w:r>
            <w:r w:rsidR="00F96A35">
              <w:rPr>
                <w:color w:val="000000"/>
              </w:rPr>
              <w:t xml:space="preserve">  </w:t>
            </w:r>
            <w:r>
              <w:rPr>
                <w:color w:val="000000"/>
              </w:rPr>
              <w:t>5,000</w:t>
            </w:r>
          </w:p>
        </w:tc>
        <w:tc>
          <w:tcPr>
            <w:tcW w:w="0" w:type="auto"/>
          </w:tcPr>
          <w:p w:rsidR="00DB68E4" w:rsidRDefault="00DB68E4" w:rsidP="00D24E32">
            <w:r>
              <w:rPr>
                <w:color w:val="000000"/>
              </w:rPr>
              <w:t>L</w:t>
            </w:r>
            <w:r w:rsidR="00086546">
              <w:rPr>
                <w:color w:val="000000"/>
              </w:rPr>
              <w:t>.</w:t>
            </w:r>
            <w:r>
              <w:rPr>
                <w:color w:val="000000"/>
              </w:rPr>
              <w:t xml:space="preserve"> A</w:t>
            </w:r>
            <w:r w:rsidR="00086546">
              <w:rPr>
                <w:color w:val="000000"/>
              </w:rPr>
              <w:t>.</w:t>
            </w:r>
            <w:r>
              <w:rPr>
                <w:color w:val="000000"/>
              </w:rPr>
              <w:t xml:space="preserve"> County Tax Collector</w:t>
            </w:r>
          </w:p>
        </w:tc>
      </w:tr>
      <w:tr w:rsidR="00DB68E4" w:rsidTr="0099381E">
        <w:tc>
          <w:tcPr>
            <w:tcW w:w="0" w:type="auto"/>
          </w:tcPr>
          <w:p w:rsidR="00DB68E4" w:rsidRDefault="00DB68E4" w:rsidP="00D24E32">
            <w:r>
              <w:rPr>
                <w:color w:val="000000"/>
              </w:rPr>
              <w:t>125</w:t>
            </w:r>
          </w:p>
        </w:tc>
        <w:tc>
          <w:tcPr>
            <w:tcW w:w="0" w:type="auto"/>
          </w:tcPr>
          <w:p w:rsidR="00DB68E4" w:rsidRDefault="00DB68E4" w:rsidP="00D24E32">
            <w:r>
              <w:rPr>
                <w:color w:val="000000"/>
              </w:rPr>
              <w:t>$</w:t>
            </w:r>
            <w:r w:rsidR="006A6A77">
              <w:rPr>
                <w:color w:val="000000"/>
              </w:rPr>
              <w:t xml:space="preserve">    </w:t>
            </w:r>
            <w:r>
              <w:rPr>
                <w:color w:val="000000"/>
              </w:rPr>
              <w:t>56.00</w:t>
            </w:r>
          </w:p>
        </w:tc>
        <w:tc>
          <w:tcPr>
            <w:tcW w:w="0" w:type="auto"/>
          </w:tcPr>
          <w:p w:rsidR="00DB68E4" w:rsidRDefault="00DB68E4" w:rsidP="00D24E32">
            <w:r>
              <w:rPr>
                <w:color w:val="000000"/>
              </w:rPr>
              <w:t>$</w:t>
            </w:r>
            <w:r w:rsidR="00F96A35">
              <w:rPr>
                <w:color w:val="000000"/>
              </w:rPr>
              <w:t xml:space="preserve">  </w:t>
            </w:r>
            <w:r>
              <w:rPr>
                <w:color w:val="000000"/>
              </w:rPr>
              <w:t>8,000</w:t>
            </w:r>
          </w:p>
        </w:tc>
        <w:tc>
          <w:tcPr>
            <w:tcW w:w="0" w:type="auto"/>
          </w:tcPr>
          <w:p w:rsidR="00DB68E4" w:rsidRDefault="00DB68E4" w:rsidP="00D24E32">
            <w:r>
              <w:rPr>
                <w:color w:val="000000"/>
              </w:rPr>
              <w:t>L</w:t>
            </w:r>
            <w:r w:rsidR="00086546">
              <w:rPr>
                <w:color w:val="000000"/>
              </w:rPr>
              <w:t>.</w:t>
            </w:r>
            <w:r>
              <w:rPr>
                <w:color w:val="000000"/>
              </w:rPr>
              <w:t xml:space="preserve"> A</w:t>
            </w:r>
            <w:r w:rsidR="00086546">
              <w:rPr>
                <w:color w:val="000000"/>
              </w:rPr>
              <w:t>.</w:t>
            </w:r>
            <w:r>
              <w:rPr>
                <w:color w:val="000000"/>
              </w:rPr>
              <w:t xml:space="preserve"> County Superior Court</w:t>
            </w:r>
          </w:p>
        </w:tc>
      </w:tr>
      <w:tr w:rsidR="00DB68E4" w:rsidTr="0099381E">
        <w:tc>
          <w:tcPr>
            <w:tcW w:w="0" w:type="auto"/>
          </w:tcPr>
          <w:p w:rsidR="00DB68E4" w:rsidRDefault="00DB68E4" w:rsidP="00D24E32">
            <w:r>
              <w:rPr>
                <w:color w:val="000000"/>
              </w:rPr>
              <w:t>130</w:t>
            </w:r>
          </w:p>
        </w:tc>
        <w:tc>
          <w:tcPr>
            <w:tcW w:w="0" w:type="auto"/>
          </w:tcPr>
          <w:p w:rsidR="00DB68E4" w:rsidRDefault="00DB68E4" w:rsidP="00D24E32">
            <w:r>
              <w:rPr>
                <w:color w:val="000000"/>
              </w:rPr>
              <w:t>$</w:t>
            </w:r>
            <w:r w:rsidR="006A6A77">
              <w:rPr>
                <w:color w:val="000000"/>
              </w:rPr>
              <w:t xml:space="preserve">   </w:t>
            </w:r>
            <w:r>
              <w:rPr>
                <w:color w:val="000000"/>
              </w:rPr>
              <w:t>267.00</w:t>
            </w:r>
          </w:p>
        </w:tc>
        <w:tc>
          <w:tcPr>
            <w:tcW w:w="0" w:type="auto"/>
          </w:tcPr>
          <w:p w:rsidR="00DB68E4" w:rsidRDefault="00DB68E4" w:rsidP="00D24E32">
            <w:r>
              <w:rPr>
                <w:color w:val="000000"/>
              </w:rPr>
              <w:t>$</w:t>
            </w:r>
            <w:r w:rsidR="00F96A35">
              <w:rPr>
                <w:color w:val="000000"/>
              </w:rPr>
              <w:t xml:space="preserve">  </w:t>
            </w:r>
            <w:r>
              <w:rPr>
                <w:color w:val="000000"/>
              </w:rPr>
              <w:t>1,000</w:t>
            </w:r>
          </w:p>
        </w:tc>
        <w:tc>
          <w:tcPr>
            <w:tcW w:w="0" w:type="auto"/>
          </w:tcPr>
          <w:p w:rsidR="00DB68E4" w:rsidRDefault="00DB68E4" w:rsidP="00D24E32">
            <w:r>
              <w:rPr>
                <w:color w:val="000000"/>
              </w:rPr>
              <w:t xml:space="preserve">USAA Insurance </w:t>
            </w:r>
          </w:p>
        </w:tc>
      </w:tr>
      <w:tr w:rsidR="00DB68E4" w:rsidTr="0099381E">
        <w:tc>
          <w:tcPr>
            <w:tcW w:w="0" w:type="auto"/>
          </w:tcPr>
          <w:p w:rsidR="00DB68E4" w:rsidRDefault="00DB68E4" w:rsidP="00D24E32">
            <w:r>
              <w:rPr>
                <w:color w:val="000000"/>
              </w:rPr>
              <w:t>132</w:t>
            </w:r>
          </w:p>
        </w:tc>
        <w:tc>
          <w:tcPr>
            <w:tcW w:w="0" w:type="auto"/>
          </w:tcPr>
          <w:p w:rsidR="00DB68E4" w:rsidRDefault="00DB68E4" w:rsidP="00D24E32">
            <w:r>
              <w:rPr>
                <w:color w:val="000000"/>
              </w:rPr>
              <w:t>$</w:t>
            </w:r>
            <w:r w:rsidR="006A6A77">
              <w:rPr>
                <w:color w:val="000000"/>
              </w:rPr>
              <w:t xml:space="preserve">    </w:t>
            </w:r>
            <w:r>
              <w:rPr>
                <w:color w:val="000000"/>
              </w:rPr>
              <w:t>80.95</w:t>
            </w:r>
          </w:p>
        </w:tc>
        <w:tc>
          <w:tcPr>
            <w:tcW w:w="0" w:type="auto"/>
          </w:tcPr>
          <w:p w:rsidR="00DB68E4" w:rsidRDefault="00DB68E4" w:rsidP="00D24E32">
            <w:r>
              <w:rPr>
                <w:color w:val="000000"/>
              </w:rPr>
              <w:t>$</w:t>
            </w:r>
            <w:r w:rsidR="00F96A35">
              <w:rPr>
                <w:color w:val="000000"/>
              </w:rPr>
              <w:t xml:space="preserve">  </w:t>
            </w:r>
            <w:r>
              <w:rPr>
                <w:color w:val="000000"/>
              </w:rPr>
              <w:t>5,000</w:t>
            </w:r>
          </w:p>
        </w:tc>
        <w:tc>
          <w:tcPr>
            <w:tcW w:w="0" w:type="auto"/>
          </w:tcPr>
          <w:p w:rsidR="00DB68E4" w:rsidRDefault="00DB68E4" w:rsidP="00D24E32">
            <w:r>
              <w:rPr>
                <w:color w:val="000000"/>
              </w:rPr>
              <w:t xml:space="preserve">USAA Insurance </w:t>
            </w:r>
          </w:p>
        </w:tc>
      </w:tr>
      <w:tr w:rsidR="00DB68E4" w:rsidTr="0099381E">
        <w:tc>
          <w:tcPr>
            <w:tcW w:w="0" w:type="auto"/>
          </w:tcPr>
          <w:p w:rsidR="00DB68E4" w:rsidRDefault="00DB68E4" w:rsidP="00D24E32">
            <w:r>
              <w:rPr>
                <w:color w:val="000000"/>
              </w:rPr>
              <w:t>133</w:t>
            </w:r>
          </w:p>
        </w:tc>
        <w:tc>
          <w:tcPr>
            <w:tcW w:w="0" w:type="auto"/>
          </w:tcPr>
          <w:p w:rsidR="00DB68E4" w:rsidRDefault="00DB68E4" w:rsidP="00D24E32">
            <w:r>
              <w:rPr>
                <w:color w:val="000000"/>
              </w:rPr>
              <w:t>$1,500</w:t>
            </w:r>
          </w:p>
        </w:tc>
        <w:tc>
          <w:tcPr>
            <w:tcW w:w="0" w:type="auto"/>
          </w:tcPr>
          <w:p w:rsidR="00DB68E4" w:rsidRDefault="00DB68E4" w:rsidP="00D24E32">
            <w:r>
              <w:rPr>
                <w:color w:val="000000"/>
              </w:rPr>
              <w:t>$</w:t>
            </w:r>
            <w:r w:rsidR="00F96A35">
              <w:rPr>
                <w:color w:val="000000"/>
              </w:rPr>
              <w:t xml:space="preserve">  </w:t>
            </w:r>
            <w:r>
              <w:rPr>
                <w:color w:val="000000"/>
              </w:rPr>
              <w:t>2,000</w:t>
            </w:r>
          </w:p>
        </w:tc>
        <w:tc>
          <w:tcPr>
            <w:tcW w:w="0" w:type="auto"/>
          </w:tcPr>
          <w:p w:rsidR="00DB68E4" w:rsidRDefault="00086546" w:rsidP="00D24E32">
            <w:r>
              <w:t>IRS</w:t>
            </w:r>
          </w:p>
        </w:tc>
      </w:tr>
      <w:tr w:rsidR="00DB68E4" w:rsidTr="0099381E">
        <w:tc>
          <w:tcPr>
            <w:tcW w:w="0" w:type="auto"/>
          </w:tcPr>
          <w:p w:rsidR="00DB68E4" w:rsidRDefault="00DB68E4" w:rsidP="00D24E32">
            <w:r>
              <w:rPr>
                <w:color w:val="000000"/>
              </w:rPr>
              <w:t>134</w:t>
            </w:r>
          </w:p>
        </w:tc>
        <w:tc>
          <w:tcPr>
            <w:tcW w:w="0" w:type="auto"/>
          </w:tcPr>
          <w:p w:rsidR="00DB68E4" w:rsidRDefault="00DB68E4" w:rsidP="00D24E32">
            <w:r>
              <w:rPr>
                <w:color w:val="000000"/>
              </w:rPr>
              <w:t>$</w:t>
            </w:r>
            <w:r w:rsidR="006A6A77">
              <w:rPr>
                <w:color w:val="000000"/>
              </w:rPr>
              <w:t xml:space="preserve">    </w:t>
            </w:r>
            <w:r>
              <w:rPr>
                <w:color w:val="000000"/>
              </w:rPr>
              <w:t>91.36</w:t>
            </w:r>
          </w:p>
        </w:tc>
        <w:tc>
          <w:tcPr>
            <w:tcW w:w="0" w:type="auto"/>
          </w:tcPr>
          <w:p w:rsidR="00DB68E4" w:rsidRDefault="00DB68E4" w:rsidP="00D24E32">
            <w:r>
              <w:rPr>
                <w:color w:val="000000"/>
              </w:rPr>
              <w:t>$</w:t>
            </w:r>
            <w:r w:rsidR="00F96A35">
              <w:rPr>
                <w:color w:val="000000"/>
              </w:rPr>
              <w:t xml:space="preserve">  </w:t>
            </w:r>
            <w:r>
              <w:rPr>
                <w:color w:val="000000"/>
              </w:rPr>
              <w:t>3,000</w:t>
            </w:r>
          </w:p>
        </w:tc>
        <w:tc>
          <w:tcPr>
            <w:tcW w:w="0" w:type="auto"/>
          </w:tcPr>
          <w:p w:rsidR="00DB68E4" w:rsidRDefault="00086546" w:rsidP="00D24E32">
            <w:r>
              <w:t>IRS</w:t>
            </w:r>
          </w:p>
        </w:tc>
      </w:tr>
      <w:tr w:rsidR="00DB68E4" w:rsidTr="0099381E">
        <w:tc>
          <w:tcPr>
            <w:tcW w:w="0" w:type="auto"/>
          </w:tcPr>
          <w:p w:rsidR="00DB68E4" w:rsidRDefault="00DB68E4" w:rsidP="00D24E32">
            <w:r>
              <w:rPr>
                <w:color w:val="000000"/>
              </w:rPr>
              <w:t>141</w:t>
            </w:r>
          </w:p>
        </w:tc>
        <w:tc>
          <w:tcPr>
            <w:tcW w:w="0" w:type="auto"/>
          </w:tcPr>
          <w:p w:rsidR="00DB68E4" w:rsidRDefault="00DB68E4" w:rsidP="00D24E32">
            <w:r>
              <w:rPr>
                <w:color w:val="000000"/>
              </w:rPr>
              <w:t>$1,500</w:t>
            </w:r>
          </w:p>
        </w:tc>
        <w:tc>
          <w:tcPr>
            <w:tcW w:w="0" w:type="auto"/>
          </w:tcPr>
          <w:p w:rsidR="00DB68E4" w:rsidRDefault="00DB68E4" w:rsidP="00D24E32">
            <w:r>
              <w:rPr>
                <w:color w:val="000000"/>
              </w:rPr>
              <w:t>$</w:t>
            </w:r>
            <w:r w:rsidR="00F96A35">
              <w:rPr>
                <w:color w:val="000000"/>
              </w:rPr>
              <w:t xml:space="preserve">  </w:t>
            </w:r>
            <w:r>
              <w:rPr>
                <w:color w:val="000000"/>
              </w:rPr>
              <w:t>5,000</w:t>
            </w:r>
          </w:p>
        </w:tc>
        <w:tc>
          <w:tcPr>
            <w:tcW w:w="0" w:type="auto"/>
          </w:tcPr>
          <w:p w:rsidR="00DB68E4" w:rsidRDefault="00086546" w:rsidP="00D24E32">
            <w:r>
              <w:t>IRS</w:t>
            </w:r>
          </w:p>
        </w:tc>
      </w:tr>
      <w:tr w:rsidR="00DB68E4" w:rsidTr="0099381E">
        <w:tc>
          <w:tcPr>
            <w:tcW w:w="0" w:type="auto"/>
          </w:tcPr>
          <w:p w:rsidR="00DB68E4" w:rsidRDefault="00DB68E4" w:rsidP="00D24E32">
            <w:r>
              <w:rPr>
                <w:color w:val="000000"/>
              </w:rPr>
              <w:t>142</w:t>
            </w:r>
          </w:p>
        </w:tc>
        <w:tc>
          <w:tcPr>
            <w:tcW w:w="0" w:type="auto"/>
          </w:tcPr>
          <w:p w:rsidR="00DB68E4" w:rsidRDefault="00DB68E4" w:rsidP="00D24E32">
            <w:r>
              <w:rPr>
                <w:color w:val="000000"/>
              </w:rPr>
              <w:t>$1,500</w:t>
            </w:r>
          </w:p>
        </w:tc>
        <w:tc>
          <w:tcPr>
            <w:tcW w:w="0" w:type="auto"/>
          </w:tcPr>
          <w:p w:rsidR="00DB68E4" w:rsidRDefault="00DB68E4" w:rsidP="00D24E32">
            <w:r>
              <w:rPr>
                <w:color w:val="000000"/>
              </w:rPr>
              <w:t>$</w:t>
            </w:r>
            <w:r w:rsidR="00F96A35">
              <w:rPr>
                <w:color w:val="000000"/>
              </w:rPr>
              <w:t xml:space="preserve">  </w:t>
            </w:r>
            <w:r>
              <w:rPr>
                <w:color w:val="000000"/>
              </w:rPr>
              <w:t>8,000</w:t>
            </w:r>
          </w:p>
        </w:tc>
        <w:tc>
          <w:tcPr>
            <w:tcW w:w="0" w:type="auto"/>
          </w:tcPr>
          <w:p w:rsidR="00DB68E4" w:rsidRDefault="00086546" w:rsidP="00D24E32">
            <w:r>
              <w:t>IRS</w:t>
            </w:r>
          </w:p>
        </w:tc>
      </w:tr>
      <w:tr w:rsidR="00AB0073" w:rsidTr="0099381E">
        <w:tc>
          <w:tcPr>
            <w:tcW w:w="0" w:type="auto"/>
          </w:tcPr>
          <w:p w:rsidR="00AB0073" w:rsidRDefault="00AB0073" w:rsidP="00D24E32">
            <w:pPr>
              <w:rPr>
                <w:color w:val="000000"/>
              </w:rPr>
            </w:pPr>
            <w:r>
              <w:rPr>
                <w:color w:val="000000"/>
              </w:rPr>
              <w:t>159</w:t>
            </w:r>
          </w:p>
        </w:tc>
        <w:tc>
          <w:tcPr>
            <w:tcW w:w="0" w:type="auto"/>
          </w:tcPr>
          <w:p w:rsidR="00AB0073" w:rsidRDefault="00AB0073" w:rsidP="00D24E32">
            <w:pPr>
              <w:rPr>
                <w:color w:val="000000"/>
              </w:rPr>
            </w:pPr>
            <w:r>
              <w:rPr>
                <w:color w:val="000000"/>
              </w:rPr>
              <w:t>$1,500</w:t>
            </w:r>
          </w:p>
        </w:tc>
        <w:tc>
          <w:tcPr>
            <w:tcW w:w="0" w:type="auto"/>
          </w:tcPr>
          <w:p w:rsidR="00AB0073" w:rsidRDefault="00AB0073" w:rsidP="00D24E32">
            <w:pPr>
              <w:rPr>
                <w:color w:val="000000"/>
              </w:rPr>
            </w:pPr>
            <w:r>
              <w:rPr>
                <w:color w:val="000000"/>
              </w:rPr>
              <w:t>$     500</w:t>
            </w:r>
          </w:p>
        </w:tc>
        <w:tc>
          <w:tcPr>
            <w:tcW w:w="0" w:type="auto"/>
          </w:tcPr>
          <w:p w:rsidR="00AB0073" w:rsidRDefault="00AB0073" w:rsidP="00D24E32">
            <w:r>
              <w:t>IRS</w:t>
            </w:r>
          </w:p>
        </w:tc>
      </w:tr>
      <w:tr w:rsidR="00DB68E4" w:rsidTr="0099381E">
        <w:tc>
          <w:tcPr>
            <w:tcW w:w="0" w:type="auto"/>
          </w:tcPr>
          <w:p w:rsidR="00DB68E4" w:rsidRDefault="00DB68E4" w:rsidP="00D24E32">
            <w:r>
              <w:rPr>
                <w:color w:val="000000"/>
              </w:rPr>
              <w:t>176</w:t>
            </w:r>
          </w:p>
        </w:tc>
        <w:tc>
          <w:tcPr>
            <w:tcW w:w="0" w:type="auto"/>
          </w:tcPr>
          <w:p w:rsidR="00DB68E4" w:rsidRDefault="00DB68E4" w:rsidP="00D24E32">
            <w:r>
              <w:rPr>
                <w:color w:val="000000"/>
              </w:rPr>
              <w:t>$</w:t>
            </w:r>
            <w:r w:rsidR="006A6A77">
              <w:rPr>
                <w:color w:val="000000"/>
              </w:rPr>
              <w:t xml:space="preserve">   </w:t>
            </w:r>
            <w:r>
              <w:rPr>
                <w:color w:val="000000"/>
              </w:rPr>
              <w:t>786.89</w:t>
            </w:r>
          </w:p>
        </w:tc>
        <w:tc>
          <w:tcPr>
            <w:tcW w:w="0" w:type="auto"/>
          </w:tcPr>
          <w:p w:rsidR="00DB68E4" w:rsidRDefault="00C44875" w:rsidP="00D24E32">
            <w:r>
              <w:rPr>
                <w:color w:val="000000"/>
              </w:rPr>
              <w:t>$</w:t>
            </w:r>
            <w:r w:rsidR="00DB68E4">
              <w:rPr>
                <w:color w:val="000000"/>
              </w:rPr>
              <w:t>30,000</w:t>
            </w:r>
          </w:p>
        </w:tc>
        <w:tc>
          <w:tcPr>
            <w:tcW w:w="0" w:type="auto"/>
          </w:tcPr>
          <w:p w:rsidR="00DB68E4" w:rsidRDefault="00086546" w:rsidP="00D24E32">
            <w:r>
              <w:t>IRS</w:t>
            </w:r>
          </w:p>
        </w:tc>
      </w:tr>
      <w:tr w:rsidR="00DB68E4" w:rsidTr="0099381E">
        <w:tc>
          <w:tcPr>
            <w:tcW w:w="0" w:type="auto"/>
          </w:tcPr>
          <w:p w:rsidR="00DB68E4" w:rsidRDefault="00DB68E4" w:rsidP="00D24E32">
            <w:r>
              <w:rPr>
                <w:color w:val="000000"/>
              </w:rPr>
              <w:t>Total</w:t>
            </w:r>
          </w:p>
        </w:tc>
        <w:tc>
          <w:tcPr>
            <w:tcW w:w="0" w:type="auto"/>
          </w:tcPr>
          <w:p w:rsidR="00DB68E4" w:rsidRDefault="00DB68E4" w:rsidP="00D24E32">
            <w:r>
              <w:rPr>
                <w:color w:val="000000"/>
              </w:rPr>
              <w:t>$14,311.45</w:t>
            </w:r>
          </w:p>
        </w:tc>
        <w:tc>
          <w:tcPr>
            <w:tcW w:w="0" w:type="auto"/>
          </w:tcPr>
          <w:p w:rsidR="00DB68E4" w:rsidRDefault="00DB68E4" w:rsidP="00D24E32">
            <w:r>
              <w:rPr>
                <w:color w:val="000000"/>
              </w:rPr>
              <w:t>$144,006</w:t>
            </w:r>
          </w:p>
        </w:tc>
        <w:tc>
          <w:tcPr>
            <w:tcW w:w="0" w:type="auto"/>
          </w:tcPr>
          <w:p w:rsidR="00DB68E4" w:rsidRDefault="00DB68E4" w:rsidP="00D24E32"/>
        </w:tc>
      </w:tr>
    </w:tbl>
    <w:p w:rsidR="001F21B2" w:rsidRPr="001F21B2" w:rsidRDefault="001F21B2" w:rsidP="001F21B2">
      <w:pPr>
        <w:spacing w:line="480" w:lineRule="auto"/>
      </w:pPr>
    </w:p>
    <w:p w:rsidR="00DB68E4" w:rsidRDefault="008456AA" w:rsidP="00DB68E4">
      <w:pPr>
        <w:spacing w:line="480" w:lineRule="auto"/>
      </w:pPr>
      <w:r>
        <w:rPr>
          <w:color w:val="000000"/>
        </w:rPr>
        <w:tab/>
      </w:r>
      <w:r w:rsidR="00DB68E4">
        <w:rPr>
          <w:color w:val="000000"/>
        </w:rPr>
        <w:t xml:space="preserve">On October 6, 2006, </w:t>
      </w:r>
      <w:r w:rsidR="002228A3">
        <w:rPr>
          <w:color w:val="000000"/>
        </w:rPr>
        <w:t>respondent</w:t>
      </w:r>
      <w:r w:rsidR="00DB68E4">
        <w:rPr>
          <w:color w:val="000000"/>
        </w:rPr>
        <w:t xml:space="preserve"> filed a request for payment of $17,392.24 as his statutory compensation from the estate and </w:t>
      </w:r>
      <w:r>
        <w:rPr>
          <w:color w:val="000000"/>
        </w:rPr>
        <w:t xml:space="preserve">of </w:t>
      </w:r>
      <w:r w:rsidR="00DB68E4">
        <w:rPr>
          <w:color w:val="000000"/>
        </w:rPr>
        <w:t>$713.89 as reimb</w:t>
      </w:r>
      <w:r>
        <w:rPr>
          <w:color w:val="000000"/>
        </w:rPr>
        <w:t xml:space="preserve">ursement of expenses made from </w:t>
      </w:r>
      <w:r w:rsidR="00DB68E4">
        <w:rPr>
          <w:color w:val="000000"/>
        </w:rPr>
        <w:t>his personal funds.</w:t>
      </w:r>
      <w:r>
        <w:rPr>
          <w:color w:val="000000"/>
        </w:rPr>
        <w:t xml:space="preserve">  </w:t>
      </w:r>
      <w:r w:rsidR="00DB68E4">
        <w:rPr>
          <w:color w:val="000000"/>
        </w:rPr>
        <w:t>On February 22, 2007, the court ordered that</w:t>
      </w:r>
      <w:r>
        <w:rPr>
          <w:color w:val="000000"/>
        </w:rPr>
        <w:t xml:space="preserve"> these payments be made</w:t>
      </w:r>
      <w:r w:rsidR="00DB68E4">
        <w:rPr>
          <w:color w:val="000000"/>
        </w:rPr>
        <w:t xml:space="preserve">; that $35,000 be withheld by </w:t>
      </w:r>
      <w:r w:rsidR="002228A3">
        <w:rPr>
          <w:color w:val="000000"/>
        </w:rPr>
        <w:t>respondent</w:t>
      </w:r>
      <w:r w:rsidR="00DB68E4">
        <w:rPr>
          <w:color w:val="000000"/>
        </w:rPr>
        <w:t xml:space="preserve"> for the payment of any and all additional taxes assessed against the estate by the</w:t>
      </w:r>
      <w:r>
        <w:rPr>
          <w:color w:val="000000"/>
        </w:rPr>
        <w:t xml:space="preserve"> IRS</w:t>
      </w:r>
      <w:r w:rsidR="00DB68E4">
        <w:rPr>
          <w:color w:val="000000"/>
        </w:rPr>
        <w:t xml:space="preserve">; and that the remaining assets </w:t>
      </w:r>
      <w:proofErr w:type="gramStart"/>
      <w:r w:rsidR="00DB68E4">
        <w:rPr>
          <w:color w:val="000000"/>
        </w:rPr>
        <w:t>be</w:t>
      </w:r>
      <w:proofErr w:type="gramEnd"/>
      <w:r w:rsidR="00DB68E4">
        <w:rPr>
          <w:color w:val="000000"/>
        </w:rPr>
        <w:t xml:space="preserve"> distributed to the beneficiaries, including but not limited to $80,170.24 and income trust shares and stock certificates</w:t>
      </w:r>
      <w:r w:rsidR="00FD56A3">
        <w:rPr>
          <w:color w:val="000000"/>
        </w:rPr>
        <w:t>.  Respondent</w:t>
      </w:r>
      <w:r w:rsidR="00DB68E4">
        <w:rPr>
          <w:color w:val="000000"/>
        </w:rPr>
        <w:t xml:space="preserve"> did not comply with the court's February 22, 2007 order by not distributing the remaining assets.</w:t>
      </w:r>
    </w:p>
    <w:p w:rsidR="00DB68E4" w:rsidRDefault="00B01A02" w:rsidP="00B01A02">
      <w:pPr>
        <w:spacing w:line="480" w:lineRule="auto"/>
        <w:rPr>
          <w:color w:val="000000"/>
        </w:rPr>
      </w:pPr>
      <w:r>
        <w:rPr>
          <w:color w:val="000000"/>
        </w:rPr>
        <w:lastRenderedPageBreak/>
        <w:tab/>
      </w:r>
      <w:r w:rsidR="00DB68E4">
        <w:rPr>
          <w:color w:val="000000"/>
        </w:rPr>
        <w:t xml:space="preserve">Between March 30 and September 26, 2007, </w:t>
      </w:r>
      <w:r w:rsidR="002228A3">
        <w:rPr>
          <w:color w:val="000000"/>
        </w:rPr>
        <w:t>respondent</w:t>
      </w:r>
      <w:r w:rsidR="00DB68E4">
        <w:rPr>
          <w:color w:val="000000"/>
        </w:rPr>
        <w:t xml:space="preserve"> disbursed an additional</w:t>
      </w:r>
    </w:p>
    <w:p w:rsidR="00DB68E4" w:rsidRDefault="00DB68E4" w:rsidP="00B01A02">
      <w:pPr>
        <w:spacing w:line="480" w:lineRule="auto"/>
        <w:rPr>
          <w:color w:val="000000"/>
        </w:rPr>
      </w:pPr>
      <w:r>
        <w:rPr>
          <w:color w:val="000000"/>
        </w:rPr>
        <w:t xml:space="preserve">$7,500 from the </w:t>
      </w:r>
      <w:r w:rsidR="00B01A02">
        <w:rPr>
          <w:color w:val="000000"/>
        </w:rPr>
        <w:t xml:space="preserve">estate </w:t>
      </w:r>
      <w:r>
        <w:rPr>
          <w:color w:val="000000"/>
        </w:rPr>
        <w:t>account to his account, as follows:</w:t>
      </w:r>
      <w:r w:rsidR="00B9782F">
        <w:rPr>
          <w:color w:val="000000"/>
        </w:rPr>
        <w:t xml:space="preserve">  Check no. 195 for $1,500; nos. 197 and 199 for $2,000 each; and nos. 198 and 202 for $1,000 each. </w:t>
      </w:r>
    </w:p>
    <w:p w:rsidR="00DB68E4" w:rsidRDefault="00DB68E4" w:rsidP="00DB68E4">
      <w:pPr>
        <w:rPr>
          <w:color w:val="000000"/>
        </w:rPr>
      </w:pPr>
    </w:p>
    <w:p w:rsidR="00DB68E4" w:rsidRDefault="009F6F30" w:rsidP="002B69AC">
      <w:pPr>
        <w:spacing w:line="480" w:lineRule="auto"/>
      </w:pPr>
      <w:r>
        <w:rPr>
          <w:color w:val="000000"/>
        </w:rPr>
        <w:tab/>
      </w:r>
      <w:r w:rsidR="00DB68E4">
        <w:rPr>
          <w:color w:val="000000"/>
        </w:rPr>
        <w:t xml:space="preserve">The ending balance in the </w:t>
      </w:r>
      <w:r>
        <w:rPr>
          <w:color w:val="000000"/>
        </w:rPr>
        <w:t xml:space="preserve">estate </w:t>
      </w:r>
      <w:r w:rsidR="00DB68E4">
        <w:rPr>
          <w:color w:val="000000"/>
        </w:rPr>
        <w:t>account was $232.57 on September 26, 2007 and $196.22 on December 14, 2007.</w:t>
      </w:r>
    </w:p>
    <w:p w:rsidR="00DB68E4" w:rsidRDefault="0003266A" w:rsidP="0082574D">
      <w:pPr>
        <w:spacing w:line="480" w:lineRule="auto"/>
      </w:pPr>
      <w:r>
        <w:rPr>
          <w:color w:val="000000"/>
        </w:rPr>
        <w:tab/>
      </w:r>
      <w:r w:rsidR="00DB68E4">
        <w:rPr>
          <w:color w:val="000000"/>
        </w:rPr>
        <w:t xml:space="preserve">On June 17, 2008, the beneficiaries filed a motion to compel the distribution of the estate assets; a request that the court issue and order to show cause re contempt against </w:t>
      </w:r>
      <w:r w:rsidR="002228A3">
        <w:rPr>
          <w:color w:val="000000"/>
        </w:rPr>
        <w:t>respondent</w:t>
      </w:r>
      <w:r w:rsidR="00DB68E4">
        <w:rPr>
          <w:color w:val="000000"/>
        </w:rPr>
        <w:t xml:space="preserve"> for </w:t>
      </w:r>
      <w:r w:rsidR="0082574D">
        <w:rPr>
          <w:color w:val="000000"/>
        </w:rPr>
        <w:t xml:space="preserve">not </w:t>
      </w:r>
      <w:r w:rsidR="00DB68E4">
        <w:rPr>
          <w:color w:val="000000"/>
        </w:rPr>
        <w:t>comply</w:t>
      </w:r>
      <w:r w:rsidR="0082574D">
        <w:rPr>
          <w:color w:val="000000"/>
        </w:rPr>
        <w:t>ing</w:t>
      </w:r>
      <w:r w:rsidR="00DB68E4">
        <w:rPr>
          <w:color w:val="000000"/>
        </w:rPr>
        <w:t xml:space="preserve"> with the court's February 22, 2007 order; and a request for an order imposing sanctions against </w:t>
      </w:r>
      <w:r w:rsidR="002228A3">
        <w:rPr>
          <w:color w:val="000000"/>
        </w:rPr>
        <w:t>respondent</w:t>
      </w:r>
      <w:r w:rsidR="00DB68E4">
        <w:rPr>
          <w:color w:val="000000"/>
        </w:rPr>
        <w:t>.</w:t>
      </w:r>
    </w:p>
    <w:p w:rsidR="00DB68E4" w:rsidRDefault="0003266A" w:rsidP="0003266A">
      <w:pPr>
        <w:spacing w:line="480" w:lineRule="auto"/>
      </w:pPr>
      <w:r>
        <w:rPr>
          <w:color w:val="000000"/>
        </w:rPr>
        <w:tab/>
      </w:r>
      <w:r w:rsidR="00DB68E4">
        <w:rPr>
          <w:color w:val="000000"/>
        </w:rPr>
        <w:t>On August 26, 2008, during the hearing on the motion</w:t>
      </w:r>
      <w:r>
        <w:rPr>
          <w:color w:val="000000"/>
        </w:rPr>
        <w:t xml:space="preserve"> and in order to conceal his misappropriation of estate funds</w:t>
      </w:r>
      <w:r w:rsidR="00DB68E4">
        <w:rPr>
          <w:color w:val="000000"/>
        </w:rPr>
        <w:t xml:space="preserve">, </w:t>
      </w:r>
      <w:r w:rsidR="002228A3">
        <w:rPr>
          <w:color w:val="000000"/>
        </w:rPr>
        <w:t>respondent</w:t>
      </w:r>
      <w:r w:rsidR="00DB68E4">
        <w:rPr>
          <w:color w:val="000000"/>
        </w:rPr>
        <w:t xml:space="preserve"> misrepresented to the court that the funds in question were in a bank account under his control when the funds had </w:t>
      </w:r>
      <w:r>
        <w:rPr>
          <w:color w:val="000000"/>
        </w:rPr>
        <w:t xml:space="preserve">already been withdrawn.  </w:t>
      </w:r>
      <w:r w:rsidR="00FD56A3">
        <w:rPr>
          <w:color w:val="000000"/>
        </w:rPr>
        <w:t>Respondent</w:t>
      </w:r>
      <w:r w:rsidR="00DB68E4">
        <w:rPr>
          <w:color w:val="000000"/>
        </w:rPr>
        <w:t xml:space="preserve"> further represented to the court that no final disbursement was made because the IRS had not provided a release for taxes owed by the estate</w:t>
      </w:r>
      <w:r w:rsidR="002228A3">
        <w:rPr>
          <w:color w:val="000000"/>
        </w:rPr>
        <w:t xml:space="preserve">.  </w:t>
      </w:r>
      <w:r w:rsidR="00DB68E4">
        <w:rPr>
          <w:color w:val="000000"/>
        </w:rPr>
        <w:t xml:space="preserve">Based upon </w:t>
      </w:r>
      <w:r w:rsidR="002228A3">
        <w:rPr>
          <w:color w:val="000000"/>
        </w:rPr>
        <w:t>respondent</w:t>
      </w:r>
      <w:r w:rsidR="00DB68E4">
        <w:rPr>
          <w:color w:val="000000"/>
        </w:rPr>
        <w:t>'s representations, the court continued the hearing to November 18, 2008</w:t>
      </w:r>
      <w:r w:rsidR="00FD56A3">
        <w:rPr>
          <w:color w:val="000000"/>
        </w:rPr>
        <w:t>.  Respondent</w:t>
      </w:r>
      <w:r w:rsidR="00DB68E4">
        <w:rPr>
          <w:color w:val="000000"/>
        </w:rPr>
        <w:t xml:space="preserve"> received notice of the hearing.</w:t>
      </w:r>
    </w:p>
    <w:p w:rsidR="0003266A" w:rsidRDefault="0003266A" w:rsidP="0003266A">
      <w:pPr>
        <w:spacing w:line="480" w:lineRule="auto"/>
        <w:rPr>
          <w:color w:val="000000"/>
        </w:rPr>
      </w:pPr>
      <w:r>
        <w:rPr>
          <w:color w:val="000000"/>
        </w:rPr>
        <w:tab/>
      </w:r>
      <w:proofErr w:type="gramStart"/>
      <w:r>
        <w:rPr>
          <w:color w:val="000000"/>
        </w:rPr>
        <w:t xml:space="preserve">After </w:t>
      </w:r>
      <w:r w:rsidR="00DB68E4">
        <w:rPr>
          <w:color w:val="000000"/>
        </w:rPr>
        <w:t>the August 26, 2008 hearing, the beneficiaries</w:t>
      </w:r>
      <w:r w:rsidR="0086308E">
        <w:rPr>
          <w:color w:val="000000"/>
        </w:rPr>
        <w:t>, the Jaureg</w:t>
      </w:r>
      <w:r>
        <w:rPr>
          <w:color w:val="000000"/>
        </w:rPr>
        <w:t>uis,</w:t>
      </w:r>
      <w:r w:rsidR="00DB68E4">
        <w:rPr>
          <w:color w:val="000000"/>
        </w:rPr>
        <w:t xml:space="preserve"> learned that IRS had not sent a release because </w:t>
      </w:r>
      <w:r w:rsidR="002228A3">
        <w:rPr>
          <w:color w:val="000000"/>
        </w:rPr>
        <w:t>respondent</w:t>
      </w:r>
      <w:r w:rsidR="00DB68E4">
        <w:rPr>
          <w:color w:val="000000"/>
        </w:rPr>
        <w:t xml:space="preserve"> had not filed a 2003 tax return for the decedent</w:t>
      </w:r>
      <w:r w:rsidR="002228A3">
        <w:rPr>
          <w:color w:val="000000"/>
        </w:rPr>
        <w:t>.</w:t>
      </w:r>
      <w:proofErr w:type="gramEnd"/>
      <w:r w:rsidR="002228A3">
        <w:rPr>
          <w:color w:val="000000"/>
        </w:rPr>
        <w:t xml:space="preserve">  </w:t>
      </w:r>
      <w:r w:rsidR="00DB68E4">
        <w:rPr>
          <w:color w:val="000000"/>
        </w:rPr>
        <w:t xml:space="preserve">The beneficiaries filed the 2003 tax return and paid taxes due to IRS as well as </w:t>
      </w:r>
      <w:r>
        <w:rPr>
          <w:color w:val="000000"/>
        </w:rPr>
        <w:t xml:space="preserve">to </w:t>
      </w:r>
      <w:r w:rsidR="00DB68E4">
        <w:rPr>
          <w:color w:val="000000"/>
        </w:rPr>
        <w:t>the Franchise Tax Board</w:t>
      </w:r>
      <w:r w:rsidR="00FD56A3">
        <w:rPr>
          <w:color w:val="000000"/>
        </w:rPr>
        <w:t>.  Respondent</w:t>
      </w:r>
      <w:r w:rsidR="00DB68E4">
        <w:rPr>
          <w:color w:val="000000"/>
        </w:rPr>
        <w:t xml:space="preserve"> did not release </w:t>
      </w:r>
      <w:r>
        <w:rPr>
          <w:color w:val="000000"/>
        </w:rPr>
        <w:t xml:space="preserve">to the beneficiaries </w:t>
      </w:r>
      <w:r w:rsidR="00DB68E4">
        <w:rPr>
          <w:color w:val="000000"/>
        </w:rPr>
        <w:t>the $35,000 withheld, but not paid</w:t>
      </w:r>
      <w:r>
        <w:rPr>
          <w:color w:val="000000"/>
        </w:rPr>
        <w:t>,</w:t>
      </w:r>
      <w:r w:rsidR="00DB68E4">
        <w:rPr>
          <w:color w:val="000000"/>
        </w:rPr>
        <w:t xml:space="preserve"> for taxes</w:t>
      </w:r>
      <w:r>
        <w:rPr>
          <w:color w:val="000000"/>
        </w:rPr>
        <w:t xml:space="preserve">. </w:t>
      </w:r>
      <w:r w:rsidR="00DB68E4">
        <w:rPr>
          <w:color w:val="000000"/>
        </w:rPr>
        <w:t xml:space="preserve"> </w:t>
      </w:r>
    </w:p>
    <w:p w:rsidR="00DB68E4" w:rsidRDefault="0003266A" w:rsidP="0003266A">
      <w:pPr>
        <w:spacing w:line="480" w:lineRule="auto"/>
      </w:pPr>
      <w:r>
        <w:rPr>
          <w:color w:val="000000"/>
        </w:rPr>
        <w:tab/>
      </w:r>
      <w:r w:rsidR="00DB68E4">
        <w:rPr>
          <w:color w:val="000000"/>
        </w:rPr>
        <w:t xml:space="preserve">On November 18, 2008, </w:t>
      </w:r>
      <w:r w:rsidR="002228A3">
        <w:rPr>
          <w:color w:val="000000"/>
        </w:rPr>
        <w:t>respondent</w:t>
      </w:r>
      <w:r w:rsidR="00DB68E4">
        <w:rPr>
          <w:color w:val="000000"/>
        </w:rPr>
        <w:t xml:space="preserve"> did not appear for the hearing in the action</w:t>
      </w:r>
      <w:r w:rsidR="002228A3">
        <w:rPr>
          <w:color w:val="000000"/>
        </w:rPr>
        <w:t xml:space="preserve">.  </w:t>
      </w:r>
      <w:r w:rsidR="00DB68E4">
        <w:rPr>
          <w:color w:val="000000"/>
        </w:rPr>
        <w:t xml:space="preserve">The court suspended </w:t>
      </w:r>
      <w:r w:rsidR="002228A3">
        <w:rPr>
          <w:color w:val="000000"/>
        </w:rPr>
        <w:t>respondent</w:t>
      </w:r>
      <w:r w:rsidR="00DB68E4">
        <w:rPr>
          <w:color w:val="000000"/>
        </w:rPr>
        <w:t xml:space="preserve"> as the executor for the estate</w:t>
      </w:r>
      <w:r w:rsidR="00FD56A3">
        <w:rPr>
          <w:color w:val="000000"/>
        </w:rPr>
        <w:t>.  Respondent</w:t>
      </w:r>
      <w:r w:rsidR="00DB68E4">
        <w:rPr>
          <w:color w:val="000000"/>
        </w:rPr>
        <w:t xml:space="preserve"> received notice of the suspension.</w:t>
      </w:r>
    </w:p>
    <w:p w:rsidR="00DB68E4" w:rsidRPr="00EB19E2" w:rsidRDefault="0003266A" w:rsidP="0003266A">
      <w:r>
        <w:rPr>
          <w:color w:val="000000"/>
        </w:rPr>
        <w:lastRenderedPageBreak/>
        <w:tab/>
        <w:t>R</w:t>
      </w:r>
      <w:r w:rsidR="002228A3">
        <w:rPr>
          <w:color w:val="000000"/>
        </w:rPr>
        <w:t>espondent</w:t>
      </w:r>
      <w:r w:rsidR="00DB68E4">
        <w:rPr>
          <w:color w:val="000000"/>
        </w:rPr>
        <w:t xml:space="preserve"> misappropriated $151,506 ($144,006 + $7,500) belonging to the estate.</w:t>
      </w:r>
    </w:p>
    <w:p w:rsidR="00DB68E4" w:rsidRDefault="00DB68E4" w:rsidP="00DB68E4"/>
    <w:p w:rsidR="00DB68E4" w:rsidRDefault="00DB68E4" w:rsidP="00DB68E4"/>
    <w:p w:rsidR="00DB68E4" w:rsidRDefault="00C43C08" w:rsidP="00C43C08">
      <w:pPr>
        <w:spacing w:line="480" w:lineRule="auto"/>
      </w:pPr>
      <w:r>
        <w:rPr>
          <w:color w:val="000000"/>
        </w:rPr>
        <w:tab/>
      </w:r>
      <w:r w:rsidR="00DB68E4">
        <w:rPr>
          <w:color w:val="000000"/>
        </w:rPr>
        <w:t xml:space="preserve">On July 28, 2004, </w:t>
      </w:r>
      <w:r w:rsidR="002228A3">
        <w:rPr>
          <w:color w:val="000000"/>
        </w:rPr>
        <w:t>respondent</w:t>
      </w:r>
      <w:r w:rsidR="00DB68E4">
        <w:rPr>
          <w:color w:val="000000"/>
        </w:rPr>
        <w:t xml:space="preserve"> represented to the court, under penalty of perjury, in an inventory and appraisal that the appraised value of the account was $164,684.93, when he knew that the balance in the account was only $70,259.66</w:t>
      </w:r>
      <w:r w:rsidR="00FD56A3">
        <w:rPr>
          <w:color w:val="000000"/>
        </w:rPr>
        <w:t xml:space="preserve">.  </w:t>
      </w:r>
      <w:r>
        <w:rPr>
          <w:color w:val="000000"/>
        </w:rPr>
        <w:t>This</w:t>
      </w:r>
      <w:r w:rsidR="00DB68E4">
        <w:rPr>
          <w:color w:val="000000"/>
        </w:rPr>
        <w:t xml:space="preserve"> representation regarding the value of the account was misleading and was made to conceal his misappropriation of </w:t>
      </w:r>
      <w:r>
        <w:rPr>
          <w:color w:val="000000"/>
        </w:rPr>
        <w:t xml:space="preserve">estate </w:t>
      </w:r>
      <w:r w:rsidR="00DB68E4">
        <w:rPr>
          <w:color w:val="000000"/>
        </w:rPr>
        <w:t>funds.</w:t>
      </w:r>
    </w:p>
    <w:p w:rsidR="00DB68E4" w:rsidRDefault="00C43C08" w:rsidP="00C43C08">
      <w:pPr>
        <w:spacing w:line="480" w:lineRule="auto"/>
      </w:pPr>
      <w:r>
        <w:rPr>
          <w:color w:val="000000"/>
        </w:rPr>
        <w:tab/>
      </w:r>
      <w:r w:rsidR="00DB68E4">
        <w:rPr>
          <w:color w:val="000000"/>
        </w:rPr>
        <w:t xml:space="preserve">On June 26, 2006, </w:t>
      </w:r>
      <w:r w:rsidR="002228A3">
        <w:rPr>
          <w:color w:val="000000"/>
        </w:rPr>
        <w:t>respondent</w:t>
      </w:r>
      <w:r w:rsidR="00DB68E4">
        <w:rPr>
          <w:color w:val="000000"/>
        </w:rPr>
        <w:t xml:space="preserve"> falsely represented to the court, under penalty of perjury, in a final account that the balance in the account as of June 23, 2006 was $133,276.38, when he knew that the balance in the account was only $3,355.12</w:t>
      </w:r>
      <w:r>
        <w:rPr>
          <w:color w:val="000000"/>
        </w:rPr>
        <w:t>.  He did so</w:t>
      </w:r>
      <w:r w:rsidR="00DB68E4">
        <w:rPr>
          <w:color w:val="000000"/>
        </w:rPr>
        <w:t xml:space="preserve"> to conceal his misappropriation of </w:t>
      </w:r>
      <w:r>
        <w:rPr>
          <w:color w:val="000000"/>
        </w:rPr>
        <w:t xml:space="preserve">estate </w:t>
      </w:r>
      <w:r w:rsidR="00DB68E4">
        <w:rPr>
          <w:color w:val="000000"/>
        </w:rPr>
        <w:t>funds.</w:t>
      </w:r>
    </w:p>
    <w:p w:rsidR="00DB68E4" w:rsidRDefault="00187358" w:rsidP="00187358">
      <w:pPr>
        <w:spacing w:line="480" w:lineRule="auto"/>
        <w:rPr>
          <w:color w:val="000000"/>
        </w:rPr>
      </w:pPr>
      <w:r>
        <w:rPr>
          <w:color w:val="000000"/>
        </w:rPr>
        <w:tab/>
      </w:r>
      <w:r w:rsidR="00DB50BB">
        <w:rPr>
          <w:color w:val="000000"/>
        </w:rPr>
        <w:t xml:space="preserve">On </w:t>
      </w:r>
      <w:r w:rsidR="00DB68E4">
        <w:rPr>
          <w:color w:val="000000"/>
        </w:rPr>
        <w:t xml:space="preserve">May 8, 2009, the State Bar of California opened an investigation concerning a complaint submitted by </w:t>
      </w:r>
      <w:r>
        <w:rPr>
          <w:color w:val="000000"/>
        </w:rPr>
        <w:t>the</w:t>
      </w:r>
      <w:r w:rsidR="00DB68E4">
        <w:rPr>
          <w:color w:val="000000"/>
        </w:rPr>
        <w:t xml:space="preserve"> Jauregui</w:t>
      </w:r>
      <w:r>
        <w:rPr>
          <w:color w:val="000000"/>
        </w:rPr>
        <w:t>s</w:t>
      </w:r>
      <w:r w:rsidR="00DB68E4">
        <w:rPr>
          <w:color w:val="000000"/>
        </w:rPr>
        <w:t xml:space="preserve"> against </w:t>
      </w:r>
      <w:r w:rsidR="002228A3">
        <w:rPr>
          <w:color w:val="000000"/>
        </w:rPr>
        <w:t>respondent</w:t>
      </w:r>
      <w:r w:rsidR="00DB68E4">
        <w:rPr>
          <w:color w:val="000000"/>
        </w:rPr>
        <w:t xml:space="preserve"> regarding his handling of the estate.</w:t>
      </w:r>
      <w:r w:rsidR="00982898">
        <w:rPr>
          <w:color w:val="000000"/>
        </w:rPr>
        <w:t xml:space="preserve"> </w:t>
      </w:r>
      <w:r w:rsidR="00982898" w:rsidRPr="00982898">
        <w:t xml:space="preserve"> </w:t>
      </w:r>
      <w:r w:rsidR="00982898">
        <w:t xml:space="preserve">On July 2 and 27, 2009, a State Bar investigator sent respondent letters requesting that respondent answer in writing by specified dates specific allegations of misconduct regarding the Jaureguis’ complaint.  The letters were addressed to respondent’s official membership records address and sent by first-class mail, postage prepaid.  None was returned to the State Bar as undeliverable or for any other reason.  Respondent received the letters but did not answer them.  </w:t>
      </w:r>
      <w:r w:rsidR="00982898">
        <w:rPr>
          <w:color w:val="000000"/>
        </w:rPr>
        <w:t xml:space="preserve">  </w:t>
      </w:r>
    </w:p>
    <w:p w:rsidR="003818C1" w:rsidRDefault="003818C1" w:rsidP="005D478E">
      <w:pPr>
        <w:widowControl w:val="0"/>
        <w:spacing w:line="480" w:lineRule="auto"/>
      </w:pPr>
      <w:r>
        <w:rPr>
          <w:b/>
        </w:rPr>
        <w:tab/>
        <w:t>2</w:t>
      </w:r>
      <w:r w:rsidR="005416C8">
        <w:rPr>
          <w:b/>
        </w:rPr>
        <w:t xml:space="preserve">.  </w:t>
      </w:r>
      <w:r>
        <w:rPr>
          <w:b/>
          <w:u w:val="single"/>
        </w:rPr>
        <w:t>Conclusions of Law</w:t>
      </w:r>
    </w:p>
    <w:p w:rsidR="00F04860" w:rsidRDefault="003818C1" w:rsidP="00F04860">
      <w:pPr>
        <w:widowControl w:val="0"/>
        <w:spacing w:line="480" w:lineRule="auto"/>
      </w:pPr>
      <w:r>
        <w:tab/>
      </w:r>
      <w:r>
        <w:tab/>
      </w:r>
      <w:proofErr w:type="gramStart"/>
      <w:r>
        <w:rPr>
          <w:b/>
        </w:rPr>
        <w:t>a</w:t>
      </w:r>
      <w:r w:rsidR="005416C8">
        <w:rPr>
          <w:b/>
        </w:rPr>
        <w:t xml:space="preserve">.  </w:t>
      </w:r>
      <w:r w:rsidR="00F04860">
        <w:rPr>
          <w:b/>
          <w:u w:val="single"/>
        </w:rPr>
        <w:t>Counts</w:t>
      </w:r>
      <w:proofErr w:type="gramEnd"/>
      <w:r w:rsidR="00F04860">
        <w:rPr>
          <w:b/>
          <w:u w:val="single"/>
        </w:rPr>
        <w:t xml:space="preserve"> 5 &amp; 6 - Section 6106 (Moral Turpitude)</w:t>
      </w:r>
    </w:p>
    <w:p w:rsidR="00F04860" w:rsidRDefault="00F04860" w:rsidP="00CB0CDF">
      <w:pPr>
        <w:spacing w:line="480" w:lineRule="auto"/>
      </w:pPr>
      <w:r>
        <w:tab/>
        <w:t>There is clear and convincing evidence that respondent violated section 6106 by</w:t>
      </w:r>
      <w:r w:rsidR="00FF5F92">
        <w:rPr>
          <w:color w:val="000000"/>
        </w:rPr>
        <w:t xml:space="preserve"> </w:t>
      </w:r>
      <w:r w:rsidR="00ED746D">
        <w:rPr>
          <w:color w:val="000000"/>
        </w:rPr>
        <w:t xml:space="preserve">misappropriating $151,506 belonging to the estate </w:t>
      </w:r>
      <w:r w:rsidR="00CB0CDF">
        <w:rPr>
          <w:color w:val="000000"/>
        </w:rPr>
        <w:t xml:space="preserve">and by making the false and misleading representations to the court on July 28, 2004, June 26, 2006 and August 26, 2008. </w:t>
      </w:r>
      <w:r w:rsidR="005416C8">
        <w:t xml:space="preserve"> </w:t>
      </w:r>
      <w:r>
        <w:t>Ac</w:t>
      </w:r>
      <w:r w:rsidR="00305344">
        <w:t xml:space="preserve">cordingly, </w:t>
      </w:r>
      <w:r w:rsidR="00EA29D7">
        <w:t>he</w:t>
      </w:r>
      <w:r w:rsidR="00305344">
        <w:t xml:space="preserve"> committed </w:t>
      </w:r>
      <w:r>
        <w:t>act</w:t>
      </w:r>
      <w:r w:rsidR="00305344">
        <w:t>s</w:t>
      </w:r>
      <w:r>
        <w:t xml:space="preserve"> of moral turpitude, dishonesty or corruption in wilful violation of section 6106.</w:t>
      </w:r>
    </w:p>
    <w:p w:rsidR="006B4CA1" w:rsidRDefault="006B4CA1" w:rsidP="00A0000C">
      <w:pPr>
        <w:spacing w:line="480" w:lineRule="auto"/>
        <w:rPr>
          <w:b/>
          <w:bCs/>
        </w:rPr>
      </w:pPr>
    </w:p>
    <w:p w:rsidR="00A0000C" w:rsidRPr="001072F2" w:rsidRDefault="00A0000C" w:rsidP="00A0000C">
      <w:pPr>
        <w:spacing w:line="480" w:lineRule="auto"/>
      </w:pPr>
      <w:r>
        <w:rPr>
          <w:b/>
          <w:bCs/>
        </w:rPr>
        <w:lastRenderedPageBreak/>
        <w:tab/>
      </w:r>
      <w:r>
        <w:rPr>
          <w:b/>
          <w:bCs/>
        </w:rPr>
        <w:tab/>
      </w:r>
      <w:proofErr w:type="gramStart"/>
      <w:r>
        <w:rPr>
          <w:b/>
          <w:bCs/>
        </w:rPr>
        <w:t>b</w:t>
      </w:r>
      <w:r w:rsidR="005416C8">
        <w:rPr>
          <w:b/>
          <w:bCs/>
        </w:rPr>
        <w:t xml:space="preserve">.  </w:t>
      </w:r>
      <w:r w:rsidRPr="001072F2">
        <w:rPr>
          <w:b/>
          <w:bCs/>
          <w:u w:val="single"/>
        </w:rPr>
        <w:t>Count</w:t>
      </w:r>
      <w:proofErr w:type="gramEnd"/>
      <w:r w:rsidRPr="001072F2">
        <w:rPr>
          <w:b/>
          <w:bCs/>
          <w:u w:val="single"/>
        </w:rPr>
        <w:t xml:space="preserve"> </w:t>
      </w:r>
      <w:r>
        <w:rPr>
          <w:b/>
          <w:bCs/>
          <w:u w:val="single"/>
        </w:rPr>
        <w:t>7</w:t>
      </w:r>
      <w:r w:rsidRPr="001072F2">
        <w:rPr>
          <w:b/>
          <w:bCs/>
          <w:u w:val="single"/>
        </w:rPr>
        <w:t xml:space="preserve"> - Section 6068</w:t>
      </w:r>
      <w:r>
        <w:rPr>
          <w:b/>
          <w:bCs/>
          <w:u w:val="single"/>
        </w:rPr>
        <w:t xml:space="preserve">, </w:t>
      </w:r>
      <w:r w:rsidR="00D01541">
        <w:rPr>
          <w:b/>
          <w:bCs/>
          <w:u w:val="single"/>
        </w:rPr>
        <w:t>subd. (</w:t>
      </w:r>
      <w:r w:rsidRPr="001072F2">
        <w:rPr>
          <w:b/>
          <w:bCs/>
          <w:u w:val="single"/>
        </w:rPr>
        <w:t xml:space="preserve">d) (Employing Means Inconsistent with the </w:t>
      </w:r>
      <w:r>
        <w:rPr>
          <w:b/>
          <w:bCs/>
        </w:rPr>
        <w:tab/>
      </w:r>
      <w:r>
        <w:rPr>
          <w:b/>
          <w:bCs/>
        </w:rPr>
        <w:tab/>
      </w:r>
      <w:r>
        <w:rPr>
          <w:b/>
          <w:bCs/>
        </w:rPr>
        <w:tab/>
      </w:r>
      <w:r>
        <w:rPr>
          <w:b/>
          <w:bCs/>
        </w:rPr>
        <w:tab/>
      </w:r>
      <w:r w:rsidRPr="001072F2">
        <w:rPr>
          <w:b/>
          <w:bCs/>
          <w:u w:val="single"/>
        </w:rPr>
        <w:t>Truth)</w:t>
      </w:r>
    </w:p>
    <w:p w:rsidR="00A0000C" w:rsidRPr="001072F2" w:rsidRDefault="00A0000C" w:rsidP="00A0000C">
      <w:pPr>
        <w:spacing w:line="480" w:lineRule="auto"/>
        <w:ind w:firstLine="720"/>
      </w:pPr>
      <w:proofErr w:type="gramStart"/>
      <w:r w:rsidRPr="001072F2">
        <w:t>Section 6068</w:t>
      </w:r>
      <w:r>
        <w:t xml:space="preserve">, </w:t>
      </w:r>
      <w:r w:rsidR="00D01541">
        <w:t>subd.</w:t>
      </w:r>
      <w:proofErr w:type="gramEnd"/>
      <w:r w:rsidR="00D01541">
        <w:t xml:space="preserve"> (</w:t>
      </w:r>
      <w:r w:rsidRPr="001072F2">
        <w:t xml:space="preserve">d) </w:t>
      </w:r>
      <w:proofErr w:type="gramStart"/>
      <w:r w:rsidRPr="001072F2">
        <w:t>requires</w:t>
      </w:r>
      <w:proofErr w:type="gramEnd"/>
      <w:r w:rsidRPr="001072F2">
        <w:t xml:space="preserve"> an attorney from employing, for the purpose of maintaining the causes confided to </w:t>
      </w:r>
      <w:r w:rsidR="00EA29D7">
        <w:t>him</w:t>
      </w:r>
      <w:r w:rsidRPr="001072F2">
        <w:t>, those means only as are consistent with the truth, and never to seek to mislead the judge or any judicial officer by an artifice or false statement of fact or law.</w:t>
      </w:r>
    </w:p>
    <w:p w:rsidR="00E547E8" w:rsidRDefault="00CB0CDF" w:rsidP="00E547E8">
      <w:pPr>
        <w:spacing w:line="480" w:lineRule="auto"/>
      </w:pPr>
      <w:r>
        <w:tab/>
        <w:t>T</w:t>
      </w:r>
      <w:r w:rsidR="00A0000C" w:rsidRPr="001072F2">
        <w:t>here is clear and convincing evidence that respondent wilfully violated section 6068</w:t>
      </w:r>
      <w:r w:rsidR="00A0000C">
        <w:t xml:space="preserve">, </w:t>
      </w:r>
      <w:r w:rsidR="00D01541">
        <w:t>subd</w:t>
      </w:r>
      <w:r w:rsidR="00E547E8">
        <w:t>ivision</w:t>
      </w:r>
      <w:r w:rsidR="00D01541">
        <w:t xml:space="preserve"> (</w:t>
      </w:r>
      <w:r w:rsidR="00A0000C" w:rsidRPr="001072F2">
        <w:t>d)</w:t>
      </w:r>
      <w:r>
        <w:t xml:space="preserve"> by </w:t>
      </w:r>
      <w:r>
        <w:rPr>
          <w:color w:val="000000"/>
        </w:rPr>
        <w:t xml:space="preserve">making the false and misleading representations to the court on July 28, 2004, June 26, 2006 and August 26, 2008.  </w:t>
      </w:r>
      <w:r w:rsidR="00E547E8">
        <w:t>However, as the same facts support both th</w:t>
      </w:r>
      <w:r w:rsidR="0022222E">
        <w:t>is</w:t>
      </w:r>
      <w:r w:rsidR="00E547E8">
        <w:t xml:space="preserve"> violation</w:t>
      </w:r>
      <w:r w:rsidR="0022222E">
        <w:t xml:space="preserve"> and the ones in count 6 above (</w:t>
      </w:r>
      <w:r w:rsidR="0022222E">
        <w:rPr>
          <w:color w:val="000000"/>
        </w:rPr>
        <w:t>making the false and misleading representations to the court)</w:t>
      </w:r>
      <w:proofErr w:type="gramStart"/>
      <w:r w:rsidR="00E547E8">
        <w:t>,</w:t>
      </w:r>
      <w:proofErr w:type="gramEnd"/>
      <w:r w:rsidR="00E547E8">
        <w:t xml:space="preserve"> the court will not attach any additional weight in determining the appropriate discipline to the wilful violation of </w:t>
      </w:r>
      <w:r w:rsidR="00E547E8" w:rsidRPr="001072F2">
        <w:t>section 6068</w:t>
      </w:r>
      <w:r w:rsidR="00E547E8">
        <w:t>, subdivision (</w:t>
      </w:r>
      <w:r w:rsidR="00E547E8" w:rsidRPr="001072F2">
        <w:t>d)</w:t>
      </w:r>
      <w:r w:rsidR="00E547E8">
        <w:t xml:space="preserve">.  </w:t>
      </w:r>
      <w:proofErr w:type="gramStart"/>
      <w:r w:rsidR="00E547E8">
        <w:t>(</w:t>
      </w:r>
      <w:r w:rsidR="00E547E8">
        <w:rPr>
          <w:i/>
          <w:iCs/>
        </w:rPr>
        <w:t>In the Matter of Broderick</w:t>
      </w:r>
      <w:r w:rsidR="00E547E8">
        <w:t xml:space="preserve"> (Review Dept. 1994) 3 Cal. State Bar Ct. Rptr. 138, 155.)</w:t>
      </w:r>
      <w:proofErr w:type="gramEnd"/>
    </w:p>
    <w:p w:rsidR="008C4C95" w:rsidRDefault="008C4C95" w:rsidP="008C4C95">
      <w:pPr>
        <w:widowControl w:val="0"/>
        <w:spacing w:line="480" w:lineRule="auto"/>
      </w:pPr>
      <w:r>
        <w:rPr>
          <w:b/>
        </w:rPr>
        <w:tab/>
      </w:r>
      <w:r>
        <w:rPr>
          <w:b/>
        </w:rPr>
        <w:tab/>
      </w:r>
      <w:proofErr w:type="gramStart"/>
      <w:r w:rsidR="0004186A">
        <w:rPr>
          <w:b/>
        </w:rPr>
        <w:t>c</w:t>
      </w:r>
      <w:r w:rsidR="005416C8">
        <w:rPr>
          <w:b/>
        </w:rPr>
        <w:t xml:space="preserve">.  </w:t>
      </w:r>
      <w:r>
        <w:rPr>
          <w:b/>
          <w:u w:val="single"/>
        </w:rPr>
        <w:t>Count</w:t>
      </w:r>
      <w:proofErr w:type="gramEnd"/>
      <w:r>
        <w:rPr>
          <w:b/>
          <w:u w:val="single"/>
        </w:rPr>
        <w:t xml:space="preserve"> 8 - Section 6068, </w:t>
      </w:r>
      <w:r w:rsidR="00D01541">
        <w:rPr>
          <w:b/>
          <w:u w:val="single"/>
        </w:rPr>
        <w:t>subd. (</w:t>
      </w:r>
      <w:r>
        <w:rPr>
          <w:b/>
          <w:u w:val="single"/>
        </w:rPr>
        <w:t xml:space="preserve">i) (Not Participating in Disciplinary </w:t>
      </w:r>
      <w:r>
        <w:rPr>
          <w:b/>
        </w:rPr>
        <w:tab/>
      </w:r>
      <w:r>
        <w:rPr>
          <w:b/>
        </w:rPr>
        <w:tab/>
      </w:r>
      <w:r>
        <w:rPr>
          <w:b/>
        </w:rPr>
        <w:tab/>
      </w:r>
      <w:r>
        <w:rPr>
          <w:b/>
        </w:rPr>
        <w:tab/>
      </w:r>
      <w:r>
        <w:rPr>
          <w:b/>
        </w:rPr>
        <w:tab/>
      </w:r>
      <w:r>
        <w:rPr>
          <w:b/>
          <w:u w:val="single"/>
        </w:rPr>
        <w:t>Investigation)</w:t>
      </w:r>
    </w:p>
    <w:p w:rsidR="008C4C95" w:rsidRDefault="008C4C95" w:rsidP="008C4C95">
      <w:pPr>
        <w:widowControl w:val="0"/>
        <w:spacing w:line="480" w:lineRule="auto"/>
        <w:rPr>
          <w:b/>
          <w:u w:val="single"/>
        </w:rPr>
      </w:pPr>
      <w:r>
        <w:tab/>
        <w:t xml:space="preserve">By </w:t>
      </w:r>
      <w:r w:rsidR="007C24AC">
        <w:t>not responding to the State Bar investigator’s letter of July 2 and 27, 2009</w:t>
      </w:r>
      <w:r>
        <w:t>, respondent did not participate in the investigation of the allegations of misconduct regarding the</w:t>
      </w:r>
      <w:r w:rsidR="007C24AC">
        <w:t xml:space="preserve"> Jaure</w:t>
      </w:r>
      <w:r w:rsidR="0086308E">
        <w:t>g</w:t>
      </w:r>
      <w:r w:rsidR="007C24AC">
        <w:t>uis’ complaint</w:t>
      </w:r>
      <w:r>
        <w:t xml:space="preserve"> in wilful violation of 6068, subdivision (i).</w:t>
      </w:r>
    </w:p>
    <w:p w:rsidR="00811FDD" w:rsidRDefault="00811FDD" w:rsidP="00811FDD">
      <w:pPr>
        <w:widowControl w:val="0"/>
        <w:spacing w:line="480" w:lineRule="auto"/>
        <w:rPr>
          <w:b/>
        </w:rPr>
      </w:pPr>
      <w:r>
        <w:rPr>
          <w:b/>
        </w:rPr>
        <w:t>D</w:t>
      </w:r>
      <w:r w:rsidR="005416C8">
        <w:rPr>
          <w:b/>
        </w:rPr>
        <w:t xml:space="preserve">.  </w:t>
      </w:r>
      <w:r>
        <w:rPr>
          <w:b/>
          <w:u w:val="single"/>
        </w:rPr>
        <w:t>Case no</w:t>
      </w:r>
      <w:r w:rsidR="002228A3">
        <w:rPr>
          <w:b/>
          <w:u w:val="single"/>
        </w:rPr>
        <w:t xml:space="preserve">.  </w:t>
      </w:r>
      <w:r w:rsidR="002331B1">
        <w:rPr>
          <w:b/>
          <w:u w:val="single"/>
        </w:rPr>
        <w:t>09-O-11664</w:t>
      </w:r>
      <w:r>
        <w:rPr>
          <w:b/>
          <w:u w:val="single"/>
        </w:rPr>
        <w:t xml:space="preserve"> (The </w:t>
      </w:r>
      <w:r w:rsidR="00196181">
        <w:rPr>
          <w:b/>
          <w:u w:val="single"/>
        </w:rPr>
        <w:t>Rodriguez</w:t>
      </w:r>
      <w:r>
        <w:rPr>
          <w:b/>
          <w:u w:val="single"/>
        </w:rPr>
        <w:t xml:space="preserve"> Matter)</w:t>
      </w:r>
      <w:r>
        <w:rPr>
          <w:b/>
        </w:rPr>
        <w:t xml:space="preserve">  </w:t>
      </w:r>
    </w:p>
    <w:p w:rsidR="00811FDD" w:rsidRDefault="00811FDD" w:rsidP="00811FDD">
      <w:pPr>
        <w:widowControl w:val="0"/>
        <w:spacing w:line="480" w:lineRule="auto"/>
      </w:pPr>
      <w:r>
        <w:rPr>
          <w:b/>
        </w:rPr>
        <w:tab/>
        <w:t>1</w:t>
      </w:r>
      <w:r w:rsidR="005416C8">
        <w:rPr>
          <w:b/>
        </w:rPr>
        <w:t xml:space="preserve">.  </w:t>
      </w:r>
      <w:r>
        <w:rPr>
          <w:b/>
          <w:u w:val="single"/>
        </w:rPr>
        <w:t>Facts</w:t>
      </w:r>
    </w:p>
    <w:p w:rsidR="00B94372" w:rsidRDefault="0038078D" w:rsidP="0038078D">
      <w:pPr>
        <w:spacing w:line="480" w:lineRule="auto"/>
      </w:pPr>
      <w:r>
        <w:rPr>
          <w:color w:val="000000"/>
        </w:rPr>
        <w:tab/>
      </w:r>
      <w:r w:rsidR="00B94372">
        <w:rPr>
          <w:color w:val="000000"/>
        </w:rPr>
        <w:t xml:space="preserve">On December 29, 2000, </w:t>
      </w:r>
      <w:r w:rsidR="002228A3">
        <w:rPr>
          <w:color w:val="000000"/>
        </w:rPr>
        <w:t>respondent</w:t>
      </w:r>
      <w:r w:rsidR="005C672B">
        <w:rPr>
          <w:color w:val="000000"/>
        </w:rPr>
        <w:t xml:space="preserve"> filed a petition for probate on behalf of his clients, Ernest and Belen Rodriguez.  (</w:t>
      </w:r>
      <w:r w:rsidR="005C672B" w:rsidRPr="003672D3">
        <w:rPr>
          <w:i/>
          <w:color w:val="000000"/>
        </w:rPr>
        <w:t>In the Matter of the Estate of Angelina Walters</w:t>
      </w:r>
      <w:r w:rsidR="005C672B">
        <w:rPr>
          <w:i/>
          <w:color w:val="000000"/>
        </w:rPr>
        <w:t>,</w:t>
      </w:r>
      <w:r w:rsidR="005C672B">
        <w:rPr>
          <w:color w:val="000000"/>
        </w:rPr>
        <w:t xml:space="preserve"> Los Angeles County Superior Court, </w:t>
      </w:r>
      <w:r w:rsidR="00B94372">
        <w:rPr>
          <w:color w:val="000000"/>
        </w:rPr>
        <w:t>case n</w:t>
      </w:r>
      <w:r w:rsidR="005C672B">
        <w:rPr>
          <w:color w:val="000000"/>
        </w:rPr>
        <w:t>o.</w:t>
      </w:r>
      <w:r w:rsidR="00B94372">
        <w:rPr>
          <w:color w:val="000000"/>
        </w:rPr>
        <w:t xml:space="preserve"> BP065460</w:t>
      </w:r>
      <w:r w:rsidR="005C672B">
        <w:rPr>
          <w:color w:val="000000"/>
        </w:rPr>
        <w:t xml:space="preserve">.)  </w:t>
      </w:r>
      <w:r w:rsidR="00B94372">
        <w:rPr>
          <w:color w:val="000000"/>
        </w:rPr>
        <w:t xml:space="preserve">Belen Rodriguez was the </w:t>
      </w:r>
      <w:r w:rsidR="005C672B">
        <w:rPr>
          <w:color w:val="000000"/>
        </w:rPr>
        <w:t xml:space="preserve">estate’s </w:t>
      </w:r>
      <w:r w:rsidR="00B94372">
        <w:rPr>
          <w:color w:val="000000"/>
        </w:rPr>
        <w:t>administrator</w:t>
      </w:r>
      <w:r w:rsidR="005C672B">
        <w:rPr>
          <w:color w:val="000000"/>
        </w:rPr>
        <w:t>.</w:t>
      </w:r>
    </w:p>
    <w:p w:rsidR="00A12077" w:rsidRDefault="00A12077" w:rsidP="00A12077">
      <w:pPr>
        <w:spacing w:line="480" w:lineRule="auto"/>
      </w:pPr>
      <w:r>
        <w:rPr>
          <w:color w:val="000000"/>
        </w:rPr>
        <w:lastRenderedPageBreak/>
        <w:tab/>
      </w:r>
      <w:r w:rsidR="00B94372">
        <w:rPr>
          <w:color w:val="000000"/>
        </w:rPr>
        <w:t xml:space="preserve">On July 2, 2003, the court granted </w:t>
      </w:r>
      <w:r w:rsidR="002228A3">
        <w:rPr>
          <w:color w:val="000000"/>
        </w:rPr>
        <w:t>respondent</w:t>
      </w:r>
      <w:r w:rsidR="00B94372">
        <w:rPr>
          <w:color w:val="000000"/>
        </w:rPr>
        <w:t>'s request that $15</w:t>
      </w:r>
      <w:r>
        <w:rPr>
          <w:color w:val="000000"/>
        </w:rPr>
        <w:t>,</w:t>
      </w:r>
      <w:r w:rsidR="00B94372">
        <w:rPr>
          <w:color w:val="000000"/>
        </w:rPr>
        <w:t xml:space="preserve">000 be withheld in </w:t>
      </w:r>
      <w:r>
        <w:rPr>
          <w:color w:val="000000"/>
        </w:rPr>
        <w:t>his CTA</w:t>
      </w:r>
      <w:r w:rsidR="00B94372">
        <w:rPr>
          <w:color w:val="000000"/>
        </w:rPr>
        <w:t xml:space="preserve"> for payment of any taxes that may be assessed by the </w:t>
      </w:r>
      <w:r>
        <w:rPr>
          <w:color w:val="000000"/>
        </w:rPr>
        <w:t>I</w:t>
      </w:r>
      <w:r w:rsidR="00B94372">
        <w:rPr>
          <w:color w:val="000000"/>
        </w:rPr>
        <w:t>RS against the estate for a period not to exceed 18 months</w:t>
      </w:r>
      <w:r w:rsidR="002228A3">
        <w:rPr>
          <w:color w:val="000000"/>
        </w:rPr>
        <w:t xml:space="preserve">.  </w:t>
      </w:r>
      <w:r w:rsidR="00B94372">
        <w:rPr>
          <w:color w:val="000000"/>
        </w:rPr>
        <w:t xml:space="preserve">The court ordered that the $15,000 be deposited into </w:t>
      </w:r>
      <w:r w:rsidR="002228A3">
        <w:rPr>
          <w:color w:val="000000"/>
        </w:rPr>
        <w:t>respondent</w:t>
      </w:r>
      <w:r w:rsidR="00B94372">
        <w:rPr>
          <w:color w:val="000000"/>
        </w:rPr>
        <w:t xml:space="preserve">'s </w:t>
      </w:r>
      <w:r>
        <w:rPr>
          <w:color w:val="000000"/>
        </w:rPr>
        <w:t xml:space="preserve">CTA </w:t>
      </w:r>
      <w:r w:rsidR="00B94372">
        <w:rPr>
          <w:color w:val="000000"/>
        </w:rPr>
        <w:t xml:space="preserve">until a settlement was reached with IRS or </w:t>
      </w:r>
      <w:r>
        <w:rPr>
          <w:color w:val="000000"/>
        </w:rPr>
        <w:t xml:space="preserve">for </w:t>
      </w:r>
      <w:r w:rsidR="00B94372">
        <w:rPr>
          <w:color w:val="000000"/>
        </w:rPr>
        <w:t xml:space="preserve">the period for prompt assessment </w:t>
      </w:r>
      <w:r>
        <w:rPr>
          <w:color w:val="000000"/>
        </w:rPr>
        <w:t xml:space="preserve">which </w:t>
      </w:r>
      <w:r w:rsidR="00B94372">
        <w:rPr>
          <w:color w:val="000000"/>
        </w:rPr>
        <w:t>expired on May 4, 2004</w:t>
      </w:r>
      <w:r>
        <w:rPr>
          <w:color w:val="000000"/>
        </w:rPr>
        <w:t xml:space="preserve"> and that it ea</w:t>
      </w:r>
      <w:r w:rsidR="00B94372">
        <w:rPr>
          <w:color w:val="000000"/>
        </w:rPr>
        <w:t>rn interest at the rate paid by Union Bank of California for the period that the funds were on deposit</w:t>
      </w:r>
      <w:r w:rsidR="002228A3">
        <w:rPr>
          <w:color w:val="000000"/>
        </w:rPr>
        <w:t xml:space="preserve">.  </w:t>
      </w:r>
      <w:r>
        <w:rPr>
          <w:color w:val="000000"/>
        </w:rPr>
        <w:t>It also</w:t>
      </w:r>
      <w:r w:rsidR="00B94372">
        <w:rPr>
          <w:color w:val="000000"/>
        </w:rPr>
        <w:t xml:space="preserve"> ordered that at the expiration of the 18-month assessment period on May 4, 2004, a supplemental final account be filed setting forth the payment of any taxes and the request for distribution to the heirs of any sums remaining after payment of federal taxes.</w:t>
      </w:r>
    </w:p>
    <w:p w:rsidR="00B94372" w:rsidRDefault="00A12077" w:rsidP="00A12077">
      <w:pPr>
        <w:spacing w:line="480" w:lineRule="auto"/>
      </w:pPr>
      <w:r>
        <w:tab/>
      </w:r>
      <w:r>
        <w:rPr>
          <w:color w:val="000000"/>
        </w:rPr>
        <w:t>On July 18, 2003, Rodrig</w:t>
      </w:r>
      <w:r w:rsidR="00B94372">
        <w:rPr>
          <w:color w:val="000000"/>
        </w:rPr>
        <w:t xml:space="preserve">uez issued a $15,000 check payable to </w:t>
      </w:r>
      <w:r w:rsidR="002228A3">
        <w:rPr>
          <w:color w:val="000000"/>
        </w:rPr>
        <w:t>respondent</w:t>
      </w:r>
      <w:r w:rsidR="00B94372">
        <w:rPr>
          <w:color w:val="000000"/>
        </w:rPr>
        <w:t xml:space="preserve">'s </w:t>
      </w:r>
      <w:r w:rsidR="000D4900">
        <w:rPr>
          <w:color w:val="000000"/>
        </w:rPr>
        <w:t xml:space="preserve">CTA </w:t>
      </w:r>
      <w:r w:rsidR="00B94372">
        <w:rPr>
          <w:color w:val="000000"/>
        </w:rPr>
        <w:t>pursuant to the court's July 2, 2003 order.</w:t>
      </w:r>
    </w:p>
    <w:p w:rsidR="00B94372" w:rsidRDefault="000D4900" w:rsidP="000D4900">
      <w:pPr>
        <w:spacing w:line="480" w:lineRule="auto"/>
        <w:rPr>
          <w:color w:val="000000"/>
        </w:rPr>
      </w:pPr>
      <w:r>
        <w:rPr>
          <w:color w:val="000000"/>
        </w:rPr>
        <w:tab/>
      </w:r>
      <w:r w:rsidR="00B94372">
        <w:rPr>
          <w:color w:val="000000"/>
        </w:rPr>
        <w:t xml:space="preserve">On July 18, 2003, </w:t>
      </w:r>
      <w:r w:rsidR="002228A3">
        <w:rPr>
          <w:color w:val="000000"/>
        </w:rPr>
        <w:t>respondent</w:t>
      </w:r>
      <w:r w:rsidR="00B94372">
        <w:rPr>
          <w:color w:val="000000"/>
        </w:rPr>
        <w:t xml:space="preserve"> deposited the $15,000 check into his CTA.</w:t>
      </w:r>
      <w:r>
        <w:rPr>
          <w:color w:val="000000"/>
        </w:rPr>
        <w:t xml:space="preserve"> </w:t>
      </w:r>
      <w:r w:rsidR="00B94372">
        <w:rPr>
          <w:color w:val="000000"/>
        </w:rPr>
        <w:t xml:space="preserve"> </w:t>
      </w:r>
      <w:r>
        <w:rPr>
          <w:color w:val="000000"/>
        </w:rPr>
        <w:t>Before</w:t>
      </w:r>
      <w:r w:rsidR="00B94372">
        <w:rPr>
          <w:color w:val="000000"/>
        </w:rPr>
        <w:t xml:space="preserve"> the deposit, the </w:t>
      </w:r>
      <w:r>
        <w:rPr>
          <w:color w:val="000000"/>
        </w:rPr>
        <w:t xml:space="preserve">CTA’s </w:t>
      </w:r>
      <w:r w:rsidR="00B94372">
        <w:rPr>
          <w:color w:val="000000"/>
        </w:rPr>
        <w:t>balance was $25,012.38, and after</w:t>
      </w:r>
      <w:r>
        <w:rPr>
          <w:color w:val="000000"/>
        </w:rPr>
        <w:t>, it</w:t>
      </w:r>
      <w:r w:rsidR="00B94372">
        <w:rPr>
          <w:color w:val="000000"/>
        </w:rPr>
        <w:t xml:space="preserve"> was $40,012.38</w:t>
      </w:r>
      <w:r w:rsidR="002228A3">
        <w:rPr>
          <w:color w:val="000000"/>
        </w:rPr>
        <w:t xml:space="preserve">.  </w:t>
      </w:r>
      <w:r w:rsidR="00B94372">
        <w:rPr>
          <w:color w:val="000000"/>
        </w:rPr>
        <w:t>None of the $25,012.38 already on deposit was related to the estate.</w:t>
      </w:r>
    </w:p>
    <w:p w:rsidR="00267762" w:rsidRPr="00F75E3E" w:rsidRDefault="00267762" w:rsidP="00267762">
      <w:pPr>
        <w:spacing w:line="480" w:lineRule="auto"/>
      </w:pPr>
      <w:r>
        <w:rPr>
          <w:color w:val="000000"/>
        </w:rPr>
        <w:tab/>
      </w:r>
      <w:r w:rsidRPr="00F75E3E">
        <w:rPr>
          <w:color w:val="000000"/>
        </w:rPr>
        <w:t xml:space="preserve">Without disbursing any </w:t>
      </w:r>
      <w:r>
        <w:rPr>
          <w:color w:val="000000"/>
        </w:rPr>
        <w:t>funds t</w:t>
      </w:r>
      <w:r w:rsidRPr="00F75E3E">
        <w:rPr>
          <w:color w:val="000000"/>
        </w:rPr>
        <w:t xml:space="preserve">o </w:t>
      </w:r>
      <w:r>
        <w:rPr>
          <w:color w:val="000000"/>
        </w:rPr>
        <w:t xml:space="preserve">the </w:t>
      </w:r>
      <w:r w:rsidRPr="00F75E3E">
        <w:rPr>
          <w:color w:val="000000"/>
        </w:rPr>
        <w:t>IRS or on behalf of the estate, the balance in</w:t>
      </w:r>
    </w:p>
    <w:p w:rsidR="00267762" w:rsidRPr="00F75E3E" w:rsidRDefault="00267762" w:rsidP="00267762">
      <w:pPr>
        <w:spacing w:line="480" w:lineRule="auto"/>
        <w:rPr>
          <w:color w:val="000000"/>
        </w:rPr>
      </w:pPr>
      <w:proofErr w:type="gramStart"/>
      <w:r w:rsidRPr="00F75E3E">
        <w:rPr>
          <w:color w:val="000000"/>
        </w:rPr>
        <w:t>the</w:t>
      </w:r>
      <w:proofErr w:type="gramEnd"/>
      <w:r w:rsidRPr="00F75E3E">
        <w:rPr>
          <w:color w:val="000000"/>
        </w:rPr>
        <w:t xml:space="preserve"> CTA fell below $15,000 as follows:</w:t>
      </w:r>
    </w:p>
    <w:tbl>
      <w:tblPr>
        <w:tblStyle w:val="TableGrid"/>
        <w:tblW w:w="9537" w:type="dxa"/>
        <w:tblLayout w:type="fixed"/>
        <w:tblLook w:val="0420"/>
      </w:tblPr>
      <w:tblGrid>
        <w:gridCol w:w="4858"/>
        <w:gridCol w:w="4679"/>
      </w:tblGrid>
      <w:tr w:rsidR="00B94372" w:rsidRPr="00F75E3E" w:rsidTr="006D2DD2">
        <w:tc>
          <w:tcPr>
            <w:tcW w:w="9537" w:type="dxa"/>
            <w:gridSpan w:val="2"/>
          </w:tcPr>
          <w:p w:rsidR="00B94372" w:rsidRPr="00F75E3E" w:rsidRDefault="00B94372" w:rsidP="005D478E">
            <w:r w:rsidRPr="004C5052">
              <w:rPr>
                <w:color w:val="000000"/>
              </w:rPr>
              <w:t>Date</w:t>
            </w:r>
            <w:r w:rsidRPr="00F75E3E">
              <w:rPr>
                <w:color w:val="000000"/>
              </w:rPr>
              <w:tab/>
              <w:t xml:space="preserve">                                                                      </w:t>
            </w:r>
            <w:r w:rsidRPr="004C5052">
              <w:rPr>
                <w:color w:val="000000"/>
              </w:rPr>
              <w:t>Balance</w:t>
            </w:r>
          </w:p>
        </w:tc>
      </w:tr>
      <w:tr w:rsidR="00B94372" w:rsidRPr="00F75E3E" w:rsidTr="006D2DD2">
        <w:tc>
          <w:tcPr>
            <w:tcW w:w="4858" w:type="dxa"/>
          </w:tcPr>
          <w:p w:rsidR="00B94372" w:rsidRPr="00F75E3E" w:rsidRDefault="00B94372" w:rsidP="005D478E">
            <w:r w:rsidRPr="00F75E3E">
              <w:rPr>
                <w:color w:val="000000"/>
              </w:rPr>
              <w:t>02-18-04</w:t>
            </w:r>
          </w:p>
        </w:tc>
        <w:tc>
          <w:tcPr>
            <w:tcW w:w="4679" w:type="dxa"/>
          </w:tcPr>
          <w:p w:rsidR="00B94372" w:rsidRPr="00F75E3E" w:rsidRDefault="00B94372" w:rsidP="005D478E">
            <w:r w:rsidRPr="00F75E3E">
              <w:rPr>
                <w:color w:val="000000"/>
              </w:rPr>
              <w:t>$10,446.24</w:t>
            </w:r>
          </w:p>
        </w:tc>
      </w:tr>
      <w:tr w:rsidR="00B94372" w:rsidRPr="00F75E3E" w:rsidTr="006D2DD2">
        <w:tc>
          <w:tcPr>
            <w:tcW w:w="4858" w:type="dxa"/>
          </w:tcPr>
          <w:p w:rsidR="00B94372" w:rsidRPr="00F75E3E" w:rsidRDefault="00B94372" w:rsidP="005D478E">
            <w:r w:rsidRPr="00F75E3E">
              <w:rPr>
                <w:color w:val="000000"/>
              </w:rPr>
              <w:t>04-23-04</w:t>
            </w:r>
          </w:p>
        </w:tc>
        <w:tc>
          <w:tcPr>
            <w:tcW w:w="4679" w:type="dxa"/>
          </w:tcPr>
          <w:p w:rsidR="00B94372" w:rsidRPr="00F75E3E" w:rsidRDefault="00B94372" w:rsidP="005D478E">
            <w:r w:rsidRPr="00F75E3E">
              <w:rPr>
                <w:color w:val="000000"/>
              </w:rPr>
              <w:t>$ 5,425.18</w:t>
            </w:r>
          </w:p>
        </w:tc>
      </w:tr>
      <w:tr w:rsidR="00B94372" w:rsidRPr="00F75E3E" w:rsidTr="006D2DD2">
        <w:tc>
          <w:tcPr>
            <w:tcW w:w="4858" w:type="dxa"/>
          </w:tcPr>
          <w:p w:rsidR="00B94372" w:rsidRPr="00F75E3E" w:rsidRDefault="00B94372" w:rsidP="005D478E">
            <w:r w:rsidRPr="00F75E3E">
              <w:rPr>
                <w:color w:val="000000"/>
              </w:rPr>
              <w:t>05-05-04</w:t>
            </w:r>
          </w:p>
        </w:tc>
        <w:tc>
          <w:tcPr>
            <w:tcW w:w="4679" w:type="dxa"/>
          </w:tcPr>
          <w:p w:rsidR="00B94372" w:rsidRPr="00F75E3E" w:rsidRDefault="00B94372" w:rsidP="005D478E">
            <w:r w:rsidRPr="00F75E3E">
              <w:rPr>
                <w:color w:val="000000"/>
              </w:rPr>
              <w:t>$ 4,425.18</w:t>
            </w:r>
          </w:p>
        </w:tc>
      </w:tr>
      <w:tr w:rsidR="00B94372" w:rsidRPr="00F75E3E" w:rsidTr="006D2DD2">
        <w:tc>
          <w:tcPr>
            <w:tcW w:w="4858" w:type="dxa"/>
          </w:tcPr>
          <w:p w:rsidR="00B94372" w:rsidRPr="00F75E3E" w:rsidRDefault="00B94372" w:rsidP="005D478E">
            <w:r w:rsidRPr="00F75E3E">
              <w:rPr>
                <w:color w:val="000000"/>
              </w:rPr>
              <w:t>05-06-04</w:t>
            </w:r>
          </w:p>
        </w:tc>
        <w:tc>
          <w:tcPr>
            <w:tcW w:w="4679" w:type="dxa"/>
          </w:tcPr>
          <w:p w:rsidR="00B94372" w:rsidRPr="00F75E3E" w:rsidRDefault="00B94372" w:rsidP="005D478E">
            <w:r w:rsidRPr="00F75E3E">
              <w:rPr>
                <w:color w:val="000000"/>
              </w:rPr>
              <w:t>$ 3,825.18</w:t>
            </w:r>
          </w:p>
        </w:tc>
      </w:tr>
      <w:tr w:rsidR="00B94372" w:rsidRPr="00F75E3E" w:rsidTr="006D2DD2">
        <w:tc>
          <w:tcPr>
            <w:tcW w:w="4858" w:type="dxa"/>
          </w:tcPr>
          <w:p w:rsidR="00B94372" w:rsidRPr="00F75E3E" w:rsidRDefault="00B94372" w:rsidP="005D478E">
            <w:r w:rsidRPr="00F75E3E">
              <w:rPr>
                <w:color w:val="000000"/>
              </w:rPr>
              <w:t>05-18-04</w:t>
            </w:r>
          </w:p>
        </w:tc>
        <w:tc>
          <w:tcPr>
            <w:tcW w:w="4679" w:type="dxa"/>
          </w:tcPr>
          <w:p w:rsidR="00B94372" w:rsidRPr="00F75E3E" w:rsidRDefault="00B94372" w:rsidP="005D478E">
            <w:r w:rsidRPr="00F75E3E">
              <w:rPr>
                <w:color w:val="000000"/>
              </w:rPr>
              <w:t>$ 2,825.18</w:t>
            </w:r>
          </w:p>
        </w:tc>
      </w:tr>
      <w:tr w:rsidR="00B94372" w:rsidRPr="00F75E3E" w:rsidTr="006D2DD2">
        <w:tc>
          <w:tcPr>
            <w:tcW w:w="4858" w:type="dxa"/>
          </w:tcPr>
          <w:p w:rsidR="00B94372" w:rsidRPr="00F75E3E" w:rsidRDefault="00B94372" w:rsidP="005D478E">
            <w:r w:rsidRPr="00F75E3E">
              <w:rPr>
                <w:color w:val="000000"/>
              </w:rPr>
              <w:t>05-21-04</w:t>
            </w:r>
          </w:p>
        </w:tc>
        <w:tc>
          <w:tcPr>
            <w:tcW w:w="4679" w:type="dxa"/>
          </w:tcPr>
          <w:p w:rsidR="00B94372" w:rsidRPr="00F75E3E" w:rsidRDefault="00B94372" w:rsidP="005D478E">
            <w:r w:rsidRPr="00F75E3E">
              <w:rPr>
                <w:color w:val="000000"/>
              </w:rPr>
              <w:t>$ 1,825.18</w:t>
            </w:r>
          </w:p>
        </w:tc>
      </w:tr>
      <w:tr w:rsidR="00B94372" w:rsidRPr="00F75E3E" w:rsidTr="006D2DD2">
        <w:tc>
          <w:tcPr>
            <w:tcW w:w="4858" w:type="dxa"/>
          </w:tcPr>
          <w:p w:rsidR="00B94372" w:rsidRPr="00F75E3E" w:rsidRDefault="00B94372" w:rsidP="005D478E">
            <w:r w:rsidRPr="00F75E3E">
              <w:rPr>
                <w:color w:val="000000"/>
              </w:rPr>
              <w:t>06-01-04</w:t>
            </w:r>
          </w:p>
        </w:tc>
        <w:tc>
          <w:tcPr>
            <w:tcW w:w="4679" w:type="dxa"/>
          </w:tcPr>
          <w:p w:rsidR="00B94372" w:rsidRPr="00F75E3E" w:rsidRDefault="00B94372" w:rsidP="005D478E">
            <w:r w:rsidRPr="00F75E3E">
              <w:rPr>
                <w:color w:val="000000"/>
              </w:rPr>
              <w:t>$ 1,313.98</w:t>
            </w:r>
          </w:p>
        </w:tc>
      </w:tr>
      <w:tr w:rsidR="00B94372" w:rsidRPr="00F75E3E" w:rsidTr="006D2DD2">
        <w:tc>
          <w:tcPr>
            <w:tcW w:w="4858" w:type="dxa"/>
          </w:tcPr>
          <w:p w:rsidR="00B94372" w:rsidRPr="00F75E3E" w:rsidRDefault="00B94372" w:rsidP="005D478E">
            <w:r w:rsidRPr="00F75E3E">
              <w:rPr>
                <w:color w:val="000000"/>
              </w:rPr>
              <w:t>06-04-04</w:t>
            </w:r>
          </w:p>
        </w:tc>
        <w:tc>
          <w:tcPr>
            <w:tcW w:w="4679" w:type="dxa"/>
          </w:tcPr>
          <w:p w:rsidR="00B94372" w:rsidRPr="00F75E3E" w:rsidRDefault="00B94372" w:rsidP="005D478E">
            <w:r w:rsidRPr="00F75E3E">
              <w:rPr>
                <w:color w:val="000000"/>
              </w:rPr>
              <w:t>$    713.98</w:t>
            </w:r>
          </w:p>
        </w:tc>
      </w:tr>
    </w:tbl>
    <w:p w:rsidR="006D2DD2" w:rsidRPr="006D2DD2" w:rsidRDefault="006D2DD2" w:rsidP="006D2DD2">
      <w:pPr>
        <w:spacing w:line="480" w:lineRule="auto"/>
      </w:pPr>
    </w:p>
    <w:p w:rsidR="00B94372" w:rsidRDefault="008B6B2C" w:rsidP="008B6B2C">
      <w:pPr>
        <w:spacing w:line="480" w:lineRule="auto"/>
      </w:pPr>
      <w:r>
        <w:rPr>
          <w:color w:val="000000"/>
        </w:rPr>
        <w:tab/>
      </w:r>
      <w:r w:rsidR="00B94372">
        <w:rPr>
          <w:color w:val="000000"/>
        </w:rPr>
        <w:t xml:space="preserve">On November 23, 2004, </w:t>
      </w:r>
      <w:r w:rsidR="002228A3">
        <w:rPr>
          <w:color w:val="000000"/>
        </w:rPr>
        <w:t>respondent</w:t>
      </w:r>
      <w:r w:rsidR="00B94372">
        <w:rPr>
          <w:color w:val="000000"/>
        </w:rPr>
        <w:t xml:space="preserve"> deposited $158,000 unrelated to the estate into the CTA.</w:t>
      </w:r>
    </w:p>
    <w:p w:rsidR="00B94372" w:rsidRDefault="008B6B2C" w:rsidP="008B6B2C">
      <w:pPr>
        <w:tabs>
          <w:tab w:val="num" w:pos="504"/>
        </w:tabs>
        <w:spacing w:line="480" w:lineRule="auto"/>
      </w:pPr>
      <w:r>
        <w:rPr>
          <w:color w:val="000000"/>
        </w:rPr>
        <w:lastRenderedPageBreak/>
        <w:tab/>
      </w:r>
      <w:r w:rsidR="00B94372">
        <w:rPr>
          <w:color w:val="000000"/>
        </w:rPr>
        <w:t xml:space="preserve">On November 30, 2004, </w:t>
      </w:r>
      <w:r w:rsidR="002228A3">
        <w:rPr>
          <w:color w:val="000000"/>
        </w:rPr>
        <w:t>respondent</w:t>
      </w:r>
      <w:r w:rsidR="00B94372">
        <w:rPr>
          <w:color w:val="000000"/>
        </w:rPr>
        <w:t xml:space="preserve"> filed an accounting with the court</w:t>
      </w:r>
      <w:r>
        <w:rPr>
          <w:color w:val="000000"/>
        </w:rPr>
        <w:t xml:space="preserve"> </w:t>
      </w:r>
      <w:r w:rsidR="00B94372">
        <w:rPr>
          <w:color w:val="000000"/>
        </w:rPr>
        <w:t>represent</w:t>
      </w:r>
      <w:r>
        <w:rPr>
          <w:color w:val="000000"/>
        </w:rPr>
        <w:t>ing</w:t>
      </w:r>
      <w:r w:rsidR="00B94372">
        <w:rPr>
          <w:color w:val="000000"/>
        </w:rPr>
        <w:t xml:space="preserve"> that </w:t>
      </w:r>
      <w:r>
        <w:rPr>
          <w:color w:val="000000"/>
        </w:rPr>
        <w:t xml:space="preserve">the </w:t>
      </w:r>
      <w:r w:rsidR="00B94372">
        <w:rPr>
          <w:color w:val="000000"/>
        </w:rPr>
        <w:t>IRS was entitled to $5,000 only and</w:t>
      </w:r>
      <w:r>
        <w:rPr>
          <w:color w:val="000000"/>
        </w:rPr>
        <w:t>,</w:t>
      </w:r>
      <w:r w:rsidR="00B94372">
        <w:rPr>
          <w:color w:val="000000"/>
        </w:rPr>
        <w:t xml:space="preserve"> after payment to the IRS, the balance of funds available to distribute was $10,000</w:t>
      </w:r>
      <w:r w:rsidR="00FD56A3">
        <w:rPr>
          <w:color w:val="000000"/>
        </w:rPr>
        <w:t>.  Respondent</w:t>
      </w:r>
      <w:r w:rsidR="00B94372">
        <w:rPr>
          <w:color w:val="000000"/>
        </w:rPr>
        <w:t xml:space="preserve"> had not paid $5,000 to IRS from the CTA.</w:t>
      </w:r>
    </w:p>
    <w:p w:rsidR="00B94372" w:rsidRDefault="003751CF" w:rsidP="003751CF">
      <w:pPr>
        <w:spacing w:line="480" w:lineRule="auto"/>
      </w:pPr>
      <w:r>
        <w:rPr>
          <w:color w:val="000000"/>
        </w:rPr>
        <w:tab/>
      </w:r>
      <w:r w:rsidR="00B94372">
        <w:rPr>
          <w:color w:val="000000"/>
        </w:rPr>
        <w:t>On December 8, 2004, check number 1181 to Rodriguez for $5,000 was paid from the CTA, leaving a balance of $10,000 that should have remained in the CTA for the estate.</w:t>
      </w:r>
    </w:p>
    <w:p w:rsidR="00B94372" w:rsidRDefault="003751CF" w:rsidP="003751CF">
      <w:pPr>
        <w:spacing w:line="480" w:lineRule="auto"/>
      </w:pPr>
      <w:r>
        <w:rPr>
          <w:color w:val="000000"/>
        </w:rPr>
        <w:tab/>
      </w:r>
      <w:r w:rsidR="00B94372">
        <w:rPr>
          <w:color w:val="000000"/>
        </w:rPr>
        <w:t>On May 2, 2005, check number 1211 to Rodriguez for $5,000 was paid from the CTA, leaving a balance of $5,000 that should have remained in the CTA for the estate.</w:t>
      </w:r>
    </w:p>
    <w:p w:rsidR="00B94372" w:rsidRDefault="003751CF" w:rsidP="003751CF">
      <w:pPr>
        <w:spacing w:line="480" w:lineRule="auto"/>
      </w:pPr>
      <w:r>
        <w:rPr>
          <w:color w:val="000000"/>
        </w:rPr>
        <w:tab/>
      </w:r>
      <w:r w:rsidR="00B94372">
        <w:rPr>
          <w:color w:val="000000"/>
        </w:rPr>
        <w:t>Without disbursing the remaining $5,000 belonging to the estate from the CTA, the balance in the CTA fell from $4,425.18 on May 5, 2004 to negative $1.50 on November 30, 2008.</w:t>
      </w:r>
    </w:p>
    <w:p w:rsidR="00B94372" w:rsidRDefault="003751CF" w:rsidP="003751CF">
      <w:pPr>
        <w:spacing w:line="480" w:lineRule="auto"/>
      </w:pPr>
      <w:r>
        <w:rPr>
          <w:color w:val="000000"/>
        </w:rPr>
        <w:tab/>
        <w:t>R</w:t>
      </w:r>
      <w:r w:rsidR="002228A3">
        <w:rPr>
          <w:color w:val="000000"/>
        </w:rPr>
        <w:t>espondent</w:t>
      </w:r>
      <w:r w:rsidR="00B94372">
        <w:rPr>
          <w:color w:val="000000"/>
        </w:rPr>
        <w:t xml:space="preserve"> intentionally misappropriated $14,457.69 ($15,000 - $542.31) belonging to the estate for his own use and purposes between February 18 and August 3, 2004.</w:t>
      </w:r>
    </w:p>
    <w:p w:rsidR="00B94372" w:rsidRDefault="003751CF" w:rsidP="003751CF">
      <w:pPr>
        <w:spacing w:line="480" w:lineRule="auto"/>
        <w:rPr>
          <w:color w:val="000000"/>
        </w:rPr>
      </w:pPr>
      <w:r>
        <w:rPr>
          <w:color w:val="000000"/>
        </w:rPr>
        <w:tab/>
        <w:t>R</w:t>
      </w:r>
      <w:r w:rsidR="002228A3">
        <w:rPr>
          <w:color w:val="000000"/>
        </w:rPr>
        <w:t>espondent</w:t>
      </w:r>
      <w:r w:rsidR="00B94372">
        <w:rPr>
          <w:color w:val="000000"/>
        </w:rPr>
        <w:t xml:space="preserve"> intentionally misappropriated the remaining $5,000 belonging to the estate for his own use and purposes between May 5, 2004 and November 30, 2008.</w:t>
      </w:r>
    </w:p>
    <w:p w:rsidR="00B94372" w:rsidRDefault="00F94A03" w:rsidP="00F94A03">
      <w:pPr>
        <w:tabs>
          <w:tab w:val="num" w:pos="648"/>
        </w:tabs>
        <w:spacing w:line="480" w:lineRule="auto"/>
      </w:pPr>
      <w:r>
        <w:rPr>
          <w:color w:val="000000"/>
        </w:rPr>
        <w:tab/>
      </w:r>
      <w:r w:rsidR="00B94372">
        <w:rPr>
          <w:color w:val="000000"/>
        </w:rPr>
        <w:t>On July 2, 2003, the court ordered that $16,004.11 on deposit in the estate's account at Bank of America be paid to 15 heirs of the estate in equal shares of $1,066.94.</w:t>
      </w:r>
    </w:p>
    <w:p w:rsidR="00B94372" w:rsidRDefault="00F94A03" w:rsidP="00F94A03">
      <w:pPr>
        <w:spacing w:line="480" w:lineRule="auto"/>
      </w:pPr>
      <w:r>
        <w:rPr>
          <w:color w:val="000000"/>
        </w:rPr>
        <w:tab/>
      </w:r>
      <w:r w:rsidR="00B94372">
        <w:rPr>
          <w:color w:val="000000"/>
        </w:rPr>
        <w:t xml:space="preserve">On April 7, 2005, the court approved </w:t>
      </w:r>
      <w:r w:rsidR="002228A3">
        <w:rPr>
          <w:color w:val="000000"/>
        </w:rPr>
        <w:t>respondent</w:t>
      </w:r>
      <w:r w:rsidR="00B94372">
        <w:rPr>
          <w:color w:val="000000"/>
        </w:rPr>
        <w:t>'s request for an order of final distribution of the estate's assets</w:t>
      </w:r>
      <w:r w:rsidR="002228A3">
        <w:rPr>
          <w:color w:val="000000"/>
        </w:rPr>
        <w:t xml:space="preserve">.  </w:t>
      </w:r>
      <w:r w:rsidR="00B94372">
        <w:rPr>
          <w:color w:val="000000"/>
        </w:rPr>
        <w:t>Pursuant to the order, the remaining $10,000 from the $15,000 withheld in the CTA to pay taxes was to be paid as follows: $5,000 to Rodriguez, and $5,000 to be paid to the 15 heirs in equal shares of $333.33.</w:t>
      </w:r>
    </w:p>
    <w:p w:rsidR="00B94372" w:rsidRDefault="00F94A03" w:rsidP="00F94A03">
      <w:pPr>
        <w:spacing w:line="480" w:lineRule="auto"/>
      </w:pPr>
      <w:r>
        <w:rPr>
          <w:color w:val="000000"/>
        </w:rPr>
        <w:tab/>
      </w:r>
      <w:r w:rsidR="00B94372">
        <w:rPr>
          <w:color w:val="000000"/>
        </w:rPr>
        <w:t xml:space="preserve">In June 2007, </w:t>
      </w:r>
      <w:r w:rsidR="002228A3">
        <w:rPr>
          <w:color w:val="000000"/>
        </w:rPr>
        <w:t>respondent</w:t>
      </w:r>
      <w:r w:rsidR="00B94372">
        <w:rPr>
          <w:color w:val="000000"/>
        </w:rPr>
        <w:t xml:space="preserve"> filed receipts from three heirs for the distributions of $1,066.94.</w:t>
      </w:r>
    </w:p>
    <w:p w:rsidR="00B94372" w:rsidRDefault="00F94A03" w:rsidP="00F94A03">
      <w:pPr>
        <w:spacing w:line="480" w:lineRule="auto"/>
      </w:pPr>
      <w:r>
        <w:rPr>
          <w:color w:val="000000"/>
        </w:rPr>
        <w:tab/>
      </w:r>
      <w:r w:rsidR="00B94372">
        <w:rPr>
          <w:color w:val="000000"/>
        </w:rPr>
        <w:t xml:space="preserve">On May 30, 2008, </w:t>
      </w:r>
      <w:r w:rsidR="002228A3">
        <w:rPr>
          <w:color w:val="000000"/>
        </w:rPr>
        <w:t>respondent</w:t>
      </w:r>
      <w:r w:rsidR="00B94372">
        <w:rPr>
          <w:color w:val="000000"/>
        </w:rPr>
        <w:t xml:space="preserve"> filed a petition to excuse the filing of other receipts for final distribution of the estate assets</w:t>
      </w:r>
      <w:r w:rsidR="00FD56A3">
        <w:rPr>
          <w:color w:val="000000"/>
        </w:rPr>
        <w:t>.  Respondent</w:t>
      </w:r>
      <w:r w:rsidR="00B94372">
        <w:rPr>
          <w:color w:val="000000"/>
        </w:rPr>
        <w:t xml:space="preserve"> averred that 14 of the 15 heirs of the estate accepted their distribution of $1,066.94 from the estate assets, but no other receipts for the </w:t>
      </w:r>
      <w:r w:rsidR="00B94372">
        <w:rPr>
          <w:color w:val="000000"/>
        </w:rPr>
        <w:lastRenderedPageBreak/>
        <w:t>distributions were returned</w:t>
      </w:r>
      <w:r w:rsidR="00FD56A3">
        <w:rPr>
          <w:color w:val="000000"/>
        </w:rPr>
        <w:t>.  Respondent</w:t>
      </w:r>
      <w:r w:rsidR="00B94372">
        <w:rPr>
          <w:color w:val="000000"/>
        </w:rPr>
        <w:t xml:space="preserve"> also averred that one heir refused to accept the $1,066.94 distribution.</w:t>
      </w:r>
    </w:p>
    <w:p w:rsidR="00B94372" w:rsidRDefault="00F94A03" w:rsidP="00F94A03">
      <w:pPr>
        <w:spacing w:line="480" w:lineRule="auto"/>
      </w:pPr>
      <w:r>
        <w:rPr>
          <w:color w:val="000000"/>
        </w:rPr>
        <w:tab/>
      </w:r>
      <w:r w:rsidR="00B94372">
        <w:rPr>
          <w:color w:val="000000"/>
        </w:rPr>
        <w:t xml:space="preserve">On June 10, 2008, </w:t>
      </w:r>
      <w:r w:rsidR="002228A3">
        <w:rPr>
          <w:color w:val="000000"/>
        </w:rPr>
        <w:t>respondent</w:t>
      </w:r>
      <w:r w:rsidR="00B94372">
        <w:rPr>
          <w:color w:val="000000"/>
        </w:rPr>
        <w:t xml:space="preserve"> filed notice of a hearing on his petition set for July 10, 2008.</w:t>
      </w:r>
      <w:r>
        <w:rPr>
          <w:color w:val="000000"/>
        </w:rPr>
        <w:t xml:space="preserve">  </w:t>
      </w:r>
      <w:r>
        <w:rPr>
          <w:color w:val="000000"/>
        </w:rPr>
        <w:tab/>
        <w:t xml:space="preserve">At the </w:t>
      </w:r>
      <w:r w:rsidR="00B94372">
        <w:rPr>
          <w:color w:val="000000"/>
        </w:rPr>
        <w:t>July 10 hearing</w:t>
      </w:r>
      <w:r>
        <w:rPr>
          <w:color w:val="000000"/>
        </w:rPr>
        <w:t>, t</w:t>
      </w:r>
      <w:r w:rsidR="00B94372">
        <w:rPr>
          <w:color w:val="000000"/>
        </w:rPr>
        <w:t xml:space="preserve">he court requested that </w:t>
      </w:r>
      <w:r w:rsidR="002228A3">
        <w:rPr>
          <w:color w:val="000000"/>
        </w:rPr>
        <w:t>respondent</w:t>
      </w:r>
      <w:r w:rsidR="00B94372">
        <w:rPr>
          <w:color w:val="000000"/>
        </w:rPr>
        <w:t xml:space="preserve"> file copies of the negotiated checks with the court and forward a check payable to the County Treasurer for the one heir that never cashed his $1,066.94 check</w:t>
      </w:r>
      <w:r w:rsidR="002228A3">
        <w:rPr>
          <w:color w:val="000000"/>
        </w:rPr>
        <w:t xml:space="preserve">.  </w:t>
      </w:r>
      <w:r w:rsidR="00B94372">
        <w:rPr>
          <w:color w:val="000000"/>
        </w:rPr>
        <w:t>The court continued the hearing to August 7, 2008</w:t>
      </w:r>
      <w:r w:rsidR="00FD56A3">
        <w:rPr>
          <w:color w:val="000000"/>
        </w:rPr>
        <w:t>.  Respondent</w:t>
      </w:r>
      <w:r w:rsidR="00B94372">
        <w:rPr>
          <w:color w:val="000000"/>
        </w:rPr>
        <w:t xml:space="preserve"> received a copy of the minute order of July 10, 2008.</w:t>
      </w:r>
    </w:p>
    <w:p w:rsidR="00B94372" w:rsidRDefault="00F94A03" w:rsidP="00F94A03">
      <w:pPr>
        <w:spacing w:line="480" w:lineRule="auto"/>
      </w:pPr>
      <w:r>
        <w:rPr>
          <w:color w:val="000000"/>
        </w:rPr>
        <w:tab/>
      </w:r>
      <w:r w:rsidR="00B94372">
        <w:rPr>
          <w:color w:val="000000"/>
        </w:rPr>
        <w:t>The court continued the hearing from August 7</w:t>
      </w:r>
      <w:r>
        <w:rPr>
          <w:color w:val="000000"/>
        </w:rPr>
        <w:t xml:space="preserve"> </w:t>
      </w:r>
      <w:r w:rsidR="00B94372">
        <w:rPr>
          <w:color w:val="000000"/>
        </w:rPr>
        <w:t xml:space="preserve">to September 4, 2008 and from </w:t>
      </w:r>
      <w:r>
        <w:rPr>
          <w:color w:val="000000"/>
        </w:rPr>
        <w:t>S</w:t>
      </w:r>
      <w:r w:rsidR="00B94372">
        <w:rPr>
          <w:color w:val="000000"/>
        </w:rPr>
        <w:t>eptember 4 to October 2, 2008</w:t>
      </w:r>
      <w:r w:rsidR="00FD56A3">
        <w:rPr>
          <w:color w:val="000000"/>
        </w:rPr>
        <w:t>.  Respondent</w:t>
      </w:r>
      <w:r w:rsidR="00B94372">
        <w:rPr>
          <w:color w:val="000000"/>
        </w:rPr>
        <w:t xml:space="preserve"> received notice of the continuances.</w:t>
      </w:r>
    </w:p>
    <w:p w:rsidR="00B94372" w:rsidRDefault="00F94A03" w:rsidP="00F94A03">
      <w:pPr>
        <w:spacing w:line="480" w:lineRule="auto"/>
      </w:pPr>
      <w:r>
        <w:rPr>
          <w:color w:val="000000"/>
        </w:rPr>
        <w:tab/>
      </w:r>
      <w:r w:rsidR="00B94372">
        <w:rPr>
          <w:color w:val="000000"/>
        </w:rPr>
        <w:t xml:space="preserve">On October 2, 2008, the court denied </w:t>
      </w:r>
      <w:r w:rsidR="002228A3">
        <w:rPr>
          <w:color w:val="000000"/>
        </w:rPr>
        <w:t>respondent</w:t>
      </w:r>
      <w:r w:rsidR="00B94372">
        <w:rPr>
          <w:color w:val="000000"/>
        </w:rPr>
        <w:t>'s petition without prejudice</w:t>
      </w:r>
      <w:r w:rsidR="00FD56A3">
        <w:rPr>
          <w:color w:val="000000"/>
        </w:rPr>
        <w:t>.  Respondent</w:t>
      </w:r>
      <w:r w:rsidR="00B94372">
        <w:rPr>
          <w:color w:val="000000"/>
        </w:rPr>
        <w:t xml:space="preserve"> had filed no other receipts or cancelled checks with the court, including but not limited to proof of payment of the $5,000 to the 15 heirs from the CTA.</w:t>
      </w:r>
    </w:p>
    <w:p w:rsidR="00B94372" w:rsidRPr="00D61328" w:rsidRDefault="00F94A03" w:rsidP="00F94A03">
      <w:r>
        <w:rPr>
          <w:color w:val="000000"/>
        </w:rPr>
        <w:tab/>
        <w:t>R</w:t>
      </w:r>
      <w:r w:rsidR="002228A3">
        <w:rPr>
          <w:color w:val="000000"/>
        </w:rPr>
        <w:t>espondent</w:t>
      </w:r>
      <w:r w:rsidR="00B94372">
        <w:rPr>
          <w:color w:val="000000"/>
        </w:rPr>
        <w:t xml:space="preserve"> took no further action to close the estate.</w:t>
      </w:r>
    </w:p>
    <w:p w:rsidR="00B94372" w:rsidRDefault="00B94372" w:rsidP="00B94372"/>
    <w:p w:rsidR="00B94372" w:rsidRDefault="00F94A03" w:rsidP="00F94A03">
      <w:pPr>
        <w:spacing w:line="480" w:lineRule="auto"/>
      </w:pPr>
      <w:r>
        <w:rPr>
          <w:color w:val="000000"/>
        </w:rPr>
        <w:tab/>
      </w:r>
      <w:r w:rsidR="00B94372">
        <w:rPr>
          <w:color w:val="000000"/>
        </w:rPr>
        <w:t xml:space="preserve"> Having heard nothing from </w:t>
      </w:r>
      <w:r w:rsidR="002228A3">
        <w:rPr>
          <w:color w:val="000000"/>
        </w:rPr>
        <w:t>respondent</w:t>
      </w:r>
      <w:r w:rsidR="00B94372">
        <w:rPr>
          <w:color w:val="000000"/>
        </w:rPr>
        <w:t xml:space="preserve"> about the status of the matter since June or July 2008 approximately, Ernest Rodriguez made three telephone calls to </w:t>
      </w:r>
      <w:r w:rsidR="002228A3">
        <w:rPr>
          <w:color w:val="000000"/>
        </w:rPr>
        <w:t>respondent</w:t>
      </w:r>
      <w:r w:rsidR="00B94372">
        <w:rPr>
          <w:color w:val="000000"/>
        </w:rPr>
        <w:t xml:space="preserve">'s office in January 2009 on his behalf and on behalf of Rodriguez and left messages for </w:t>
      </w:r>
      <w:r w:rsidR="002228A3">
        <w:rPr>
          <w:color w:val="000000"/>
        </w:rPr>
        <w:t>respondent</w:t>
      </w:r>
      <w:r w:rsidR="00B94372">
        <w:rPr>
          <w:color w:val="000000"/>
        </w:rPr>
        <w:t xml:space="preserve"> asking for the status of the matter</w:t>
      </w:r>
      <w:r w:rsidR="00FD56A3">
        <w:rPr>
          <w:color w:val="000000"/>
        </w:rPr>
        <w:t>.  Respondent</w:t>
      </w:r>
      <w:r w:rsidR="00B94372">
        <w:rPr>
          <w:color w:val="000000"/>
        </w:rPr>
        <w:t xml:space="preserve"> did not respond to the messages and did not provide the status of the matter to the Rodriguezes.</w:t>
      </w:r>
    </w:p>
    <w:p w:rsidR="00363892" w:rsidRDefault="00B94372" w:rsidP="00FC0FB5">
      <w:pPr>
        <w:spacing w:line="480" w:lineRule="auto"/>
        <w:rPr>
          <w:color w:val="000000"/>
        </w:rPr>
      </w:pPr>
      <w:r>
        <w:rPr>
          <w:color w:val="000000"/>
        </w:rPr>
        <w:t xml:space="preserve"> </w:t>
      </w:r>
      <w:r w:rsidR="00482E65">
        <w:rPr>
          <w:color w:val="000000"/>
        </w:rPr>
        <w:tab/>
      </w:r>
      <w:r w:rsidR="00DB50BB">
        <w:rPr>
          <w:color w:val="000000"/>
        </w:rPr>
        <w:t xml:space="preserve">On </w:t>
      </w:r>
      <w:r>
        <w:rPr>
          <w:color w:val="000000"/>
        </w:rPr>
        <w:t xml:space="preserve">January 30, 2009, the State Bar </w:t>
      </w:r>
      <w:r w:rsidR="00CC00BA">
        <w:rPr>
          <w:color w:val="000000"/>
        </w:rPr>
        <w:t>o</w:t>
      </w:r>
      <w:r>
        <w:rPr>
          <w:color w:val="000000"/>
        </w:rPr>
        <w:t xml:space="preserve">f California opened an investigation concerning a complaint submitted by Ernest and Belen Rodriguez against </w:t>
      </w:r>
      <w:r w:rsidR="002228A3">
        <w:rPr>
          <w:color w:val="000000"/>
        </w:rPr>
        <w:t>respondent</w:t>
      </w:r>
      <w:r>
        <w:rPr>
          <w:color w:val="000000"/>
        </w:rPr>
        <w:t xml:space="preserve"> regarding his representation.</w:t>
      </w:r>
      <w:r w:rsidR="00FC0FB5">
        <w:rPr>
          <w:color w:val="000000"/>
        </w:rPr>
        <w:t xml:space="preserve">  </w:t>
      </w:r>
      <w:r w:rsidR="00FC0FB5">
        <w:t xml:space="preserve">On April 17 and July 2, 2009, a State Bar investigator sent respondent letters requesting that respondent answer in writing by specified dates specific allegations of misconduct regarding the Rodriguezes’ complaint.  The letters were addressed to respondent’s official membership records address and sent by first-class mail, postage prepaid.  None was </w:t>
      </w:r>
      <w:r w:rsidR="00FC0FB5">
        <w:lastRenderedPageBreak/>
        <w:t xml:space="preserve">returned to the State Bar as undeliverable or for any other reason.  Respondent received the letters but did not answer them.  </w:t>
      </w:r>
      <w:r w:rsidR="00FC0FB5">
        <w:rPr>
          <w:color w:val="000000"/>
        </w:rPr>
        <w:t xml:space="preserve"> </w:t>
      </w:r>
    </w:p>
    <w:p w:rsidR="00811FDD" w:rsidRDefault="00811FDD" w:rsidP="00811FDD">
      <w:pPr>
        <w:widowControl w:val="0"/>
        <w:spacing w:line="480" w:lineRule="auto"/>
      </w:pPr>
      <w:r>
        <w:rPr>
          <w:b/>
        </w:rPr>
        <w:tab/>
        <w:t>2</w:t>
      </w:r>
      <w:r w:rsidR="005416C8">
        <w:rPr>
          <w:b/>
        </w:rPr>
        <w:t xml:space="preserve">.  </w:t>
      </w:r>
      <w:r>
        <w:rPr>
          <w:b/>
          <w:u w:val="single"/>
        </w:rPr>
        <w:t>Conclusions of Law</w:t>
      </w:r>
    </w:p>
    <w:p w:rsidR="00064D3E" w:rsidRDefault="00811FDD" w:rsidP="00064D3E">
      <w:pPr>
        <w:widowControl w:val="0"/>
        <w:spacing w:line="480" w:lineRule="auto"/>
      </w:pPr>
      <w:r>
        <w:tab/>
      </w:r>
      <w:r>
        <w:tab/>
      </w:r>
      <w:proofErr w:type="gramStart"/>
      <w:r>
        <w:rPr>
          <w:b/>
        </w:rPr>
        <w:t>a</w:t>
      </w:r>
      <w:r w:rsidR="005416C8">
        <w:rPr>
          <w:b/>
        </w:rPr>
        <w:t xml:space="preserve">.  </w:t>
      </w:r>
      <w:r w:rsidR="00064D3E">
        <w:rPr>
          <w:b/>
          <w:u w:val="single"/>
        </w:rPr>
        <w:t>Count</w:t>
      </w:r>
      <w:proofErr w:type="gramEnd"/>
      <w:r w:rsidR="00064D3E">
        <w:rPr>
          <w:b/>
          <w:u w:val="single"/>
        </w:rPr>
        <w:t xml:space="preserve"> 1 - Section 6106 (Moral Turpitude)</w:t>
      </w:r>
    </w:p>
    <w:p w:rsidR="00064D3E" w:rsidRDefault="00064D3E" w:rsidP="00064D3E">
      <w:pPr>
        <w:widowControl w:val="0"/>
        <w:spacing w:line="480" w:lineRule="auto"/>
      </w:pPr>
      <w:r>
        <w:tab/>
        <w:t>There is clear and convincing evidence that respondent violated section 6106 by</w:t>
      </w:r>
      <w:r w:rsidR="00894862">
        <w:rPr>
          <w:color w:val="000000"/>
        </w:rPr>
        <w:t xml:space="preserve"> misappropriating $14,457.69 belonging to the estate between February 18 and August 3, 2004, and by misappropriating $5,000 belonging to the estate between May 5, 2004 and November 30, 2008</w:t>
      </w:r>
      <w:r w:rsidR="005416C8">
        <w:t xml:space="preserve">.  </w:t>
      </w:r>
      <w:r>
        <w:t xml:space="preserve">Accordingly, </w:t>
      </w:r>
      <w:r w:rsidR="00EA29D7">
        <w:t>he</w:t>
      </w:r>
      <w:r>
        <w:t xml:space="preserve"> committed act</w:t>
      </w:r>
      <w:r w:rsidR="00894862">
        <w:t>s</w:t>
      </w:r>
      <w:r>
        <w:t xml:space="preserve"> of moral turpitude, dishonesty or corruption in wilful violation of section 6106.</w:t>
      </w:r>
    </w:p>
    <w:p w:rsidR="00064D3E" w:rsidRPr="00D143E9" w:rsidRDefault="00064D3E" w:rsidP="00064D3E">
      <w:pPr>
        <w:widowControl w:val="0"/>
        <w:spacing w:line="480" w:lineRule="auto"/>
      </w:pPr>
      <w:r>
        <w:tab/>
      </w:r>
      <w:r>
        <w:tab/>
      </w:r>
      <w:r>
        <w:rPr>
          <w:b/>
        </w:rPr>
        <w:t xml:space="preserve"> b</w:t>
      </w:r>
      <w:r w:rsidR="005416C8">
        <w:rPr>
          <w:b/>
        </w:rPr>
        <w:t xml:space="preserve">.  </w:t>
      </w:r>
      <w:r>
        <w:rPr>
          <w:b/>
          <w:u w:val="single"/>
        </w:rPr>
        <w:t>Count 2 - Rule 4-100(A)(Maintaining</w:t>
      </w:r>
      <w:r w:rsidR="00435A73">
        <w:rPr>
          <w:b/>
          <w:u w:val="single"/>
        </w:rPr>
        <w:t xml:space="preserve"> </w:t>
      </w:r>
      <w:r w:rsidRPr="00D143E9">
        <w:rPr>
          <w:b/>
          <w:u w:val="single"/>
        </w:rPr>
        <w:t>Client Funds in Trust Account)</w:t>
      </w:r>
    </w:p>
    <w:p w:rsidR="002C146F" w:rsidRPr="00D61328" w:rsidRDefault="00064D3E" w:rsidP="002C146F">
      <w:pPr>
        <w:spacing w:line="480" w:lineRule="auto"/>
      </w:pPr>
      <w:r>
        <w:tab/>
        <w:t xml:space="preserve">There is clear and convincing evidence that respondent wilfully violated rule 4-100(A) by </w:t>
      </w:r>
      <w:r w:rsidR="002C146F">
        <w:rPr>
          <w:color w:val="000000"/>
        </w:rPr>
        <w:t xml:space="preserve">not maintaining $15,000 in the CTA for the estate between July 18, 2003 and August 3, 2004, and by not maintaining $5,000 in the CTA for the estate </w:t>
      </w:r>
      <w:proofErr w:type="gramStart"/>
      <w:r w:rsidR="002C146F">
        <w:rPr>
          <w:color w:val="000000"/>
        </w:rPr>
        <w:t>between May 5, 2004 to November 30, 2008</w:t>
      </w:r>
      <w:proofErr w:type="gramEnd"/>
      <w:r w:rsidR="002C146F">
        <w:rPr>
          <w:color w:val="000000"/>
        </w:rPr>
        <w:t xml:space="preserve">. </w:t>
      </w:r>
    </w:p>
    <w:p w:rsidR="00064D3E" w:rsidRPr="005603F0" w:rsidRDefault="00064D3E" w:rsidP="00064D3E">
      <w:pPr>
        <w:widowControl w:val="0"/>
        <w:spacing w:line="480" w:lineRule="auto"/>
      </w:pPr>
      <w:r w:rsidRPr="005603F0">
        <w:tab/>
      </w:r>
      <w:r w:rsidRPr="005603F0">
        <w:tab/>
      </w:r>
      <w:r>
        <w:rPr>
          <w:b/>
        </w:rPr>
        <w:t>c</w:t>
      </w:r>
      <w:r w:rsidR="005416C8">
        <w:rPr>
          <w:b/>
        </w:rPr>
        <w:t xml:space="preserve">.  </w:t>
      </w:r>
      <w:r w:rsidR="00963E94">
        <w:rPr>
          <w:b/>
        </w:rPr>
        <w:t xml:space="preserve"> </w:t>
      </w:r>
      <w:r w:rsidRPr="005603F0">
        <w:rPr>
          <w:b/>
          <w:u w:val="single"/>
        </w:rPr>
        <w:t xml:space="preserve">Count </w:t>
      </w:r>
      <w:r>
        <w:rPr>
          <w:b/>
          <w:u w:val="single"/>
        </w:rPr>
        <w:t xml:space="preserve">3 </w:t>
      </w:r>
      <w:r w:rsidRPr="005603F0">
        <w:rPr>
          <w:b/>
          <w:u w:val="single"/>
        </w:rPr>
        <w:t>- Rule 3-110(A) (Competence)</w:t>
      </w:r>
    </w:p>
    <w:p w:rsidR="00064D3E" w:rsidRPr="005603F0" w:rsidRDefault="00064D3E" w:rsidP="00064D3E">
      <w:pPr>
        <w:spacing w:line="480" w:lineRule="auto"/>
      </w:pPr>
      <w:r w:rsidRPr="005603F0">
        <w:tab/>
        <w:t>By</w:t>
      </w:r>
      <w:r w:rsidR="00F94A03">
        <w:t xml:space="preserve"> </w:t>
      </w:r>
      <w:r w:rsidR="00F94A03">
        <w:rPr>
          <w:color w:val="000000"/>
        </w:rPr>
        <w:t>not closing the estate</w:t>
      </w:r>
      <w:r w:rsidRPr="005603F0">
        <w:t>, respondent intentionally, recklessly or repeatedly did not perform competently in wilful violation of rule 3-110(A).</w:t>
      </w:r>
    </w:p>
    <w:p w:rsidR="00277853" w:rsidRDefault="00064D3E" w:rsidP="00277853">
      <w:pPr>
        <w:widowControl w:val="0"/>
        <w:spacing w:line="480" w:lineRule="auto"/>
      </w:pPr>
      <w:r>
        <w:rPr>
          <w:b/>
        </w:rPr>
        <w:tab/>
      </w:r>
      <w:r w:rsidR="00277853">
        <w:tab/>
        <w:t xml:space="preserve"> </w:t>
      </w:r>
      <w:r>
        <w:rPr>
          <w:b/>
        </w:rPr>
        <w:t>d</w:t>
      </w:r>
      <w:r w:rsidR="005416C8">
        <w:rPr>
          <w:b/>
        </w:rPr>
        <w:t xml:space="preserve">.  </w:t>
      </w:r>
      <w:r w:rsidR="00277853">
        <w:t xml:space="preserve"> </w:t>
      </w:r>
      <w:r w:rsidR="00277853">
        <w:rPr>
          <w:b/>
          <w:u w:val="single"/>
        </w:rPr>
        <w:t xml:space="preserve">Count 3 - Section 6068, </w:t>
      </w:r>
      <w:r w:rsidR="00D01541">
        <w:rPr>
          <w:b/>
          <w:u w:val="single"/>
        </w:rPr>
        <w:t>subd. (</w:t>
      </w:r>
      <w:r w:rsidR="00277853">
        <w:rPr>
          <w:b/>
          <w:u w:val="single"/>
        </w:rPr>
        <w:t>m) (Communication)</w:t>
      </w:r>
    </w:p>
    <w:p w:rsidR="00277853" w:rsidRDefault="00277853" w:rsidP="00277853">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rsidR="00277853" w:rsidRDefault="00277853" w:rsidP="00404098">
      <w:pPr>
        <w:spacing w:line="480" w:lineRule="auto"/>
      </w:pPr>
      <w:r>
        <w:tab/>
        <w:t xml:space="preserve">By </w:t>
      </w:r>
      <w:r w:rsidR="00404098">
        <w:rPr>
          <w:color w:val="000000"/>
        </w:rPr>
        <w:t xml:space="preserve">not returning the Rodriguezes’ calls regarding the status of the case, </w:t>
      </w:r>
      <w:r>
        <w:t xml:space="preserve">respondent did not respond promptly </w:t>
      </w:r>
      <w:r w:rsidR="00404098">
        <w:t>to their</w:t>
      </w:r>
      <w:r w:rsidR="004050CA">
        <w:t xml:space="preserve"> reasonable status inquiries </w:t>
      </w:r>
      <w:r>
        <w:t>wilful violation of section 6068, subdivision (m)</w:t>
      </w:r>
      <w:r w:rsidR="002228A3">
        <w:t xml:space="preserve">.  </w:t>
      </w:r>
    </w:p>
    <w:p w:rsidR="00064D3E" w:rsidRDefault="00064D3E" w:rsidP="00064D3E">
      <w:pPr>
        <w:widowControl w:val="0"/>
        <w:spacing w:line="480" w:lineRule="auto"/>
      </w:pPr>
      <w:r>
        <w:rPr>
          <w:b/>
        </w:rPr>
        <w:lastRenderedPageBreak/>
        <w:tab/>
      </w:r>
      <w:r>
        <w:rPr>
          <w:b/>
        </w:rPr>
        <w:tab/>
      </w:r>
      <w:proofErr w:type="gramStart"/>
      <w:r>
        <w:rPr>
          <w:b/>
        </w:rPr>
        <w:t>e</w:t>
      </w:r>
      <w:r w:rsidR="005416C8">
        <w:rPr>
          <w:b/>
        </w:rPr>
        <w:t xml:space="preserve">.  </w:t>
      </w:r>
      <w:r>
        <w:rPr>
          <w:b/>
          <w:u w:val="single"/>
        </w:rPr>
        <w:t>Count</w:t>
      </w:r>
      <w:proofErr w:type="gramEnd"/>
      <w:r>
        <w:rPr>
          <w:b/>
          <w:u w:val="single"/>
        </w:rPr>
        <w:t xml:space="preserve"> 4 - Section 6068, </w:t>
      </w:r>
      <w:r w:rsidR="00D01541">
        <w:rPr>
          <w:b/>
          <w:u w:val="single"/>
        </w:rPr>
        <w:t>subd. (</w:t>
      </w:r>
      <w:r>
        <w:rPr>
          <w:b/>
          <w:u w:val="single"/>
        </w:rPr>
        <w:t xml:space="preserve">i) (Not Participating in Disciplinary </w:t>
      </w:r>
      <w:r>
        <w:rPr>
          <w:b/>
        </w:rPr>
        <w:tab/>
      </w:r>
      <w:r w:rsidR="009D24C8">
        <w:rPr>
          <w:b/>
        </w:rPr>
        <w:tab/>
      </w:r>
      <w:r w:rsidR="009D24C8">
        <w:rPr>
          <w:b/>
        </w:rPr>
        <w:tab/>
      </w:r>
      <w:r w:rsidR="009D24C8">
        <w:rPr>
          <w:b/>
        </w:rPr>
        <w:tab/>
      </w:r>
      <w:r w:rsidR="009D24C8">
        <w:rPr>
          <w:b/>
        </w:rPr>
        <w:tab/>
      </w:r>
      <w:r>
        <w:rPr>
          <w:b/>
          <w:u w:val="single"/>
        </w:rPr>
        <w:t>Investigation)</w:t>
      </w:r>
    </w:p>
    <w:p w:rsidR="00064D3E" w:rsidRDefault="00064D3E" w:rsidP="00064D3E">
      <w:pPr>
        <w:widowControl w:val="0"/>
        <w:spacing w:line="480" w:lineRule="auto"/>
        <w:rPr>
          <w:b/>
          <w:u w:val="single"/>
        </w:rPr>
      </w:pPr>
      <w:r>
        <w:tab/>
        <w:t xml:space="preserve">By </w:t>
      </w:r>
      <w:r w:rsidR="001D6306">
        <w:t>not responding to the State Bar investigator’s letters of April 17 and July 2, 2009</w:t>
      </w:r>
      <w:r>
        <w:t xml:space="preserve">, respondent did not participate in the investigation of the allegations of misconduct regarding the </w:t>
      </w:r>
      <w:r w:rsidR="001E2CAB">
        <w:t>Rodriguezes’ complaint</w:t>
      </w:r>
      <w:r>
        <w:t xml:space="preserve"> in wilful violation of 6068, subdivision (i).</w:t>
      </w:r>
    </w:p>
    <w:p w:rsidR="003818C1" w:rsidRDefault="003818C1" w:rsidP="005D478E">
      <w:pPr>
        <w:widowControl w:val="0"/>
        <w:spacing w:line="480" w:lineRule="auto"/>
        <w:jc w:val="center"/>
      </w:pPr>
      <w:r>
        <w:rPr>
          <w:b/>
        </w:rPr>
        <w:t>IV</w:t>
      </w:r>
      <w:proofErr w:type="gramStart"/>
      <w:r w:rsidR="005416C8">
        <w:rPr>
          <w:b/>
        </w:rPr>
        <w:t xml:space="preserve">.  </w:t>
      </w:r>
      <w:r>
        <w:rPr>
          <w:b/>
          <w:u w:val="single"/>
        </w:rPr>
        <w:t>LEVEL</w:t>
      </w:r>
      <w:proofErr w:type="gramEnd"/>
      <w:r>
        <w:rPr>
          <w:b/>
          <w:u w:val="single"/>
        </w:rPr>
        <w:t xml:space="preserve"> OF DISCIPLINE</w:t>
      </w:r>
    </w:p>
    <w:p w:rsidR="003818C1" w:rsidRDefault="003818C1" w:rsidP="005D478E">
      <w:pPr>
        <w:widowControl w:val="0"/>
        <w:spacing w:line="480" w:lineRule="auto"/>
      </w:pPr>
      <w:r>
        <w:rPr>
          <w:b/>
        </w:rPr>
        <w:t>A</w:t>
      </w:r>
      <w:r w:rsidR="005416C8">
        <w:rPr>
          <w:b/>
        </w:rPr>
        <w:t xml:space="preserve">.  </w:t>
      </w:r>
      <w:r>
        <w:rPr>
          <w:b/>
          <w:u w:val="single"/>
        </w:rPr>
        <w:t>Aggravating Circumstances</w:t>
      </w:r>
    </w:p>
    <w:p w:rsidR="003818C1" w:rsidRDefault="003818C1" w:rsidP="005D478E">
      <w:pPr>
        <w:widowControl w:val="0"/>
        <w:spacing w:line="480" w:lineRule="auto"/>
      </w:pPr>
      <w:r>
        <w:tab/>
        <w:t>It is the prosecution’s burden to establish aggravating circumstances by clear and convincing evidence</w:t>
      </w:r>
      <w:r w:rsidR="005416C8">
        <w:t xml:space="preserve">.  </w:t>
      </w:r>
      <w:r>
        <w:t>(Rules Proc</w:t>
      </w:r>
      <w:r w:rsidR="002228A3">
        <w:t xml:space="preserve">. </w:t>
      </w:r>
      <w:r>
        <w:t>of State Bar, tit</w:t>
      </w:r>
      <w:r w:rsidR="002228A3">
        <w:t xml:space="preserve">. </w:t>
      </w:r>
      <w:r>
        <w:t>IV, Stds</w:t>
      </w:r>
      <w:r w:rsidR="002228A3">
        <w:t xml:space="preserve">. </w:t>
      </w:r>
      <w:r>
        <w:t>for Atty</w:t>
      </w:r>
      <w:r w:rsidR="002228A3">
        <w:t xml:space="preserve">. </w:t>
      </w:r>
      <w:r>
        <w:t>Sanctions for Prof</w:t>
      </w:r>
      <w:r w:rsidR="002228A3">
        <w:t xml:space="preserve">. </w:t>
      </w:r>
      <w:r>
        <w:t>Misconduct</w:t>
      </w:r>
      <w:r>
        <w:rPr>
          <w:vertAlign w:val="superscript"/>
        </w:rPr>
        <w:footnoteReference w:id="7"/>
      </w:r>
      <w:r>
        <w:t>, std</w:t>
      </w:r>
      <w:r w:rsidR="002228A3">
        <w:t xml:space="preserve">. </w:t>
      </w:r>
      <w:r>
        <w:t>1.2(b).)</w:t>
      </w:r>
    </w:p>
    <w:p w:rsidR="003818C1" w:rsidRDefault="003818C1" w:rsidP="005D478E">
      <w:pPr>
        <w:widowControl w:val="0"/>
        <w:spacing w:line="480" w:lineRule="auto"/>
      </w:pPr>
      <w:r>
        <w:tab/>
      </w:r>
      <w:r w:rsidR="005C5F47">
        <w:t>R</w:t>
      </w:r>
      <w:r w:rsidR="002228A3">
        <w:t>espondent</w:t>
      </w:r>
      <w:r>
        <w:t>'s multiple acts of misconduct are an aggravating factor</w:t>
      </w:r>
      <w:r w:rsidR="005416C8">
        <w:t xml:space="preserve">.  </w:t>
      </w:r>
      <w:r>
        <w:t>(Std</w:t>
      </w:r>
      <w:r w:rsidR="002228A3">
        <w:t xml:space="preserve">. </w:t>
      </w:r>
      <w:r>
        <w:t>1.2(b</w:t>
      </w:r>
      <w:proofErr w:type="gramStart"/>
      <w:r>
        <w:t>)(</w:t>
      </w:r>
      <w:proofErr w:type="gramEnd"/>
      <w:r>
        <w:t>ii).)</w:t>
      </w:r>
    </w:p>
    <w:p w:rsidR="00666C55" w:rsidRDefault="003818C1" w:rsidP="00666C55">
      <w:pPr>
        <w:widowControl w:val="0"/>
        <w:spacing w:line="480" w:lineRule="auto"/>
      </w:pPr>
      <w:r>
        <w:tab/>
      </w:r>
      <w:r w:rsidR="005C5F47">
        <w:t>R</w:t>
      </w:r>
      <w:r w:rsidR="002228A3">
        <w:t>espondent</w:t>
      </w:r>
      <w:r>
        <w:t>'s misconduct significantly harmed clients</w:t>
      </w:r>
      <w:r w:rsidR="005416C8">
        <w:t xml:space="preserve">.  </w:t>
      </w:r>
      <w:r>
        <w:t>(Std</w:t>
      </w:r>
      <w:r w:rsidR="002228A3">
        <w:t xml:space="preserve">. </w:t>
      </w:r>
      <w:r>
        <w:t>1.2(b</w:t>
      </w:r>
      <w:proofErr w:type="gramStart"/>
      <w:r>
        <w:t>)(</w:t>
      </w:r>
      <w:proofErr w:type="gramEnd"/>
      <w:r>
        <w:t xml:space="preserve">iv).) </w:t>
      </w:r>
      <w:r w:rsidR="004B77FA">
        <w:t xml:space="preserve"> Respondent exposed Blanco to liability as administrator of the estate for not completing her duties.</w:t>
      </w:r>
      <w:r w:rsidR="00E97EFE">
        <w:t xml:space="preserve">  Courts and the public were harmed because respondent’s misconduct required repeated court proceedings which unduly consumed court time and taxpayer funds.</w:t>
      </w:r>
    </w:p>
    <w:p w:rsidR="006C0F5E" w:rsidRDefault="00666C55" w:rsidP="00666C55">
      <w:pPr>
        <w:widowControl w:val="0"/>
        <w:spacing w:line="480" w:lineRule="auto"/>
      </w:pPr>
      <w:r>
        <w:tab/>
      </w:r>
      <w:r w:rsidR="006C0F5E">
        <w:t>Respondent's failure to participate in these proceedings prior to the entry of default is also an aggravating factor.  (Std. 1.2(b</w:t>
      </w:r>
      <w:proofErr w:type="gramStart"/>
      <w:r w:rsidR="006C0F5E">
        <w:t>)(</w:t>
      </w:r>
      <w:proofErr w:type="gramEnd"/>
      <w:r w:rsidR="006C0F5E">
        <w:t>vi).)  However, it warrants little weight in aggravation because this conduct closely parallels that used to find respondent culpable of violating section 6068, subdivision (i) and to enter his default.  (</w:t>
      </w:r>
      <w:r w:rsidR="006C0F5E">
        <w:rPr>
          <w:i/>
          <w:iCs/>
        </w:rPr>
        <w:t>In the Matter of Bailey</w:t>
      </w:r>
      <w:r w:rsidR="006C0F5E">
        <w:t xml:space="preserve"> (Review Dept. 2001) 4 Cal. </w:t>
      </w:r>
      <w:proofErr w:type="gramStart"/>
      <w:r w:rsidR="006C0F5E">
        <w:t>State</w:t>
      </w:r>
      <w:proofErr w:type="gramEnd"/>
      <w:r w:rsidR="006C0F5E">
        <w:t xml:space="preserve"> Bar Ct. Rptr. 220, 225.)</w:t>
      </w:r>
    </w:p>
    <w:p w:rsidR="003818C1" w:rsidRDefault="003818C1" w:rsidP="005D478E">
      <w:pPr>
        <w:widowControl w:val="0"/>
        <w:spacing w:line="480" w:lineRule="auto"/>
      </w:pPr>
      <w:r>
        <w:rPr>
          <w:b/>
        </w:rPr>
        <w:t>B</w:t>
      </w:r>
      <w:r w:rsidR="005416C8">
        <w:rPr>
          <w:b/>
        </w:rPr>
        <w:t xml:space="preserve">.  </w:t>
      </w:r>
      <w:r>
        <w:rPr>
          <w:b/>
          <w:u w:val="single"/>
        </w:rPr>
        <w:t>Mitigating Circumstances</w:t>
      </w:r>
      <w:r>
        <w:t xml:space="preserve">   </w:t>
      </w:r>
    </w:p>
    <w:p w:rsidR="005907EB" w:rsidRDefault="003818C1" w:rsidP="005D478E">
      <w:pPr>
        <w:widowControl w:val="0"/>
        <w:spacing w:line="480" w:lineRule="auto"/>
      </w:pPr>
      <w:r>
        <w:tab/>
      </w:r>
      <w:r w:rsidR="000E65F6">
        <w:t>R</w:t>
      </w:r>
      <w:r w:rsidR="002228A3">
        <w:t>espondent</w:t>
      </w:r>
      <w:r>
        <w:t xml:space="preserve"> bears the burden of establishing mitigation by clear and convincing evidence</w:t>
      </w:r>
      <w:r w:rsidR="005416C8">
        <w:t xml:space="preserve">.  </w:t>
      </w:r>
      <w:proofErr w:type="gramStart"/>
      <w:r>
        <w:t>(Std</w:t>
      </w:r>
      <w:r w:rsidR="002228A3">
        <w:t xml:space="preserve">. </w:t>
      </w:r>
      <w:r>
        <w:t>1.2(e).)</w:t>
      </w:r>
      <w:proofErr w:type="gramEnd"/>
      <w:r>
        <w:t xml:space="preserve">  Since respondent did not participate in these proceedings, the court has been </w:t>
      </w:r>
      <w:r>
        <w:lastRenderedPageBreak/>
        <w:t>provided no basis for finding mitigating factors</w:t>
      </w:r>
      <w:r w:rsidR="005907EB">
        <w:t xml:space="preserve"> other than no prior discipline in nearly 29 years of practice when the misconduct commenced, a significant mitigating factor.</w:t>
      </w:r>
    </w:p>
    <w:p w:rsidR="003818C1" w:rsidRDefault="003818C1" w:rsidP="005D478E">
      <w:pPr>
        <w:widowControl w:val="0"/>
        <w:spacing w:line="480" w:lineRule="auto"/>
      </w:pPr>
      <w:r>
        <w:rPr>
          <w:b/>
        </w:rPr>
        <w:t>C</w:t>
      </w:r>
      <w:r w:rsidR="005416C8">
        <w:rPr>
          <w:b/>
        </w:rPr>
        <w:t xml:space="preserve">.  </w:t>
      </w:r>
      <w:r>
        <w:rPr>
          <w:b/>
          <w:u w:val="single"/>
        </w:rPr>
        <w:t>Discussion</w:t>
      </w:r>
    </w:p>
    <w:p w:rsidR="003818C1" w:rsidRDefault="003818C1" w:rsidP="005D478E">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w:t>
      </w:r>
      <w:r w:rsidR="005416C8">
        <w:t xml:space="preserve">.  </w:t>
      </w:r>
      <w:proofErr w:type="gramStart"/>
      <w:r>
        <w:t>(</w:t>
      </w:r>
      <w:r>
        <w:rPr>
          <w:i/>
        </w:rPr>
        <w:t>Chadwick v</w:t>
      </w:r>
      <w:r w:rsidR="00423277">
        <w:rPr>
          <w:i/>
        </w:rPr>
        <w:t xml:space="preserve">. </w:t>
      </w:r>
      <w:r>
        <w:rPr>
          <w:i/>
        </w:rPr>
        <w:t>State Bar</w:t>
      </w:r>
      <w:r>
        <w:t xml:space="preserve"> (1989) 49 Cal.3d 103, 111; </w:t>
      </w:r>
      <w:r>
        <w:rPr>
          <w:i/>
        </w:rPr>
        <w:t>Cooper v</w:t>
      </w:r>
      <w:r w:rsidR="002228A3">
        <w:rPr>
          <w:i/>
        </w:rPr>
        <w:t xml:space="preserve">. </w:t>
      </w:r>
      <w:r>
        <w:rPr>
          <w:i/>
        </w:rPr>
        <w:t>State Bar</w:t>
      </w:r>
      <w:r>
        <w:t xml:space="preserve"> (1987) 43 Cal.3d 1016, 1025; std</w:t>
      </w:r>
      <w:r w:rsidR="002228A3">
        <w:t xml:space="preserve">. </w:t>
      </w:r>
      <w:r>
        <w:t>1.3.)</w:t>
      </w:r>
      <w:proofErr w:type="gramEnd"/>
      <w:r>
        <w:t xml:space="preserve"> </w:t>
      </w:r>
    </w:p>
    <w:p w:rsidR="00D617DD" w:rsidRDefault="003818C1" w:rsidP="00D617DD">
      <w:pPr>
        <w:spacing w:line="480" w:lineRule="auto"/>
      </w:pPr>
      <w:r>
        <w:tab/>
        <w:t>Standard 1.6 provides that the appropriate sanction for the misconduct found must be balanced with any mitigating or aggravating circumstances, with due regard for the purposes of imposing discipline</w:t>
      </w:r>
      <w:r w:rsidR="005416C8">
        <w:t xml:space="preserve">.  </w:t>
      </w:r>
      <w:r>
        <w:t>If two or more acts of professional misconduct are found in a single disciplinary proceeding, the sanction imposed shall be the most severe of the applicable sanctions</w:t>
      </w:r>
      <w:r w:rsidR="005416C8">
        <w:t xml:space="preserve">.  </w:t>
      </w:r>
      <w:proofErr w:type="gramStart"/>
      <w:r>
        <w:t>(Std</w:t>
      </w:r>
      <w:r w:rsidR="002228A3">
        <w:t xml:space="preserve">. </w:t>
      </w:r>
      <w:r>
        <w:t>1.6(a).)</w:t>
      </w:r>
      <w:proofErr w:type="gramEnd"/>
      <w:r>
        <w:t xml:space="preserve"> </w:t>
      </w:r>
      <w:r w:rsidR="00D617DD">
        <w:t xml:space="preserve"> Discipline is progressive; however, the standards do not require a prior record of discipline as a prerequisite for imposing any appropriate sanction, including disbarment</w:t>
      </w:r>
      <w:r w:rsidR="005416C8">
        <w:t xml:space="preserve">.  </w:t>
      </w:r>
      <w:proofErr w:type="gramStart"/>
      <w:r w:rsidR="00D617DD">
        <w:t>(Std</w:t>
      </w:r>
      <w:r w:rsidR="002228A3">
        <w:t xml:space="preserve">. </w:t>
      </w:r>
      <w:r w:rsidR="00D617DD">
        <w:t>1.7(c).)</w:t>
      </w:r>
      <w:proofErr w:type="gramEnd"/>
    </w:p>
    <w:p w:rsidR="003818C1" w:rsidRDefault="003818C1" w:rsidP="005D478E">
      <w:pPr>
        <w:widowControl w:val="0"/>
        <w:spacing w:line="480" w:lineRule="auto"/>
      </w:pPr>
      <w:r>
        <w:tab/>
        <w:t xml:space="preserve">Standards </w:t>
      </w:r>
      <w:r w:rsidR="009A4F2C">
        <w:t xml:space="preserve">2.2(a) and (b), 2.3, 2.4(b) and 2.6 </w:t>
      </w:r>
      <w:r>
        <w:t>apply in this matter</w:t>
      </w:r>
      <w:r w:rsidR="005416C8">
        <w:t xml:space="preserve">.  </w:t>
      </w:r>
      <w:r w:rsidR="009A4F2C" w:rsidRPr="003668C1">
        <w:rPr>
          <w:rFonts w:eastAsiaTheme="minorEastAsia"/>
        </w:rPr>
        <w:t xml:space="preserve">The most severe sanction is found at standard 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decisions” and “should be regarded as a guideline, not an inflexible mandate.”  </w:t>
      </w:r>
      <w:proofErr w:type="gramStart"/>
      <w:r w:rsidR="009A4F2C" w:rsidRPr="003668C1">
        <w:rPr>
          <w:rFonts w:eastAsiaTheme="minorEastAsia"/>
        </w:rPr>
        <w:t>(</w:t>
      </w:r>
      <w:r w:rsidR="009A4F2C" w:rsidRPr="003668C1">
        <w:rPr>
          <w:rFonts w:eastAsiaTheme="minorEastAsia"/>
          <w:i/>
          <w:iCs/>
        </w:rPr>
        <w:t>Edwards v. State Bar</w:t>
      </w:r>
      <w:r w:rsidR="009A4F2C" w:rsidRPr="003668C1">
        <w:rPr>
          <w:rFonts w:eastAsiaTheme="minorEastAsia"/>
        </w:rPr>
        <w:t xml:space="preserve"> (1990) 52 Cal.3d 28, 38.)</w:t>
      </w:r>
      <w:proofErr w:type="gramEnd"/>
    </w:p>
    <w:p w:rsidR="003818C1" w:rsidRDefault="009A4F2C" w:rsidP="005D478E">
      <w:pPr>
        <w:widowControl w:val="0"/>
        <w:spacing w:line="480" w:lineRule="auto"/>
      </w:pPr>
      <w:r>
        <w:tab/>
      </w:r>
      <w:r w:rsidR="003818C1">
        <w:t>The Supreme Court gives the standards “great weight” and will reject a recommendation consistent with the standards only where the court entertains “grave doubts” as to its propriety</w:t>
      </w:r>
      <w:r w:rsidR="005416C8">
        <w:t xml:space="preserve">.  </w:t>
      </w:r>
      <w:proofErr w:type="gramStart"/>
      <w:r w:rsidR="003818C1">
        <w:lastRenderedPageBreak/>
        <w:t>(</w:t>
      </w:r>
      <w:r w:rsidR="003818C1">
        <w:rPr>
          <w:i/>
        </w:rPr>
        <w:t>In re Silverton</w:t>
      </w:r>
      <w:r w:rsidR="003818C1">
        <w:t xml:space="preserve"> (2005) 36 Cal.4th 81, 91, 92; </w:t>
      </w:r>
      <w:r w:rsidR="003818C1">
        <w:rPr>
          <w:i/>
        </w:rPr>
        <w:t>In re Naney</w:t>
      </w:r>
      <w:r w:rsidR="003818C1">
        <w:t xml:space="preserve"> (1990) 51 Cal.3d 186, 190.)</w:t>
      </w:r>
      <w:proofErr w:type="gramEnd"/>
      <w:r w:rsidR="003818C1">
        <w:t xml:space="preserve">  Although the standards are not mandatory, they may be deviated from when there is a compelling, well-defined reason to do so</w:t>
      </w:r>
      <w:r w:rsidR="005416C8">
        <w:t xml:space="preserve">.  </w:t>
      </w:r>
      <w:r w:rsidR="003818C1">
        <w:t>(</w:t>
      </w:r>
      <w:r w:rsidR="003818C1">
        <w:rPr>
          <w:i/>
        </w:rPr>
        <w:t>Bates v</w:t>
      </w:r>
      <w:r w:rsidR="002228A3">
        <w:rPr>
          <w:i/>
        </w:rPr>
        <w:t xml:space="preserve">. </w:t>
      </w:r>
      <w:r w:rsidR="003818C1">
        <w:rPr>
          <w:i/>
        </w:rPr>
        <w:t>State Bar</w:t>
      </w:r>
      <w:r w:rsidR="003818C1">
        <w:t xml:space="preserve"> (1990) 51 Cal.3d 1056, 1061, </w:t>
      </w:r>
      <w:proofErr w:type="gramStart"/>
      <w:r w:rsidR="003818C1">
        <w:t>fn</w:t>
      </w:r>
      <w:proofErr w:type="gramEnd"/>
      <w:r w:rsidR="002228A3">
        <w:t xml:space="preserve">.  </w:t>
      </w:r>
      <w:r w:rsidR="003818C1">
        <w:t xml:space="preserve">2; </w:t>
      </w:r>
      <w:r w:rsidR="003818C1">
        <w:rPr>
          <w:i/>
        </w:rPr>
        <w:t xml:space="preserve">Aronin </w:t>
      </w:r>
      <w:proofErr w:type="gramStart"/>
      <w:r w:rsidR="003818C1">
        <w:rPr>
          <w:i/>
        </w:rPr>
        <w:t>v</w:t>
      </w:r>
      <w:r w:rsidR="008D08F0">
        <w:rPr>
          <w:i/>
        </w:rPr>
        <w:t>.</w:t>
      </w:r>
      <w:r w:rsidR="002228A3">
        <w:rPr>
          <w:i/>
        </w:rPr>
        <w:t xml:space="preserve"> </w:t>
      </w:r>
      <w:r w:rsidR="003818C1">
        <w:rPr>
          <w:i/>
        </w:rPr>
        <w:t>State Bar</w:t>
      </w:r>
      <w:r w:rsidR="003818C1">
        <w:t xml:space="preserve"> (1990) 52 Cal.3d 276, 291</w:t>
      </w:r>
      <w:proofErr w:type="gramEnd"/>
      <w:r w:rsidR="003818C1">
        <w:t>.)</w:t>
      </w:r>
    </w:p>
    <w:p w:rsidR="003818C1" w:rsidRDefault="003818C1" w:rsidP="005D478E">
      <w:pPr>
        <w:widowControl w:val="0"/>
        <w:spacing w:line="480" w:lineRule="auto"/>
      </w:pPr>
      <w:r>
        <w:tab/>
      </w:r>
      <w:r w:rsidR="008D08F0">
        <w:t>R</w:t>
      </w:r>
      <w:r w:rsidR="002228A3">
        <w:t>espondent</w:t>
      </w:r>
      <w:r>
        <w:t xml:space="preserve"> has been found culpable of </w:t>
      </w:r>
      <w:r w:rsidR="00843E6B">
        <w:t>misappropriating approximately $251,333.51 of estate funds and engaging in other misconduct over a period of about six years.  Aggravating factors include multiple acts of misconduct and harm to clients, public and the administration of justice.</w:t>
      </w:r>
      <w:r w:rsidR="001670DB">
        <w:t xml:space="preserve">  The sole, but very significant, mitigating factor is respondent’s blemish-free discipline record in nearly 29 years prior to the commencement of the misconduct.</w:t>
      </w:r>
    </w:p>
    <w:p w:rsidR="003818C1" w:rsidRDefault="003818C1" w:rsidP="005D478E">
      <w:pPr>
        <w:widowControl w:val="0"/>
        <w:spacing w:line="480" w:lineRule="auto"/>
      </w:pPr>
      <w:r>
        <w:tab/>
        <w:t xml:space="preserve">The State Bar recommends </w:t>
      </w:r>
      <w:r w:rsidR="001670DB">
        <w:t>disbarment.  The court agrees.</w:t>
      </w:r>
    </w:p>
    <w:p w:rsidR="003818C1" w:rsidRDefault="003818C1" w:rsidP="005D478E">
      <w:pPr>
        <w:widowControl w:val="0"/>
        <w:spacing w:line="480" w:lineRule="auto"/>
      </w:pPr>
      <w:r>
        <w:tab/>
        <w:t xml:space="preserve">Lesser discipline than disbarment is not warranted because </w:t>
      </w:r>
      <w:r w:rsidR="00450179" w:rsidRPr="003668C1">
        <w:rPr>
          <w:rFonts w:eastAsiaTheme="minorEastAsia"/>
        </w:rPr>
        <w:t xml:space="preserve">the amount misappropriated is </w:t>
      </w:r>
      <w:r w:rsidR="00450179">
        <w:rPr>
          <w:rFonts w:eastAsiaTheme="minorEastAsia"/>
        </w:rPr>
        <w:t xml:space="preserve">not </w:t>
      </w:r>
      <w:r w:rsidR="00450179" w:rsidRPr="003668C1">
        <w:rPr>
          <w:rFonts w:eastAsiaTheme="minorEastAsia"/>
        </w:rPr>
        <w:t xml:space="preserve">insignificantly small </w:t>
      </w:r>
      <w:r w:rsidR="00450179">
        <w:rPr>
          <w:rFonts w:eastAsiaTheme="minorEastAsia"/>
        </w:rPr>
        <w:t>and</w:t>
      </w:r>
      <w:r w:rsidR="00450179" w:rsidRPr="003668C1">
        <w:rPr>
          <w:rFonts w:eastAsiaTheme="minorEastAsia"/>
        </w:rPr>
        <w:t xml:space="preserve"> the most compelling mitigating circumstances </w:t>
      </w:r>
      <w:r w:rsidR="00450179">
        <w:rPr>
          <w:rFonts w:eastAsiaTheme="minorEastAsia"/>
        </w:rPr>
        <w:t xml:space="preserve">do not </w:t>
      </w:r>
      <w:r w:rsidR="00450179" w:rsidRPr="003668C1">
        <w:rPr>
          <w:rFonts w:eastAsiaTheme="minorEastAsia"/>
        </w:rPr>
        <w:t>clearly predominate</w:t>
      </w:r>
      <w:r w:rsidR="00450179">
        <w:rPr>
          <w:rFonts w:eastAsiaTheme="minorEastAsia"/>
        </w:rPr>
        <w:t xml:space="preserve">.  </w:t>
      </w:r>
      <w:proofErr w:type="gramStart"/>
      <w:r>
        <w:t>(Std</w:t>
      </w:r>
      <w:r w:rsidR="002228A3">
        <w:t xml:space="preserve">. </w:t>
      </w:r>
      <w:r w:rsidR="00450179">
        <w:t>2</w:t>
      </w:r>
      <w:r>
        <w:t>.</w:t>
      </w:r>
      <w:r w:rsidR="00450179">
        <w:t>2</w:t>
      </w:r>
      <w:r>
        <w:t>(</w:t>
      </w:r>
      <w:r w:rsidR="00450179">
        <w:t>a</w:t>
      </w:r>
      <w:r>
        <w:t>).)</w:t>
      </w:r>
      <w:proofErr w:type="gramEnd"/>
      <w:r>
        <w:t xml:space="preserve">  The serious and unexplained nature of the misconduct, the lack of participation in these proceedings as well as the self-interest underlying respondent’s actions suggest that </w:t>
      </w:r>
      <w:r w:rsidR="00EA29D7">
        <w:t>he</w:t>
      </w:r>
      <w:r>
        <w:t xml:space="preserve"> is capable of future wrongdoing and raise concerns about </w:t>
      </w:r>
      <w:r w:rsidR="00EA29D7">
        <w:t>his</w:t>
      </w:r>
      <w:r>
        <w:t xml:space="preserve"> ability or willingness to comply with </w:t>
      </w:r>
      <w:r w:rsidR="00EA29D7">
        <w:t>his</w:t>
      </w:r>
      <w:r>
        <w:t xml:space="preserve"> ethical responsibilities to the public and to the State Bar</w:t>
      </w:r>
      <w:r w:rsidR="005416C8">
        <w:t xml:space="preserve">.  </w:t>
      </w:r>
      <w:r>
        <w:t>Having considered the evidence, the standards and other relevant law, the court believes that disbarment is the only adequate means of protecting the public from further wrongdoing by respondent</w:t>
      </w:r>
      <w:r w:rsidR="005416C8">
        <w:t xml:space="preserve">.  </w:t>
      </w:r>
      <w:r>
        <w:t>Accordingly, the court so recommends.</w:t>
      </w:r>
    </w:p>
    <w:p w:rsidR="003818C1" w:rsidRDefault="003818C1" w:rsidP="005D478E">
      <w:pPr>
        <w:widowControl w:val="0"/>
        <w:spacing w:line="480" w:lineRule="auto"/>
        <w:jc w:val="center"/>
      </w:pPr>
      <w:r>
        <w:t xml:space="preserve"> </w:t>
      </w:r>
      <w:r>
        <w:rPr>
          <w:b/>
        </w:rPr>
        <w:t>V</w:t>
      </w:r>
      <w:r w:rsidR="005416C8">
        <w:rPr>
          <w:b/>
        </w:rPr>
        <w:t xml:space="preserve">.  </w:t>
      </w:r>
      <w:r>
        <w:rPr>
          <w:b/>
          <w:u w:val="single"/>
        </w:rPr>
        <w:t>DISCIPLINE RECOMMENDATION</w:t>
      </w:r>
    </w:p>
    <w:p w:rsidR="00D74B44" w:rsidRDefault="003818C1" w:rsidP="00667DA5">
      <w:pPr>
        <w:spacing w:line="480" w:lineRule="auto"/>
        <w:ind w:firstLine="720"/>
      </w:pPr>
      <w:r>
        <w:t>IT IS HEREBY RECOMMENDED that respondent</w:t>
      </w:r>
      <w:r w:rsidR="00814703">
        <w:t xml:space="preserve"> Oscar Cruz Parra</w:t>
      </w:r>
      <w:r w:rsidR="00667DA5">
        <w:t xml:space="preserve"> </w:t>
      </w:r>
      <w:r w:rsidR="00667DA5" w:rsidRPr="00FA493C">
        <w:t>be DISBARRED from the practice of law in the State of California and that his name be stricken from the rolls of attorneys in this state</w:t>
      </w:r>
      <w:r w:rsidR="00D74B44">
        <w:t>.</w:t>
      </w:r>
    </w:p>
    <w:p w:rsidR="000A1D9D" w:rsidRDefault="000A1D9D" w:rsidP="000A1D9D">
      <w:pPr>
        <w:spacing w:line="480" w:lineRule="auto"/>
        <w:ind w:firstLine="720"/>
        <w:jc w:val="both"/>
      </w:pPr>
      <w:r>
        <w:lastRenderedPageBreak/>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rsidR="000A1D9D" w:rsidRDefault="000A1D9D" w:rsidP="00243EB6">
      <w:pPr>
        <w:numPr>
          <w:ilvl w:val="0"/>
          <w:numId w:val="21"/>
        </w:numPr>
        <w:spacing w:line="480" w:lineRule="auto"/>
        <w:ind w:left="1440" w:hanging="720"/>
      </w:pPr>
      <w:r w:rsidRPr="0069466D">
        <w:t xml:space="preserve">to </w:t>
      </w:r>
      <w:r w:rsidR="004F6892">
        <w:t xml:space="preserve">Joan Laskey </w:t>
      </w:r>
      <w:r>
        <w:t>in the amount of $</w:t>
      </w:r>
      <w:r w:rsidR="004F6892">
        <w:t>40,184.91</w:t>
      </w:r>
      <w:r>
        <w:t xml:space="preserve"> </w:t>
      </w:r>
      <w:r w:rsidRPr="0069466D">
        <w:t xml:space="preserve">plus 10% interest per annum from </w:t>
      </w:r>
      <w:r w:rsidR="004F6892">
        <w:t>March 10</w:t>
      </w:r>
      <w:r>
        <w:t>, 200</w:t>
      </w:r>
      <w:r w:rsidR="004F6892">
        <w:t>3</w:t>
      </w:r>
      <w:r>
        <w:t xml:space="preserve"> </w:t>
      </w:r>
      <w:r w:rsidRPr="0069466D">
        <w:t>(or to the Client Security Fund to the extent of any payment from the fund to</w:t>
      </w:r>
      <w:r w:rsidR="004F6892">
        <w:t xml:space="preserve"> Joan Laskey</w:t>
      </w:r>
      <w:r w:rsidRPr="0069466D">
        <w:t>, plus interest and costs, in accordance with Business and Professions Code section 6140.5</w:t>
      </w:r>
      <w:r>
        <w:t>);</w:t>
      </w:r>
    </w:p>
    <w:p w:rsidR="000A1D9D" w:rsidRDefault="000A1D9D" w:rsidP="00243EB6">
      <w:pPr>
        <w:numPr>
          <w:ilvl w:val="0"/>
          <w:numId w:val="21"/>
        </w:numPr>
        <w:spacing w:line="480" w:lineRule="auto"/>
        <w:ind w:left="1440" w:hanging="720"/>
      </w:pPr>
      <w:r w:rsidRPr="0069466D">
        <w:t xml:space="preserve">to </w:t>
      </w:r>
      <w:r w:rsidR="00A47BC7">
        <w:t>Dale Laskey</w:t>
      </w:r>
      <w:r>
        <w:t xml:space="preserve"> in the amount of </w:t>
      </w:r>
      <w:r w:rsidR="00A47BC7">
        <w:t xml:space="preserve">$40,184.91 </w:t>
      </w:r>
      <w:r w:rsidR="00A47BC7" w:rsidRPr="0069466D">
        <w:t xml:space="preserve">plus 10% interest per annum from </w:t>
      </w:r>
      <w:r w:rsidR="00A47BC7">
        <w:t>March 10, 2003</w:t>
      </w:r>
      <w:r w:rsidRPr="0069466D">
        <w:t xml:space="preserve"> (or to the Client Security Fund to the extent of any payment from the fund to </w:t>
      </w:r>
      <w:r w:rsidR="00A47BC7">
        <w:t>Dale Laskey</w:t>
      </w:r>
      <w:r w:rsidRPr="0069466D">
        <w:t>, plus interest and costs, in accordance with Business and Professions Code section 6140.5</w:t>
      </w:r>
      <w:r>
        <w:t>);</w:t>
      </w:r>
    </w:p>
    <w:p w:rsidR="000A1D9D" w:rsidRDefault="000A1D9D" w:rsidP="00243EB6">
      <w:pPr>
        <w:numPr>
          <w:ilvl w:val="0"/>
          <w:numId w:val="21"/>
        </w:numPr>
        <w:spacing w:line="480" w:lineRule="auto"/>
        <w:ind w:left="1440" w:hanging="720"/>
      </w:pPr>
      <w:r w:rsidRPr="0069466D">
        <w:t xml:space="preserve">to </w:t>
      </w:r>
      <w:r w:rsidR="007C4B09">
        <w:t>Cecilio and Lourdes Jauregui</w:t>
      </w:r>
      <w:r w:rsidRPr="0069466D">
        <w:t xml:space="preserve"> in the amount of $</w:t>
      </w:r>
      <w:r w:rsidR="007441FF">
        <w:t>144,006</w:t>
      </w:r>
      <w:r>
        <w:t xml:space="preserve"> </w:t>
      </w:r>
      <w:r w:rsidRPr="0069466D">
        <w:t xml:space="preserve">plus 10% interest per annum from </w:t>
      </w:r>
      <w:r w:rsidR="007441FF">
        <w:t>February 1</w:t>
      </w:r>
      <w:r>
        <w:t>, 200</w:t>
      </w:r>
      <w:r w:rsidR="007441FF">
        <w:t>6</w:t>
      </w:r>
      <w:r w:rsidRPr="0069466D">
        <w:t xml:space="preserve"> (or to the Client Security Fund to the extent of any payment from the fund to </w:t>
      </w:r>
      <w:r w:rsidR="007C4B09">
        <w:t>Cecilio and Lourdes Jauregui</w:t>
      </w:r>
      <w:r w:rsidRPr="0069466D">
        <w:t>, plus interest and costs, in accordance with Business and Professions Code section 6140.5</w:t>
      </w:r>
      <w:r>
        <w:t>);</w:t>
      </w:r>
    </w:p>
    <w:p w:rsidR="007C4B09" w:rsidRDefault="007C4B09" w:rsidP="007C4B09">
      <w:pPr>
        <w:numPr>
          <w:ilvl w:val="0"/>
          <w:numId w:val="21"/>
        </w:numPr>
        <w:spacing w:line="480" w:lineRule="auto"/>
        <w:ind w:left="1440" w:hanging="720"/>
      </w:pPr>
      <w:r w:rsidRPr="0069466D">
        <w:t xml:space="preserve">to </w:t>
      </w:r>
      <w:r>
        <w:t>Cecilio and Lourdes Jauregui</w:t>
      </w:r>
      <w:r w:rsidRPr="0069466D">
        <w:t xml:space="preserve"> in the amount of $</w:t>
      </w:r>
      <w:r w:rsidR="007441FF">
        <w:t>7,500</w:t>
      </w:r>
      <w:r>
        <w:t xml:space="preserve"> </w:t>
      </w:r>
      <w:r w:rsidRPr="0069466D">
        <w:t xml:space="preserve">plus 10% interest per annum from </w:t>
      </w:r>
      <w:r w:rsidR="007441FF">
        <w:t>March 30, 2007</w:t>
      </w:r>
      <w:r w:rsidRPr="0069466D">
        <w:t xml:space="preserve"> (or to the Client Security Fund to the extent of any payment from the fund to </w:t>
      </w:r>
      <w:r>
        <w:t>Cecilio and Lourdes Jauregui</w:t>
      </w:r>
      <w:r w:rsidRPr="0069466D">
        <w:t>, plus interest and costs, in accordance with Business and Professions Code section 6140.5</w:t>
      </w:r>
      <w:r>
        <w:t>); and</w:t>
      </w:r>
    </w:p>
    <w:p w:rsidR="000A1D9D" w:rsidRDefault="000A1D9D" w:rsidP="00243EB6">
      <w:pPr>
        <w:numPr>
          <w:ilvl w:val="0"/>
          <w:numId w:val="21"/>
        </w:numPr>
        <w:spacing w:line="480" w:lineRule="auto"/>
        <w:ind w:left="1440" w:hanging="720"/>
      </w:pPr>
      <w:proofErr w:type="gramStart"/>
      <w:r w:rsidRPr="0069466D">
        <w:t>to</w:t>
      </w:r>
      <w:proofErr w:type="gramEnd"/>
      <w:r w:rsidRPr="0069466D">
        <w:t xml:space="preserve"> </w:t>
      </w:r>
      <w:r w:rsidR="00BD5554">
        <w:t>the Estate of Angelina Walters</w:t>
      </w:r>
      <w:r w:rsidR="00A775F1">
        <w:t xml:space="preserve">, </w:t>
      </w:r>
      <w:r w:rsidR="00A775F1">
        <w:rPr>
          <w:color w:val="000000"/>
        </w:rPr>
        <w:t>Los Angeles County Superior Court, case no. BP065460,</w:t>
      </w:r>
      <w:r w:rsidRPr="0069466D">
        <w:t xml:space="preserve"> in the amount of $</w:t>
      </w:r>
      <w:r>
        <w:t>1</w:t>
      </w:r>
      <w:r w:rsidR="00353054">
        <w:t>4</w:t>
      </w:r>
      <w:r>
        <w:t>,4</w:t>
      </w:r>
      <w:r w:rsidR="00353054">
        <w:t>57.69</w:t>
      </w:r>
      <w:r w:rsidRPr="0069466D">
        <w:t xml:space="preserve"> plus 10% interest per annum from </w:t>
      </w:r>
      <w:r w:rsidR="00353054">
        <w:t>November 30</w:t>
      </w:r>
      <w:r>
        <w:t>, 2008</w:t>
      </w:r>
      <w:r w:rsidRPr="0069466D">
        <w:t xml:space="preserve"> (or to the Client Security Fund to the extent of any payment </w:t>
      </w:r>
      <w:r w:rsidRPr="0069466D">
        <w:lastRenderedPageBreak/>
        <w:t xml:space="preserve">from the fund to </w:t>
      </w:r>
      <w:r w:rsidR="00BD5554">
        <w:t>the Estate of Angelina Walters</w:t>
      </w:r>
      <w:r w:rsidRPr="0069466D">
        <w:t>, plus interest and costs, in accordance with Business and Professions Code section 6140.5</w:t>
      </w:r>
      <w:r>
        <w:t>);</w:t>
      </w:r>
      <w:r w:rsidR="007C4B09">
        <w:t xml:space="preserve"> </w:t>
      </w:r>
    </w:p>
    <w:p w:rsidR="000A1D9D" w:rsidRDefault="000A1D9D" w:rsidP="000A1D9D">
      <w:pPr>
        <w:spacing w:line="480" w:lineRule="auto"/>
        <w:jc w:val="both"/>
      </w:pPr>
      <w:r>
        <w:t xml:space="preserve">Any restitution to the Client Security Fund is enforceable as provided in Business and Professions Code section 6140.5, subdivisions (c) and (d). </w:t>
      </w:r>
    </w:p>
    <w:p w:rsidR="00667DA5" w:rsidRPr="00FA493C" w:rsidRDefault="00667DA5" w:rsidP="00667DA5">
      <w:pPr>
        <w:spacing w:line="480" w:lineRule="auto"/>
        <w:ind w:firstLine="720"/>
      </w:pPr>
      <w:r w:rsidRPr="00FA493C">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3818C1" w:rsidRDefault="003818C1" w:rsidP="005D478E">
      <w:pPr>
        <w:widowControl w:val="0"/>
        <w:tabs>
          <w:tab w:val="center" w:pos="4680"/>
        </w:tabs>
        <w:spacing w:line="480" w:lineRule="auto"/>
      </w:pPr>
      <w:r>
        <w:tab/>
      </w:r>
      <w:r>
        <w:rPr>
          <w:b/>
        </w:rPr>
        <w:t>VI</w:t>
      </w:r>
      <w:proofErr w:type="gramStart"/>
      <w:r w:rsidR="005416C8">
        <w:rPr>
          <w:b/>
        </w:rPr>
        <w:t xml:space="preserve">.  </w:t>
      </w:r>
      <w:r>
        <w:rPr>
          <w:b/>
          <w:u w:val="single"/>
        </w:rPr>
        <w:t>COSTS</w:t>
      </w:r>
      <w:proofErr w:type="gramEnd"/>
    </w:p>
    <w:p w:rsidR="003818C1" w:rsidRDefault="003818C1" w:rsidP="003818C1">
      <w:pPr>
        <w:pStyle w:val="Header"/>
        <w:tabs>
          <w:tab w:val="clear" w:pos="4320"/>
          <w:tab w:val="clear" w:pos="8640"/>
        </w:tabs>
        <w:spacing w:line="480" w:lineRule="auto"/>
        <w:ind w:firstLine="720"/>
        <w:rPr>
          <w:b/>
        </w:rPr>
      </w:pPr>
      <w:r>
        <w:t>It is recommended that costs be awarded to the State Bar in accordance with Business and Professions Code section 6086.10 and are enforceable both as provided in Business and Professions Code section 6140.7 and as a money judgment</w:t>
      </w:r>
      <w:r w:rsidR="005416C8">
        <w:t xml:space="preserve">.  </w:t>
      </w:r>
      <w:r>
        <w:t>It is further recommended that Oscar Cruz Parra be ordered to reimburse the Client Security Fund to the extent that the misconduct in this matter results in the payment of funds and such payment be enforceable as provided for under Business and Professions Code section 6140.5</w:t>
      </w:r>
      <w:r w:rsidR="002228A3">
        <w:t xml:space="preserve">.  </w:t>
      </w:r>
    </w:p>
    <w:p w:rsidR="003818C1" w:rsidRDefault="003818C1" w:rsidP="005D478E">
      <w:pPr>
        <w:widowControl w:val="0"/>
        <w:tabs>
          <w:tab w:val="center" w:pos="4680"/>
        </w:tabs>
        <w:spacing w:line="480" w:lineRule="auto"/>
      </w:pPr>
      <w:r>
        <w:tab/>
      </w:r>
      <w:r>
        <w:rPr>
          <w:b/>
        </w:rPr>
        <w:t>VII</w:t>
      </w:r>
      <w:proofErr w:type="gramStart"/>
      <w:r w:rsidR="005416C8">
        <w:rPr>
          <w:b/>
        </w:rPr>
        <w:t xml:space="preserve">.  </w:t>
      </w:r>
      <w:r>
        <w:rPr>
          <w:b/>
          <w:u w:val="single"/>
        </w:rPr>
        <w:t>ORDER</w:t>
      </w:r>
      <w:proofErr w:type="gramEnd"/>
      <w:r>
        <w:rPr>
          <w:b/>
          <w:u w:val="single"/>
        </w:rPr>
        <w:t xml:space="preserve"> REGARDING INACTIVE ENROLLMENT</w:t>
      </w:r>
    </w:p>
    <w:p w:rsidR="003818C1" w:rsidRDefault="003818C1" w:rsidP="005D478E">
      <w:pPr>
        <w:widowControl w:val="0"/>
        <w:spacing w:line="480" w:lineRule="auto"/>
      </w:pPr>
      <w:r>
        <w:tab/>
        <w:t>It is ordered that respondent be transferred to involuntary inactive enrollment status pursuant to section 6007, subdivision (c</w:t>
      </w:r>
      <w:proofErr w:type="gramStart"/>
      <w:r>
        <w:t>)(</w:t>
      </w:r>
      <w:proofErr w:type="gramEnd"/>
      <w:r>
        <w:t>4)</w:t>
      </w:r>
      <w:r w:rsidR="005416C8">
        <w:t xml:space="preserve">.  </w:t>
      </w:r>
      <w:r>
        <w:t>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C196D">
                <w:rPr>
                  <w:noProof/>
                </w:rPr>
                <w:t>June _____, 2010</w:t>
              </w:r>
            </w:fldSimple>
          </w:p>
        </w:tc>
        <w:tc>
          <w:tcPr>
            <w:tcW w:w="4565" w:type="dxa"/>
            <w:tcBorders>
              <w:top w:val="single" w:sz="4" w:space="0" w:color="auto"/>
              <w:bottom w:val="nil"/>
              <w:right w:val="nil"/>
            </w:tcBorders>
          </w:tcPr>
          <w:p w:rsidR="003D3B12" w:rsidRDefault="00F836B7">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8E" w:rsidRDefault="005D478E">
      <w:r>
        <w:separator/>
      </w:r>
    </w:p>
  </w:endnote>
  <w:endnote w:type="continuationSeparator" w:id="0">
    <w:p w:rsidR="005D478E" w:rsidRDefault="005D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8E" w:rsidRDefault="0071343E" w:rsidP="003B44D5">
    <w:pPr>
      <w:pStyle w:val="Footer"/>
      <w:framePr w:wrap="around" w:vAnchor="text" w:hAnchor="margin" w:xAlign="center" w:y="1"/>
      <w:rPr>
        <w:rStyle w:val="PageNumber"/>
      </w:rPr>
    </w:pPr>
    <w:r>
      <w:rPr>
        <w:rStyle w:val="PageNumber"/>
      </w:rPr>
      <w:fldChar w:fldCharType="begin"/>
    </w:r>
    <w:r w:rsidR="005D478E">
      <w:rPr>
        <w:rStyle w:val="PageNumber"/>
      </w:rPr>
      <w:instrText xml:space="preserve">PAGE  </w:instrText>
    </w:r>
    <w:r>
      <w:rPr>
        <w:rStyle w:val="PageNumber"/>
      </w:rPr>
      <w:fldChar w:fldCharType="end"/>
    </w:r>
  </w:p>
  <w:p w:rsidR="005D478E" w:rsidRDefault="005D4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8E" w:rsidRDefault="0071343E" w:rsidP="00200B09">
    <w:pPr>
      <w:pStyle w:val="Footer"/>
      <w:framePr w:wrap="around" w:vAnchor="text" w:hAnchor="margin" w:xAlign="center" w:y="1"/>
      <w:rPr>
        <w:rStyle w:val="PageNumber"/>
      </w:rPr>
    </w:pPr>
    <w:r>
      <w:rPr>
        <w:rStyle w:val="PageNumber"/>
      </w:rPr>
      <w:fldChar w:fldCharType="begin"/>
    </w:r>
    <w:r w:rsidR="005D478E">
      <w:rPr>
        <w:rStyle w:val="PageNumber"/>
      </w:rPr>
      <w:instrText xml:space="preserve">PAGE  </w:instrText>
    </w:r>
    <w:r>
      <w:rPr>
        <w:rStyle w:val="PageNumber"/>
      </w:rPr>
      <w:fldChar w:fldCharType="separate"/>
    </w:r>
    <w:r w:rsidR="00EC196D">
      <w:rPr>
        <w:rStyle w:val="PageNumber"/>
        <w:noProof/>
      </w:rPr>
      <w:t>- 10 -</w:t>
    </w:r>
    <w:r>
      <w:rPr>
        <w:rStyle w:val="PageNumber"/>
      </w:rPr>
      <w:fldChar w:fldCharType="end"/>
    </w:r>
  </w:p>
  <w:p w:rsidR="005D478E" w:rsidRDefault="005D478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8E" w:rsidRDefault="005D478E">
    <w:pPr>
      <w:pStyle w:val="Footer"/>
      <w:framePr w:wrap="around" w:vAnchor="text" w:hAnchor="margin" w:xAlign="center" w:y="1"/>
      <w:rPr>
        <w:rStyle w:val="PageNumber"/>
      </w:rPr>
    </w:pPr>
  </w:p>
  <w:p w:rsidR="005D478E" w:rsidRDefault="005D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8E" w:rsidRDefault="005D478E">
      <w:r>
        <w:separator/>
      </w:r>
    </w:p>
  </w:footnote>
  <w:footnote w:type="continuationSeparator" w:id="0">
    <w:p w:rsidR="005D478E" w:rsidRDefault="005D478E">
      <w:r>
        <w:continuationSeparator/>
      </w:r>
    </w:p>
  </w:footnote>
  <w:footnote w:id="1">
    <w:p w:rsidR="005D478E" w:rsidRDefault="005D478E" w:rsidP="005D478E">
      <w:pPr>
        <w:widowControl w:val="0"/>
        <w:spacing w:before="240"/>
      </w:pPr>
      <w:r w:rsidRPr="008F6EF0">
        <w:rPr>
          <w:vertAlign w:val="superscript"/>
        </w:rPr>
        <w:footnoteRef/>
      </w:r>
      <w:r w:rsidRPr="008F6EF0">
        <w:rPr>
          <w:vertAlign w:val="superscript"/>
        </w:rPr>
        <w:t>.</w:t>
      </w:r>
      <w:r>
        <w:t>Future references to section are to the Business and Professions Code.</w:t>
      </w:r>
    </w:p>
  </w:footnote>
  <w:footnote w:id="2">
    <w:p w:rsidR="005D478E" w:rsidRDefault="005D478E">
      <w:pPr>
        <w:pStyle w:val="FootnoteText"/>
      </w:pPr>
      <w:r>
        <w:rPr>
          <w:rStyle w:val="FootnoteReference"/>
        </w:rPr>
        <w:footnoteRef/>
      </w:r>
      <w:r>
        <w:t xml:space="preserve"> The court judicially notices its records which indicate that none of the correspondence sent to respondent by the </w:t>
      </w:r>
      <w:r w:rsidRPr="005329BD">
        <w:rPr>
          <w:rFonts w:eastAsiaTheme="minorEastAsia"/>
        </w:rPr>
        <w:t>State Bar Court</w:t>
      </w:r>
      <w:r>
        <w:t xml:space="preserve"> was returned as undeliverable by the United States Postal Service.  </w:t>
      </w:r>
      <w:proofErr w:type="gramStart"/>
      <w:r>
        <w:t>(Evid.</w:t>
      </w:r>
      <w:proofErr w:type="gramEnd"/>
      <w:r>
        <w:t xml:space="preserve"> </w:t>
      </w:r>
      <w:proofErr w:type="gramStart"/>
      <w:r>
        <w:t>C. §452, subd.</w:t>
      </w:r>
      <w:proofErr w:type="gramEnd"/>
      <w:r>
        <w:t xml:space="preserve"> (d)(1).)</w:t>
      </w:r>
    </w:p>
  </w:footnote>
  <w:footnote w:id="3">
    <w:p w:rsidR="005D478E" w:rsidRDefault="005D478E" w:rsidP="005D478E">
      <w:pPr>
        <w:widowControl w:val="0"/>
        <w:spacing w:before="240"/>
      </w:pPr>
      <w:r w:rsidRPr="008F6EF0">
        <w:rPr>
          <w:vertAlign w:val="superscript"/>
        </w:rPr>
        <w:footnoteRef/>
      </w:r>
      <w:r>
        <w:t xml:space="preserve"> Future references to the Rules of Procedure are to this source.</w:t>
      </w:r>
    </w:p>
  </w:footnote>
  <w:footnote w:id="4">
    <w:p w:rsidR="005D478E" w:rsidRDefault="005D478E" w:rsidP="00500B8E">
      <w:pPr>
        <w:pStyle w:val="FootnoteText"/>
        <w:ind w:firstLine="0"/>
      </w:pPr>
      <w:r>
        <w:rPr>
          <w:rStyle w:val="FootnoteReference"/>
        </w:rPr>
        <w:footnoteRef/>
      </w:r>
      <w:r>
        <w:t>The April 7, 2009 letter was also sent to two alternate addresses for respondent in Pasadena, California and Arizona.</w:t>
      </w:r>
    </w:p>
  </w:footnote>
  <w:footnote w:id="5">
    <w:p w:rsidR="005D478E" w:rsidRDefault="005D478E" w:rsidP="00D143E9">
      <w:pPr>
        <w:widowControl w:val="0"/>
        <w:spacing w:before="240"/>
      </w:pPr>
      <w:r w:rsidRPr="003B76A1">
        <w:rPr>
          <w:vertAlign w:val="superscript"/>
        </w:rPr>
        <w:footnoteRef/>
      </w:r>
      <w:r>
        <w:t>Future references to rule are to this source.</w:t>
      </w:r>
    </w:p>
  </w:footnote>
  <w:footnote w:id="6">
    <w:p w:rsidR="002E61A5" w:rsidRDefault="002E61A5" w:rsidP="001E2820">
      <w:pPr>
        <w:pStyle w:val="FootnoteText"/>
        <w:ind w:firstLine="0"/>
      </w:pPr>
      <w:r>
        <w:rPr>
          <w:rStyle w:val="FootnoteReference"/>
        </w:rPr>
        <w:footnoteRef/>
      </w:r>
      <w:r w:rsidRPr="002718F5">
        <w:t>The actual estate-related expenses paid from the account between January 2004 and June 2006 was $19,227.61</w:t>
      </w:r>
      <w:r>
        <w:t xml:space="preserve">.  </w:t>
      </w:r>
      <w:r w:rsidRPr="002718F5">
        <w:t xml:space="preserve">While </w:t>
      </w:r>
      <w:r>
        <w:t>respondent</w:t>
      </w:r>
      <w:r w:rsidRPr="002718F5">
        <w:t xml:space="preserve"> represented in his accounting that check numbers 172, 174, 177, 179, 181, 185, 188 and 189, totaling $1,613.31, were issued from the account for estate-related expenses, those checks did not clear the account as of December 14, 2007</w:t>
      </w:r>
      <w:r>
        <w:t xml:space="preserve">.  </w:t>
      </w:r>
    </w:p>
  </w:footnote>
  <w:footnote w:id="7">
    <w:p w:rsidR="005D478E" w:rsidRDefault="005D478E" w:rsidP="005D478E">
      <w:pPr>
        <w:widowControl w:val="0"/>
        <w:spacing w:before="240"/>
      </w:pPr>
      <w:r w:rsidRPr="008F6EF0">
        <w:rPr>
          <w:vertAlign w:val="superscript"/>
        </w:rPr>
        <w:footnoteRef/>
      </w:r>
      <w:r>
        <w:t>Future references to standard or std.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44858"/>
    <w:multiLevelType w:val="multilevel"/>
    <w:tmpl w:val="2E3AC2BE"/>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B26EA"/>
    <w:multiLevelType w:val="multilevel"/>
    <w:tmpl w:val="0BCCFDC2"/>
    <w:lvl w:ilvl="0">
      <w:start w:val="5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B16A8"/>
    <w:multiLevelType w:val="multilevel"/>
    <w:tmpl w:val="389C4C6C"/>
    <w:lvl w:ilvl="0">
      <w:start w:val="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D6F5D"/>
    <w:multiLevelType w:val="multilevel"/>
    <w:tmpl w:val="2F32F256"/>
    <w:lvl w:ilvl="0">
      <w:start w:val="27"/>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0059E"/>
    <w:multiLevelType w:val="multilevel"/>
    <w:tmpl w:val="4BB0011C"/>
    <w:lvl w:ilvl="0">
      <w:start w:val="5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07F0A"/>
    <w:multiLevelType w:val="multilevel"/>
    <w:tmpl w:val="ED36E59A"/>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DB5F4C"/>
    <w:multiLevelType w:val="multilevel"/>
    <w:tmpl w:val="7958A8E6"/>
    <w:lvl w:ilvl="0">
      <w:start w:val="4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C2860"/>
    <w:multiLevelType w:val="multilevel"/>
    <w:tmpl w:val="FDC65C86"/>
    <w:lvl w:ilvl="0">
      <w:start w:val="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A5C9F"/>
    <w:multiLevelType w:val="multilevel"/>
    <w:tmpl w:val="33DCD300"/>
    <w:lvl w:ilvl="0">
      <w:start w:val="40"/>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B64C5"/>
    <w:multiLevelType w:val="multilevel"/>
    <w:tmpl w:val="4906CEB2"/>
    <w:lvl w:ilvl="0">
      <w:start w:val="1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0395A"/>
    <w:multiLevelType w:val="multilevel"/>
    <w:tmpl w:val="C68443B8"/>
    <w:lvl w:ilvl="0">
      <w:start w:val="1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D7B61"/>
    <w:multiLevelType w:val="multilevel"/>
    <w:tmpl w:val="0D1077BE"/>
    <w:lvl w:ilvl="0">
      <w:start w:val="3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53164B"/>
    <w:multiLevelType w:val="multilevel"/>
    <w:tmpl w:val="DC900A7A"/>
    <w:lvl w:ilvl="0">
      <w:start w:val="32"/>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42E0C"/>
    <w:multiLevelType w:val="multilevel"/>
    <w:tmpl w:val="5832EF74"/>
    <w:lvl w:ilvl="0">
      <w:start w:val="3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234C9"/>
    <w:multiLevelType w:val="multilevel"/>
    <w:tmpl w:val="7BBEBE8C"/>
    <w:lvl w:ilvl="0">
      <w:start w:val="11"/>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8D4FEC"/>
    <w:multiLevelType w:val="multilevel"/>
    <w:tmpl w:val="89B09A80"/>
    <w:lvl w:ilvl="0">
      <w:start w:val="5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129CB"/>
    <w:multiLevelType w:val="multilevel"/>
    <w:tmpl w:val="1B5E5E4A"/>
    <w:lvl w:ilvl="0">
      <w:start w:val="14"/>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A296A"/>
    <w:multiLevelType w:val="multilevel"/>
    <w:tmpl w:val="1FBA98F4"/>
    <w:lvl w:ilvl="0">
      <w:start w:val="25"/>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FE7EF0"/>
    <w:multiLevelType w:val="multilevel"/>
    <w:tmpl w:val="0FF0C092"/>
    <w:lvl w:ilvl="0">
      <w:start w:val="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D130A"/>
    <w:multiLevelType w:val="multilevel"/>
    <w:tmpl w:val="10D65EAE"/>
    <w:lvl w:ilvl="0">
      <w:start w:val="1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5"/>
  </w:num>
  <w:num w:numId="4">
    <w:abstractNumId w:val="17"/>
  </w:num>
  <w:num w:numId="5">
    <w:abstractNumId w:val="20"/>
  </w:num>
  <w:num w:numId="6">
    <w:abstractNumId w:val="18"/>
  </w:num>
  <w:num w:numId="7">
    <w:abstractNumId w:val="13"/>
  </w:num>
  <w:num w:numId="8">
    <w:abstractNumId w:val="12"/>
  </w:num>
  <w:num w:numId="9">
    <w:abstractNumId w:val="9"/>
  </w:num>
  <w:num w:numId="10">
    <w:abstractNumId w:val="7"/>
  </w:num>
  <w:num w:numId="11">
    <w:abstractNumId w:val="5"/>
  </w:num>
  <w:num w:numId="12">
    <w:abstractNumId w:val="2"/>
  </w:num>
  <w:num w:numId="13">
    <w:abstractNumId w:val="16"/>
  </w:num>
  <w:num w:numId="14">
    <w:abstractNumId w:val="3"/>
  </w:num>
  <w:num w:numId="15">
    <w:abstractNumId w:val="6"/>
  </w:num>
  <w:num w:numId="16">
    <w:abstractNumId w:val="19"/>
  </w:num>
  <w:num w:numId="17">
    <w:abstractNumId w:val="11"/>
  </w:num>
  <w:num w:numId="18">
    <w:abstractNumId w:val="10"/>
  </w:num>
  <w:num w:numId="19">
    <w:abstractNumId w:val="4"/>
  </w:num>
  <w:num w:numId="20">
    <w:abstractNumId w:val="14"/>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3818C1"/>
    <w:rsid w:val="00021590"/>
    <w:rsid w:val="0003266A"/>
    <w:rsid w:val="0004186A"/>
    <w:rsid w:val="00052359"/>
    <w:rsid w:val="00064D3E"/>
    <w:rsid w:val="00064DFB"/>
    <w:rsid w:val="000716FF"/>
    <w:rsid w:val="00086546"/>
    <w:rsid w:val="00093F83"/>
    <w:rsid w:val="000A1D9D"/>
    <w:rsid w:val="000A5429"/>
    <w:rsid w:val="000D4900"/>
    <w:rsid w:val="000E65F6"/>
    <w:rsid w:val="0012632E"/>
    <w:rsid w:val="00146141"/>
    <w:rsid w:val="0015301C"/>
    <w:rsid w:val="001670DB"/>
    <w:rsid w:val="00187358"/>
    <w:rsid w:val="001878EC"/>
    <w:rsid w:val="00196181"/>
    <w:rsid w:val="001B0221"/>
    <w:rsid w:val="001B6E97"/>
    <w:rsid w:val="001C287A"/>
    <w:rsid w:val="001D6306"/>
    <w:rsid w:val="001E2820"/>
    <w:rsid w:val="001E2B33"/>
    <w:rsid w:val="001E2CAB"/>
    <w:rsid w:val="001F0968"/>
    <w:rsid w:val="001F19C3"/>
    <w:rsid w:val="001F21B2"/>
    <w:rsid w:val="001F29EC"/>
    <w:rsid w:val="0020000A"/>
    <w:rsid w:val="00200B09"/>
    <w:rsid w:val="002034B7"/>
    <w:rsid w:val="0022222E"/>
    <w:rsid w:val="002228A3"/>
    <w:rsid w:val="00227D2B"/>
    <w:rsid w:val="002331B1"/>
    <w:rsid w:val="0023687A"/>
    <w:rsid w:val="00243AC5"/>
    <w:rsid w:val="00243EB6"/>
    <w:rsid w:val="00251E0E"/>
    <w:rsid w:val="00257769"/>
    <w:rsid w:val="00267762"/>
    <w:rsid w:val="00277853"/>
    <w:rsid w:val="002B2335"/>
    <w:rsid w:val="002B69AC"/>
    <w:rsid w:val="002B7EE7"/>
    <w:rsid w:val="002C146F"/>
    <w:rsid w:val="002D3BF6"/>
    <w:rsid w:val="002E61A5"/>
    <w:rsid w:val="00305344"/>
    <w:rsid w:val="0030660A"/>
    <w:rsid w:val="00315B81"/>
    <w:rsid w:val="003232E9"/>
    <w:rsid w:val="00324345"/>
    <w:rsid w:val="00353054"/>
    <w:rsid w:val="00363892"/>
    <w:rsid w:val="003672D3"/>
    <w:rsid w:val="003751CF"/>
    <w:rsid w:val="0038078D"/>
    <w:rsid w:val="003818C1"/>
    <w:rsid w:val="00386392"/>
    <w:rsid w:val="00390670"/>
    <w:rsid w:val="003B44D5"/>
    <w:rsid w:val="003B47B4"/>
    <w:rsid w:val="003B5D26"/>
    <w:rsid w:val="003D3B12"/>
    <w:rsid w:val="003D5AEF"/>
    <w:rsid w:val="00403BA6"/>
    <w:rsid w:val="00404098"/>
    <w:rsid w:val="004050CA"/>
    <w:rsid w:val="00423277"/>
    <w:rsid w:val="0043051A"/>
    <w:rsid w:val="00434992"/>
    <w:rsid w:val="00435A73"/>
    <w:rsid w:val="00450179"/>
    <w:rsid w:val="00482E65"/>
    <w:rsid w:val="004B77FA"/>
    <w:rsid w:val="004C43B4"/>
    <w:rsid w:val="004C5052"/>
    <w:rsid w:val="004C5699"/>
    <w:rsid w:val="004D0D67"/>
    <w:rsid w:val="004D1762"/>
    <w:rsid w:val="004E35F9"/>
    <w:rsid w:val="004F6892"/>
    <w:rsid w:val="00500B8E"/>
    <w:rsid w:val="00526610"/>
    <w:rsid w:val="005416C8"/>
    <w:rsid w:val="00553C44"/>
    <w:rsid w:val="00556356"/>
    <w:rsid w:val="00573E89"/>
    <w:rsid w:val="00585B57"/>
    <w:rsid w:val="005907EB"/>
    <w:rsid w:val="005C5F47"/>
    <w:rsid w:val="005C672B"/>
    <w:rsid w:val="005D478E"/>
    <w:rsid w:val="005D52EC"/>
    <w:rsid w:val="005E3A6E"/>
    <w:rsid w:val="00604465"/>
    <w:rsid w:val="006243F3"/>
    <w:rsid w:val="0065221E"/>
    <w:rsid w:val="00660A92"/>
    <w:rsid w:val="00666C55"/>
    <w:rsid w:val="00667DA5"/>
    <w:rsid w:val="00692BE6"/>
    <w:rsid w:val="006A2264"/>
    <w:rsid w:val="006A6A77"/>
    <w:rsid w:val="006B0038"/>
    <w:rsid w:val="006B1F14"/>
    <w:rsid w:val="006B4CA1"/>
    <w:rsid w:val="006C0F5E"/>
    <w:rsid w:val="006D2DD2"/>
    <w:rsid w:val="006E0EEF"/>
    <w:rsid w:val="00710BB9"/>
    <w:rsid w:val="0071343E"/>
    <w:rsid w:val="00734646"/>
    <w:rsid w:val="0073737A"/>
    <w:rsid w:val="00743801"/>
    <w:rsid w:val="007441FF"/>
    <w:rsid w:val="007735EF"/>
    <w:rsid w:val="00773B2B"/>
    <w:rsid w:val="007753AE"/>
    <w:rsid w:val="0078627A"/>
    <w:rsid w:val="007A4768"/>
    <w:rsid w:val="007C24AC"/>
    <w:rsid w:val="007C377C"/>
    <w:rsid w:val="007C3C58"/>
    <w:rsid w:val="007C4B09"/>
    <w:rsid w:val="007C527B"/>
    <w:rsid w:val="007E06A5"/>
    <w:rsid w:val="007F0CE0"/>
    <w:rsid w:val="007F7302"/>
    <w:rsid w:val="00811FDD"/>
    <w:rsid w:val="00813871"/>
    <w:rsid w:val="00814703"/>
    <w:rsid w:val="0082574D"/>
    <w:rsid w:val="00843E6B"/>
    <w:rsid w:val="008456AA"/>
    <w:rsid w:val="00853537"/>
    <w:rsid w:val="00860BB2"/>
    <w:rsid w:val="0086308E"/>
    <w:rsid w:val="00894862"/>
    <w:rsid w:val="008A2DD8"/>
    <w:rsid w:val="008A470A"/>
    <w:rsid w:val="008B6B2C"/>
    <w:rsid w:val="008C4C95"/>
    <w:rsid w:val="008D08F0"/>
    <w:rsid w:val="008E4B09"/>
    <w:rsid w:val="00925C79"/>
    <w:rsid w:val="00934FFE"/>
    <w:rsid w:val="0094353F"/>
    <w:rsid w:val="009540C5"/>
    <w:rsid w:val="00963E94"/>
    <w:rsid w:val="00976652"/>
    <w:rsid w:val="00982898"/>
    <w:rsid w:val="0099381E"/>
    <w:rsid w:val="009A4F2C"/>
    <w:rsid w:val="009C08F3"/>
    <w:rsid w:val="009D24C8"/>
    <w:rsid w:val="009D74C7"/>
    <w:rsid w:val="009E7D18"/>
    <w:rsid w:val="009F6F30"/>
    <w:rsid w:val="00A0000C"/>
    <w:rsid w:val="00A11FF0"/>
    <w:rsid w:val="00A12077"/>
    <w:rsid w:val="00A15609"/>
    <w:rsid w:val="00A27F55"/>
    <w:rsid w:val="00A47BC7"/>
    <w:rsid w:val="00A50CB1"/>
    <w:rsid w:val="00A616F5"/>
    <w:rsid w:val="00A739FF"/>
    <w:rsid w:val="00A775F1"/>
    <w:rsid w:val="00A934DA"/>
    <w:rsid w:val="00AB0073"/>
    <w:rsid w:val="00AB1F18"/>
    <w:rsid w:val="00AB64EF"/>
    <w:rsid w:val="00AF4B3A"/>
    <w:rsid w:val="00B01A02"/>
    <w:rsid w:val="00B162DB"/>
    <w:rsid w:val="00B24FEC"/>
    <w:rsid w:val="00B4398E"/>
    <w:rsid w:val="00B5733F"/>
    <w:rsid w:val="00B66DBE"/>
    <w:rsid w:val="00B91C63"/>
    <w:rsid w:val="00B9409E"/>
    <w:rsid w:val="00B94372"/>
    <w:rsid w:val="00B9782F"/>
    <w:rsid w:val="00BA273C"/>
    <w:rsid w:val="00BD5554"/>
    <w:rsid w:val="00C016B0"/>
    <w:rsid w:val="00C21F2D"/>
    <w:rsid w:val="00C25B2A"/>
    <w:rsid w:val="00C329E8"/>
    <w:rsid w:val="00C414C0"/>
    <w:rsid w:val="00C43C08"/>
    <w:rsid w:val="00C44875"/>
    <w:rsid w:val="00C51496"/>
    <w:rsid w:val="00C714C9"/>
    <w:rsid w:val="00C8108A"/>
    <w:rsid w:val="00C85080"/>
    <w:rsid w:val="00C85AA9"/>
    <w:rsid w:val="00C91AC7"/>
    <w:rsid w:val="00CB0947"/>
    <w:rsid w:val="00CB0CDF"/>
    <w:rsid w:val="00CB0E50"/>
    <w:rsid w:val="00CC00BA"/>
    <w:rsid w:val="00CC3C58"/>
    <w:rsid w:val="00CC7321"/>
    <w:rsid w:val="00CE0175"/>
    <w:rsid w:val="00CE1DE9"/>
    <w:rsid w:val="00D01541"/>
    <w:rsid w:val="00D143E9"/>
    <w:rsid w:val="00D22F94"/>
    <w:rsid w:val="00D24E32"/>
    <w:rsid w:val="00D257CF"/>
    <w:rsid w:val="00D2761A"/>
    <w:rsid w:val="00D34BC1"/>
    <w:rsid w:val="00D617DD"/>
    <w:rsid w:val="00D67282"/>
    <w:rsid w:val="00D74B44"/>
    <w:rsid w:val="00DB50BB"/>
    <w:rsid w:val="00DB68E4"/>
    <w:rsid w:val="00DD03B3"/>
    <w:rsid w:val="00DD45F3"/>
    <w:rsid w:val="00DD5ADC"/>
    <w:rsid w:val="00DD7653"/>
    <w:rsid w:val="00DF1A00"/>
    <w:rsid w:val="00E009B8"/>
    <w:rsid w:val="00E121C3"/>
    <w:rsid w:val="00E32AEB"/>
    <w:rsid w:val="00E547E8"/>
    <w:rsid w:val="00E70A4B"/>
    <w:rsid w:val="00E906EC"/>
    <w:rsid w:val="00E96C72"/>
    <w:rsid w:val="00E97EFE"/>
    <w:rsid w:val="00EA29D7"/>
    <w:rsid w:val="00EC196D"/>
    <w:rsid w:val="00EC2AD6"/>
    <w:rsid w:val="00ED746D"/>
    <w:rsid w:val="00EE3AFC"/>
    <w:rsid w:val="00EE3E98"/>
    <w:rsid w:val="00EF5D6A"/>
    <w:rsid w:val="00F04860"/>
    <w:rsid w:val="00F434E6"/>
    <w:rsid w:val="00F57C5B"/>
    <w:rsid w:val="00F759E8"/>
    <w:rsid w:val="00F806EA"/>
    <w:rsid w:val="00F82517"/>
    <w:rsid w:val="00F836B7"/>
    <w:rsid w:val="00F94A03"/>
    <w:rsid w:val="00F96A35"/>
    <w:rsid w:val="00FA75EC"/>
    <w:rsid w:val="00FC0FB5"/>
    <w:rsid w:val="00FD56A3"/>
    <w:rsid w:val="00FF4138"/>
    <w:rsid w:val="00FF5F92"/>
    <w:rsid w:val="00FF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37"/>
    <w:rPr>
      <w:sz w:val="24"/>
      <w:szCs w:val="24"/>
    </w:rPr>
  </w:style>
  <w:style w:type="paragraph" w:styleId="Heading1">
    <w:name w:val="heading 1"/>
    <w:basedOn w:val="Normal"/>
    <w:next w:val="Normal"/>
    <w:qFormat/>
    <w:rsid w:val="0085353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53537"/>
    <w:pPr>
      <w:spacing w:before="28"/>
      <w:ind w:right="90"/>
    </w:pPr>
    <w:rPr>
      <w:sz w:val="19"/>
      <w:szCs w:val="19"/>
    </w:rPr>
  </w:style>
  <w:style w:type="paragraph" w:styleId="Header">
    <w:name w:val="header"/>
    <w:basedOn w:val="Normal"/>
    <w:link w:val="HeaderChar"/>
    <w:semiHidden/>
    <w:rsid w:val="00853537"/>
    <w:pPr>
      <w:tabs>
        <w:tab w:val="center" w:pos="4320"/>
        <w:tab w:val="right" w:pos="8640"/>
      </w:tabs>
    </w:pPr>
  </w:style>
  <w:style w:type="paragraph" w:styleId="Footer">
    <w:name w:val="footer"/>
    <w:basedOn w:val="Normal"/>
    <w:semiHidden/>
    <w:rsid w:val="00853537"/>
    <w:pPr>
      <w:tabs>
        <w:tab w:val="center" w:pos="4320"/>
        <w:tab w:val="right" w:pos="8640"/>
      </w:tabs>
    </w:pPr>
  </w:style>
  <w:style w:type="character" w:styleId="PageNumber">
    <w:name w:val="page number"/>
    <w:basedOn w:val="DefaultParagraphFont"/>
    <w:semiHidden/>
    <w:rsid w:val="00853537"/>
  </w:style>
  <w:style w:type="paragraph" w:styleId="FootnoteText">
    <w:name w:val="footnote text"/>
    <w:basedOn w:val="Normal"/>
    <w:link w:val="FootnoteTextChar"/>
    <w:uiPriority w:val="99"/>
    <w:semiHidden/>
    <w:rsid w:val="00853537"/>
    <w:pPr>
      <w:ind w:firstLine="720"/>
    </w:pPr>
    <w:rPr>
      <w:szCs w:val="20"/>
    </w:rPr>
  </w:style>
  <w:style w:type="character" w:styleId="FootnoteReference">
    <w:name w:val="footnote reference"/>
    <w:basedOn w:val="DefaultParagraphFont"/>
    <w:uiPriority w:val="99"/>
    <w:semiHidden/>
    <w:rsid w:val="0085353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3818C1"/>
    <w:rPr>
      <w:sz w:val="24"/>
      <w:szCs w:val="24"/>
    </w:rPr>
  </w:style>
  <w:style w:type="character" w:customStyle="1" w:styleId="FootnoteTextChar">
    <w:name w:val="Footnote Text Char"/>
    <w:basedOn w:val="DefaultParagraphFont"/>
    <w:link w:val="FootnoteText"/>
    <w:uiPriority w:val="99"/>
    <w:semiHidden/>
    <w:rsid w:val="00C85080"/>
    <w:rPr>
      <w:sz w:val="24"/>
    </w:rPr>
  </w:style>
  <w:style w:type="paragraph" w:styleId="ListParagraph">
    <w:name w:val="List Paragraph"/>
    <w:basedOn w:val="Normal"/>
    <w:uiPriority w:val="34"/>
    <w:qFormat/>
    <w:rsid w:val="00DB68E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F21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21</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Lauretta Cramer</cp:lastModifiedBy>
  <cp:revision>2</cp:revision>
  <dcterms:created xsi:type="dcterms:W3CDTF">2010-06-09T19:22:00Z</dcterms:created>
  <dcterms:modified xsi:type="dcterms:W3CDTF">2010-06-09T19:22:00Z</dcterms:modified>
</cp:coreProperties>
</file>