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F5C57" w:rsidRDefault="00BF5C57" w:rsidP="00BF5C57">
      <w:pPr>
        <w:jc w:val="right"/>
        <w:rPr>
          <w:b/>
          <w:sz w:val="36"/>
        </w:rPr>
      </w:pPr>
      <w:r w:rsidRPr="00BF5C57">
        <w:rPr>
          <w:b/>
        </w:rPr>
        <w:t>FILED OCTOBER 9,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0E7B8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B51DBF">
        <w:trPr>
          <w:cantSplit/>
          <w:trHeight w:val="462"/>
        </w:trPr>
        <w:tc>
          <w:tcPr>
            <w:tcW w:w="4373" w:type="dxa"/>
            <w:vMerge w:val="restart"/>
          </w:tcPr>
          <w:p w:rsidR="003D3B12" w:rsidRDefault="003D3B12">
            <w:r>
              <w:t>In the Matter of</w:t>
            </w:r>
          </w:p>
          <w:p w:rsidR="003D3B12" w:rsidRDefault="003D3B12">
            <w:pPr>
              <w:rPr>
                <w:b/>
                <w:bCs/>
              </w:rPr>
            </w:pPr>
          </w:p>
          <w:p w:rsidR="003D3B12" w:rsidRDefault="004E56DC">
            <w:pPr>
              <w:rPr>
                <w:b/>
                <w:bCs/>
              </w:rPr>
            </w:pPr>
            <w:bookmarkStart w:id="1" w:name="resp"/>
            <w:bookmarkEnd w:id="1"/>
            <w:r>
              <w:rPr>
                <w:b/>
                <w:bCs/>
              </w:rPr>
              <w:t>CONCETTA JOAN S</w:t>
            </w:r>
            <w:r w:rsidR="007A0C3B">
              <w:rPr>
                <w:b/>
                <w:bCs/>
              </w:rPr>
              <w:t>CI</w:t>
            </w:r>
            <w:r>
              <w:rPr>
                <w:b/>
                <w:bCs/>
              </w:rPr>
              <w:t>ME</w:t>
            </w:r>
            <w:r w:rsidR="007A0C3B">
              <w:rPr>
                <w:b/>
                <w:bCs/>
              </w:rPr>
              <w:t>C</w:t>
            </w:r>
            <w:r>
              <w:rPr>
                <w:b/>
                <w:bCs/>
              </w:rPr>
              <w:t>A</w:t>
            </w:r>
            <w:r w:rsidR="000E7B8C">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7A0C3B">
              <w:rPr>
                <w:b/>
                <w:bCs/>
              </w:rPr>
              <w:t>96</w:t>
            </w:r>
            <w:r w:rsidR="004E56DC">
              <w:rPr>
                <w:b/>
                <w:bCs/>
              </w:rPr>
              <w:t>1</w:t>
            </w:r>
            <w:r w:rsidR="007A0C3B">
              <w:rPr>
                <w:b/>
                <w:bCs/>
              </w:rPr>
              <w:t>4</w:t>
            </w:r>
            <w:r w:rsidR="004E56DC">
              <w:rPr>
                <w:b/>
                <w:bCs/>
              </w:rPr>
              <w:t>7</w:t>
            </w:r>
            <w:r w:rsidR="000E7B8C">
              <w:rPr>
                <w:b/>
                <w:bCs/>
              </w:rPr>
              <w:t>,</w:t>
            </w:r>
          </w:p>
          <w:p w:rsidR="003D3B12" w:rsidRDefault="003D3B12">
            <w:pPr>
              <w:rPr>
                <w:b/>
                <w:bCs/>
              </w:rPr>
            </w:pPr>
          </w:p>
          <w:p w:rsidR="003D3B12" w:rsidRDefault="00B51DBF">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p>
        </w:tc>
        <w:tc>
          <w:tcPr>
            <w:tcW w:w="3464" w:type="dxa"/>
          </w:tcPr>
          <w:p w:rsidR="003D3B12" w:rsidRDefault="005D760F" w:rsidP="004E56DC">
            <w:pPr>
              <w:rPr>
                <w:b/>
                <w:bCs/>
              </w:rPr>
            </w:pPr>
            <w:bookmarkStart w:id="4" w:name="caseno"/>
            <w:bookmarkEnd w:id="4"/>
            <w:r>
              <w:rPr>
                <w:b/>
                <w:bCs/>
              </w:rPr>
              <w:t>0</w:t>
            </w:r>
            <w:r w:rsidR="004E56DC">
              <w:rPr>
                <w:b/>
                <w:bCs/>
              </w:rPr>
              <w:t>9</w:t>
            </w:r>
            <w:r>
              <w:rPr>
                <w:b/>
                <w:bCs/>
              </w:rPr>
              <w:t>-</w:t>
            </w:r>
            <w:r w:rsidR="000E7B8C">
              <w:rPr>
                <w:b/>
                <w:bCs/>
              </w:rPr>
              <w:t>N</w:t>
            </w:r>
            <w:r>
              <w:rPr>
                <w:b/>
                <w:bCs/>
              </w:rPr>
              <w:t>-</w:t>
            </w:r>
            <w:r w:rsidR="000E7B8C">
              <w:rPr>
                <w:b/>
                <w:bCs/>
              </w:rPr>
              <w:t>1</w:t>
            </w:r>
            <w:r w:rsidR="00E36568">
              <w:rPr>
                <w:b/>
                <w:bCs/>
              </w:rPr>
              <w:t>1</w:t>
            </w:r>
            <w:r w:rsidR="004E56DC">
              <w:rPr>
                <w:b/>
                <w:bCs/>
              </w:rPr>
              <w:t>52</w:t>
            </w:r>
            <w:r w:rsidR="00E36568">
              <w:rPr>
                <w:b/>
                <w:bCs/>
              </w:rPr>
              <w:t>0</w:t>
            </w:r>
            <w:r w:rsidR="007A0C3B">
              <w:rPr>
                <w:b/>
                <w:bCs/>
              </w:rPr>
              <w:t>-DFM</w:t>
            </w:r>
          </w:p>
        </w:tc>
      </w:tr>
      <w:tr w:rsidR="003D3B12" w:rsidTr="00B51DBF">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213DC9" w:rsidRDefault="00213DC9">
            <w:pPr>
              <w:rPr>
                <w:b/>
                <w:bCs/>
              </w:rPr>
            </w:pPr>
            <w:bookmarkStart w:id="5" w:name="title"/>
            <w:bookmarkEnd w:id="5"/>
          </w:p>
          <w:p w:rsidR="003D3B12" w:rsidRDefault="00B51DBF">
            <w:pPr>
              <w:rPr>
                <w:b/>
                <w:bCs/>
              </w:rPr>
            </w:pPr>
            <w:r>
              <w:rPr>
                <w:b/>
                <w:bCs/>
              </w:rPr>
              <w:t>DECISION</w:t>
            </w:r>
            <w:r w:rsidR="000E7B8C">
              <w:rPr>
                <w:b/>
                <w:bCs/>
              </w:rPr>
              <w:t xml:space="preserve"> AND ORDER OF INVOLUNTARY INACTIVE ENROLLMENT</w:t>
            </w:r>
          </w:p>
        </w:tc>
      </w:tr>
    </w:tbl>
    <w:p w:rsidR="003F7735" w:rsidRDefault="003F7735" w:rsidP="003F7735">
      <w:pPr>
        <w:tabs>
          <w:tab w:val="center" w:pos="4680"/>
        </w:tabs>
        <w:jc w:val="center"/>
        <w:rPr>
          <w:b/>
          <w:bCs/>
        </w:rPr>
      </w:pPr>
    </w:p>
    <w:p w:rsidR="00B51DBF" w:rsidRDefault="00B51DBF" w:rsidP="004423E6">
      <w:pPr>
        <w:tabs>
          <w:tab w:val="center" w:pos="4680"/>
        </w:tabs>
        <w:spacing w:line="480" w:lineRule="auto"/>
        <w:jc w:val="center"/>
        <w:rPr>
          <w:b/>
          <w:bCs/>
        </w:rPr>
      </w:pPr>
      <w:r w:rsidRPr="000C31B9">
        <w:rPr>
          <w:b/>
          <w:bCs/>
        </w:rPr>
        <w:t xml:space="preserve">I.  </w:t>
      </w:r>
      <w:r w:rsidR="007A0C3B" w:rsidRPr="000C31B9">
        <w:rPr>
          <w:b/>
          <w:bCs/>
        </w:rPr>
        <w:t>INTRODUCTION</w:t>
      </w:r>
    </w:p>
    <w:p w:rsidR="007A0C3B" w:rsidRDefault="007A0C3B" w:rsidP="007A0C3B">
      <w:pPr>
        <w:spacing w:line="480" w:lineRule="auto"/>
        <w:ind w:firstLine="720"/>
      </w:pPr>
      <w:r>
        <w:t xml:space="preserve">In this default disciplinary matter, respondent </w:t>
      </w:r>
      <w:r w:rsidRPr="009763E0">
        <w:rPr>
          <w:b/>
        </w:rPr>
        <w:t>Co</w:t>
      </w:r>
      <w:r w:rsidR="004E56DC">
        <w:rPr>
          <w:b/>
        </w:rPr>
        <w:t>ncetta Joan Scimeca</w:t>
      </w:r>
      <w:r>
        <w:t xml:space="preserve"> is found culpable, by clear and convincing evidence, of failing to comply with California Rules of Court, rule 9.20,</w:t>
      </w:r>
      <w:r>
        <w:rPr>
          <w:rStyle w:val="FootnoteReference"/>
        </w:rPr>
        <w:footnoteReference w:id="1"/>
      </w:r>
      <w:r>
        <w:t xml:space="preserve"> as ordered by the California Supreme Court on </w:t>
      </w:r>
      <w:r w:rsidR="00D0173D">
        <w:t xml:space="preserve">November 6, </w:t>
      </w:r>
      <w:r>
        <w:t>200</w:t>
      </w:r>
      <w:r w:rsidR="00D0173D">
        <w:t>8</w:t>
      </w:r>
      <w:r>
        <w:t>, in S1</w:t>
      </w:r>
      <w:r w:rsidR="00D0173D">
        <w:t>66493</w:t>
      </w:r>
      <w:r>
        <w:t xml:space="preserve">.  </w:t>
      </w:r>
    </w:p>
    <w:p w:rsidR="007A0C3B" w:rsidRDefault="007A0C3B" w:rsidP="007A0C3B">
      <w:pPr>
        <w:spacing w:line="480" w:lineRule="auto"/>
        <w:ind w:firstLine="720"/>
      </w:pPr>
      <w:r>
        <w:t>In view of respondent’s misconduct and the evidence in aggravation, the court recommends, among other things, that respondent be disbarred from the practice of law.</w:t>
      </w:r>
    </w:p>
    <w:p w:rsidR="00B51DBF" w:rsidRPr="000C31B9" w:rsidRDefault="00B51DBF" w:rsidP="004423E6">
      <w:pPr>
        <w:tabs>
          <w:tab w:val="center" w:pos="4680"/>
        </w:tabs>
        <w:spacing w:line="480" w:lineRule="auto"/>
        <w:jc w:val="center"/>
      </w:pPr>
      <w:r w:rsidRPr="000C31B9">
        <w:rPr>
          <w:b/>
          <w:bCs/>
        </w:rPr>
        <w:t>II</w:t>
      </w:r>
      <w:proofErr w:type="gramStart"/>
      <w:r w:rsidRPr="000C31B9">
        <w:rPr>
          <w:b/>
          <w:bCs/>
        </w:rPr>
        <w:t xml:space="preserve">.  </w:t>
      </w:r>
      <w:r w:rsidR="007A0C3B" w:rsidRPr="000C31B9">
        <w:rPr>
          <w:b/>
          <w:bCs/>
        </w:rPr>
        <w:t>PERTINENT</w:t>
      </w:r>
      <w:proofErr w:type="gramEnd"/>
      <w:r w:rsidR="007A0C3B" w:rsidRPr="000C31B9">
        <w:rPr>
          <w:b/>
          <w:bCs/>
        </w:rPr>
        <w:t xml:space="preserve"> PROCEDURAL HISTORY</w:t>
      </w:r>
    </w:p>
    <w:p w:rsidR="00355EF4" w:rsidRDefault="00D0173D" w:rsidP="004041FD">
      <w:pPr>
        <w:tabs>
          <w:tab w:val="left" w:pos="8100"/>
        </w:tabs>
        <w:spacing w:line="480" w:lineRule="auto"/>
        <w:ind w:firstLine="720"/>
      </w:pPr>
      <w:r w:rsidRPr="00D0173D">
        <w:t>This proceeding was initiated by the Office of the Chief Trial Counsel of the State Bar of California (State Bar).  The Notice of Disciplinary Charges (NDC)</w:t>
      </w:r>
      <w:r w:rsidR="004365B5">
        <w:t xml:space="preserve"> </w:t>
      </w:r>
      <w:r w:rsidRPr="00D0173D">
        <w:t>was filed and properly served via certified mail, return receipt requested, on respondent at her official membership records address (official address) on A</w:t>
      </w:r>
      <w:r w:rsidR="00703D10">
        <w:t>pril</w:t>
      </w:r>
      <w:r w:rsidRPr="00D0173D">
        <w:t xml:space="preserve"> </w:t>
      </w:r>
      <w:r w:rsidR="00703D10">
        <w:t>2</w:t>
      </w:r>
      <w:r w:rsidRPr="00D0173D">
        <w:t>9, 200</w:t>
      </w:r>
      <w:r w:rsidR="00703D10">
        <w:t>9.</w:t>
      </w:r>
      <w:r w:rsidR="002778C7">
        <w:t xml:space="preserve">  T</w:t>
      </w:r>
      <w:r w:rsidR="009763E0" w:rsidRPr="009763E0">
        <w:t xml:space="preserve">he </w:t>
      </w:r>
      <w:r w:rsidR="002778C7">
        <w:t>United States Postal Service (USPS), however, returned that mailing to the</w:t>
      </w:r>
      <w:r w:rsidR="00DD55EB">
        <w:t xml:space="preserve"> State Bar</w:t>
      </w:r>
      <w:r w:rsidR="00050BAE">
        <w:t>, bearing the stamp</w:t>
      </w:r>
      <w:r w:rsidR="00DD55EB">
        <w:t>, “</w:t>
      </w:r>
      <w:r w:rsidR="00050BAE">
        <w:t>Attempted Not Known</w:t>
      </w:r>
      <w:r w:rsidR="00DD55EB">
        <w:t xml:space="preserve">.” </w:t>
      </w:r>
    </w:p>
    <w:p w:rsidR="00DD55EB" w:rsidRDefault="00355EF4" w:rsidP="004423E6">
      <w:pPr>
        <w:spacing w:line="480" w:lineRule="auto"/>
        <w:ind w:firstLine="720"/>
      </w:pPr>
      <w:r>
        <w:lastRenderedPageBreak/>
        <w:t xml:space="preserve">Respondent did not file a response to the NDC.  </w:t>
      </w:r>
      <w:proofErr w:type="gramStart"/>
      <w:r>
        <w:t>(Rules Proc. of State Bar, rule 103.)</w:t>
      </w:r>
      <w:proofErr w:type="gramEnd"/>
      <w:r>
        <w:t xml:space="preserve"> </w:t>
      </w:r>
      <w:r w:rsidR="00DD55EB">
        <w:t xml:space="preserve">  </w:t>
      </w:r>
    </w:p>
    <w:p w:rsidR="000F5EC7" w:rsidRDefault="00DD55EB" w:rsidP="004423E6">
      <w:pPr>
        <w:spacing w:line="480" w:lineRule="auto"/>
        <w:ind w:firstLine="720"/>
      </w:pPr>
      <w:r>
        <w:t>On Ma</w:t>
      </w:r>
      <w:r w:rsidR="00050BAE">
        <w:t>y 11</w:t>
      </w:r>
      <w:r>
        <w:t>, 20009, the deputy trial counsel</w:t>
      </w:r>
      <w:r w:rsidR="00864362">
        <w:t xml:space="preserve"> (DTC)</w:t>
      </w:r>
      <w:r>
        <w:t xml:space="preserve"> assigned to this matter, </w:t>
      </w:r>
      <w:r w:rsidR="00050BAE">
        <w:t xml:space="preserve">caused a State Bar investigator to conduct a database search for respondent.  The DTC reviewed the information obtained from the database search and found a new telephone listing for respondent. </w:t>
      </w:r>
      <w:r w:rsidR="00D21CE1">
        <w:t xml:space="preserve"> The DTC called the number; but</w:t>
      </w:r>
      <w:r w:rsidR="00050BAE">
        <w:t xml:space="preserve"> it was disconnected</w:t>
      </w:r>
      <w:r w:rsidR="00F204D0">
        <w:t>.</w:t>
      </w:r>
    </w:p>
    <w:p w:rsidR="000F5EC7" w:rsidRDefault="000F5EC7" w:rsidP="004423E6">
      <w:pPr>
        <w:spacing w:line="480" w:lineRule="auto"/>
        <w:ind w:firstLine="720"/>
      </w:pPr>
      <w:r>
        <w:t>On June 2, 2009, a courtesy copy of the NDC was sent to respondent at her official address by regular first class mail.  The mailing was returned by the USPS bearing the stamp, “Return to Sender, Attempted – Not Known, Unable to Forward.”</w:t>
      </w:r>
    </w:p>
    <w:p w:rsidR="000F5EC7" w:rsidRDefault="00F204D0" w:rsidP="004423E6">
      <w:pPr>
        <w:spacing w:line="480" w:lineRule="auto"/>
        <w:ind w:firstLine="720"/>
      </w:pPr>
      <w:r>
        <w:t xml:space="preserve">Thereafter, on June 9, 2009, the DTC conducted an internet search </w:t>
      </w:r>
      <w:r w:rsidR="00E93984">
        <w:t>using</w:t>
      </w:r>
      <w:r>
        <w:t xml:space="preserve"> “Concetta J. Scimeca”</w:t>
      </w:r>
      <w:r w:rsidR="00E93984">
        <w:t xml:space="preserve"> as the search term.</w:t>
      </w:r>
      <w:r>
        <w:t xml:space="preserve">  That search resulted in an office listing and phone number for an attorney in California.  The DTC</w:t>
      </w:r>
      <w:r w:rsidR="007142CE">
        <w:t xml:space="preserve"> </w:t>
      </w:r>
      <w:r>
        <w:t>called</w:t>
      </w:r>
      <w:r w:rsidR="000F5EC7">
        <w:t xml:space="preserve"> the office phone number</w:t>
      </w:r>
      <w:r>
        <w:t xml:space="preserve"> twice and both times received a recorded message</w:t>
      </w:r>
      <w:r w:rsidR="007142CE">
        <w:t>.  The DTC</w:t>
      </w:r>
      <w:r>
        <w:t xml:space="preserve"> left a message</w:t>
      </w:r>
      <w:r w:rsidR="007142CE">
        <w:t>,</w:t>
      </w:r>
      <w:r>
        <w:t xml:space="preserve"> stating that he was calling regarding the instant case</w:t>
      </w:r>
      <w:r w:rsidR="000F5EC7">
        <w:t xml:space="preserve">.  </w:t>
      </w:r>
      <w:r w:rsidR="007142CE">
        <w:t>H</w:t>
      </w:r>
      <w:r w:rsidR="000F5EC7">
        <w:t>is message</w:t>
      </w:r>
      <w:r w:rsidR="007142CE">
        <w:t xml:space="preserve"> also stated that</w:t>
      </w:r>
      <w:r w:rsidR="00D21CE1">
        <w:t>,</w:t>
      </w:r>
      <w:r w:rsidR="007142CE">
        <w:t xml:space="preserve"> </w:t>
      </w:r>
      <w:r>
        <w:t xml:space="preserve">based on respondent’s failure to file a response to the </w:t>
      </w:r>
      <w:r w:rsidR="000F5EC7">
        <w:t>NDC, he intended to file a motion for entry of default.  The DTC left his phone number and requested an immediate return call.</w:t>
      </w:r>
    </w:p>
    <w:p w:rsidR="009714F1" w:rsidRDefault="009714F1" w:rsidP="00D21CE1">
      <w:pPr>
        <w:spacing w:line="480" w:lineRule="auto"/>
        <w:ind w:firstLine="720"/>
      </w:pPr>
      <w:r>
        <w:t>On Ju</w:t>
      </w:r>
      <w:r w:rsidR="00E93984">
        <w:t>ne</w:t>
      </w:r>
      <w:r>
        <w:t xml:space="preserve"> 9, 2009, the DTC also called directory assistance for the area that includes respondent’s official address and asked for all listings for respondent’s name.  No listing was found for respondent.  On</w:t>
      </w:r>
      <w:r w:rsidR="004F323C">
        <w:t xml:space="preserve"> that same date</w:t>
      </w:r>
      <w:r>
        <w:t>, the DTC conducted an internet search for a telephone listing for respondent.  None of the results yielded a telephone listing for respondent different from those already known by the State Bar.</w:t>
      </w:r>
    </w:p>
    <w:p w:rsidR="001D529B" w:rsidRDefault="009714F1" w:rsidP="004423E6">
      <w:pPr>
        <w:spacing w:line="480" w:lineRule="auto"/>
        <w:ind w:firstLine="720"/>
      </w:pPr>
      <w:r>
        <w:t>In further reviewing the official membership records for respondent, the DTC noted an e-mail address.  Therefore, on Ju</w:t>
      </w:r>
      <w:r w:rsidR="00E93984">
        <w:t>ne</w:t>
      </w:r>
      <w:r>
        <w:t xml:space="preserve"> 9, 2009, the DTC sent an e-mail to respondent identifying himself as a deputy trial counsel with the State Bar of California and stating that he was contacting respondent regarding the instant case</w:t>
      </w:r>
      <w:r w:rsidR="007142CE">
        <w:t xml:space="preserve">.  </w:t>
      </w:r>
      <w:r w:rsidR="00307D36">
        <w:t xml:space="preserve">In his e-mail, the DTC stated that based on </w:t>
      </w:r>
      <w:r>
        <w:lastRenderedPageBreak/>
        <w:t>respondent</w:t>
      </w:r>
      <w:r w:rsidR="00307D36">
        <w:t xml:space="preserve">’s </w:t>
      </w:r>
      <w:r>
        <w:t>fail</w:t>
      </w:r>
      <w:r w:rsidR="00307D36">
        <w:t>ure</w:t>
      </w:r>
      <w:r>
        <w:t xml:space="preserve"> to file a response to the NDC, he would be filing a motion for entry of default.  The DTC also left his telephone number and requested a return call or e-mail reply.</w:t>
      </w:r>
    </w:p>
    <w:p w:rsidR="009763E0" w:rsidRDefault="00ED401A" w:rsidP="004423E6">
      <w:pPr>
        <w:spacing w:line="480" w:lineRule="auto"/>
        <w:ind w:firstLine="720"/>
      </w:pPr>
      <w:r w:rsidRPr="00ED401A">
        <w:t>Even though respondent did not receive the service copy of the NDC, service on respondent was complete when the State Bar mailed the service copy to respondent at h</w:t>
      </w:r>
      <w:r w:rsidR="006700C0">
        <w:t>er</w:t>
      </w:r>
      <w:r w:rsidRPr="00ED401A">
        <w:t xml:space="preserve"> official address by certified mail, return receipt requested.  </w:t>
      </w:r>
      <w:r>
        <w:t xml:space="preserve">(Bus. </w:t>
      </w:r>
      <w:proofErr w:type="gramStart"/>
      <w:r>
        <w:t xml:space="preserve">&amp; Prof. Code, </w:t>
      </w:r>
      <w:r w:rsidRPr="00ED401A">
        <w:t>§ 6002.1, subd.</w:t>
      </w:r>
      <w:proofErr w:type="gramEnd"/>
      <w:r w:rsidRPr="00ED401A">
        <w:t xml:space="preserve"> (c); </w:t>
      </w:r>
      <w:r w:rsidRPr="00ED401A">
        <w:rPr>
          <w:i/>
        </w:rPr>
        <w:t>Bowles v. State Bar</w:t>
      </w:r>
      <w:r w:rsidRPr="00ED401A">
        <w:t xml:space="preserve"> (1989) 48 Cal.3d 100, 107-108 [service in a State Bar Court proceeding is deemed complete when mailed even if the attorney does not receive the pleading]; see also </w:t>
      </w:r>
      <w:r w:rsidRPr="00ED401A">
        <w:rPr>
          <w:i/>
        </w:rPr>
        <w:t>Powers v. State Bar</w:t>
      </w:r>
      <w:r w:rsidRPr="00ED401A">
        <w:t xml:space="preserve"> (1988) 44 Cal.3d 337, 341 [attorney disbarred when his failure to keep his official address current prevented him from learning that he had been ordered to comply with former rule 955 (now rule 9.20)].)  Moreover, because the State Bar made multiple additional efforts to locate respondent so as to provide h</w:t>
      </w:r>
      <w:r w:rsidR="006700C0">
        <w:t>er</w:t>
      </w:r>
      <w:r w:rsidRPr="00ED401A">
        <w:t xml:space="preserve"> with actual notice of this proceeding, the court finds that all due process requirements have been satisfied</w:t>
      </w:r>
      <w:r w:rsidR="005D583F">
        <w:t xml:space="preserve">.  </w:t>
      </w:r>
      <w:proofErr w:type="gramStart"/>
      <w:r w:rsidR="005D583F">
        <w:t>(</w:t>
      </w:r>
      <w:r w:rsidRPr="005D583F">
        <w:rPr>
          <w:i/>
        </w:rPr>
        <w:t>Jones v. Flowers</w:t>
      </w:r>
      <w:r w:rsidRPr="00ED401A">
        <w:t xml:space="preserve"> (2006) 547 U.S. 220, 224-227, 234.)</w:t>
      </w:r>
      <w:proofErr w:type="gramEnd"/>
    </w:p>
    <w:p w:rsidR="00355EF4" w:rsidRDefault="00D12934" w:rsidP="004423E6">
      <w:pPr>
        <w:spacing w:line="480" w:lineRule="auto"/>
        <w:ind w:firstLine="720"/>
      </w:pPr>
      <w:r w:rsidRPr="00D12934">
        <w:t>Respondent was required to file a verified response to the NDC no later than Ma</w:t>
      </w:r>
      <w:r w:rsidR="006700C0">
        <w:t>y</w:t>
      </w:r>
      <w:r w:rsidRPr="00D12934">
        <w:t xml:space="preserve"> </w:t>
      </w:r>
      <w:r>
        <w:t>2</w:t>
      </w:r>
      <w:r w:rsidR="006700C0">
        <w:t>6</w:t>
      </w:r>
      <w:r w:rsidRPr="00D12934">
        <w:t>, 2009.  (Rules Proc. of State Bar, rules 103(a), 584.)</w:t>
      </w:r>
      <w:r w:rsidR="00681039">
        <w:t xml:space="preserve">  As noted, </w:t>
      </w:r>
      <w:r w:rsidR="00681039" w:rsidRPr="003008F2">
        <w:rPr>
          <w:i/>
        </w:rPr>
        <w:t>ante</w:t>
      </w:r>
      <w:r w:rsidR="00681039">
        <w:t>, respondent did not file a response to the NDC.</w:t>
      </w:r>
      <w:r w:rsidRPr="00D12934">
        <w:t xml:space="preserve">  </w:t>
      </w:r>
      <w:r>
        <w:t>O</w:t>
      </w:r>
      <w:r w:rsidRPr="00D12934">
        <w:t xml:space="preserve">n </w:t>
      </w:r>
      <w:r w:rsidR="006700C0">
        <w:t>June 9, 2009,</w:t>
      </w:r>
      <w:r w:rsidRPr="00D12934">
        <w:t xml:space="preserve"> the State Bar filed a motion for the entry of respondent</w:t>
      </w:r>
      <w:r>
        <w:t>’</w:t>
      </w:r>
      <w:r w:rsidRPr="00D12934">
        <w:t>s default</w:t>
      </w:r>
      <w:r>
        <w:t>.  A copy of said motion was</w:t>
      </w:r>
      <w:r w:rsidRPr="00D12934">
        <w:t xml:space="preserve"> properly served </w:t>
      </w:r>
      <w:r>
        <w:t xml:space="preserve">on </w:t>
      </w:r>
      <w:r w:rsidRPr="00D12934">
        <w:t>respondent</w:t>
      </w:r>
      <w:r w:rsidR="001D529B">
        <w:t xml:space="preserve"> on </w:t>
      </w:r>
      <w:r w:rsidR="00E04586">
        <w:t>June 9</w:t>
      </w:r>
      <w:r w:rsidR="001D529B">
        <w:t>, 2009,</w:t>
      </w:r>
      <w:r w:rsidRPr="00D12934">
        <w:t xml:space="preserve"> by certified mail, return receipt requested</w:t>
      </w:r>
      <w:r w:rsidR="001D529B">
        <w:t>, addressed to respondent at h</w:t>
      </w:r>
      <w:r w:rsidR="00307D36">
        <w:t>er</w:t>
      </w:r>
      <w:r w:rsidR="001D529B">
        <w:t xml:space="preserve"> official address</w:t>
      </w:r>
      <w:r w:rsidRPr="00D12934">
        <w:t>.</w:t>
      </w:r>
    </w:p>
    <w:p w:rsidR="00ED401A" w:rsidRDefault="001D529B" w:rsidP="004423E6">
      <w:pPr>
        <w:spacing w:line="480" w:lineRule="auto"/>
        <w:ind w:firstLine="720"/>
      </w:pPr>
      <w:r>
        <w:t>R</w:t>
      </w:r>
      <w:r w:rsidR="00D12934" w:rsidRPr="00D12934">
        <w:t xml:space="preserve">espondent </w:t>
      </w:r>
      <w:r w:rsidR="00355EF4">
        <w:t xml:space="preserve">did not </w:t>
      </w:r>
      <w:r w:rsidR="00D12934" w:rsidRPr="00D12934">
        <w:t>file a response</w:t>
      </w:r>
      <w:r w:rsidR="00355EF4">
        <w:t xml:space="preserve"> within 10 days after service of the </w:t>
      </w:r>
      <w:r w:rsidR="00D12934" w:rsidRPr="00D12934">
        <w:t xml:space="preserve">motion for entry of </w:t>
      </w:r>
      <w:r w:rsidR="00355EF4">
        <w:t>h</w:t>
      </w:r>
      <w:r w:rsidR="00E04586">
        <w:t>er</w:t>
      </w:r>
      <w:r w:rsidR="00355EF4">
        <w:t xml:space="preserve"> </w:t>
      </w:r>
      <w:r w:rsidR="00D12934" w:rsidRPr="00D12934">
        <w:t xml:space="preserve">default.  </w:t>
      </w:r>
      <w:r w:rsidR="00355EF4" w:rsidRPr="00355EF4">
        <w:t xml:space="preserve">Consequently, on </w:t>
      </w:r>
      <w:r w:rsidR="00E04586">
        <w:t>July 1</w:t>
      </w:r>
      <w:r w:rsidR="00E93984">
        <w:t>, 2009,</w:t>
      </w:r>
      <w:r w:rsidR="00E04586">
        <w:t xml:space="preserve"> </w:t>
      </w:r>
      <w:r w:rsidR="00355EF4" w:rsidRPr="00355EF4">
        <w:t>respondent’s default was entered</w:t>
      </w:r>
      <w:r w:rsidR="0093256C">
        <w:t xml:space="preserve">.  </w:t>
      </w:r>
      <w:r w:rsidR="005568EC">
        <w:t>The order of entry of default was properly mailed to respondent’s official membership records address.</w:t>
      </w:r>
      <w:r w:rsidR="0093256C">
        <w:t xml:space="preserve"> </w:t>
      </w:r>
      <w:r w:rsidR="00355EF4" w:rsidRPr="00355EF4">
        <w:t xml:space="preserve">Respondent </w:t>
      </w:r>
      <w:r w:rsidR="00355EF4" w:rsidRPr="00355EF4">
        <w:lastRenderedPageBreak/>
        <w:t>was enrolled as an inactive member</w:t>
      </w:r>
      <w:r w:rsidR="005568EC">
        <w:t xml:space="preserve"> under Business and Professions Code </w:t>
      </w:r>
      <w:r w:rsidR="00A443FA">
        <w:t xml:space="preserve">section </w:t>
      </w:r>
      <w:r w:rsidR="005568EC">
        <w:t>6007, subdivision (e)</w:t>
      </w:r>
      <w:r w:rsidR="00681039">
        <w:t>, effective</w:t>
      </w:r>
      <w:r w:rsidR="00355EF4" w:rsidRPr="00355EF4">
        <w:t xml:space="preserve"> </w:t>
      </w:r>
      <w:r w:rsidR="00A443FA">
        <w:t>July 4, 2009</w:t>
      </w:r>
      <w:r w:rsidR="00355EF4" w:rsidRPr="00355EF4">
        <w:t>.</w:t>
      </w:r>
      <w:r w:rsidR="005568EC">
        <w:rPr>
          <w:rStyle w:val="FootnoteReference"/>
        </w:rPr>
        <w:footnoteReference w:id="2"/>
      </w:r>
    </w:p>
    <w:p w:rsidR="00A561A7" w:rsidRDefault="00A561A7" w:rsidP="004423E6">
      <w:pPr>
        <w:spacing w:line="480" w:lineRule="auto"/>
        <w:ind w:firstLine="720"/>
      </w:pPr>
      <w:r>
        <w:t xml:space="preserve">On </w:t>
      </w:r>
      <w:r w:rsidR="000973C6">
        <w:t>July 10</w:t>
      </w:r>
      <w:r>
        <w:t>, 2009 the State Bar filed a</w:t>
      </w:r>
      <w:r w:rsidRPr="00A561A7">
        <w:t xml:space="preserve"> request for waiver of default hearing and brief on culpability and discipline.</w:t>
      </w:r>
    </w:p>
    <w:p w:rsidR="00681039" w:rsidRDefault="00A561A7" w:rsidP="004423E6">
      <w:pPr>
        <w:spacing w:line="480" w:lineRule="auto"/>
        <w:ind w:firstLine="720"/>
      </w:pPr>
      <w:r>
        <w:t xml:space="preserve">Respondent did not participate in the disciplinary proceedings.  On </w:t>
      </w:r>
      <w:r w:rsidR="000973C6">
        <w:t>July 21</w:t>
      </w:r>
      <w:r>
        <w:t xml:space="preserve">, 2009, the court took the case under </w:t>
      </w:r>
      <w:r w:rsidRPr="00A561A7">
        <w:t>submission for decision without a hearing.</w:t>
      </w:r>
    </w:p>
    <w:p w:rsidR="00B51DBF" w:rsidRPr="000C31B9" w:rsidRDefault="00B51DBF" w:rsidP="004423E6">
      <w:pPr>
        <w:tabs>
          <w:tab w:val="center" w:pos="4680"/>
        </w:tabs>
        <w:spacing w:line="480" w:lineRule="auto"/>
        <w:jc w:val="center"/>
      </w:pPr>
      <w:r w:rsidRPr="000C31B9">
        <w:rPr>
          <w:b/>
          <w:bCs/>
        </w:rPr>
        <w:t>III</w:t>
      </w:r>
      <w:proofErr w:type="gramStart"/>
      <w:r w:rsidRPr="000C31B9">
        <w:rPr>
          <w:b/>
          <w:bCs/>
        </w:rPr>
        <w:t xml:space="preserve">.  </w:t>
      </w:r>
      <w:r w:rsidR="001F2210" w:rsidRPr="000C31B9">
        <w:rPr>
          <w:b/>
          <w:bCs/>
        </w:rPr>
        <w:t>FINDINGS</w:t>
      </w:r>
      <w:proofErr w:type="gramEnd"/>
      <w:r w:rsidR="001F2210" w:rsidRPr="000C31B9">
        <w:rPr>
          <w:b/>
          <w:bCs/>
        </w:rPr>
        <w:t xml:space="preserve"> OF FACT AND CONCLUSIONS OF LAW</w:t>
      </w:r>
    </w:p>
    <w:p w:rsidR="001F2210" w:rsidRDefault="006079A3" w:rsidP="00A7070E">
      <w:pPr>
        <w:spacing w:line="480" w:lineRule="auto"/>
        <w:ind w:firstLine="720"/>
        <w:rPr>
          <w:bCs/>
        </w:rPr>
      </w:pPr>
      <w:r>
        <w:rPr>
          <w:bCs/>
        </w:rPr>
        <w:t xml:space="preserve">All factual allegations of the NDC </w:t>
      </w:r>
      <w:r w:rsidRPr="003875BE">
        <w:t>are deemed admitted upon entry of respondent’s default unless otherwise ordered by the court based on contrary evidence.  (Rules Proc. of State Bar, rule 200(d</w:t>
      </w:r>
      <w:proofErr w:type="gramStart"/>
      <w:r w:rsidRPr="003875BE">
        <w:t>)(</w:t>
      </w:r>
      <w:proofErr w:type="gramEnd"/>
      <w:r w:rsidRPr="003875BE">
        <w:t>1)(A).)</w:t>
      </w:r>
    </w:p>
    <w:p w:rsidR="00AC3304" w:rsidRPr="000D11D5" w:rsidRDefault="00AC3304" w:rsidP="0031187F">
      <w:pPr>
        <w:tabs>
          <w:tab w:val="left" w:pos="720"/>
          <w:tab w:val="left" w:pos="1440"/>
          <w:tab w:val="center" w:pos="4680"/>
        </w:tabs>
        <w:spacing w:line="480" w:lineRule="auto"/>
        <w:rPr>
          <w:b/>
          <w:bCs/>
          <w:u w:val="single"/>
        </w:rPr>
      </w:pPr>
      <w:r w:rsidRPr="000D11D5">
        <w:rPr>
          <w:b/>
          <w:bCs/>
          <w:u w:val="single"/>
        </w:rPr>
        <w:t>Jurisdiction</w:t>
      </w:r>
    </w:p>
    <w:p w:rsidR="006E573E" w:rsidRPr="00326794" w:rsidRDefault="00AC3304" w:rsidP="00A7070E">
      <w:pPr>
        <w:spacing w:line="480" w:lineRule="auto"/>
        <w:ind w:firstLine="720"/>
        <w:rPr>
          <w:bCs/>
        </w:rPr>
      </w:pPr>
      <w:r w:rsidRPr="00326794">
        <w:rPr>
          <w:bCs/>
        </w:rPr>
        <w:t xml:space="preserve">Respondent was admitted to the practice of law in the State of California on </w:t>
      </w:r>
      <w:r w:rsidR="000973C6">
        <w:rPr>
          <w:bCs/>
        </w:rPr>
        <w:t>December 16, 1980</w:t>
      </w:r>
      <w:r w:rsidRPr="00326794">
        <w:rPr>
          <w:bCs/>
        </w:rPr>
        <w:t>, and has been a member at all times since that date.</w:t>
      </w:r>
    </w:p>
    <w:p w:rsidR="004A7BB8" w:rsidRPr="000D11D5" w:rsidRDefault="000D11D5" w:rsidP="004423E6">
      <w:pPr>
        <w:spacing w:line="480" w:lineRule="auto"/>
        <w:rPr>
          <w:b/>
          <w:u w:val="single"/>
        </w:rPr>
      </w:pPr>
      <w:r w:rsidRPr="000D11D5">
        <w:rPr>
          <w:b/>
          <w:u w:val="single"/>
        </w:rPr>
        <w:t>Factual Background</w:t>
      </w:r>
    </w:p>
    <w:p w:rsidR="00D07EEA" w:rsidRDefault="00576087" w:rsidP="00F06593">
      <w:pPr>
        <w:spacing w:line="480" w:lineRule="auto"/>
        <w:ind w:firstLine="720"/>
      </w:pPr>
      <w:r w:rsidRPr="00576087">
        <w:t xml:space="preserve">On </w:t>
      </w:r>
      <w:r w:rsidR="00F12F6B">
        <w:t>November 6</w:t>
      </w:r>
      <w:r w:rsidRPr="00576087">
        <w:t>, 200</w:t>
      </w:r>
      <w:r w:rsidR="00F12F6B">
        <w:t>8</w:t>
      </w:r>
      <w:r w:rsidRPr="00576087">
        <w:t>,</w:t>
      </w:r>
      <w:r w:rsidR="00F12F6B">
        <w:t xml:space="preserve"> </w:t>
      </w:r>
      <w:r w:rsidRPr="00576087">
        <w:t xml:space="preserve">the Supreme Court of California filed a disciplinary order in case </w:t>
      </w:r>
      <w:proofErr w:type="gramStart"/>
      <w:r w:rsidR="003D0106">
        <w:t>No</w:t>
      </w:r>
      <w:proofErr w:type="gramEnd"/>
      <w:r w:rsidR="003D0106">
        <w:t>.</w:t>
      </w:r>
      <w:r w:rsidRPr="00576087">
        <w:t xml:space="preserve"> </w:t>
      </w:r>
      <w:proofErr w:type="gramStart"/>
      <w:r w:rsidRPr="00576087">
        <w:t>S1</w:t>
      </w:r>
      <w:r w:rsidR="00F12F6B">
        <w:t>66493</w:t>
      </w:r>
      <w:r w:rsidRPr="00576087">
        <w:t xml:space="preserve"> </w:t>
      </w:r>
      <w:r w:rsidR="003D0106">
        <w:t>[</w:t>
      </w:r>
      <w:r w:rsidRPr="00576087">
        <w:t xml:space="preserve">State Bar case </w:t>
      </w:r>
      <w:r w:rsidR="00140CAA">
        <w:t>No.</w:t>
      </w:r>
      <w:r w:rsidRPr="00576087">
        <w:t xml:space="preserve"> 06-</w:t>
      </w:r>
      <w:r w:rsidR="00F12F6B">
        <w:t>O</w:t>
      </w:r>
      <w:r w:rsidRPr="00576087">
        <w:t>-</w:t>
      </w:r>
      <w:r w:rsidR="00F12F6B">
        <w:t>13658</w:t>
      </w:r>
      <w:r w:rsidR="003D0106">
        <w:t xml:space="preserve">] (the Supreme Court </w:t>
      </w:r>
      <w:r w:rsidR="00870EAE">
        <w:t>o</w:t>
      </w:r>
      <w:r w:rsidR="003D0106">
        <w:t>rder)</w:t>
      </w:r>
      <w:r w:rsidR="00F06593">
        <w:t>.</w:t>
      </w:r>
      <w:proofErr w:type="gramEnd"/>
      <w:r w:rsidR="00F06593">
        <w:t xml:space="preserve">  </w:t>
      </w:r>
      <w:r w:rsidR="00B103DA">
        <w:t>Among other things, t</w:t>
      </w:r>
      <w:r w:rsidRPr="00576087">
        <w:t>he</w:t>
      </w:r>
      <w:r w:rsidR="00870EAE">
        <w:t xml:space="preserve"> Supreme Court order</w:t>
      </w:r>
      <w:r w:rsidR="00B103DA">
        <w:t>ed</w:t>
      </w:r>
      <w:r w:rsidR="00870EAE">
        <w:t xml:space="preserve"> r</w:t>
      </w:r>
      <w:r w:rsidRPr="00576087">
        <w:t>espondent</w:t>
      </w:r>
      <w:r w:rsidR="00B103DA">
        <w:t xml:space="preserve"> to</w:t>
      </w:r>
      <w:r w:rsidRPr="00576087">
        <w:t xml:space="preserve"> comply with </w:t>
      </w:r>
      <w:r w:rsidR="00B103DA">
        <w:t>r</w:t>
      </w:r>
      <w:r w:rsidRPr="00576087">
        <w:t>ule 9.20</w:t>
      </w:r>
      <w:r w:rsidR="001A264E">
        <w:t>(a) and (c)</w:t>
      </w:r>
      <w:r w:rsidR="00870EAE">
        <w:t>,</w:t>
      </w:r>
      <w:r w:rsidRPr="00576087">
        <w:t xml:space="preserve"> within 30 and 40 days, respectively, after the effective date of the</w:t>
      </w:r>
      <w:r w:rsidR="00870EAE">
        <w:t xml:space="preserve"> Supreme Court </w:t>
      </w:r>
      <w:r w:rsidRPr="00576087">
        <w:t>order.</w:t>
      </w:r>
      <w:r w:rsidR="00B103DA">
        <w:t xml:space="preserve">  </w:t>
      </w:r>
    </w:p>
    <w:p w:rsidR="00665748" w:rsidRDefault="00665748" w:rsidP="00870EAE">
      <w:pPr>
        <w:spacing w:line="480" w:lineRule="auto"/>
        <w:ind w:firstLine="720"/>
      </w:pPr>
      <w:r w:rsidRPr="00665748">
        <w:t xml:space="preserve">On or about </w:t>
      </w:r>
      <w:r w:rsidR="00F12F6B">
        <w:t>November 6,</w:t>
      </w:r>
      <w:r w:rsidRPr="00665748">
        <w:t xml:space="preserve"> 2008, the Clerk of the California Supreme Court served upon respondent a copy of the Supreme Court order imposing discipline and directing respondent to comply with rule 9.20.  Respondent received the Supreme Court order.</w:t>
      </w:r>
    </w:p>
    <w:p w:rsidR="00665748" w:rsidRDefault="00665748" w:rsidP="00870EAE">
      <w:pPr>
        <w:spacing w:line="480" w:lineRule="auto"/>
        <w:ind w:firstLine="720"/>
      </w:pPr>
    </w:p>
    <w:p w:rsidR="00576087" w:rsidRPr="00576087" w:rsidRDefault="00576087" w:rsidP="00BC555E">
      <w:pPr>
        <w:spacing w:line="480" w:lineRule="auto"/>
        <w:ind w:firstLine="720"/>
      </w:pPr>
      <w:r w:rsidRPr="00576087">
        <w:lastRenderedPageBreak/>
        <w:t xml:space="preserve">The </w:t>
      </w:r>
      <w:r w:rsidR="00596301">
        <w:t xml:space="preserve">Supreme Court </w:t>
      </w:r>
      <w:r w:rsidRPr="00576087">
        <w:t xml:space="preserve">order became effective on </w:t>
      </w:r>
      <w:r w:rsidR="00F12F6B">
        <w:t>December 6,</w:t>
      </w:r>
      <w:r w:rsidRPr="00576087">
        <w:t xml:space="preserve"> 200</w:t>
      </w:r>
      <w:r w:rsidR="00F12F6B">
        <w:t>8</w:t>
      </w:r>
      <w:r w:rsidRPr="00576087">
        <w:t>,</w:t>
      </w:r>
      <w:r w:rsidR="0045188B">
        <w:t xml:space="preserve"> thirty </w:t>
      </w:r>
      <w:r w:rsidR="00596301">
        <w:t>days after it was filed,</w:t>
      </w:r>
      <w:r w:rsidRPr="00576087">
        <w:t xml:space="preserve"> and at all times thereafter remained in full force and effect.</w:t>
      </w:r>
      <w:r w:rsidR="001F219C">
        <w:t xml:space="preserve">  </w:t>
      </w:r>
      <w:r w:rsidR="00BC555E">
        <w:t xml:space="preserve">Thus, respondent was </w:t>
      </w:r>
      <w:r w:rsidR="00307D36">
        <w:t xml:space="preserve">required by the Supreme Court order </w:t>
      </w:r>
      <w:r w:rsidRPr="00576087">
        <w:t xml:space="preserve">to comply with </w:t>
      </w:r>
      <w:r w:rsidR="00BC555E" w:rsidRPr="00576087">
        <w:t>rule</w:t>
      </w:r>
      <w:r w:rsidR="00F12F6B">
        <w:t xml:space="preserve"> 9.20(a) no later than January 5, 2009 and to comply with rule </w:t>
      </w:r>
      <w:r w:rsidR="00BC555E" w:rsidRPr="00576087">
        <w:t>9.20</w:t>
      </w:r>
      <w:r w:rsidR="000E4DFB" w:rsidRPr="00576087">
        <w:t>(c)</w:t>
      </w:r>
      <w:r w:rsidR="000E4DFB">
        <w:t xml:space="preserve"> no</w:t>
      </w:r>
      <w:r w:rsidR="00BC555E">
        <w:t xml:space="preserve"> later than</w:t>
      </w:r>
      <w:r w:rsidRPr="00576087">
        <w:t xml:space="preserve"> </w:t>
      </w:r>
      <w:r w:rsidR="00F12F6B">
        <w:t>January 15, 2009.</w:t>
      </w:r>
    </w:p>
    <w:p w:rsidR="00576087" w:rsidRPr="00576087" w:rsidRDefault="00576087" w:rsidP="00BC555E">
      <w:pPr>
        <w:spacing w:line="480" w:lineRule="auto"/>
        <w:ind w:firstLine="720"/>
      </w:pPr>
      <w:r w:rsidRPr="00576087">
        <w:t>Respondent</w:t>
      </w:r>
      <w:r w:rsidR="00BC555E">
        <w:t xml:space="preserve"> </w:t>
      </w:r>
      <w:r w:rsidRPr="00576087">
        <w:t xml:space="preserve">failed to comply with rule 9.20(c) </w:t>
      </w:r>
      <w:r w:rsidR="00BC555E">
        <w:t>by</w:t>
      </w:r>
      <w:r w:rsidR="00D07EEA">
        <w:t xml:space="preserve"> the </w:t>
      </w:r>
      <w:r w:rsidR="00F12F6B">
        <w:t>January 15</w:t>
      </w:r>
      <w:r w:rsidRPr="00576087">
        <w:t>, 200</w:t>
      </w:r>
      <w:r w:rsidR="00F12F6B">
        <w:t>9</w:t>
      </w:r>
      <w:r w:rsidRPr="00576087">
        <w:t xml:space="preserve"> deadline</w:t>
      </w:r>
      <w:r w:rsidR="003008F2">
        <w:t>.  T</w:t>
      </w:r>
      <w:r w:rsidRPr="00576087">
        <w:t xml:space="preserve">o date, </w:t>
      </w:r>
      <w:r w:rsidR="00D07EEA">
        <w:t>r</w:t>
      </w:r>
      <w:r w:rsidRPr="00576087">
        <w:t>espondent ha</w:t>
      </w:r>
      <w:r w:rsidR="00823BC4">
        <w:t>s failed to compl</w:t>
      </w:r>
      <w:r w:rsidR="000E4DFB">
        <w:t xml:space="preserve">y with </w:t>
      </w:r>
      <w:r w:rsidR="00302953">
        <w:t>rule 9.20(c)</w:t>
      </w:r>
      <w:r w:rsidR="000E4DFB">
        <w:t>.</w:t>
      </w:r>
    </w:p>
    <w:p w:rsidR="00576087" w:rsidRPr="008A1C96" w:rsidRDefault="008A1C96" w:rsidP="00275E8A">
      <w:pPr>
        <w:spacing w:line="480" w:lineRule="auto"/>
        <w:rPr>
          <w:b/>
          <w:u w:val="single"/>
        </w:rPr>
      </w:pPr>
      <w:r w:rsidRPr="008A1C96">
        <w:rPr>
          <w:b/>
          <w:u w:val="single"/>
        </w:rPr>
        <w:t>Failure to Obey Supreme Court Order to Comply with Rule 9.20</w:t>
      </w:r>
    </w:p>
    <w:p w:rsidR="00576087" w:rsidRPr="008A1C96" w:rsidRDefault="008A1C96" w:rsidP="008A1C96">
      <w:pPr>
        <w:spacing w:line="480" w:lineRule="auto"/>
        <w:ind w:firstLine="720"/>
      </w:pPr>
      <w:r w:rsidRPr="008A1C96">
        <w:t>The court finds that respondent is culpable of wil</w:t>
      </w:r>
      <w:r w:rsidR="0045188B">
        <w:t>l</w:t>
      </w:r>
      <w:r w:rsidRPr="008A1C96">
        <w:t>fully failing to comply with h</w:t>
      </w:r>
      <w:r w:rsidR="00D81C06">
        <w:t>er</w:t>
      </w:r>
      <w:r w:rsidRPr="008A1C96">
        <w:t xml:space="preserve"> obligation under rule 9.20.</w:t>
      </w:r>
    </w:p>
    <w:p w:rsidR="00576087" w:rsidRPr="008A1C96" w:rsidRDefault="008A1C96" w:rsidP="008A1C96">
      <w:pPr>
        <w:spacing w:line="480" w:lineRule="auto"/>
        <w:ind w:firstLine="720"/>
      </w:pPr>
      <w:r w:rsidRPr="008A1C96">
        <w:t>Rule 9.20(c) mandates that respondent “file with the Clerk of the State Bar Court an affidavit showing that</w:t>
      </w:r>
      <w:r w:rsidR="00F743E6">
        <w:t xml:space="preserve"> . . . s</w:t>
      </w:r>
      <w:r w:rsidRPr="008A1C96">
        <w:t>he has fully complied with those provisions of the order entered under this rule.”</w:t>
      </w:r>
    </w:p>
    <w:p w:rsidR="00576087" w:rsidRPr="00DA7778" w:rsidRDefault="00DA7778" w:rsidP="00DA7778">
      <w:pPr>
        <w:spacing w:line="480" w:lineRule="auto"/>
        <w:ind w:firstLine="720"/>
      </w:pPr>
      <w:r w:rsidRPr="00DA7778">
        <w:t>The term “wi</w:t>
      </w:r>
      <w:r w:rsidR="0045188B">
        <w:t>l</w:t>
      </w:r>
      <w:r w:rsidRPr="00DA7778">
        <w:t>lful” in the context of rule 9.20, formerly rule 955, does not require bad faith or any evidence of intent.  Whether respondent is aware of the requirements of rule 9.20 or of h</w:t>
      </w:r>
      <w:r w:rsidR="006300D9">
        <w:t>er</w:t>
      </w:r>
      <w:r w:rsidRPr="00DA7778">
        <w:t xml:space="preserve"> obligation to comply with those requirements is immaterial.  “Wil</w:t>
      </w:r>
      <w:r w:rsidR="0045188B">
        <w:t>l</w:t>
      </w:r>
      <w:r w:rsidRPr="00DA7778">
        <w:t xml:space="preserve">fulness” in the context of rule 9.20 does not require actual knowledge of the provision that is violated.  It is not necessarily even dependent on showing the respondent’s knowledge of the Supreme Court’s order requiring compliance. </w:t>
      </w:r>
      <w:proofErr w:type="gramStart"/>
      <w:r w:rsidRPr="00DA7778">
        <w:t>(</w:t>
      </w:r>
      <w:r w:rsidRPr="0045188B">
        <w:rPr>
          <w:i/>
        </w:rPr>
        <w:t>Powers v. State Bar</w:t>
      </w:r>
      <w:r w:rsidRPr="00DA7778">
        <w:t xml:space="preserve"> (1988) 44 Cal.3d 337, 341-342; </w:t>
      </w:r>
      <w:r w:rsidRPr="0045188B">
        <w:rPr>
          <w:i/>
        </w:rPr>
        <w:t>Hamilton v. State Bar</w:t>
      </w:r>
      <w:r w:rsidRPr="00DA7778">
        <w:t xml:space="preserve"> (1979) 23 Cal.3d 868, 873-874.)</w:t>
      </w:r>
      <w:proofErr w:type="gramEnd"/>
      <w:r w:rsidRPr="00DA7778">
        <w:t xml:space="preserve">  The Supreme Court has disbarred attorneys whose failure to keep their official addresses current prevented them from learning that they had been ordered to comply with rule 9.20. </w:t>
      </w:r>
      <w:proofErr w:type="gramStart"/>
      <w:r w:rsidRPr="00DA7778">
        <w:t>(</w:t>
      </w:r>
      <w:r w:rsidRPr="0045188B">
        <w:rPr>
          <w:i/>
        </w:rPr>
        <w:t>Powers v. State Bar</w:t>
      </w:r>
      <w:r w:rsidRPr="00DA7778">
        <w:t xml:space="preserve">, </w:t>
      </w:r>
      <w:r w:rsidRPr="0045188B">
        <w:rPr>
          <w:i/>
        </w:rPr>
        <w:t>supra</w:t>
      </w:r>
      <w:r w:rsidRPr="00DA7778">
        <w:t>, 44 Cal.3d 337, 341.)</w:t>
      </w:r>
      <w:proofErr w:type="gramEnd"/>
    </w:p>
    <w:p w:rsidR="002202DC" w:rsidRDefault="002202DC" w:rsidP="007163DF">
      <w:pPr>
        <w:spacing w:line="480" w:lineRule="auto"/>
        <w:ind w:firstLine="720"/>
        <w:rPr>
          <w:color w:val="000000"/>
          <w:spacing w:val="3"/>
        </w:rPr>
      </w:pPr>
      <w:r>
        <w:rPr>
          <w:color w:val="000000"/>
          <w:spacing w:val="3"/>
        </w:rPr>
        <w:t xml:space="preserve">In the instant matter, </w:t>
      </w:r>
      <w:r w:rsidR="00D61C37">
        <w:rPr>
          <w:color w:val="000000"/>
          <w:spacing w:val="3"/>
        </w:rPr>
        <w:t xml:space="preserve">respondent did not </w:t>
      </w:r>
      <w:r w:rsidR="00A34B31">
        <w:rPr>
          <w:color w:val="000000"/>
          <w:spacing w:val="3"/>
        </w:rPr>
        <w:t>fil</w:t>
      </w:r>
      <w:r w:rsidR="002D1E99">
        <w:rPr>
          <w:color w:val="000000"/>
          <w:spacing w:val="3"/>
        </w:rPr>
        <w:t>e</w:t>
      </w:r>
      <w:r w:rsidR="00D61C37">
        <w:rPr>
          <w:color w:val="000000"/>
          <w:spacing w:val="3"/>
        </w:rPr>
        <w:t xml:space="preserve"> the rule 9.20(c)</w:t>
      </w:r>
      <w:r w:rsidR="002D1E99">
        <w:rPr>
          <w:color w:val="000000"/>
          <w:spacing w:val="3"/>
        </w:rPr>
        <w:t xml:space="preserve"> affidavit with the clerk of the court</w:t>
      </w:r>
      <w:r w:rsidR="009D73BB">
        <w:rPr>
          <w:color w:val="000000"/>
          <w:spacing w:val="3"/>
        </w:rPr>
        <w:t xml:space="preserve"> by</w:t>
      </w:r>
      <w:r w:rsidR="00EA2F89">
        <w:rPr>
          <w:color w:val="000000"/>
          <w:spacing w:val="3"/>
        </w:rPr>
        <w:t xml:space="preserve"> </w:t>
      </w:r>
      <w:r w:rsidR="006300D9">
        <w:rPr>
          <w:color w:val="000000"/>
          <w:spacing w:val="3"/>
        </w:rPr>
        <w:t>January 15</w:t>
      </w:r>
      <w:r w:rsidR="009D73BB">
        <w:rPr>
          <w:color w:val="000000"/>
          <w:spacing w:val="3"/>
        </w:rPr>
        <w:t>, 200</w:t>
      </w:r>
      <w:r w:rsidR="006300D9">
        <w:rPr>
          <w:color w:val="000000"/>
          <w:spacing w:val="3"/>
        </w:rPr>
        <w:t>9</w:t>
      </w:r>
      <w:r w:rsidR="009D73BB">
        <w:rPr>
          <w:color w:val="000000"/>
          <w:spacing w:val="3"/>
        </w:rPr>
        <w:t>,</w:t>
      </w:r>
      <w:r w:rsidR="006300D9">
        <w:rPr>
          <w:color w:val="000000"/>
          <w:spacing w:val="3"/>
        </w:rPr>
        <w:t xml:space="preserve"> </w:t>
      </w:r>
      <w:r w:rsidR="009D73BB">
        <w:rPr>
          <w:color w:val="000000"/>
          <w:spacing w:val="3"/>
        </w:rPr>
        <w:t>as required by the Supreme Court order</w:t>
      </w:r>
      <w:r w:rsidR="002D1E99">
        <w:rPr>
          <w:color w:val="000000"/>
          <w:spacing w:val="3"/>
        </w:rPr>
        <w:t xml:space="preserve">. </w:t>
      </w:r>
    </w:p>
    <w:p w:rsidR="002202DC" w:rsidRDefault="002202DC" w:rsidP="007163DF">
      <w:pPr>
        <w:spacing w:line="480" w:lineRule="auto"/>
        <w:ind w:firstLine="720"/>
        <w:rPr>
          <w:color w:val="000000"/>
          <w:spacing w:val="3"/>
        </w:rPr>
      </w:pPr>
      <w:r>
        <w:rPr>
          <w:color w:val="000000"/>
          <w:spacing w:val="3"/>
        </w:rPr>
        <w:lastRenderedPageBreak/>
        <w:t>Based on the foregoing</w:t>
      </w:r>
      <w:r w:rsidR="00EA2F89">
        <w:rPr>
          <w:color w:val="000000"/>
          <w:spacing w:val="3"/>
        </w:rPr>
        <w:t>,</w:t>
      </w:r>
      <w:r w:rsidR="008C6AA2">
        <w:rPr>
          <w:color w:val="000000"/>
          <w:spacing w:val="3"/>
        </w:rPr>
        <w:t xml:space="preserve"> </w:t>
      </w:r>
      <w:r>
        <w:rPr>
          <w:color w:val="000000"/>
          <w:spacing w:val="3"/>
        </w:rPr>
        <w:t xml:space="preserve">the court concludes that the State Bar has established by clear and convincing evidence that by failing to file </w:t>
      </w:r>
      <w:r w:rsidR="006300D9">
        <w:rPr>
          <w:color w:val="000000"/>
          <w:spacing w:val="3"/>
        </w:rPr>
        <w:t xml:space="preserve">a declaration of </w:t>
      </w:r>
      <w:r>
        <w:rPr>
          <w:color w:val="000000"/>
          <w:spacing w:val="3"/>
        </w:rPr>
        <w:t>compliance as mandated under</w:t>
      </w:r>
      <w:r w:rsidR="002A2D95">
        <w:rPr>
          <w:color w:val="000000"/>
          <w:spacing w:val="3"/>
        </w:rPr>
        <w:t xml:space="preserve"> rule 9.20(c)</w:t>
      </w:r>
      <w:r>
        <w:rPr>
          <w:color w:val="000000"/>
          <w:spacing w:val="3"/>
        </w:rPr>
        <w:t xml:space="preserve"> within the time specified in the </w:t>
      </w:r>
      <w:r w:rsidR="006300D9">
        <w:rPr>
          <w:color w:val="000000"/>
          <w:spacing w:val="3"/>
        </w:rPr>
        <w:t>November 6, 2009</w:t>
      </w:r>
      <w:r>
        <w:rPr>
          <w:color w:val="000000"/>
          <w:spacing w:val="3"/>
        </w:rPr>
        <w:t xml:space="preserve"> Supreme Court order,</w:t>
      </w:r>
      <w:r w:rsidR="008D4F37">
        <w:rPr>
          <w:color w:val="000000"/>
          <w:spacing w:val="3"/>
        </w:rPr>
        <w:t xml:space="preserve"> </w:t>
      </w:r>
      <w:r>
        <w:rPr>
          <w:color w:val="000000"/>
          <w:spacing w:val="3"/>
        </w:rPr>
        <w:t xml:space="preserve">respondent willfully failed to comply with rule 9.20, as ordered </w:t>
      </w:r>
      <w:r w:rsidR="008D4F37">
        <w:rPr>
          <w:color w:val="000000"/>
          <w:spacing w:val="3"/>
        </w:rPr>
        <w:t xml:space="preserve">by the Supreme Court in </w:t>
      </w:r>
      <w:r w:rsidR="002A2D95">
        <w:rPr>
          <w:color w:val="000000"/>
          <w:spacing w:val="3"/>
        </w:rPr>
        <w:t>S1</w:t>
      </w:r>
      <w:r w:rsidR="006300D9">
        <w:rPr>
          <w:color w:val="000000"/>
          <w:spacing w:val="3"/>
        </w:rPr>
        <w:t>6649</w:t>
      </w:r>
      <w:r w:rsidR="002A2D95">
        <w:rPr>
          <w:color w:val="000000"/>
          <w:spacing w:val="3"/>
        </w:rPr>
        <w:t>3</w:t>
      </w:r>
      <w:r w:rsidR="008D4F37">
        <w:rPr>
          <w:color w:val="000000"/>
          <w:spacing w:val="3"/>
        </w:rPr>
        <w:t xml:space="preserve">. </w:t>
      </w:r>
    </w:p>
    <w:p w:rsidR="007E52C6" w:rsidRPr="00E73995" w:rsidRDefault="007E52C6" w:rsidP="00E73995">
      <w:pPr>
        <w:spacing w:line="480" w:lineRule="auto"/>
        <w:jc w:val="center"/>
        <w:rPr>
          <w:b/>
          <w:color w:val="000000"/>
          <w:spacing w:val="3"/>
        </w:rPr>
      </w:pPr>
      <w:r w:rsidRPr="00E73995">
        <w:rPr>
          <w:b/>
          <w:color w:val="000000"/>
          <w:spacing w:val="3"/>
        </w:rPr>
        <w:t>IV</w:t>
      </w:r>
      <w:proofErr w:type="gramStart"/>
      <w:r w:rsidRPr="00E73995">
        <w:rPr>
          <w:b/>
          <w:color w:val="000000"/>
          <w:spacing w:val="3"/>
        </w:rPr>
        <w:t xml:space="preserve">.  </w:t>
      </w:r>
      <w:r w:rsidR="00EA2F89">
        <w:rPr>
          <w:b/>
          <w:color w:val="000000"/>
          <w:spacing w:val="3"/>
        </w:rPr>
        <w:t>LEVEL</w:t>
      </w:r>
      <w:proofErr w:type="gramEnd"/>
      <w:r w:rsidR="00EA2F89">
        <w:rPr>
          <w:b/>
          <w:color w:val="000000"/>
          <w:spacing w:val="3"/>
        </w:rPr>
        <w:t xml:space="preserve"> OF DISCIPLINE</w:t>
      </w:r>
    </w:p>
    <w:p w:rsidR="007E52C6" w:rsidRPr="00EA2F89" w:rsidRDefault="007E52C6" w:rsidP="00A70ACC">
      <w:pPr>
        <w:spacing w:line="480" w:lineRule="auto"/>
        <w:rPr>
          <w:b/>
          <w:color w:val="000000"/>
          <w:spacing w:val="3"/>
          <w:u w:val="single"/>
        </w:rPr>
      </w:pPr>
      <w:r w:rsidRPr="00EA2F89">
        <w:rPr>
          <w:b/>
          <w:color w:val="000000"/>
          <w:spacing w:val="3"/>
          <w:u w:val="single"/>
        </w:rPr>
        <w:t>Aggravatin</w:t>
      </w:r>
      <w:r w:rsidR="00EA2F89" w:rsidRPr="00EA2F89">
        <w:rPr>
          <w:b/>
          <w:color w:val="000000"/>
          <w:spacing w:val="3"/>
          <w:u w:val="single"/>
        </w:rPr>
        <w:t>g Circumstances</w:t>
      </w:r>
    </w:p>
    <w:p w:rsidR="007E52C6" w:rsidRDefault="00EA2F89" w:rsidP="007E52C6">
      <w:pPr>
        <w:spacing w:line="480" w:lineRule="auto"/>
        <w:ind w:firstLine="720"/>
        <w:rPr>
          <w:color w:val="000000"/>
          <w:spacing w:val="3"/>
        </w:rPr>
      </w:pPr>
      <w:r>
        <w:rPr>
          <w:color w:val="000000"/>
          <w:spacing w:val="3"/>
        </w:rPr>
        <w:t>The State Bar bears the burden of proving aggravating circumstances by clear and convincing evidence</w:t>
      </w:r>
      <w:r w:rsidR="00C74584">
        <w:rPr>
          <w:color w:val="000000"/>
          <w:spacing w:val="3"/>
        </w:rPr>
        <w:t xml:space="preserve">.  </w:t>
      </w:r>
      <w:r w:rsidR="00C74584">
        <w:t>(Rules Proc. of State Bar, tit. IV, Stds. for Atty. Sanctions for Prof. Misconduct, std. 1.2(b).)</w:t>
      </w:r>
      <w:r w:rsidR="00C74584">
        <w:rPr>
          <w:rStyle w:val="FootnoteReference"/>
        </w:rPr>
        <w:footnoteReference w:id="3"/>
      </w:r>
      <w:r>
        <w:rPr>
          <w:color w:val="000000"/>
          <w:spacing w:val="3"/>
        </w:rPr>
        <w:t xml:space="preserve">  </w:t>
      </w:r>
      <w:r w:rsidR="007E52C6" w:rsidRPr="007E52C6">
        <w:rPr>
          <w:color w:val="000000"/>
          <w:spacing w:val="3"/>
        </w:rPr>
        <w:t>There are several aggravating factors</w:t>
      </w:r>
      <w:r w:rsidR="002B255F">
        <w:rPr>
          <w:color w:val="000000"/>
          <w:spacing w:val="3"/>
        </w:rPr>
        <w:t xml:space="preserve"> present here</w:t>
      </w:r>
      <w:r w:rsidR="007E52C6" w:rsidRPr="007E52C6">
        <w:rPr>
          <w:color w:val="000000"/>
          <w:spacing w:val="3"/>
        </w:rPr>
        <w:t xml:space="preserve">. </w:t>
      </w:r>
      <w:proofErr w:type="gramStart"/>
      <w:r w:rsidR="007E52C6" w:rsidRPr="007E52C6">
        <w:rPr>
          <w:color w:val="000000"/>
          <w:spacing w:val="3"/>
        </w:rPr>
        <w:t>(Std. 1.2(b).)</w:t>
      </w:r>
      <w:proofErr w:type="gramEnd"/>
    </w:p>
    <w:p w:rsidR="002B255F" w:rsidRPr="002B255F" w:rsidRDefault="002B255F" w:rsidP="007E52C6">
      <w:pPr>
        <w:spacing w:line="480" w:lineRule="auto"/>
        <w:ind w:firstLine="720"/>
        <w:rPr>
          <w:b/>
          <w:color w:val="000000"/>
          <w:spacing w:val="3"/>
        </w:rPr>
      </w:pPr>
      <w:r w:rsidRPr="002B255F">
        <w:rPr>
          <w:b/>
          <w:color w:val="000000"/>
          <w:spacing w:val="3"/>
        </w:rPr>
        <w:t>Prior Record of Discipline</w:t>
      </w:r>
    </w:p>
    <w:p w:rsidR="006300D9" w:rsidRDefault="007E52C6" w:rsidP="007E52C6">
      <w:pPr>
        <w:spacing w:line="480" w:lineRule="auto"/>
        <w:ind w:firstLine="720"/>
        <w:rPr>
          <w:color w:val="000000"/>
          <w:spacing w:val="3"/>
        </w:rPr>
      </w:pPr>
      <w:r w:rsidRPr="007E52C6">
        <w:rPr>
          <w:color w:val="000000"/>
          <w:spacing w:val="3"/>
        </w:rPr>
        <w:t>Respondent</w:t>
      </w:r>
      <w:r w:rsidR="002B255F">
        <w:rPr>
          <w:color w:val="000000"/>
          <w:spacing w:val="3"/>
        </w:rPr>
        <w:t>’</w:t>
      </w:r>
      <w:r w:rsidRPr="007E52C6">
        <w:rPr>
          <w:color w:val="000000"/>
          <w:spacing w:val="3"/>
        </w:rPr>
        <w:t>s prior record of discipline</w:t>
      </w:r>
      <w:r w:rsidR="002B255F">
        <w:rPr>
          <w:color w:val="000000"/>
          <w:spacing w:val="3"/>
        </w:rPr>
        <w:t xml:space="preserve"> is an aggravating circumstance</w:t>
      </w:r>
      <w:r w:rsidRPr="007E52C6">
        <w:rPr>
          <w:color w:val="000000"/>
          <w:spacing w:val="3"/>
        </w:rPr>
        <w:t>.  (Std. 1.2(b</w:t>
      </w:r>
      <w:proofErr w:type="gramStart"/>
      <w:r w:rsidRPr="007E52C6">
        <w:rPr>
          <w:color w:val="000000"/>
          <w:spacing w:val="3"/>
        </w:rPr>
        <w:t>)(</w:t>
      </w:r>
      <w:proofErr w:type="gramEnd"/>
      <w:r w:rsidRPr="007E52C6">
        <w:rPr>
          <w:color w:val="000000"/>
          <w:spacing w:val="3"/>
        </w:rPr>
        <w:t>i).</w:t>
      </w:r>
      <w:r w:rsidR="00140CAA">
        <w:rPr>
          <w:color w:val="000000"/>
          <w:spacing w:val="3"/>
        </w:rPr>
        <w:t>)  I</w:t>
      </w:r>
      <w:r w:rsidR="002B255F">
        <w:rPr>
          <w:color w:val="000000"/>
          <w:spacing w:val="3"/>
        </w:rPr>
        <w:t xml:space="preserve">n the underlying matter, respondent was suspended for two years, stayed, and was actually suspended for </w:t>
      </w:r>
      <w:r w:rsidR="006300D9">
        <w:rPr>
          <w:color w:val="000000"/>
          <w:spacing w:val="3"/>
        </w:rPr>
        <w:t>90 days</w:t>
      </w:r>
      <w:r w:rsidR="002B255F">
        <w:rPr>
          <w:color w:val="000000"/>
          <w:spacing w:val="3"/>
        </w:rPr>
        <w:t xml:space="preserve"> and until the State Bar Court terminates h</w:t>
      </w:r>
      <w:r w:rsidR="00307D36">
        <w:rPr>
          <w:color w:val="000000"/>
          <w:spacing w:val="3"/>
        </w:rPr>
        <w:t>er</w:t>
      </w:r>
      <w:r w:rsidR="002B255F">
        <w:rPr>
          <w:color w:val="000000"/>
          <w:spacing w:val="3"/>
        </w:rPr>
        <w:t xml:space="preserve"> actual suspension under rule 205 of the Rules of Procedure of the State Bar.</w:t>
      </w:r>
      <w:r w:rsidR="002D0521">
        <w:rPr>
          <w:color w:val="000000"/>
          <w:spacing w:val="3"/>
        </w:rPr>
        <w:t xml:space="preserve">  Her misconduct involved misusing her trust account during a two-month period by issuing four checks from the account for personal purposes, committing acts involving moral turpitude during a four-day period based on issuing three checks on an account having insufficient funds to pay for them, and failing to cooperate in the State Bar’s investigation of her misconduct. </w:t>
      </w:r>
    </w:p>
    <w:p w:rsidR="004C16C5" w:rsidRPr="000206DC" w:rsidRDefault="004C16C5" w:rsidP="004C16C5">
      <w:pPr>
        <w:spacing w:line="480" w:lineRule="auto"/>
        <w:ind w:firstLine="720"/>
        <w:rPr>
          <w:b/>
          <w:color w:val="000000"/>
          <w:spacing w:val="3"/>
        </w:rPr>
      </w:pPr>
      <w:r w:rsidRPr="000206DC">
        <w:rPr>
          <w:b/>
          <w:color w:val="000000"/>
          <w:spacing w:val="3"/>
        </w:rPr>
        <w:t xml:space="preserve">Indifference </w:t>
      </w:r>
      <w:proofErr w:type="gramStart"/>
      <w:r w:rsidRPr="000206DC">
        <w:rPr>
          <w:b/>
          <w:color w:val="000000"/>
          <w:spacing w:val="3"/>
        </w:rPr>
        <w:t>Toward</w:t>
      </w:r>
      <w:proofErr w:type="gramEnd"/>
      <w:r w:rsidRPr="000206DC">
        <w:rPr>
          <w:b/>
          <w:color w:val="000000"/>
          <w:spacing w:val="3"/>
        </w:rPr>
        <w:t xml:space="preserve"> Rectification/Atonement </w:t>
      </w:r>
    </w:p>
    <w:p w:rsidR="004C16C5" w:rsidRDefault="004C16C5" w:rsidP="004C16C5">
      <w:pPr>
        <w:spacing w:line="480" w:lineRule="auto"/>
        <w:ind w:firstLine="720"/>
        <w:rPr>
          <w:color w:val="000000"/>
          <w:spacing w:val="3"/>
        </w:rPr>
      </w:pPr>
      <w:r w:rsidRPr="007E52C6">
        <w:rPr>
          <w:color w:val="000000"/>
          <w:spacing w:val="3"/>
        </w:rPr>
        <w:t>Respondent demonstrated indifference toward rectification of or atonement for the consequences of h</w:t>
      </w:r>
      <w:r>
        <w:rPr>
          <w:color w:val="000000"/>
          <w:spacing w:val="3"/>
        </w:rPr>
        <w:t>er</w:t>
      </w:r>
      <w:r w:rsidRPr="007E52C6">
        <w:rPr>
          <w:color w:val="000000"/>
          <w:spacing w:val="3"/>
        </w:rPr>
        <w:t xml:space="preserve"> misconduct by failing to comply with rule 9.20(c), even after the NDC in</w:t>
      </w:r>
      <w:r>
        <w:rPr>
          <w:color w:val="000000"/>
          <w:spacing w:val="3"/>
        </w:rPr>
        <w:t xml:space="preserve"> case No. 09-N-11520 </w:t>
      </w:r>
      <w:r w:rsidRPr="007E52C6">
        <w:rPr>
          <w:color w:val="000000"/>
          <w:spacing w:val="3"/>
        </w:rPr>
        <w:t>was filed.  (Std. 1.2(b</w:t>
      </w:r>
      <w:proofErr w:type="gramStart"/>
      <w:r w:rsidRPr="007E52C6">
        <w:rPr>
          <w:color w:val="000000"/>
          <w:spacing w:val="3"/>
        </w:rPr>
        <w:t>)(</w:t>
      </w:r>
      <w:proofErr w:type="gramEnd"/>
      <w:r w:rsidRPr="007E52C6">
        <w:rPr>
          <w:color w:val="000000"/>
          <w:spacing w:val="3"/>
        </w:rPr>
        <w:t>v).)</w:t>
      </w:r>
    </w:p>
    <w:p w:rsidR="004C16C5" w:rsidRPr="000206DC" w:rsidRDefault="004C16C5" w:rsidP="004C16C5">
      <w:pPr>
        <w:spacing w:line="480" w:lineRule="auto"/>
        <w:ind w:firstLine="720"/>
        <w:rPr>
          <w:b/>
          <w:color w:val="000000"/>
          <w:spacing w:val="3"/>
        </w:rPr>
      </w:pPr>
      <w:r w:rsidRPr="000206DC">
        <w:rPr>
          <w:b/>
          <w:color w:val="000000"/>
          <w:spacing w:val="3"/>
        </w:rPr>
        <w:lastRenderedPageBreak/>
        <w:t xml:space="preserve">Lack of Participation in Disciplinary Proceeding </w:t>
      </w:r>
    </w:p>
    <w:p w:rsidR="004C16C5" w:rsidRDefault="004C16C5" w:rsidP="004C16C5">
      <w:pPr>
        <w:spacing w:line="480" w:lineRule="auto"/>
        <w:ind w:firstLine="720"/>
        <w:rPr>
          <w:color w:val="000000"/>
          <w:spacing w:val="3"/>
        </w:rPr>
      </w:pPr>
      <w:r w:rsidRPr="007E52C6">
        <w:rPr>
          <w:color w:val="000000"/>
          <w:spacing w:val="3"/>
        </w:rPr>
        <w:t>Respondent’s failure to participate in this disciplinary matter prior to the entry of h</w:t>
      </w:r>
      <w:r>
        <w:rPr>
          <w:color w:val="000000"/>
          <w:spacing w:val="3"/>
        </w:rPr>
        <w:t>er</w:t>
      </w:r>
      <w:r w:rsidRPr="007E52C6">
        <w:rPr>
          <w:color w:val="000000"/>
          <w:spacing w:val="3"/>
        </w:rPr>
        <w:t xml:space="preserve"> default is a serious aggravating factor.  (Std. 1.2(b</w:t>
      </w:r>
      <w:proofErr w:type="gramStart"/>
      <w:r w:rsidRPr="007E52C6">
        <w:rPr>
          <w:color w:val="000000"/>
          <w:spacing w:val="3"/>
        </w:rPr>
        <w:t>)(</w:t>
      </w:r>
      <w:proofErr w:type="gramEnd"/>
      <w:r w:rsidRPr="007E52C6">
        <w:rPr>
          <w:color w:val="000000"/>
          <w:spacing w:val="3"/>
        </w:rPr>
        <w:t>vi).)</w:t>
      </w:r>
    </w:p>
    <w:p w:rsidR="004C16C5" w:rsidRPr="00EA2F89" w:rsidRDefault="004C16C5" w:rsidP="004C16C5">
      <w:pPr>
        <w:spacing w:line="480" w:lineRule="auto"/>
        <w:ind w:hanging="90"/>
        <w:rPr>
          <w:b/>
          <w:color w:val="000000"/>
          <w:spacing w:val="3"/>
          <w:u w:val="single"/>
        </w:rPr>
      </w:pPr>
      <w:r w:rsidRPr="00EA2F89">
        <w:rPr>
          <w:b/>
          <w:color w:val="000000"/>
          <w:spacing w:val="3"/>
          <w:u w:val="single"/>
        </w:rPr>
        <w:t>Mitigating Circumstances</w:t>
      </w:r>
    </w:p>
    <w:p w:rsidR="006300D9" w:rsidRDefault="004C16C5" w:rsidP="004C16C5">
      <w:pPr>
        <w:spacing w:line="480" w:lineRule="auto"/>
        <w:ind w:firstLine="720"/>
        <w:rPr>
          <w:color w:val="000000"/>
          <w:spacing w:val="3"/>
        </w:rPr>
      </w:pPr>
      <w:r>
        <w:rPr>
          <w:color w:val="000000"/>
          <w:spacing w:val="3"/>
        </w:rPr>
        <w:t>Respondent bears the burden of proving</w:t>
      </w:r>
      <w:r w:rsidRPr="007E52C6">
        <w:rPr>
          <w:color w:val="000000"/>
          <w:spacing w:val="3"/>
        </w:rPr>
        <w:t xml:space="preserve"> mitigating </w:t>
      </w:r>
      <w:r>
        <w:rPr>
          <w:color w:val="000000"/>
          <w:spacing w:val="3"/>
        </w:rPr>
        <w:t xml:space="preserve">circumstances by clear and convincing evidence.  </w:t>
      </w:r>
      <w:proofErr w:type="gramStart"/>
      <w:r w:rsidRPr="007E52C6">
        <w:rPr>
          <w:color w:val="000000"/>
          <w:spacing w:val="3"/>
        </w:rPr>
        <w:t>(</w:t>
      </w:r>
      <w:r>
        <w:rPr>
          <w:color w:val="000000"/>
          <w:spacing w:val="3"/>
        </w:rPr>
        <w:t>S</w:t>
      </w:r>
      <w:r w:rsidRPr="007E52C6">
        <w:rPr>
          <w:color w:val="000000"/>
          <w:spacing w:val="3"/>
        </w:rPr>
        <w:t>td. 1.2(e).)</w:t>
      </w:r>
      <w:proofErr w:type="gramEnd"/>
      <w:r>
        <w:rPr>
          <w:color w:val="000000"/>
          <w:spacing w:val="3"/>
        </w:rPr>
        <w:t xml:space="preserve">  There is no evidence of any mitigating circumstance.</w:t>
      </w:r>
    </w:p>
    <w:p w:rsidR="004C16C5" w:rsidRPr="00E86214" w:rsidRDefault="004C16C5" w:rsidP="004C16C5">
      <w:pPr>
        <w:spacing w:line="480" w:lineRule="auto"/>
        <w:jc w:val="center"/>
        <w:rPr>
          <w:b/>
          <w:color w:val="000000"/>
          <w:spacing w:val="3"/>
        </w:rPr>
      </w:pPr>
      <w:r w:rsidRPr="00E86214">
        <w:rPr>
          <w:b/>
          <w:color w:val="000000"/>
          <w:spacing w:val="3"/>
        </w:rPr>
        <w:t>V.  DISCUSSION</w:t>
      </w:r>
    </w:p>
    <w:p w:rsidR="004C16C5" w:rsidRPr="00E86214" w:rsidRDefault="004C16C5" w:rsidP="004C16C5">
      <w:pPr>
        <w:spacing w:line="480" w:lineRule="auto"/>
        <w:ind w:firstLine="720"/>
        <w:rPr>
          <w:color w:val="000000"/>
          <w:spacing w:val="3"/>
        </w:rPr>
      </w:pPr>
      <w:r w:rsidRPr="00E86214">
        <w:rPr>
          <w:color w:val="000000"/>
          <w:spacing w:val="3"/>
        </w:rPr>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rsidRPr="00E86214">
        <w:rPr>
          <w:color w:val="000000"/>
          <w:spacing w:val="3"/>
        </w:rPr>
        <w:t>(</w:t>
      </w:r>
      <w:r w:rsidRPr="00E86214">
        <w:rPr>
          <w:i/>
          <w:color w:val="000000"/>
          <w:spacing w:val="3"/>
        </w:rPr>
        <w:t>Chadwick v. State Bar</w:t>
      </w:r>
      <w:r w:rsidRPr="00E86214">
        <w:rPr>
          <w:color w:val="000000"/>
          <w:spacing w:val="3"/>
        </w:rPr>
        <w:t xml:space="preserve"> (1989) 49 Cal.3d 103, 111; </w:t>
      </w:r>
      <w:r w:rsidRPr="00E86214">
        <w:rPr>
          <w:i/>
          <w:color w:val="000000"/>
          <w:spacing w:val="3"/>
        </w:rPr>
        <w:t>Cooper v. State Bar</w:t>
      </w:r>
      <w:r w:rsidRPr="00E86214">
        <w:rPr>
          <w:color w:val="000000"/>
          <w:spacing w:val="3"/>
        </w:rPr>
        <w:t xml:space="preserve"> (1987) 43 Cal.3d 1016, 1025; std. 1.3.)</w:t>
      </w:r>
      <w:proofErr w:type="gramEnd"/>
    </w:p>
    <w:p w:rsidR="006300D9" w:rsidRDefault="004C16C5" w:rsidP="004C16C5">
      <w:pPr>
        <w:spacing w:line="480" w:lineRule="auto"/>
        <w:ind w:firstLine="720"/>
        <w:rPr>
          <w:color w:val="000000"/>
          <w:spacing w:val="3"/>
        </w:rPr>
      </w:pPr>
      <w:r w:rsidRPr="002417E0">
        <w:rPr>
          <w:color w:val="000000"/>
          <w:spacing w:val="3"/>
        </w:rPr>
        <w:t xml:space="preserve">The standard here for assessing discipline is set out in the first instance in the rule itself.  </w:t>
      </w:r>
      <w:r>
        <w:rPr>
          <w:color w:val="000000"/>
          <w:spacing w:val="3"/>
        </w:rPr>
        <w:t>R</w:t>
      </w:r>
      <w:r w:rsidRPr="002417E0">
        <w:rPr>
          <w:color w:val="000000"/>
          <w:spacing w:val="3"/>
        </w:rPr>
        <w:t>ule 9.20(d) states,</w:t>
      </w:r>
      <w:r>
        <w:rPr>
          <w:color w:val="000000"/>
          <w:spacing w:val="3"/>
        </w:rPr>
        <w:t xml:space="preserve"> in pertinent part:</w:t>
      </w:r>
      <w:r w:rsidRPr="002417E0">
        <w:rPr>
          <w:color w:val="000000"/>
          <w:spacing w:val="3"/>
        </w:rPr>
        <w:t xml:space="preserve"> </w:t>
      </w:r>
      <w:r>
        <w:rPr>
          <w:color w:val="000000"/>
          <w:spacing w:val="3"/>
        </w:rPr>
        <w:t xml:space="preserve"> </w:t>
      </w:r>
      <w:r w:rsidRPr="002417E0">
        <w:rPr>
          <w:color w:val="000000"/>
          <w:spacing w:val="3"/>
        </w:rPr>
        <w:t>“A suspended member’s willful failure to comply with the provisions of this rule is a cause for disbarment or suspension and for revocation of any pending probation</w:t>
      </w:r>
      <w:r>
        <w:rPr>
          <w:color w:val="000000"/>
          <w:spacing w:val="3"/>
        </w:rPr>
        <w:t xml:space="preserve">.  </w:t>
      </w:r>
      <w:r>
        <w:t xml:space="preserve">Additionally, such failure may be punished as </w:t>
      </w:r>
      <w:proofErr w:type="gramStart"/>
      <w:r>
        <w:t>a contempt</w:t>
      </w:r>
      <w:proofErr w:type="gramEnd"/>
      <w:r>
        <w:t xml:space="preserve"> or a crime.</w:t>
      </w:r>
      <w:r w:rsidRPr="002417E0">
        <w:rPr>
          <w:color w:val="000000"/>
          <w:spacing w:val="3"/>
        </w:rPr>
        <w:t>”  In addition, standard 1.6 provides that the appropriate sanction for the misconduct found must be balanced with any mitigating or aggravating circumstances, with due regard for the purposes of imposing discipline.</w:t>
      </w:r>
    </w:p>
    <w:p w:rsidR="002417E0" w:rsidRDefault="002D3D52" w:rsidP="00E86214">
      <w:pPr>
        <w:spacing w:line="480" w:lineRule="auto"/>
        <w:ind w:firstLine="720"/>
        <w:rPr>
          <w:color w:val="000000"/>
          <w:spacing w:val="3"/>
        </w:rPr>
      </w:pPr>
      <w:r>
        <w:rPr>
          <w:color w:val="000000"/>
          <w:spacing w:val="3"/>
        </w:rPr>
        <w:t>R</w:t>
      </w:r>
      <w:r w:rsidR="002417E0" w:rsidRPr="002417E0">
        <w:rPr>
          <w:color w:val="000000"/>
          <w:spacing w:val="3"/>
        </w:rPr>
        <w:t>espondent’s wi</w:t>
      </w:r>
      <w:r>
        <w:rPr>
          <w:color w:val="000000"/>
          <w:spacing w:val="3"/>
        </w:rPr>
        <w:t>l</w:t>
      </w:r>
      <w:r w:rsidR="002417E0" w:rsidRPr="002417E0">
        <w:rPr>
          <w:color w:val="000000"/>
          <w:spacing w:val="3"/>
        </w:rPr>
        <w:t xml:space="preserve">lful failure to comply with rule 9.20 is extremely serious misconduct for which disbarment is generally considered the appropriate sanction.  </w:t>
      </w:r>
      <w:proofErr w:type="gramStart"/>
      <w:r w:rsidR="002417E0" w:rsidRPr="002417E0">
        <w:rPr>
          <w:color w:val="000000"/>
          <w:spacing w:val="3"/>
        </w:rPr>
        <w:t>(</w:t>
      </w:r>
      <w:r w:rsidR="002417E0" w:rsidRPr="002D3D52">
        <w:rPr>
          <w:i/>
          <w:color w:val="000000"/>
          <w:spacing w:val="3"/>
        </w:rPr>
        <w:t>Bercovich v. State Bar</w:t>
      </w:r>
      <w:r w:rsidR="002417E0" w:rsidRPr="002417E0">
        <w:rPr>
          <w:color w:val="000000"/>
          <w:spacing w:val="3"/>
        </w:rPr>
        <w:t xml:space="preserve"> (1990) 50 Cal.3d 116, 131.)</w:t>
      </w:r>
      <w:proofErr w:type="gramEnd"/>
      <w:r w:rsidR="002417E0" w:rsidRPr="002417E0">
        <w:rPr>
          <w:color w:val="000000"/>
          <w:spacing w:val="3"/>
        </w:rPr>
        <w:t xml:space="preserve">  Such failure to comply with rule 9.20 undermines its prophylactic function in ensuring that all concerned parties learn about an attorney’s suspension from the practice of law.  </w:t>
      </w:r>
      <w:proofErr w:type="gramStart"/>
      <w:r w:rsidR="002417E0" w:rsidRPr="002417E0">
        <w:rPr>
          <w:color w:val="000000"/>
          <w:spacing w:val="3"/>
        </w:rPr>
        <w:t>(</w:t>
      </w:r>
      <w:r w:rsidR="002417E0" w:rsidRPr="002D3D52">
        <w:rPr>
          <w:i/>
          <w:color w:val="000000"/>
          <w:spacing w:val="3"/>
        </w:rPr>
        <w:t>Lydon v. State Bar</w:t>
      </w:r>
      <w:r w:rsidR="002417E0" w:rsidRPr="002417E0">
        <w:rPr>
          <w:color w:val="000000"/>
          <w:spacing w:val="3"/>
        </w:rPr>
        <w:t xml:space="preserve"> (1988) 45 Cal.3d 1181, 1187.)</w:t>
      </w:r>
      <w:proofErr w:type="gramEnd"/>
      <w:r w:rsidR="002417E0" w:rsidRPr="002417E0">
        <w:rPr>
          <w:color w:val="000000"/>
          <w:spacing w:val="3"/>
        </w:rPr>
        <w:t xml:space="preserve">  </w:t>
      </w:r>
      <w:r>
        <w:rPr>
          <w:color w:val="000000"/>
          <w:spacing w:val="3"/>
        </w:rPr>
        <w:t xml:space="preserve">Specifically, </w:t>
      </w:r>
      <w:r w:rsidRPr="002D3D52">
        <w:rPr>
          <w:color w:val="000000"/>
          <w:spacing w:val="3"/>
        </w:rPr>
        <w:t>a suspended attorney</w:t>
      </w:r>
      <w:r>
        <w:rPr>
          <w:color w:val="000000"/>
          <w:spacing w:val="3"/>
        </w:rPr>
        <w:t>’</w:t>
      </w:r>
      <w:r w:rsidRPr="002D3D52">
        <w:rPr>
          <w:color w:val="000000"/>
          <w:spacing w:val="3"/>
        </w:rPr>
        <w:t xml:space="preserve">s timely compliance with rule 9.20(a) performs the critical </w:t>
      </w:r>
      <w:r w:rsidRPr="002D3D52">
        <w:rPr>
          <w:color w:val="000000"/>
          <w:spacing w:val="3"/>
        </w:rPr>
        <w:lastRenderedPageBreak/>
        <w:t>function of ensuring that all concerned parties, including clients, co</w:t>
      </w:r>
      <w:r>
        <w:rPr>
          <w:color w:val="000000"/>
          <w:spacing w:val="3"/>
        </w:rPr>
        <w:t>-</w:t>
      </w:r>
      <w:r w:rsidRPr="002D3D52">
        <w:rPr>
          <w:color w:val="000000"/>
          <w:spacing w:val="3"/>
        </w:rPr>
        <w:t>counsel</w:t>
      </w:r>
      <w:proofErr w:type="gramStart"/>
      <w:r w:rsidRPr="002D3D52">
        <w:rPr>
          <w:color w:val="000000"/>
          <w:spacing w:val="3"/>
        </w:rPr>
        <w:t>,</w:t>
      </w:r>
      <w:proofErr w:type="gramEnd"/>
      <w:r w:rsidRPr="002D3D52">
        <w:rPr>
          <w:color w:val="000000"/>
          <w:spacing w:val="3"/>
        </w:rPr>
        <w:t xml:space="preserve"> opposing counsel, courts, agencies, and other tribunals, promptly learn of the attorney</w:t>
      </w:r>
      <w:r>
        <w:rPr>
          <w:color w:val="000000"/>
          <w:spacing w:val="3"/>
        </w:rPr>
        <w:t>’</w:t>
      </w:r>
      <w:r w:rsidRPr="002D3D52">
        <w:rPr>
          <w:color w:val="000000"/>
          <w:spacing w:val="3"/>
        </w:rPr>
        <w:t xml:space="preserve">s actual suspension and consequent disqualification to act as an attorney.  When an attorney fails to file a rule 9.20(c) compliance affidavit, this court cannot determine whether this critical function has been performed.  In addition, compliance with rule 9.20(c) keeps this court and the Supreme Court apprised of the location of attorneys who are subject to their disciplinary authority.  </w:t>
      </w:r>
      <w:proofErr w:type="gramStart"/>
      <w:r w:rsidRPr="002D3D52">
        <w:rPr>
          <w:color w:val="000000"/>
          <w:spacing w:val="3"/>
        </w:rPr>
        <w:t xml:space="preserve">(Cf. </w:t>
      </w:r>
      <w:r w:rsidRPr="002D3D52">
        <w:rPr>
          <w:i/>
          <w:color w:val="000000"/>
          <w:spacing w:val="3"/>
        </w:rPr>
        <w:t>Lydon v. State Bar</w:t>
      </w:r>
      <w:r w:rsidRPr="002D3D52">
        <w:rPr>
          <w:color w:val="000000"/>
          <w:spacing w:val="3"/>
        </w:rPr>
        <w:t xml:space="preserve"> (1988) 45 Cal.3d 1181, 1187 [construing former rule 955(c)].)</w:t>
      </w:r>
      <w:proofErr w:type="gramEnd"/>
      <w:r>
        <w:rPr>
          <w:color w:val="000000"/>
          <w:spacing w:val="3"/>
        </w:rPr>
        <w:t xml:space="preserve">  </w:t>
      </w:r>
      <w:r w:rsidR="002417E0" w:rsidRPr="002417E0">
        <w:rPr>
          <w:color w:val="000000"/>
          <w:spacing w:val="3"/>
        </w:rPr>
        <w:t xml:space="preserve">Respondent has demonstrated an unwillingness to comply with the professional obligations and rules of court imposed on California attorneys, although </w:t>
      </w:r>
      <w:r w:rsidR="00357350">
        <w:rPr>
          <w:color w:val="000000"/>
          <w:spacing w:val="3"/>
        </w:rPr>
        <w:t>s</w:t>
      </w:r>
      <w:r w:rsidR="002417E0" w:rsidRPr="002417E0">
        <w:rPr>
          <w:color w:val="000000"/>
          <w:spacing w:val="3"/>
        </w:rPr>
        <w:t>he has been given opportunities to do so.</w:t>
      </w:r>
      <w:r>
        <w:rPr>
          <w:color w:val="000000"/>
          <w:spacing w:val="3"/>
        </w:rPr>
        <w:t xml:space="preserve">  </w:t>
      </w:r>
    </w:p>
    <w:p w:rsidR="002417E0" w:rsidRDefault="009752BB" w:rsidP="00E86214">
      <w:pPr>
        <w:spacing w:line="480" w:lineRule="auto"/>
        <w:ind w:firstLine="720"/>
        <w:rPr>
          <w:color w:val="000000"/>
          <w:spacing w:val="3"/>
        </w:rPr>
      </w:pPr>
      <w:r>
        <w:rPr>
          <w:color w:val="000000"/>
          <w:spacing w:val="3"/>
        </w:rPr>
        <w:t>Moreover</w:t>
      </w:r>
      <w:r w:rsidR="00CE123E" w:rsidRPr="00CE123E">
        <w:rPr>
          <w:color w:val="000000"/>
          <w:spacing w:val="3"/>
        </w:rPr>
        <w:t>, failing to appear and participate in this hearing shows that respondent comprehends neither the seriousness of the charges against h</w:t>
      </w:r>
      <w:r w:rsidR="00357350">
        <w:rPr>
          <w:color w:val="000000"/>
          <w:spacing w:val="3"/>
        </w:rPr>
        <w:t>er</w:t>
      </w:r>
      <w:r w:rsidR="00CE123E" w:rsidRPr="00CE123E">
        <w:rPr>
          <w:color w:val="000000"/>
          <w:spacing w:val="3"/>
        </w:rPr>
        <w:t>, nor h</w:t>
      </w:r>
      <w:r w:rsidR="00357350">
        <w:rPr>
          <w:color w:val="000000"/>
          <w:spacing w:val="3"/>
        </w:rPr>
        <w:t>er</w:t>
      </w:r>
      <w:r w:rsidR="00CE123E" w:rsidRPr="00CE123E">
        <w:rPr>
          <w:color w:val="000000"/>
          <w:spacing w:val="3"/>
        </w:rPr>
        <w:t xml:space="preserve"> duty as an officer of the court to participate in disciplinary proceedings.  </w:t>
      </w:r>
      <w:proofErr w:type="gramStart"/>
      <w:r w:rsidR="00CE123E" w:rsidRPr="00CE123E">
        <w:rPr>
          <w:color w:val="000000"/>
          <w:spacing w:val="3"/>
        </w:rPr>
        <w:t>(</w:t>
      </w:r>
      <w:r w:rsidR="00CE123E" w:rsidRPr="00CE123E">
        <w:rPr>
          <w:i/>
          <w:color w:val="000000"/>
          <w:spacing w:val="3"/>
        </w:rPr>
        <w:t>Conroy v. State Bar</w:t>
      </w:r>
      <w:r w:rsidR="00CE123E" w:rsidRPr="00CE123E">
        <w:rPr>
          <w:color w:val="000000"/>
          <w:spacing w:val="3"/>
        </w:rPr>
        <w:t xml:space="preserve"> (1991) 53 Cal.3d 495, 507-508.)</w:t>
      </w:r>
      <w:proofErr w:type="gramEnd"/>
      <w:r w:rsidR="00CE123E" w:rsidRPr="00CE123E">
        <w:rPr>
          <w:color w:val="000000"/>
          <w:spacing w:val="3"/>
        </w:rPr>
        <w:t xml:space="preserve">  H</w:t>
      </w:r>
      <w:r w:rsidR="00357350">
        <w:rPr>
          <w:color w:val="000000"/>
          <w:spacing w:val="3"/>
        </w:rPr>
        <w:t>er</w:t>
      </w:r>
      <w:r w:rsidR="00CE123E" w:rsidRPr="00CE123E">
        <w:rPr>
          <w:color w:val="000000"/>
          <w:spacing w:val="3"/>
        </w:rPr>
        <w:t xml:space="preserve"> failure to participate in this proceeding leaves the court without information about the underlying cause of respondent’s misconduct or of any mitigating circumstances surrounding h</w:t>
      </w:r>
      <w:r w:rsidR="00357350">
        <w:rPr>
          <w:color w:val="000000"/>
          <w:spacing w:val="3"/>
        </w:rPr>
        <w:t>er</w:t>
      </w:r>
      <w:r w:rsidR="00CE123E" w:rsidRPr="00CE123E">
        <w:rPr>
          <w:color w:val="000000"/>
          <w:spacing w:val="3"/>
        </w:rPr>
        <w:t xml:space="preserve"> misconduct.</w:t>
      </w:r>
    </w:p>
    <w:p w:rsidR="002417E0" w:rsidRDefault="00B06CA1" w:rsidP="00E86214">
      <w:pPr>
        <w:spacing w:line="480" w:lineRule="auto"/>
        <w:ind w:firstLine="720"/>
        <w:rPr>
          <w:color w:val="000000"/>
          <w:spacing w:val="3"/>
        </w:rPr>
      </w:pPr>
      <w:r>
        <w:rPr>
          <w:color w:val="000000"/>
          <w:spacing w:val="3"/>
        </w:rPr>
        <w:t xml:space="preserve">Therefore, respondent’s </w:t>
      </w:r>
      <w:r w:rsidRPr="00B06CA1">
        <w:rPr>
          <w:color w:val="000000"/>
          <w:spacing w:val="3"/>
        </w:rPr>
        <w:t>disbarment is necessary to protect the public, the courts and the legal community, to maintain high professional standards and to preserve public confidence in the legal profession</w:t>
      </w:r>
      <w:r>
        <w:rPr>
          <w:color w:val="000000"/>
          <w:spacing w:val="3"/>
        </w:rPr>
        <w:t>.  It</w:t>
      </w:r>
      <w:r w:rsidRPr="00B06CA1">
        <w:rPr>
          <w:color w:val="000000"/>
          <w:spacing w:val="3"/>
        </w:rPr>
        <w:t xml:space="preserve"> would undermine the integrity of the disciplinary system and damage public confidence in the legal profession if respondent were not disbarred for h</w:t>
      </w:r>
      <w:r w:rsidR="00357350">
        <w:rPr>
          <w:color w:val="000000"/>
          <w:spacing w:val="3"/>
        </w:rPr>
        <w:t>er</w:t>
      </w:r>
      <w:r w:rsidRPr="00B06CA1">
        <w:rPr>
          <w:color w:val="000000"/>
          <w:spacing w:val="3"/>
        </w:rPr>
        <w:t xml:space="preserve"> willful disobedience of the Supreme Court order.</w:t>
      </w:r>
      <w:r w:rsidR="006817D5">
        <w:rPr>
          <w:color w:val="000000"/>
          <w:spacing w:val="3"/>
        </w:rPr>
        <w:t xml:space="preserve"> </w:t>
      </w:r>
    </w:p>
    <w:p w:rsidR="00357350" w:rsidRDefault="00357350" w:rsidP="00D7409E">
      <w:pPr>
        <w:spacing w:line="480" w:lineRule="auto"/>
        <w:ind w:firstLine="720"/>
        <w:jc w:val="center"/>
        <w:rPr>
          <w:b/>
          <w:color w:val="000000"/>
          <w:spacing w:val="3"/>
        </w:rPr>
      </w:pPr>
    </w:p>
    <w:p w:rsidR="00357350" w:rsidRDefault="00357350" w:rsidP="00D7409E">
      <w:pPr>
        <w:spacing w:line="480" w:lineRule="auto"/>
        <w:ind w:firstLine="720"/>
        <w:jc w:val="center"/>
        <w:rPr>
          <w:b/>
          <w:color w:val="000000"/>
          <w:spacing w:val="3"/>
        </w:rPr>
      </w:pPr>
    </w:p>
    <w:p w:rsidR="00357350" w:rsidRDefault="00357350" w:rsidP="00D7409E">
      <w:pPr>
        <w:spacing w:line="480" w:lineRule="auto"/>
        <w:ind w:firstLine="720"/>
        <w:jc w:val="center"/>
        <w:rPr>
          <w:b/>
          <w:color w:val="000000"/>
          <w:spacing w:val="3"/>
        </w:rPr>
      </w:pPr>
    </w:p>
    <w:p w:rsidR="00E37369" w:rsidRPr="002738F2" w:rsidRDefault="002738F2" w:rsidP="00D7409E">
      <w:pPr>
        <w:spacing w:line="480" w:lineRule="auto"/>
        <w:ind w:firstLine="720"/>
        <w:jc w:val="center"/>
        <w:rPr>
          <w:b/>
          <w:color w:val="000000"/>
          <w:spacing w:val="3"/>
        </w:rPr>
      </w:pPr>
      <w:r w:rsidRPr="002738F2">
        <w:rPr>
          <w:b/>
          <w:color w:val="000000"/>
          <w:spacing w:val="3"/>
        </w:rPr>
        <w:lastRenderedPageBreak/>
        <w:t>V</w:t>
      </w:r>
      <w:r w:rsidR="00D7409E">
        <w:rPr>
          <w:b/>
          <w:color w:val="000000"/>
          <w:spacing w:val="3"/>
        </w:rPr>
        <w:t>I</w:t>
      </w:r>
      <w:proofErr w:type="gramStart"/>
      <w:r w:rsidRPr="002738F2">
        <w:rPr>
          <w:b/>
          <w:color w:val="000000"/>
          <w:spacing w:val="3"/>
        </w:rPr>
        <w:t xml:space="preserve">.  </w:t>
      </w:r>
      <w:r w:rsidR="005D6520" w:rsidRPr="002738F2">
        <w:rPr>
          <w:b/>
          <w:color w:val="000000"/>
          <w:spacing w:val="3"/>
        </w:rPr>
        <w:t>RECOMMENDED</w:t>
      </w:r>
      <w:proofErr w:type="gramEnd"/>
      <w:r w:rsidR="005D6520" w:rsidRPr="002738F2">
        <w:rPr>
          <w:b/>
          <w:color w:val="000000"/>
          <w:spacing w:val="3"/>
        </w:rPr>
        <w:t xml:space="preserve"> DISCIPLINE</w:t>
      </w:r>
    </w:p>
    <w:p w:rsidR="005D6520" w:rsidRPr="005D6520" w:rsidRDefault="005D6520" w:rsidP="005D6520">
      <w:pPr>
        <w:spacing w:line="480" w:lineRule="auto"/>
        <w:rPr>
          <w:b/>
          <w:color w:val="000000"/>
          <w:spacing w:val="3"/>
          <w:u w:val="single"/>
        </w:rPr>
      </w:pPr>
      <w:r w:rsidRPr="005D6520">
        <w:rPr>
          <w:b/>
          <w:color w:val="000000"/>
          <w:spacing w:val="3"/>
          <w:u w:val="single"/>
        </w:rPr>
        <w:t>Disbarment</w:t>
      </w:r>
    </w:p>
    <w:p w:rsidR="002738F2" w:rsidRDefault="007170E3" w:rsidP="005D6520">
      <w:pPr>
        <w:spacing w:line="480" w:lineRule="auto"/>
        <w:ind w:firstLine="720"/>
        <w:rPr>
          <w:color w:val="000000"/>
          <w:spacing w:val="3"/>
        </w:rPr>
      </w:pPr>
      <w:r>
        <w:rPr>
          <w:color w:val="000000"/>
          <w:spacing w:val="3"/>
        </w:rPr>
        <w:t>T</w:t>
      </w:r>
      <w:r w:rsidR="002738F2" w:rsidRPr="002738F2">
        <w:rPr>
          <w:color w:val="000000"/>
          <w:spacing w:val="3"/>
        </w:rPr>
        <w:t>he court hereby recommends that respondent</w:t>
      </w:r>
      <w:r w:rsidR="00357350">
        <w:rPr>
          <w:color w:val="000000"/>
          <w:spacing w:val="3"/>
        </w:rPr>
        <w:t xml:space="preserve"> </w:t>
      </w:r>
      <w:r w:rsidR="00357350" w:rsidRPr="009763E0">
        <w:rPr>
          <w:b/>
        </w:rPr>
        <w:t>Co</w:t>
      </w:r>
      <w:r w:rsidR="00357350">
        <w:rPr>
          <w:b/>
        </w:rPr>
        <w:t>ncetta Joan Scimeca</w:t>
      </w:r>
      <w:r w:rsidR="002738F2" w:rsidRPr="002738F2">
        <w:rPr>
          <w:color w:val="000000"/>
          <w:spacing w:val="3"/>
        </w:rPr>
        <w:t xml:space="preserve"> be disbarred from the practice of law in the State of California and that h</w:t>
      </w:r>
      <w:r w:rsidR="00357350">
        <w:rPr>
          <w:color w:val="000000"/>
          <w:spacing w:val="3"/>
        </w:rPr>
        <w:t>er</w:t>
      </w:r>
      <w:r w:rsidR="002738F2" w:rsidRPr="002738F2">
        <w:rPr>
          <w:color w:val="000000"/>
          <w:spacing w:val="3"/>
        </w:rPr>
        <w:t xml:space="preserve"> name be stricken from the roll of attorneys in this State.</w:t>
      </w:r>
    </w:p>
    <w:p w:rsidR="005D6520" w:rsidRPr="005D6520" w:rsidRDefault="005D6520" w:rsidP="005D6520">
      <w:pPr>
        <w:spacing w:line="480" w:lineRule="auto"/>
        <w:rPr>
          <w:b/>
          <w:color w:val="000000"/>
          <w:spacing w:val="3"/>
          <w:u w:val="single"/>
        </w:rPr>
      </w:pPr>
      <w:r w:rsidRPr="005D6520">
        <w:rPr>
          <w:b/>
          <w:color w:val="000000"/>
          <w:spacing w:val="3"/>
          <w:u w:val="single"/>
        </w:rPr>
        <w:t>Rule 9.20</w:t>
      </w:r>
    </w:p>
    <w:p w:rsidR="002738F2" w:rsidRDefault="005D6520" w:rsidP="002738F2">
      <w:pPr>
        <w:spacing w:line="480" w:lineRule="auto"/>
        <w:ind w:firstLine="720"/>
        <w:rPr>
          <w:color w:val="000000"/>
          <w:spacing w:val="3"/>
        </w:rPr>
      </w:pPr>
      <w:r>
        <w:rPr>
          <w:color w:val="000000"/>
          <w:spacing w:val="3"/>
        </w:rPr>
        <w:t xml:space="preserve">The court </w:t>
      </w:r>
      <w:r w:rsidR="002738F2" w:rsidRPr="002738F2">
        <w:rPr>
          <w:color w:val="000000"/>
          <w:spacing w:val="3"/>
        </w:rPr>
        <w:t>recommend</w:t>
      </w:r>
      <w:r>
        <w:rPr>
          <w:color w:val="000000"/>
          <w:spacing w:val="3"/>
        </w:rPr>
        <w:t>s</w:t>
      </w:r>
      <w:r w:rsidR="002738F2" w:rsidRPr="002738F2">
        <w:rPr>
          <w:color w:val="000000"/>
          <w:spacing w:val="3"/>
        </w:rPr>
        <w:t xml:space="preserve"> that the Supreme Court order respondent to comply with California Rules of Court, rule 9.20, paragraphs (a) and (c), within 30 and 40 days, respectively, of the effective date of its order imposing discipline in this matter.</w:t>
      </w:r>
      <w:r w:rsidR="002738F2">
        <w:rPr>
          <w:rStyle w:val="FootnoteReference"/>
          <w:color w:val="000000"/>
          <w:spacing w:val="3"/>
        </w:rPr>
        <w:footnoteReference w:id="4"/>
      </w:r>
    </w:p>
    <w:p w:rsidR="00992344" w:rsidRPr="005D6520" w:rsidRDefault="005D6520" w:rsidP="00992344">
      <w:pPr>
        <w:spacing w:line="480" w:lineRule="auto"/>
        <w:rPr>
          <w:b/>
          <w:color w:val="000000"/>
          <w:spacing w:val="3"/>
          <w:u w:val="single"/>
        </w:rPr>
      </w:pPr>
      <w:r w:rsidRPr="005D6520">
        <w:rPr>
          <w:b/>
          <w:color w:val="000000"/>
          <w:spacing w:val="3"/>
          <w:u w:val="single"/>
        </w:rPr>
        <w:t>Costs</w:t>
      </w:r>
    </w:p>
    <w:p w:rsidR="00E37369" w:rsidRDefault="00D00FAB" w:rsidP="004423E6">
      <w:pPr>
        <w:spacing w:line="480" w:lineRule="auto"/>
        <w:ind w:firstLine="720"/>
        <w:rPr>
          <w:color w:val="000000"/>
          <w:spacing w:val="3"/>
        </w:rPr>
      </w:pPr>
      <w:r w:rsidRPr="00D00FAB">
        <w:rPr>
          <w:color w:val="000000"/>
          <w:spacing w:val="3"/>
        </w:rPr>
        <w:t>The court recommends that costs be awarded to the State Bar in accordance with Business and Professions Code section 6086.10 and are enforceable both as provided in Business and Professions Code section 6140.7 and as a money judgment.</w:t>
      </w:r>
    </w:p>
    <w:p w:rsidR="00D00FAB" w:rsidRPr="00D00FAB" w:rsidRDefault="000F4936" w:rsidP="00725C98">
      <w:pPr>
        <w:spacing w:line="480" w:lineRule="auto"/>
        <w:ind w:firstLine="720"/>
        <w:jc w:val="center"/>
        <w:rPr>
          <w:b/>
          <w:color w:val="000000"/>
          <w:spacing w:val="3"/>
        </w:rPr>
      </w:pPr>
      <w:r>
        <w:rPr>
          <w:b/>
          <w:color w:val="000000"/>
          <w:spacing w:val="3"/>
        </w:rPr>
        <w:t>VII</w:t>
      </w:r>
      <w:proofErr w:type="gramStart"/>
      <w:r w:rsidR="00D00FAB" w:rsidRPr="00D00FAB">
        <w:rPr>
          <w:b/>
          <w:color w:val="000000"/>
          <w:spacing w:val="3"/>
        </w:rPr>
        <w:t xml:space="preserve">.  </w:t>
      </w:r>
      <w:r w:rsidR="005568EC" w:rsidRPr="00D00FAB">
        <w:rPr>
          <w:b/>
          <w:color w:val="000000"/>
          <w:spacing w:val="3"/>
        </w:rPr>
        <w:t>ORDER</w:t>
      </w:r>
      <w:proofErr w:type="gramEnd"/>
      <w:r w:rsidR="005568EC" w:rsidRPr="00D00FAB">
        <w:rPr>
          <w:b/>
          <w:color w:val="000000"/>
          <w:spacing w:val="3"/>
        </w:rPr>
        <w:t xml:space="preserve"> OF INVOLUNTARY INACTIVE ENROLLMENT</w:t>
      </w:r>
    </w:p>
    <w:p w:rsidR="002C182F" w:rsidRPr="000C31B9" w:rsidRDefault="00E8041E" w:rsidP="00834AD7">
      <w:pPr>
        <w:spacing w:line="480" w:lineRule="auto"/>
        <w:ind w:firstLine="720"/>
        <w:rPr>
          <w:color w:val="000000"/>
          <w:spacing w:val="-8"/>
        </w:rPr>
      </w:pPr>
      <w:r w:rsidRPr="00E8041E">
        <w:rPr>
          <w:color w:val="000000"/>
          <w:spacing w:val="3"/>
        </w:rPr>
        <w:t>It is ordered that respondent be transferred to involuntary inactive enrollment status</w:t>
      </w:r>
      <w:r w:rsidR="005568EC">
        <w:rPr>
          <w:color w:val="000000"/>
          <w:spacing w:val="3"/>
        </w:rPr>
        <w:t xml:space="preserve"> pursuant to</w:t>
      </w:r>
      <w:r w:rsidR="00761D71">
        <w:rPr>
          <w:color w:val="000000"/>
          <w:spacing w:val="3"/>
        </w:rPr>
        <w:t xml:space="preserve"> </w:t>
      </w:r>
      <w:r w:rsidR="00761D71">
        <w:t>section 6007, subdivision (c</w:t>
      </w:r>
      <w:proofErr w:type="gramStart"/>
      <w:r w:rsidR="00761D71">
        <w:t>)(</w:t>
      </w:r>
      <w:proofErr w:type="gramEnd"/>
      <w:r w:rsidR="00761D71">
        <w:t>4), and rule 220(c) of the Rules of Procedure of the State Bar</w:t>
      </w:r>
      <w:r w:rsidRPr="00E8041E">
        <w:rPr>
          <w:color w:val="000000"/>
          <w:spacing w:val="3"/>
        </w:rPr>
        <w:t>.  The inactive enrollment will become effective three calendar days after service of this order.</w:t>
      </w:r>
    </w:p>
    <w:p w:rsidR="00B51DBF" w:rsidRDefault="00B51DBF">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761D71">
            <w:pPr>
              <w:pStyle w:val="Header"/>
              <w:tabs>
                <w:tab w:val="clear" w:pos="4320"/>
                <w:tab w:val="clear" w:pos="8640"/>
              </w:tabs>
            </w:pPr>
            <w:r>
              <w:t xml:space="preserve">Dated:  </w:t>
            </w:r>
            <w:fldSimple w:instr=" DATE \@ &quot;MMMM _____, yyyy&quot; \* MERGEFORMAT ">
              <w:r w:rsidR="00327D8D">
                <w:rPr>
                  <w:noProof/>
                </w:rPr>
                <w:t>October _____, 2009</w:t>
              </w:r>
            </w:fldSimple>
          </w:p>
        </w:tc>
        <w:tc>
          <w:tcPr>
            <w:tcW w:w="4565" w:type="dxa"/>
            <w:tcBorders>
              <w:top w:val="single" w:sz="4" w:space="0" w:color="auto"/>
              <w:bottom w:val="nil"/>
              <w:right w:val="nil"/>
            </w:tcBorders>
          </w:tcPr>
          <w:p w:rsidR="003D3B12" w:rsidRDefault="000E0345" w:rsidP="000E0345">
            <w:bookmarkStart w:id="6" w:name="judge"/>
            <w:bookmarkEnd w:id="6"/>
            <w:r w:rsidRPr="00E22D67">
              <w:t>DONALD F. MILES</w:t>
            </w:r>
            <w:r>
              <w:t xml:space="preserve"> </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7170E3" w:rsidRDefault="007170E3" w:rsidP="00EE3AFC">
      <w:pPr>
        <w:spacing w:line="480" w:lineRule="auto"/>
      </w:pPr>
    </w:p>
    <w:p w:rsidR="007170E3" w:rsidRDefault="007170E3" w:rsidP="00EE3AFC">
      <w:pPr>
        <w:spacing w:line="480" w:lineRule="auto"/>
      </w:pPr>
    </w:p>
    <w:p w:rsidR="007170E3" w:rsidRDefault="007170E3" w:rsidP="00EE3AFC">
      <w:pPr>
        <w:spacing w:line="480" w:lineRule="auto"/>
      </w:pPr>
    </w:p>
    <w:p w:rsidR="007170E3" w:rsidRDefault="007170E3" w:rsidP="00EE3AFC">
      <w:pPr>
        <w:spacing w:line="480" w:lineRule="auto"/>
      </w:pPr>
    </w:p>
    <w:p w:rsidR="007170E3" w:rsidRDefault="007170E3" w:rsidP="00EE3AFC">
      <w:pPr>
        <w:spacing w:line="480" w:lineRule="auto"/>
      </w:pPr>
    </w:p>
    <w:p w:rsidR="007170E3" w:rsidRDefault="007170E3" w:rsidP="00EE3AFC">
      <w:pPr>
        <w:spacing w:line="480" w:lineRule="auto"/>
      </w:pPr>
    </w:p>
    <w:p w:rsidR="007170E3" w:rsidRDefault="007170E3" w:rsidP="00EE3AFC">
      <w:pPr>
        <w:spacing w:line="480" w:lineRule="auto"/>
      </w:pPr>
    </w:p>
    <w:p w:rsidR="007170E3" w:rsidRDefault="007170E3" w:rsidP="00EE3AFC">
      <w:pPr>
        <w:spacing w:line="480" w:lineRule="auto"/>
      </w:pPr>
    </w:p>
    <w:p w:rsidR="007170E3" w:rsidRDefault="007170E3" w:rsidP="00EE3AFC">
      <w:pPr>
        <w:spacing w:line="480" w:lineRule="auto"/>
      </w:pPr>
    </w:p>
    <w:p w:rsidR="007170E3" w:rsidRDefault="007170E3" w:rsidP="00EE3AFC">
      <w:pPr>
        <w:spacing w:line="480" w:lineRule="auto"/>
      </w:pPr>
    </w:p>
    <w:p w:rsidR="007170E3" w:rsidRDefault="007170E3" w:rsidP="00EE3AFC">
      <w:pPr>
        <w:spacing w:line="480" w:lineRule="auto"/>
      </w:pPr>
    </w:p>
    <w:sectPr w:rsidR="007170E3"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06" w:rsidRDefault="00716706">
      <w:r>
        <w:separator/>
      </w:r>
    </w:p>
  </w:endnote>
  <w:endnote w:type="continuationSeparator" w:id="0">
    <w:p w:rsidR="00716706" w:rsidRDefault="00716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5" w:rsidRDefault="00FA32A1" w:rsidP="003B44D5">
    <w:pPr>
      <w:pStyle w:val="Footer"/>
      <w:framePr w:wrap="around" w:vAnchor="text" w:hAnchor="margin" w:xAlign="center" w:y="1"/>
      <w:rPr>
        <w:rStyle w:val="PageNumber"/>
      </w:rPr>
    </w:pPr>
    <w:r>
      <w:rPr>
        <w:rStyle w:val="PageNumber"/>
      </w:rPr>
      <w:fldChar w:fldCharType="begin"/>
    </w:r>
    <w:r w:rsidR="004C16C5">
      <w:rPr>
        <w:rStyle w:val="PageNumber"/>
      </w:rPr>
      <w:instrText xml:space="preserve">PAGE  </w:instrText>
    </w:r>
    <w:r>
      <w:rPr>
        <w:rStyle w:val="PageNumber"/>
      </w:rPr>
      <w:fldChar w:fldCharType="end"/>
    </w:r>
  </w:p>
  <w:p w:rsidR="004C16C5" w:rsidRDefault="004C1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5" w:rsidRDefault="00FA32A1" w:rsidP="00200B09">
    <w:pPr>
      <w:pStyle w:val="Footer"/>
      <w:framePr w:wrap="around" w:vAnchor="text" w:hAnchor="margin" w:xAlign="center" w:y="1"/>
      <w:rPr>
        <w:rStyle w:val="PageNumber"/>
      </w:rPr>
    </w:pPr>
    <w:r>
      <w:rPr>
        <w:rStyle w:val="PageNumber"/>
      </w:rPr>
      <w:fldChar w:fldCharType="begin"/>
    </w:r>
    <w:r w:rsidR="004C16C5">
      <w:rPr>
        <w:rStyle w:val="PageNumber"/>
      </w:rPr>
      <w:instrText xml:space="preserve">PAGE  </w:instrText>
    </w:r>
    <w:r>
      <w:rPr>
        <w:rStyle w:val="PageNumber"/>
      </w:rPr>
      <w:fldChar w:fldCharType="separate"/>
    </w:r>
    <w:r w:rsidR="00327D8D">
      <w:rPr>
        <w:rStyle w:val="PageNumber"/>
        <w:noProof/>
      </w:rPr>
      <w:t>- 10 -</w:t>
    </w:r>
    <w:r>
      <w:rPr>
        <w:rStyle w:val="PageNumber"/>
      </w:rPr>
      <w:fldChar w:fldCharType="end"/>
    </w:r>
  </w:p>
  <w:p w:rsidR="004C16C5" w:rsidRDefault="004C16C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C5" w:rsidRDefault="004C16C5">
    <w:pPr>
      <w:pStyle w:val="Footer"/>
      <w:framePr w:wrap="around" w:vAnchor="text" w:hAnchor="margin" w:xAlign="center" w:y="1"/>
      <w:rPr>
        <w:rStyle w:val="PageNumber"/>
      </w:rPr>
    </w:pPr>
  </w:p>
  <w:p w:rsidR="004C16C5" w:rsidRDefault="004C1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06" w:rsidRDefault="00716706">
      <w:r>
        <w:separator/>
      </w:r>
    </w:p>
  </w:footnote>
  <w:footnote w:type="continuationSeparator" w:id="0">
    <w:p w:rsidR="00716706" w:rsidRDefault="00716706">
      <w:r>
        <w:continuationSeparator/>
      </w:r>
    </w:p>
  </w:footnote>
  <w:footnote w:id="1">
    <w:p w:rsidR="004C16C5" w:rsidRDefault="004C16C5">
      <w:pPr>
        <w:pStyle w:val="FootnoteText"/>
      </w:pPr>
      <w:r>
        <w:rPr>
          <w:rStyle w:val="FootnoteReference"/>
        </w:rPr>
        <w:footnoteRef/>
      </w:r>
      <w:r>
        <w:t xml:space="preserve"> All references to rule 9.20 are to California Rules of Court, rule 9.20. </w:t>
      </w:r>
    </w:p>
  </w:footnote>
  <w:footnote w:id="2">
    <w:p w:rsidR="004C16C5" w:rsidRDefault="004C16C5">
      <w:pPr>
        <w:pStyle w:val="FootnoteText"/>
      </w:pPr>
      <w:r>
        <w:rPr>
          <w:rStyle w:val="FootnoteReference"/>
        </w:rPr>
        <w:footnoteRef/>
      </w:r>
      <w:r>
        <w:t xml:space="preserve"> All references to section (§) are to the Business and Professions Code, unless otherwise indicated.</w:t>
      </w:r>
    </w:p>
  </w:footnote>
  <w:footnote w:id="3">
    <w:p w:rsidR="004C16C5" w:rsidRDefault="004C16C5" w:rsidP="00C74584">
      <w:pPr>
        <w:pStyle w:val="FootnoteText"/>
      </w:pPr>
      <w:r>
        <w:rPr>
          <w:rStyle w:val="FootnoteReference"/>
        </w:rPr>
        <w:footnoteRef/>
      </w:r>
      <w:r>
        <w:t xml:space="preserve"> All further references to standard(s) are to this source.</w:t>
      </w:r>
    </w:p>
  </w:footnote>
  <w:footnote w:id="4">
    <w:p w:rsidR="004C16C5" w:rsidRDefault="004C16C5">
      <w:pPr>
        <w:pStyle w:val="FootnoteText"/>
      </w:pPr>
      <w:r>
        <w:rPr>
          <w:rStyle w:val="FootnoteReference"/>
        </w:rPr>
        <w:footnoteRef/>
      </w:r>
      <w:r>
        <w:t xml:space="preserve"> </w:t>
      </w:r>
      <w:r w:rsidRPr="009E5F33">
        <w:t xml:space="preserve">Respondent is required to file a rule 9.20(c) affidavit even if </w:t>
      </w:r>
      <w:r w:rsidR="00567A0D">
        <w:t>s</w:t>
      </w:r>
      <w:r w:rsidRPr="009E5F33">
        <w:t xml:space="preserve">he has no clients to notify.  </w:t>
      </w:r>
      <w:proofErr w:type="gramStart"/>
      <w:r>
        <w:t>(</w:t>
      </w:r>
      <w:r w:rsidRPr="009E5F33">
        <w:rPr>
          <w:i/>
        </w:rPr>
        <w:t>Powers v. State Bar</w:t>
      </w:r>
      <w:r w:rsidRPr="009E5F33">
        <w:t xml:space="preserve">, </w:t>
      </w:r>
      <w:r w:rsidRPr="009E5F33">
        <w:rPr>
          <w:i/>
        </w:rPr>
        <w:t>supra</w:t>
      </w:r>
      <w:r w:rsidRPr="009E5F33">
        <w:t>, 44 Cal.3d 337, 341.)</w:t>
      </w:r>
      <w:proofErr w:type="gramEnd"/>
      <w:r>
        <w:t xml:space="preserve">  In addition to being punished as a crime or </w:t>
      </w:r>
      <w:proofErr w:type="gramStart"/>
      <w:r>
        <w:t>a contempt</w:t>
      </w:r>
      <w:proofErr w:type="gramEnd"/>
      <w:r>
        <w:t xml:space="preserve">, an attorney's failure to comply with rule 9.20 is also, </w:t>
      </w:r>
      <w:r w:rsidRPr="003464FD">
        <w:rPr>
          <w:i/>
        </w:rPr>
        <w:t>inter alia</w:t>
      </w:r>
      <w:r>
        <w:t>, cause for disbarment, suspension, revocation of any pending disciplinary probation, and denial of an application for reinstatement after disbarment.  (Cal. Rules of Court, rule 9.20(d).)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4BA8"/>
    <w:multiLevelType w:val="hybridMultilevel"/>
    <w:tmpl w:val="4EF44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2B1D71"/>
    <w:multiLevelType w:val="hybridMultilevel"/>
    <w:tmpl w:val="672E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75778"/>
  </w:hdrShapeDefaults>
  <w:footnotePr>
    <w:footnote w:id="-1"/>
    <w:footnote w:id="0"/>
  </w:footnotePr>
  <w:endnotePr>
    <w:endnote w:id="-1"/>
    <w:endnote w:id="0"/>
  </w:endnotePr>
  <w:compat/>
  <w:rsids>
    <w:rsidRoot w:val="003F13C7"/>
    <w:rsid w:val="00003169"/>
    <w:rsid w:val="00006A76"/>
    <w:rsid w:val="00011B68"/>
    <w:rsid w:val="000206DC"/>
    <w:rsid w:val="00021EE5"/>
    <w:rsid w:val="000232F7"/>
    <w:rsid w:val="00035543"/>
    <w:rsid w:val="0004014F"/>
    <w:rsid w:val="00050BAE"/>
    <w:rsid w:val="00054302"/>
    <w:rsid w:val="00055030"/>
    <w:rsid w:val="000618E7"/>
    <w:rsid w:val="00063144"/>
    <w:rsid w:val="000648B6"/>
    <w:rsid w:val="00066FF7"/>
    <w:rsid w:val="00072050"/>
    <w:rsid w:val="00080BDA"/>
    <w:rsid w:val="0008396C"/>
    <w:rsid w:val="000841AE"/>
    <w:rsid w:val="00087A87"/>
    <w:rsid w:val="00092F78"/>
    <w:rsid w:val="000935C8"/>
    <w:rsid w:val="00093652"/>
    <w:rsid w:val="0009510B"/>
    <w:rsid w:val="00095425"/>
    <w:rsid w:val="000973C6"/>
    <w:rsid w:val="000A04B5"/>
    <w:rsid w:val="000B7CBF"/>
    <w:rsid w:val="000C0EFF"/>
    <w:rsid w:val="000C27F8"/>
    <w:rsid w:val="000D11D5"/>
    <w:rsid w:val="000D3A97"/>
    <w:rsid w:val="000D61DE"/>
    <w:rsid w:val="000D6699"/>
    <w:rsid w:val="000E0345"/>
    <w:rsid w:val="000E46B6"/>
    <w:rsid w:val="000E4D1C"/>
    <w:rsid w:val="000E4DFB"/>
    <w:rsid w:val="000E7B8C"/>
    <w:rsid w:val="000F4936"/>
    <w:rsid w:val="000F4B12"/>
    <w:rsid w:val="000F5EC7"/>
    <w:rsid w:val="00105B59"/>
    <w:rsid w:val="0010609C"/>
    <w:rsid w:val="00107048"/>
    <w:rsid w:val="0010779D"/>
    <w:rsid w:val="00107F7E"/>
    <w:rsid w:val="0011315F"/>
    <w:rsid w:val="001132D2"/>
    <w:rsid w:val="001173D7"/>
    <w:rsid w:val="00121894"/>
    <w:rsid w:val="00127CCB"/>
    <w:rsid w:val="00127F4D"/>
    <w:rsid w:val="00134148"/>
    <w:rsid w:val="00135673"/>
    <w:rsid w:val="00135758"/>
    <w:rsid w:val="00135982"/>
    <w:rsid w:val="00140CAA"/>
    <w:rsid w:val="00142FB0"/>
    <w:rsid w:val="001453C0"/>
    <w:rsid w:val="00153811"/>
    <w:rsid w:val="00157A3C"/>
    <w:rsid w:val="00160A87"/>
    <w:rsid w:val="00162B8F"/>
    <w:rsid w:val="00173876"/>
    <w:rsid w:val="00177585"/>
    <w:rsid w:val="00181C26"/>
    <w:rsid w:val="0018428C"/>
    <w:rsid w:val="00184C34"/>
    <w:rsid w:val="00186B76"/>
    <w:rsid w:val="00190712"/>
    <w:rsid w:val="00194F8A"/>
    <w:rsid w:val="001952ED"/>
    <w:rsid w:val="00195949"/>
    <w:rsid w:val="001A202A"/>
    <w:rsid w:val="001A264E"/>
    <w:rsid w:val="001A53D1"/>
    <w:rsid w:val="001A7331"/>
    <w:rsid w:val="001B74CD"/>
    <w:rsid w:val="001B769C"/>
    <w:rsid w:val="001B7EFF"/>
    <w:rsid w:val="001C1898"/>
    <w:rsid w:val="001C227C"/>
    <w:rsid w:val="001C4073"/>
    <w:rsid w:val="001C7D1D"/>
    <w:rsid w:val="001D368D"/>
    <w:rsid w:val="001D529B"/>
    <w:rsid w:val="001E281A"/>
    <w:rsid w:val="001E2DB2"/>
    <w:rsid w:val="001E3294"/>
    <w:rsid w:val="001E3CBD"/>
    <w:rsid w:val="001E5226"/>
    <w:rsid w:val="001E5D30"/>
    <w:rsid w:val="001E702A"/>
    <w:rsid w:val="001F219C"/>
    <w:rsid w:val="001F2210"/>
    <w:rsid w:val="0020044C"/>
    <w:rsid w:val="00200B09"/>
    <w:rsid w:val="002024A5"/>
    <w:rsid w:val="002042AA"/>
    <w:rsid w:val="00207547"/>
    <w:rsid w:val="002130FA"/>
    <w:rsid w:val="0021376D"/>
    <w:rsid w:val="00213DC9"/>
    <w:rsid w:val="00215012"/>
    <w:rsid w:val="00215697"/>
    <w:rsid w:val="002202DC"/>
    <w:rsid w:val="00221B6B"/>
    <w:rsid w:val="002335C4"/>
    <w:rsid w:val="002417E0"/>
    <w:rsid w:val="002513B2"/>
    <w:rsid w:val="00254D46"/>
    <w:rsid w:val="002567BB"/>
    <w:rsid w:val="00260A72"/>
    <w:rsid w:val="00270115"/>
    <w:rsid w:val="002704B6"/>
    <w:rsid w:val="00271759"/>
    <w:rsid w:val="00271E32"/>
    <w:rsid w:val="00272397"/>
    <w:rsid w:val="002727F1"/>
    <w:rsid w:val="00272FCE"/>
    <w:rsid w:val="00273317"/>
    <w:rsid w:val="002733FF"/>
    <w:rsid w:val="002738F2"/>
    <w:rsid w:val="00274E4C"/>
    <w:rsid w:val="00275606"/>
    <w:rsid w:val="00275E8A"/>
    <w:rsid w:val="00276FF5"/>
    <w:rsid w:val="002778C7"/>
    <w:rsid w:val="0028330A"/>
    <w:rsid w:val="00293EB4"/>
    <w:rsid w:val="002952DA"/>
    <w:rsid w:val="002A2D95"/>
    <w:rsid w:val="002A329D"/>
    <w:rsid w:val="002A38C6"/>
    <w:rsid w:val="002B0187"/>
    <w:rsid w:val="002B070E"/>
    <w:rsid w:val="002B11FE"/>
    <w:rsid w:val="002B1C5B"/>
    <w:rsid w:val="002B255F"/>
    <w:rsid w:val="002B25A6"/>
    <w:rsid w:val="002B363A"/>
    <w:rsid w:val="002B593C"/>
    <w:rsid w:val="002B637C"/>
    <w:rsid w:val="002B7D1F"/>
    <w:rsid w:val="002C182F"/>
    <w:rsid w:val="002D0521"/>
    <w:rsid w:val="002D1E99"/>
    <w:rsid w:val="002D2238"/>
    <w:rsid w:val="002D2366"/>
    <w:rsid w:val="002D3D52"/>
    <w:rsid w:val="002E139D"/>
    <w:rsid w:val="002E1AA0"/>
    <w:rsid w:val="002E26DF"/>
    <w:rsid w:val="002E4278"/>
    <w:rsid w:val="002F7F1D"/>
    <w:rsid w:val="003008F2"/>
    <w:rsid w:val="00300C97"/>
    <w:rsid w:val="00302953"/>
    <w:rsid w:val="0030304A"/>
    <w:rsid w:val="00303743"/>
    <w:rsid w:val="00304304"/>
    <w:rsid w:val="00305101"/>
    <w:rsid w:val="00305D73"/>
    <w:rsid w:val="003075F9"/>
    <w:rsid w:val="00307D36"/>
    <w:rsid w:val="00310D7F"/>
    <w:rsid w:val="0031187F"/>
    <w:rsid w:val="00313A22"/>
    <w:rsid w:val="00315034"/>
    <w:rsid w:val="0031508F"/>
    <w:rsid w:val="00315B2D"/>
    <w:rsid w:val="00315EDA"/>
    <w:rsid w:val="00317B55"/>
    <w:rsid w:val="0032023C"/>
    <w:rsid w:val="00320B53"/>
    <w:rsid w:val="00326794"/>
    <w:rsid w:val="00327D8D"/>
    <w:rsid w:val="0033394F"/>
    <w:rsid w:val="00334428"/>
    <w:rsid w:val="00335646"/>
    <w:rsid w:val="00344ED4"/>
    <w:rsid w:val="00351CE8"/>
    <w:rsid w:val="0035282F"/>
    <w:rsid w:val="00355EF4"/>
    <w:rsid w:val="00356DFC"/>
    <w:rsid w:val="00356EEA"/>
    <w:rsid w:val="00357350"/>
    <w:rsid w:val="003606EA"/>
    <w:rsid w:val="00362606"/>
    <w:rsid w:val="003651D5"/>
    <w:rsid w:val="00367227"/>
    <w:rsid w:val="003843F0"/>
    <w:rsid w:val="00396549"/>
    <w:rsid w:val="003A0010"/>
    <w:rsid w:val="003A041C"/>
    <w:rsid w:val="003A25FF"/>
    <w:rsid w:val="003A3484"/>
    <w:rsid w:val="003B44D5"/>
    <w:rsid w:val="003B52B2"/>
    <w:rsid w:val="003B61A5"/>
    <w:rsid w:val="003C2997"/>
    <w:rsid w:val="003C79D2"/>
    <w:rsid w:val="003D0106"/>
    <w:rsid w:val="003D0CB3"/>
    <w:rsid w:val="003D1F8E"/>
    <w:rsid w:val="003D3B12"/>
    <w:rsid w:val="003D7926"/>
    <w:rsid w:val="003E3843"/>
    <w:rsid w:val="003E4455"/>
    <w:rsid w:val="003F13C7"/>
    <w:rsid w:val="003F373A"/>
    <w:rsid w:val="003F45F9"/>
    <w:rsid w:val="003F72D7"/>
    <w:rsid w:val="003F7735"/>
    <w:rsid w:val="00401334"/>
    <w:rsid w:val="004026BA"/>
    <w:rsid w:val="004029BC"/>
    <w:rsid w:val="0040373E"/>
    <w:rsid w:val="004041FD"/>
    <w:rsid w:val="0041331D"/>
    <w:rsid w:val="004134B2"/>
    <w:rsid w:val="00425FDA"/>
    <w:rsid w:val="00433A24"/>
    <w:rsid w:val="00435C64"/>
    <w:rsid w:val="0043618D"/>
    <w:rsid w:val="004365B5"/>
    <w:rsid w:val="004404C4"/>
    <w:rsid w:val="0044081A"/>
    <w:rsid w:val="004423E6"/>
    <w:rsid w:val="004440D1"/>
    <w:rsid w:val="00444148"/>
    <w:rsid w:val="00450248"/>
    <w:rsid w:val="00450647"/>
    <w:rsid w:val="0045188B"/>
    <w:rsid w:val="0045706D"/>
    <w:rsid w:val="004608FF"/>
    <w:rsid w:val="00463ABD"/>
    <w:rsid w:val="00464D18"/>
    <w:rsid w:val="004661FE"/>
    <w:rsid w:val="00467024"/>
    <w:rsid w:val="004706A3"/>
    <w:rsid w:val="004706AA"/>
    <w:rsid w:val="00470DE6"/>
    <w:rsid w:val="00470E8D"/>
    <w:rsid w:val="00471DE9"/>
    <w:rsid w:val="00474672"/>
    <w:rsid w:val="00480499"/>
    <w:rsid w:val="00480DBC"/>
    <w:rsid w:val="004827BF"/>
    <w:rsid w:val="00482FB3"/>
    <w:rsid w:val="00487250"/>
    <w:rsid w:val="00487ABE"/>
    <w:rsid w:val="004A039B"/>
    <w:rsid w:val="004A450F"/>
    <w:rsid w:val="004A50FE"/>
    <w:rsid w:val="004A54D8"/>
    <w:rsid w:val="004A7BB8"/>
    <w:rsid w:val="004A7CD7"/>
    <w:rsid w:val="004B02A3"/>
    <w:rsid w:val="004B1E3F"/>
    <w:rsid w:val="004B322D"/>
    <w:rsid w:val="004C16C5"/>
    <w:rsid w:val="004C3531"/>
    <w:rsid w:val="004C41AA"/>
    <w:rsid w:val="004D0118"/>
    <w:rsid w:val="004D18CF"/>
    <w:rsid w:val="004D193B"/>
    <w:rsid w:val="004D464D"/>
    <w:rsid w:val="004D51CF"/>
    <w:rsid w:val="004E215A"/>
    <w:rsid w:val="004E56DC"/>
    <w:rsid w:val="004F0345"/>
    <w:rsid w:val="004F323C"/>
    <w:rsid w:val="004F3F5C"/>
    <w:rsid w:val="005030A7"/>
    <w:rsid w:val="005058CD"/>
    <w:rsid w:val="00505E2E"/>
    <w:rsid w:val="00505F07"/>
    <w:rsid w:val="00512D36"/>
    <w:rsid w:val="005164AD"/>
    <w:rsid w:val="0051697A"/>
    <w:rsid w:val="00517407"/>
    <w:rsid w:val="005210BC"/>
    <w:rsid w:val="00537453"/>
    <w:rsid w:val="00540EB1"/>
    <w:rsid w:val="00541DC2"/>
    <w:rsid w:val="00542247"/>
    <w:rsid w:val="00544883"/>
    <w:rsid w:val="00545811"/>
    <w:rsid w:val="00545BD4"/>
    <w:rsid w:val="005463B0"/>
    <w:rsid w:val="00546838"/>
    <w:rsid w:val="00550343"/>
    <w:rsid w:val="005568EC"/>
    <w:rsid w:val="00557A15"/>
    <w:rsid w:val="00560880"/>
    <w:rsid w:val="00562C59"/>
    <w:rsid w:val="00566DC3"/>
    <w:rsid w:val="00567A0D"/>
    <w:rsid w:val="00570E3D"/>
    <w:rsid w:val="0057214E"/>
    <w:rsid w:val="00572E0D"/>
    <w:rsid w:val="00572ED4"/>
    <w:rsid w:val="00576087"/>
    <w:rsid w:val="00576CA2"/>
    <w:rsid w:val="00576CDE"/>
    <w:rsid w:val="00580320"/>
    <w:rsid w:val="00584534"/>
    <w:rsid w:val="00590232"/>
    <w:rsid w:val="00591065"/>
    <w:rsid w:val="00591E83"/>
    <w:rsid w:val="005929DB"/>
    <w:rsid w:val="005930FA"/>
    <w:rsid w:val="00593682"/>
    <w:rsid w:val="00596301"/>
    <w:rsid w:val="00596FF1"/>
    <w:rsid w:val="005A1934"/>
    <w:rsid w:val="005B5A2D"/>
    <w:rsid w:val="005B7552"/>
    <w:rsid w:val="005B7606"/>
    <w:rsid w:val="005B7B2D"/>
    <w:rsid w:val="005C26DD"/>
    <w:rsid w:val="005C39B8"/>
    <w:rsid w:val="005D583F"/>
    <w:rsid w:val="005D6520"/>
    <w:rsid w:val="005D760F"/>
    <w:rsid w:val="005E2A4C"/>
    <w:rsid w:val="005E693A"/>
    <w:rsid w:val="005F045A"/>
    <w:rsid w:val="005F1A34"/>
    <w:rsid w:val="005F5084"/>
    <w:rsid w:val="005F534B"/>
    <w:rsid w:val="00601E4B"/>
    <w:rsid w:val="006045A6"/>
    <w:rsid w:val="00604DFF"/>
    <w:rsid w:val="00606A18"/>
    <w:rsid w:val="006073AC"/>
    <w:rsid w:val="006079A3"/>
    <w:rsid w:val="006079E0"/>
    <w:rsid w:val="00610E5A"/>
    <w:rsid w:val="0062718E"/>
    <w:rsid w:val="006300D9"/>
    <w:rsid w:val="00634EA1"/>
    <w:rsid w:val="00636467"/>
    <w:rsid w:val="0064183D"/>
    <w:rsid w:val="00652221"/>
    <w:rsid w:val="00653F23"/>
    <w:rsid w:val="00656066"/>
    <w:rsid w:val="00665748"/>
    <w:rsid w:val="00667716"/>
    <w:rsid w:val="00667B9F"/>
    <w:rsid w:val="006700C0"/>
    <w:rsid w:val="006720D5"/>
    <w:rsid w:val="00672C10"/>
    <w:rsid w:val="00681039"/>
    <w:rsid w:val="006817D5"/>
    <w:rsid w:val="00684791"/>
    <w:rsid w:val="006853E3"/>
    <w:rsid w:val="00686B4F"/>
    <w:rsid w:val="006934B0"/>
    <w:rsid w:val="00697B02"/>
    <w:rsid w:val="006A1518"/>
    <w:rsid w:val="006A1523"/>
    <w:rsid w:val="006A4361"/>
    <w:rsid w:val="006A6DD9"/>
    <w:rsid w:val="006B1DEB"/>
    <w:rsid w:val="006B50BC"/>
    <w:rsid w:val="006B63FF"/>
    <w:rsid w:val="006B6A19"/>
    <w:rsid w:val="006C37F3"/>
    <w:rsid w:val="006D49E3"/>
    <w:rsid w:val="006D7913"/>
    <w:rsid w:val="006E1E33"/>
    <w:rsid w:val="006E21DF"/>
    <w:rsid w:val="006E573E"/>
    <w:rsid w:val="006E6A51"/>
    <w:rsid w:val="006F2864"/>
    <w:rsid w:val="006F510B"/>
    <w:rsid w:val="006F7C05"/>
    <w:rsid w:val="007035CA"/>
    <w:rsid w:val="00703D10"/>
    <w:rsid w:val="00704133"/>
    <w:rsid w:val="00707260"/>
    <w:rsid w:val="00711C1D"/>
    <w:rsid w:val="00712FF1"/>
    <w:rsid w:val="00713057"/>
    <w:rsid w:val="007142CE"/>
    <w:rsid w:val="007163DF"/>
    <w:rsid w:val="00716706"/>
    <w:rsid w:val="007170E3"/>
    <w:rsid w:val="00720AFB"/>
    <w:rsid w:val="00721C4C"/>
    <w:rsid w:val="00725C98"/>
    <w:rsid w:val="00731533"/>
    <w:rsid w:val="00732281"/>
    <w:rsid w:val="0073320C"/>
    <w:rsid w:val="00733813"/>
    <w:rsid w:val="00734FB5"/>
    <w:rsid w:val="00736310"/>
    <w:rsid w:val="00742A60"/>
    <w:rsid w:val="00743EFF"/>
    <w:rsid w:val="00750B94"/>
    <w:rsid w:val="00750D7C"/>
    <w:rsid w:val="00755DCE"/>
    <w:rsid w:val="00760343"/>
    <w:rsid w:val="007604E6"/>
    <w:rsid w:val="00761D71"/>
    <w:rsid w:val="00765F0F"/>
    <w:rsid w:val="0076609A"/>
    <w:rsid w:val="007817D6"/>
    <w:rsid w:val="007944EE"/>
    <w:rsid w:val="00795BAF"/>
    <w:rsid w:val="007A0C3B"/>
    <w:rsid w:val="007A3BD7"/>
    <w:rsid w:val="007A3D0E"/>
    <w:rsid w:val="007A5D97"/>
    <w:rsid w:val="007B0AA5"/>
    <w:rsid w:val="007C0970"/>
    <w:rsid w:val="007C675B"/>
    <w:rsid w:val="007C7F5E"/>
    <w:rsid w:val="007D0DF8"/>
    <w:rsid w:val="007D2E2D"/>
    <w:rsid w:val="007D5119"/>
    <w:rsid w:val="007D555D"/>
    <w:rsid w:val="007E52C6"/>
    <w:rsid w:val="007F4CC5"/>
    <w:rsid w:val="007F7E1D"/>
    <w:rsid w:val="008013D0"/>
    <w:rsid w:val="00802A80"/>
    <w:rsid w:val="008044A5"/>
    <w:rsid w:val="0080605E"/>
    <w:rsid w:val="008065FA"/>
    <w:rsid w:val="00807EDE"/>
    <w:rsid w:val="008157C4"/>
    <w:rsid w:val="00822592"/>
    <w:rsid w:val="00823BC4"/>
    <w:rsid w:val="00824BF7"/>
    <w:rsid w:val="00824E26"/>
    <w:rsid w:val="008305EE"/>
    <w:rsid w:val="008326C8"/>
    <w:rsid w:val="00834AD7"/>
    <w:rsid w:val="00836C1B"/>
    <w:rsid w:val="00837B63"/>
    <w:rsid w:val="008424C3"/>
    <w:rsid w:val="00843DEE"/>
    <w:rsid w:val="008474C8"/>
    <w:rsid w:val="00850493"/>
    <w:rsid w:val="00856DEE"/>
    <w:rsid w:val="00861784"/>
    <w:rsid w:val="00862895"/>
    <w:rsid w:val="00863DD8"/>
    <w:rsid w:val="00864362"/>
    <w:rsid w:val="0086491E"/>
    <w:rsid w:val="0086582B"/>
    <w:rsid w:val="0086695A"/>
    <w:rsid w:val="00870746"/>
    <w:rsid w:val="00870EAE"/>
    <w:rsid w:val="008712B6"/>
    <w:rsid w:val="00872BA1"/>
    <w:rsid w:val="00876BDC"/>
    <w:rsid w:val="008809EA"/>
    <w:rsid w:val="00886865"/>
    <w:rsid w:val="00890EB5"/>
    <w:rsid w:val="008A1C96"/>
    <w:rsid w:val="008A305F"/>
    <w:rsid w:val="008A47F9"/>
    <w:rsid w:val="008A4BC4"/>
    <w:rsid w:val="008A60D2"/>
    <w:rsid w:val="008B0A3A"/>
    <w:rsid w:val="008B0AFC"/>
    <w:rsid w:val="008B0D00"/>
    <w:rsid w:val="008B5667"/>
    <w:rsid w:val="008B578A"/>
    <w:rsid w:val="008C03F8"/>
    <w:rsid w:val="008C25EF"/>
    <w:rsid w:val="008C678B"/>
    <w:rsid w:val="008C6AA2"/>
    <w:rsid w:val="008D1D11"/>
    <w:rsid w:val="008D27AA"/>
    <w:rsid w:val="008D4F37"/>
    <w:rsid w:val="008D5A0B"/>
    <w:rsid w:val="008D6ADD"/>
    <w:rsid w:val="008D6E06"/>
    <w:rsid w:val="008D777E"/>
    <w:rsid w:val="008E02DF"/>
    <w:rsid w:val="008F466C"/>
    <w:rsid w:val="008F4821"/>
    <w:rsid w:val="00901377"/>
    <w:rsid w:val="00903C68"/>
    <w:rsid w:val="0090441A"/>
    <w:rsid w:val="00906803"/>
    <w:rsid w:val="00906DF2"/>
    <w:rsid w:val="00911203"/>
    <w:rsid w:val="00913B08"/>
    <w:rsid w:val="009163AA"/>
    <w:rsid w:val="00924006"/>
    <w:rsid w:val="00924B0E"/>
    <w:rsid w:val="009253ED"/>
    <w:rsid w:val="0093256C"/>
    <w:rsid w:val="0094496B"/>
    <w:rsid w:val="009455F4"/>
    <w:rsid w:val="00946084"/>
    <w:rsid w:val="0095050F"/>
    <w:rsid w:val="00951C65"/>
    <w:rsid w:val="00952CA6"/>
    <w:rsid w:val="00952CD0"/>
    <w:rsid w:val="00952DC0"/>
    <w:rsid w:val="0095791E"/>
    <w:rsid w:val="009646DB"/>
    <w:rsid w:val="00967185"/>
    <w:rsid w:val="009714F1"/>
    <w:rsid w:val="00973DC4"/>
    <w:rsid w:val="00973FDB"/>
    <w:rsid w:val="009752BB"/>
    <w:rsid w:val="009763E0"/>
    <w:rsid w:val="00984D1F"/>
    <w:rsid w:val="00985ACF"/>
    <w:rsid w:val="00992344"/>
    <w:rsid w:val="00997D7F"/>
    <w:rsid w:val="009A0531"/>
    <w:rsid w:val="009A2EAA"/>
    <w:rsid w:val="009A32A2"/>
    <w:rsid w:val="009A5839"/>
    <w:rsid w:val="009A7094"/>
    <w:rsid w:val="009A75DB"/>
    <w:rsid w:val="009A7DDD"/>
    <w:rsid w:val="009A7E49"/>
    <w:rsid w:val="009B0714"/>
    <w:rsid w:val="009C1FEC"/>
    <w:rsid w:val="009D0249"/>
    <w:rsid w:val="009D471C"/>
    <w:rsid w:val="009D578A"/>
    <w:rsid w:val="009D73BB"/>
    <w:rsid w:val="009E0BF8"/>
    <w:rsid w:val="009E0CAF"/>
    <w:rsid w:val="009E55E7"/>
    <w:rsid w:val="009E5F33"/>
    <w:rsid w:val="009F7686"/>
    <w:rsid w:val="00A01C3B"/>
    <w:rsid w:val="00A03E23"/>
    <w:rsid w:val="00A17E2E"/>
    <w:rsid w:val="00A24472"/>
    <w:rsid w:val="00A314A1"/>
    <w:rsid w:val="00A33497"/>
    <w:rsid w:val="00A3358A"/>
    <w:rsid w:val="00A33B2E"/>
    <w:rsid w:val="00A34B31"/>
    <w:rsid w:val="00A34D1B"/>
    <w:rsid w:val="00A358A4"/>
    <w:rsid w:val="00A35BBB"/>
    <w:rsid w:val="00A400A0"/>
    <w:rsid w:val="00A42DB0"/>
    <w:rsid w:val="00A443FA"/>
    <w:rsid w:val="00A44FEC"/>
    <w:rsid w:val="00A47242"/>
    <w:rsid w:val="00A50CFA"/>
    <w:rsid w:val="00A54146"/>
    <w:rsid w:val="00A55467"/>
    <w:rsid w:val="00A561A7"/>
    <w:rsid w:val="00A56434"/>
    <w:rsid w:val="00A57E95"/>
    <w:rsid w:val="00A7070E"/>
    <w:rsid w:val="00A70ACC"/>
    <w:rsid w:val="00A730D0"/>
    <w:rsid w:val="00A7446C"/>
    <w:rsid w:val="00A76D34"/>
    <w:rsid w:val="00A86CCE"/>
    <w:rsid w:val="00A879A0"/>
    <w:rsid w:val="00A90A16"/>
    <w:rsid w:val="00A9237C"/>
    <w:rsid w:val="00A93E73"/>
    <w:rsid w:val="00A9470E"/>
    <w:rsid w:val="00A94F95"/>
    <w:rsid w:val="00AA5EAE"/>
    <w:rsid w:val="00AB342B"/>
    <w:rsid w:val="00AB4B1C"/>
    <w:rsid w:val="00AC05A7"/>
    <w:rsid w:val="00AC0806"/>
    <w:rsid w:val="00AC3304"/>
    <w:rsid w:val="00AC4FA3"/>
    <w:rsid w:val="00AC5956"/>
    <w:rsid w:val="00AD141D"/>
    <w:rsid w:val="00AE0B6D"/>
    <w:rsid w:val="00AE1E0B"/>
    <w:rsid w:val="00AE72CD"/>
    <w:rsid w:val="00AF0E6D"/>
    <w:rsid w:val="00AF17E5"/>
    <w:rsid w:val="00AF5FEB"/>
    <w:rsid w:val="00B00F95"/>
    <w:rsid w:val="00B01875"/>
    <w:rsid w:val="00B02258"/>
    <w:rsid w:val="00B04CC1"/>
    <w:rsid w:val="00B06CA1"/>
    <w:rsid w:val="00B077A4"/>
    <w:rsid w:val="00B07DF2"/>
    <w:rsid w:val="00B07E1A"/>
    <w:rsid w:val="00B103DA"/>
    <w:rsid w:val="00B13EAE"/>
    <w:rsid w:val="00B20A52"/>
    <w:rsid w:val="00B21638"/>
    <w:rsid w:val="00B238EF"/>
    <w:rsid w:val="00B33340"/>
    <w:rsid w:val="00B340E7"/>
    <w:rsid w:val="00B35F4D"/>
    <w:rsid w:val="00B42E26"/>
    <w:rsid w:val="00B43411"/>
    <w:rsid w:val="00B45B88"/>
    <w:rsid w:val="00B51A96"/>
    <w:rsid w:val="00B51DBF"/>
    <w:rsid w:val="00B52FEC"/>
    <w:rsid w:val="00B53AA4"/>
    <w:rsid w:val="00B57524"/>
    <w:rsid w:val="00B643B7"/>
    <w:rsid w:val="00B711AC"/>
    <w:rsid w:val="00B7247E"/>
    <w:rsid w:val="00B74445"/>
    <w:rsid w:val="00B76F0A"/>
    <w:rsid w:val="00B85956"/>
    <w:rsid w:val="00B90B2E"/>
    <w:rsid w:val="00B90C34"/>
    <w:rsid w:val="00B95B4B"/>
    <w:rsid w:val="00B97EB8"/>
    <w:rsid w:val="00BA04A8"/>
    <w:rsid w:val="00BA573B"/>
    <w:rsid w:val="00BB12AF"/>
    <w:rsid w:val="00BB1459"/>
    <w:rsid w:val="00BC0059"/>
    <w:rsid w:val="00BC0D2C"/>
    <w:rsid w:val="00BC3A58"/>
    <w:rsid w:val="00BC555E"/>
    <w:rsid w:val="00BC6391"/>
    <w:rsid w:val="00BC651D"/>
    <w:rsid w:val="00BD1040"/>
    <w:rsid w:val="00BD456C"/>
    <w:rsid w:val="00BF5C57"/>
    <w:rsid w:val="00C007EE"/>
    <w:rsid w:val="00C04CA6"/>
    <w:rsid w:val="00C2153F"/>
    <w:rsid w:val="00C21FF8"/>
    <w:rsid w:val="00C23D4B"/>
    <w:rsid w:val="00C33046"/>
    <w:rsid w:val="00C339F7"/>
    <w:rsid w:val="00C367DC"/>
    <w:rsid w:val="00C4016D"/>
    <w:rsid w:val="00C401D7"/>
    <w:rsid w:val="00C427E4"/>
    <w:rsid w:val="00C4660B"/>
    <w:rsid w:val="00C52F32"/>
    <w:rsid w:val="00C60431"/>
    <w:rsid w:val="00C61A43"/>
    <w:rsid w:val="00C621AB"/>
    <w:rsid w:val="00C623B9"/>
    <w:rsid w:val="00C62FD0"/>
    <w:rsid w:val="00C647E2"/>
    <w:rsid w:val="00C64875"/>
    <w:rsid w:val="00C663B3"/>
    <w:rsid w:val="00C70EA9"/>
    <w:rsid w:val="00C72182"/>
    <w:rsid w:val="00C74584"/>
    <w:rsid w:val="00C757CB"/>
    <w:rsid w:val="00C82468"/>
    <w:rsid w:val="00C85627"/>
    <w:rsid w:val="00C87023"/>
    <w:rsid w:val="00C9150B"/>
    <w:rsid w:val="00C9171C"/>
    <w:rsid w:val="00CA23B0"/>
    <w:rsid w:val="00CA6755"/>
    <w:rsid w:val="00CB0337"/>
    <w:rsid w:val="00CB1AB6"/>
    <w:rsid w:val="00CB22B9"/>
    <w:rsid w:val="00CB73F5"/>
    <w:rsid w:val="00CC330B"/>
    <w:rsid w:val="00CD72D9"/>
    <w:rsid w:val="00CD7E2F"/>
    <w:rsid w:val="00CE123E"/>
    <w:rsid w:val="00CE1DE9"/>
    <w:rsid w:val="00CF176A"/>
    <w:rsid w:val="00CF2934"/>
    <w:rsid w:val="00D00F9C"/>
    <w:rsid w:val="00D00FAB"/>
    <w:rsid w:val="00D0173D"/>
    <w:rsid w:val="00D06C0A"/>
    <w:rsid w:val="00D07EEA"/>
    <w:rsid w:val="00D12934"/>
    <w:rsid w:val="00D14BD1"/>
    <w:rsid w:val="00D17D9F"/>
    <w:rsid w:val="00D201F0"/>
    <w:rsid w:val="00D21CE1"/>
    <w:rsid w:val="00D26E78"/>
    <w:rsid w:val="00D3029F"/>
    <w:rsid w:val="00D3065E"/>
    <w:rsid w:val="00D31F54"/>
    <w:rsid w:val="00D33814"/>
    <w:rsid w:val="00D34573"/>
    <w:rsid w:val="00D4187A"/>
    <w:rsid w:val="00D42BDD"/>
    <w:rsid w:val="00D50406"/>
    <w:rsid w:val="00D521E7"/>
    <w:rsid w:val="00D52EF7"/>
    <w:rsid w:val="00D61C37"/>
    <w:rsid w:val="00D61E7E"/>
    <w:rsid w:val="00D7409E"/>
    <w:rsid w:val="00D75FBF"/>
    <w:rsid w:val="00D81C06"/>
    <w:rsid w:val="00D838DB"/>
    <w:rsid w:val="00D84F6F"/>
    <w:rsid w:val="00D904C2"/>
    <w:rsid w:val="00D90A27"/>
    <w:rsid w:val="00D941F5"/>
    <w:rsid w:val="00DA3CAE"/>
    <w:rsid w:val="00DA4461"/>
    <w:rsid w:val="00DA7778"/>
    <w:rsid w:val="00DA780E"/>
    <w:rsid w:val="00DC02C9"/>
    <w:rsid w:val="00DC21E4"/>
    <w:rsid w:val="00DC2FD3"/>
    <w:rsid w:val="00DC3016"/>
    <w:rsid w:val="00DC5221"/>
    <w:rsid w:val="00DC679D"/>
    <w:rsid w:val="00DC6DD5"/>
    <w:rsid w:val="00DC6E46"/>
    <w:rsid w:val="00DD194B"/>
    <w:rsid w:val="00DD4DFA"/>
    <w:rsid w:val="00DD55EB"/>
    <w:rsid w:val="00DD56B7"/>
    <w:rsid w:val="00DD64D8"/>
    <w:rsid w:val="00DD6676"/>
    <w:rsid w:val="00DD6E52"/>
    <w:rsid w:val="00DD7F8D"/>
    <w:rsid w:val="00DE3A23"/>
    <w:rsid w:val="00DE69F4"/>
    <w:rsid w:val="00DE6D4F"/>
    <w:rsid w:val="00DE7782"/>
    <w:rsid w:val="00DF2BB7"/>
    <w:rsid w:val="00DF5F21"/>
    <w:rsid w:val="00E015F7"/>
    <w:rsid w:val="00E0317F"/>
    <w:rsid w:val="00E03A39"/>
    <w:rsid w:val="00E042C5"/>
    <w:rsid w:val="00E043F1"/>
    <w:rsid w:val="00E04586"/>
    <w:rsid w:val="00E06664"/>
    <w:rsid w:val="00E10525"/>
    <w:rsid w:val="00E15A82"/>
    <w:rsid w:val="00E210ED"/>
    <w:rsid w:val="00E221D5"/>
    <w:rsid w:val="00E22DF1"/>
    <w:rsid w:val="00E27BF5"/>
    <w:rsid w:val="00E303E6"/>
    <w:rsid w:val="00E3278E"/>
    <w:rsid w:val="00E32AEB"/>
    <w:rsid w:val="00E35462"/>
    <w:rsid w:val="00E359C6"/>
    <w:rsid w:val="00E35DFD"/>
    <w:rsid w:val="00E36568"/>
    <w:rsid w:val="00E37369"/>
    <w:rsid w:val="00E45FF3"/>
    <w:rsid w:val="00E531DC"/>
    <w:rsid w:val="00E53297"/>
    <w:rsid w:val="00E53566"/>
    <w:rsid w:val="00E61AD6"/>
    <w:rsid w:val="00E650A1"/>
    <w:rsid w:val="00E65A25"/>
    <w:rsid w:val="00E66703"/>
    <w:rsid w:val="00E67A02"/>
    <w:rsid w:val="00E73995"/>
    <w:rsid w:val="00E7601B"/>
    <w:rsid w:val="00E8041E"/>
    <w:rsid w:val="00E860B9"/>
    <w:rsid w:val="00E86214"/>
    <w:rsid w:val="00E862F7"/>
    <w:rsid w:val="00E91F9F"/>
    <w:rsid w:val="00E9218D"/>
    <w:rsid w:val="00E93984"/>
    <w:rsid w:val="00EA2F89"/>
    <w:rsid w:val="00EA351A"/>
    <w:rsid w:val="00EA7645"/>
    <w:rsid w:val="00EB4FC5"/>
    <w:rsid w:val="00EB588C"/>
    <w:rsid w:val="00EC210F"/>
    <w:rsid w:val="00ED26C3"/>
    <w:rsid w:val="00ED401A"/>
    <w:rsid w:val="00ED5DB5"/>
    <w:rsid w:val="00EE0182"/>
    <w:rsid w:val="00EE1B77"/>
    <w:rsid w:val="00EE1D40"/>
    <w:rsid w:val="00EE246B"/>
    <w:rsid w:val="00EE3AFC"/>
    <w:rsid w:val="00EE523C"/>
    <w:rsid w:val="00EE5B3B"/>
    <w:rsid w:val="00EF20AD"/>
    <w:rsid w:val="00EF315B"/>
    <w:rsid w:val="00EF5953"/>
    <w:rsid w:val="00EF59F6"/>
    <w:rsid w:val="00F04155"/>
    <w:rsid w:val="00F05517"/>
    <w:rsid w:val="00F06593"/>
    <w:rsid w:val="00F12F6B"/>
    <w:rsid w:val="00F1337B"/>
    <w:rsid w:val="00F1518E"/>
    <w:rsid w:val="00F201B2"/>
    <w:rsid w:val="00F204D0"/>
    <w:rsid w:val="00F212DC"/>
    <w:rsid w:val="00F22363"/>
    <w:rsid w:val="00F2354C"/>
    <w:rsid w:val="00F2475A"/>
    <w:rsid w:val="00F3018E"/>
    <w:rsid w:val="00F34AF5"/>
    <w:rsid w:val="00F36A0C"/>
    <w:rsid w:val="00F409D9"/>
    <w:rsid w:val="00F45FDB"/>
    <w:rsid w:val="00F4790B"/>
    <w:rsid w:val="00F50289"/>
    <w:rsid w:val="00F51C7A"/>
    <w:rsid w:val="00F574D7"/>
    <w:rsid w:val="00F634EA"/>
    <w:rsid w:val="00F63D16"/>
    <w:rsid w:val="00F63D75"/>
    <w:rsid w:val="00F73F57"/>
    <w:rsid w:val="00F743E6"/>
    <w:rsid w:val="00F8262E"/>
    <w:rsid w:val="00F92D60"/>
    <w:rsid w:val="00F93D9C"/>
    <w:rsid w:val="00F95F5E"/>
    <w:rsid w:val="00F96D69"/>
    <w:rsid w:val="00F97150"/>
    <w:rsid w:val="00FA32A1"/>
    <w:rsid w:val="00FA3FE3"/>
    <w:rsid w:val="00FA5C92"/>
    <w:rsid w:val="00FB0351"/>
    <w:rsid w:val="00FB28A3"/>
    <w:rsid w:val="00FB5B93"/>
    <w:rsid w:val="00FB6012"/>
    <w:rsid w:val="00FC532E"/>
    <w:rsid w:val="00FD1C61"/>
    <w:rsid w:val="00FD3D5E"/>
    <w:rsid w:val="00FD7480"/>
    <w:rsid w:val="00FD7821"/>
    <w:rsid w:val="00FE639C"/>
    <w:rsid w:val="00FE7058"/>
    <w:rsid w:val="00FF3674"/>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14"/>
    <w:rPr>
      <w:sz w:val="24"/>
      <w:szCs w:val="24"/>
    </w:rPr>
  </w:style>
  <w:style w:type="paragraph" w:styleId="Heading1">
    <w:name w:val="heading 1"/>
    <w:basedOn w:val="Normal"/>
    <w:next w:val="Normal"/>
    <w:qFormat/>
    <w:rsid w:val="00D3381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33814"/>
    <w:pPr>
      <w:spacing w:before="28"/>
      <w:ind w:right="90"/>
    </w:pPr>
    <w:rPr>
      <w:sz w:val="19"/>
      <w:szCs w:val="19"/>
    </w:rPr>
  </w:style>
  <w:style w:type="paragraph" w:styleId="Header">
    <w:name w:val="header"/>
    <w:basedOn w:val="Normal"/>
    <w:semiHidden/>
    <w:rsid w:val="00D33814"/>
    <w:pPr>
      <w:tabs>
        <w:tab w:val="center" w:pos="4320"/>
        <w:tab w:val="right" w:pos="8640"/>
      </w:tabs>
    </w:pPr>
  </w:style>
  <w:style w:type="paragraph" w:styleId="Footer">
    <w:name w:val="footer"/>
    <w:basedOn w:val="Normal"/>
    <w:semiHidden/>
    <w:rsid w:val="00D33814"/>
    <w:pPr>
      <w:tabs>
        <w:tab w:val="center" w:pos="4320"/>
        <w:tab w:val="right" w:pos="8640"/>
      </w:tabs>
    </w:pPr>
  </w:style>
  <w:style w:type="character" w:styleId="PageNumber">
    <w:name w:val="page number"/>
    <w:basedOn w:val="DefaultParagraphFont"/>
    <w:semiHidden/>
    <w:rsid w:val="00D33814"/>
  </w:style>
  <w:style w:type="paragraph" w:styleId="FootnoteText">
    <w:name w:val="footnote text"/>
    <w:basedOn w:val="Normal"/>
    <w:link w:val="FootnoteTextChar"/>
    <w:semiHidden/>
    <w:rsid w:val="00D33814"/>
    <w:pPr>
      <w:ind w:firstLine="720"/>
    </w:pPr>
    <w:rPr>
      <w:szCs w:val="20"/>
    </w:rPr>
  </w:style>
  <w:style w:type="character" w:styleId="FootnoteReference">
    <w:name w:val="footnote reference"/>
    <w:basedOn w:val="DefaultParagraphFont"/>
    <w:rsid w:val="00D33814"/>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B51DBF"/>
    <w:rPr>
      <w:sz w:val="24"/>
    </w:rPr>
  </w:style>
  <w:style w:type="paragraph" w:styleId="NoSpacing">
    <w:name w:val="No Spacing"/>
    <w:uiPriority w:val="1"/>
    <w:qFormat/>
    <w:rsid w:val="00B51DBF"/>
    <w:pPr>
      <w:widowControl w:val="0"/>
      <w:autoSpaceDE w:val="0"/>
      <w:autoSpaceDN w:val="0"/>
      <w:adjustRightInd w:val="0"/>
    </w:pPr>
    <w:rPr>
      <w:sz w:val="24"/>
      <w:szCs w:val="24"/>
    </w:rPr>
  </w:style>
  <w:style w:type="paragraph" w:styleId="BodyTextIndent">
    <w:name w:val="Body Text Indent"/>
    <w:basedOn w:val="Normal"/>
    <w:link w:val="BodyTextIndentChar"/>
    <w:semiHidden/>
    <w:rsid w:val="004A7BB8"/>
    <w:pPr>
      <w:spacing w:line="480" w:lineRule="auto"/>
      <w:ind w:left="360"/>
    </w:pPr>
  </w:style>
  <w:style w:type="character" w:customStyle="1" w:styleId="BodyTextIndentChar">
    <w:name w:val="Body Text Indent Char"/>
    <w:basedOn w:val="DefaultParagraphFont"/>
    <w:link w:val="BodyTextIndent"/>
    <w:semiHidden/>
    <w:rsid w:val="004A7BB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8453-07E0-4B7E-964D-387F4161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10</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cp:lastModifiedBy>Tammy Cleaver</cp:lastModifiedBy>
  <cp:revision>2</cp:revision>
  <cp:lastPrinted>2009-10-09T17:58:00Z</cp:lastPrinted>
  <dcterms:created xsi:type="dcterms:W3CDTF">2009-10-09T21:52:00Z</dcterms:created>
  <dcterms:modified xsi:type="dcterms:W3CDTF">2009-10-09T21:52:00Z</dcterms:modified>
</cp:coreProperties>
</file>