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E158F7" w:rsidRDefault="00E158F7" w:rsidP="00E158F7">
      <w:pPr>
        <w:jc w:val="right"/>
        <w:rPr>
          <w:b/>
          <w:sz w:val="36"/>
        </w:rPr>
      </w:pPr>
      <w:r w:rsidRPr="00E158F7">
        <w:rPr>
          <w:b/>
        </w:rPr>
        <w:t>FILED OCTOBER 27, 2009</w:t>
      </w:r>
    </w:p>
    <w:p w:rsidR="00432495" w:rsidRDefault="00432495"/>
    <w:p w:rsidR="00E5529E" w:rsidRDefault="00E5529E"/>
    <w:p w:rsidR="00E5529E" w:rsidRDefault="00E5529E"/>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0E7B8C">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rsidTr="00B51DBF">
        <w:trPr>
          <w:cantSplit/>
          <w:trHeight w:val="462"/>
        </w:trPr>
        <w:tc>
          <w:tcPr>
            <w:tcW w:w="4373" w:type="dxa"/>
            <w:vMerge w:val="restart"/>
          </w:tcPr>
          <w:p w:rsidR="003D3B12" w:rsidRDefault="003D3B12">
            <w:r>
              <w:t>In the Matter of</w:t>
            </w:r>
          </w:p>
          <w:p w:rsidR="003D3B12" w:rsidRDefault="003D3B12">
            <w:pPr>
              <w:rPr>
                <w:b/>
                <w:bCs/>
              </w:rPr>
            </w:pPr>
          </w:p>
          <w:p w:rsidR="003D3B12" w:rsidRDefault="006A3290">
            <w:pPr>
              <w:rPr>
                <w:b/>
                <w:bCs/>
              </w:rPr>
            </w:pPr>
            <w:bookmarkStart w:id="1" w:name="resp"/>
            <w:bookmarkEnd w:id="1"/>
            <w:r>
              <w:rPr>
                <w:b/>
                <w:bCs/>
              </w:rPr>
              <w:t>ALAN PETER DOVE</w:t>
            </w:r>
            <w:r w:rsidR="000E7B8C">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6A3290">
              <w:rPr>
                <w:b/>
                <w:bCs/>
              </w:rPr>
              <w:t>168582</w:t>
            </w:r>
            <w:r w:rsidR="000E7B8C">
              <w:rPr>
                <w:b/>
                <w:bCs/>
              </w:rPr>
              <w:t>,</w:t>
            </w:r>
          </w:p>
          <w:p w:rsidR="003D3B12" w:rsidRDefault="003D3B12">
            <w:pPr>
              <w:rPr>
                <w:b/>
                <w:bCs/>
              </w:rPr>
            </w:pPr>
          </w:p>
          <w:p w:rsidR="003D3B12" w:rsidRDefault="00B51DBF">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6" w:type="dxa"/>
            <w:tcBorders>
              <w:bottom w:val="nil"/>
            </w:tcBorders>
          </w:tcPr>
          <w:p w:rsidR="003D3B12" w:rsidRDefault="003D3B12">
            <w:r>
              <w:t>Case No.:</w:t>
            </w:r>
          </w:p>
        </w:tc>
        <w:tc>
          <w:tcPr>
            <w:tcW w:w="3464" w:type="dxa"/>
          </w:tcPr>
          <w:p w:rsidR="003D3B12" w:rsidRDefault="006A3290" w:rsidP="00B009C6">
            <w:pPr>
              <w:rPr>
                <w:b/>
                <w:bCs/>
              </w:rPr>
            </w:pPr>
            <w:bookmarkStart w:id="4" w:name="caseno"/>
            <w:bookmarkEnd w:id="4"/>
            <w:r>
              <w:rPr>
                <w:b/>
                <w:bCs/>
              </w:rPr>
              <w:t>09-N-13309</w:t>
            </w:r>
            <w:r w:rsidR="007A0C3B">
              <w:rPr>
                <w:b/>
                <w:bCs/>
              </w:rPr>
              <w:t>-DFM</w:t>
            </w:r>
          </w:p>
        </w:tc>
      </w:tr>
      <w:tr w:rsidR="003D3B12" w:rsidTr="00B51DBF">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213DC9" w:rsidRDefault="00213DC9">
            <w:pPr>
              <w:rPr>
                <w:b/>
                <w:bCs/>
              </w:rPr>
            </w:pPr>
            <w:bookmarkStart w:id="5" w:name="title"/>
            <w:bookmarkEnd w:id="5"/>
          </w:p>
          <w:p w:rsidR="003D3B12" w:rsidRDefault="00B51DBF">
            <w:pPr>
              <w:rPr>
                <w:b/>
                <w:bCs/>
              </w:rPr>
            </w:pPr>
            <w:r>
              <w:rPr>
                <w:b/>
                <w:bCs/>
              </w:rPr>
              <w:t>DECISION</w:t>
            </w:r>
            <w:r w:rsidR="000E7B8C">
              <w:rPr>
                <w:b/>
                <w:bCs/>
              </w:rPr>
              <w:t xml:space="preserve"> AND ORDER OF INVOLUNTARY INACTIVE ENROLLMENT</w:t>
            </w:r>
          </w:p>
        </w:tc>
      </w:tr>
    </w:tbl>
    <w:p w:rsidR="003F7735" w:rsidRDefault="003F7735" w:rsidP="003F7735">
      <w:pPr>
        <w:tabs>
          <w:tab w:val="center" w:pos="4680"/>
        </w:tabs>
        <w:jc w:val="center"/>
        <w:rPr>
          <w:b/>
          <w:bCs/>
        </w:rPr>
      </w:pPr>
    </w:p>
    <w:p w:rsidR="00B51DBF" w:rsidRDefault="007A0C3B" w:rsidP="004423E6">
      <w:pPr>
        <w:tabs>
          <w:tab w:val="center" w:pos="4680"/>
        </w:tabs>
        <w:spacing w:line="480" w:lineRule="auto"/>
        <w:jc w:val="center"/>
        <w:rPr>
          <w:b/>
          <w:bCs/>
        </w:rPr>
      </w:pPr>
      <w:r w:rsidRPr="000C31B9">
        <w:rPr>
          <w:b/>
          <w:bCs/>
        </w:rPr>
        <w:t>INTRODUCTION</w:t>
      </w:r>
    </w:p>
    <w:p w:rsidR="007A0C3B" w:rsidRDefault="007A0C3B" w:rsidP="007A0C3B">
      <w:pPr>
        <w:spacing w:line="480" w:lineRule="auto"/>
        <w:ind w:firstLine="720"/>
      </w:pPr>
      <w:r>
        <w:t xml:space="preserve">In this default disciplinary matter, respondent </w:t>
      </w:r>
      <w:r w:rsidR="006A3290">
        <w:rPr>
          <w:b/>
        </w:rPr>
        <w:t>Alan Peter Dove</w:t>
      </w:r>
      <w:r>
        <w:t xml:space="preserve"> is found culpable, by clear and convincing evidence, of failing to comply with California Rules of Court, rule 9.20,</w:t>
      </w:r>
      <w:r>
        <w:rPr>
          <w:rStyle w:val="FootnoteReference"/>
        </w:rPr>
        <w:footnoteReference w:id="1"/>
      </w:r>
      <w:r>
        <w:t xml:space="preserve"> as ordered by the California Supreme Court on </w:t>
      </w:r>
      <w:r w:rsidR="006A3290">
        <w:t>April 3, 2009</w:t>
      </w:r>
      <w:r>
        <w:t>.  In view of respondent’s misconduct and the evidence in aggravation, the court recommends, among other things, that respondent be disbarred from the practice of law.</w:t>
      </w:r>
    </w:p>
    <w:p w:rsidR="00B51DBF" w:rsidRPr="000C31B9" w:rsidRDefault="007A0C3B" w:rsidP="004423E6">
      <w:pPr>
        <w:tabs>
          <w:tab w:val="center" w:pos="4680"/>
        </w:tabs>
        <w:spacing w:line="480" w:lineRule="auto"/>
        <w:jc w:val="center"/>
      </w:pPr>
      <w:r w:rsidRPr="000C31B9">
        <w:rPr>
          <w:b/>
          <w:bCs/>
        </w:rPr>
        <w:t>PERTINENT PROCEDURAL HISTORY</w:t>
      </w:r>
    </w:p>
    <w:p w:rsidR="00BE5EF4" w:rsidRDefault="009763E0" w:rsidP="004423E6">
      <w:pPr>
        <w:spacing w:line="480" w:lineRule="auto"/>
        <w:ind w:firstLine="720"/>
      </w:pPr>
      <w:r w:rsidRPr="009763E0">
        <w:t xml:space="preserve">On </w:t>
      </w:r>
      <w:r w:rsidR="006A3290">
        <w:t>July 17</w:t>
      </w:r>
      <w:r w:rsidRPr="009763E0">
        <w:t>, 2009, the Office of the Chief Trial Counsel of the State Bar of California filed its Notice of Disciplinary Charges (NDC)</w:t>
      </w:r>
      <w:r w:rsidR="00BE5EF4">
        <w:t xml:space="preserve"> in this matter.  It</w:t>
      </w:r>
      <w:r>
        <w:t xml:space="preserve"> </w:t>
      </w:r>
      <w:r w:rsidR="00BE5EF4">
        <w:t>consists</w:t>
      </w:r>
      <w:r w:rsidRPr="009763E0">
        <w:t xml:space="preserve"> of a single count alleging that re</w:t>
      </w:r>
      <w:r w:rsidR="00BE5EF4">
        <w:t>spondent failed to comply with a</w:t>
      </w:r>
      <w:r w:rsidRPr="009763E0">
        <w:t xml:space="preserve"> California Supreme Court order </w:t>
      </w:r>
      <w:r w:rsidR="00BE5EF4">
        <w:t>requiring respondent to</w:t>
      </w:r>
      <w:r w:rsidRPr="009763E0">
        <w:t xml:space="preserve"> perform the acts set out in </w:t>
      </w:r>
      <w:r w:rsidR="00584534">
        <w:t>paragraph</w:t>
      </w:r>
      <w:r w:rsidRPr="009763E0">
        <w:t xml:space="preserve"> (c) of rule 9.20 of the California Rules of Court.  </w:t>
      </w:r>
    </w:p>
    <w:p w:rsidR="00355EF4" w:rsidRDefault="009763E0" w:rsidP="004423E6">
      <w:pPr>
        <w:spacing w:line="480" w:lineRule="auto"/>
        <w:ind w:firstLine="720"/>
      </w:pPr>
      <w:r w:rsidRPr="009763E0">
        <w:lastRenderedPageBreak/>
        <w:t xml:space="preserve">A copy of the NDC was properly served on respondent on </w:t>
      </w:r>
      <w:r w:rsidR="006A3290">
        <w:t>July</w:t>
      </w:r>
      <w:r w:rsidRPr="009763E0">
        <w:t xml:space="preserve"> </w:t>
      </w:r>
      <w:r w:rsidR="00B009C6">
        <w:t>1</w:t>
      </w:r>
      <w:r w:rsidRPr="009763E0">
        <w:t xml:space="preserve">7, 2009, by certified mail, return receipt requested, addressed to </w:t>
      </w:r>
      <w:r w:rsidR="00E0470A">
        <w:t>respondent at his</w:t>
      </w:r>
      <w:r w:rsidRPr="009763E0">
        <w:t xml:space="preserve"> official membership records address (official address)</w:t>
      </w:r>
      <w:r w:rsidR="002778C7">
        <w:t>.</w:t>
      </w:r>
      <w:r w:rsidR="00FC065C">
        <w:rPr>
          <w:rStyle w:val="FootnoteReference"/>
        </w:rPr>
        <w:footnoteReference w:id="2"/>
      </w:r>
      <w:r w:rsidR="002778C7">
        <w:t xml:space="preserve">  </w:t>
      </w:r>
      <w:r w:rsidR="00257F79">
        <w:t xml:space="preserve">On </w:t>
      </w:r>
      <w:r w:rsidR="006A3290">
        <w:t>July 24</w:t>
      </w:r>
      <w:r w:rsidR="00257F79">
        <w:t xml:space="preserve">, 2009, the return receipt was returned </w:t>
      </w:r>
      <w:r w:rsidR="00A50D9A">
        <w:t xml:space="preserve">to the State Bar </w:t>
      </w:r>
      <w:r w:rsidR="00257F79">
        <w:t>by the United States Postal Service</w:t>
      </w:r>
      <w:r w:rsidR="00D1471B">
        <w:t xml:space="preserve"> as undeliverable</w:t>
      </w:r>
      <w:r w:rsidR="00A50D9A">
        <w:t>.</w:t>
      </w:r>
    </w:p>
    <w:p w:rsidR="001D529B" w:rsidRDefault="00957582" w:rsidP="004423E6">
      <w:pPr>
        <w:spacing w:line="480" w:lineRule="auto"/>
        <w:ind w:firstLine="720"/>
      </w:pPr>
      <w:r>
        <w:t xml:space="preserve">The State Bar </w:t>
      </w:r>
      <w:r w:rsidR="00835A58">
        <w:t xml:space="preserve">subsequently </w:t>
      </w:r>
      <w:r>
        <w:t xml:space="preserve">made </w:t>
      </w:r>
      <w:r w:rsidR="00835A58">
        <w:t>additional</w:t>
      </w:r>
      <w:r>
        <w:t xml:space="preserve"> efforts to communicate with respondent, including </w:t>
      </w:r>
      <w:r w:rsidR="0043710C">
        <w:t>calling the telephone number</w:t>
      </w:r>
      <w:r w:rsidR="000D3DD5">
        <w:t xml:space="preserve"> listed in </w:t>
      </w:r>
      <w:r>
        <w:t>respondent’s</w:t>
      </w:r>
      <w:r w:rsidR="00864362">
        <w:t xml:space="preserve"> official membership records</w:t>
      </w:r>
      <w:r w:rsidR="0043710C">
        <w:t>, and conducting internet searches using Whitepages.com and Google.com</w:t>
      </w:r>
      <w:r w:rsidR="00864362">
        <w:t xml:space="preserve">. </w:t>
      </w:r>
      <w:r w:rsidR="00FC065C">
        <w:t xml:space="preserve"> </w:t>
      </w:r>
      <w:r w:rsidR="00BE5EF4">
        <w:t>A</w:t>
      </w:r>
      <w:r w:rsidR="00C73C27">
        <w:t>ll t</w:t>
      </w:r>
      <w:r w:rsidR="0043710C">
        <w:t xml:space="preserve">he State Bar’s </w:t>
      </w:r>
      <w:r w:rsidR="00681321">
        <w:t xml:space="preserve">additional </w:t>
      </w:r>
      <w:r w:rsidR="0043710C">
        <w:t>efforts to communicate with respondent</w:t>
      </w:r>
      <w:r w:rsidR="00C73C27">
        <w:t xml:space="preserve"> proved</w:t>
      </w:r>
      <w:r w:rsidR="0043710C">
        <w:t xml:space="preserve"> unsuccessful</w:t>
      </w:r>
      <w:r w:rsidR="00864362">
        <w:t xml:space="preserve">.  </w:t>
      </w:r>
    </w:p>
    <w:p w:rsidR="009763E0" w:rsidRDefault="008249DE" w:rsidP="004423E6">
      <w:pPr>
        <w:spacing w:line="480" w:lineRule="auto"/>
        <w:ind w:firstLine="720"/>
      </w:pPr>
      <w:r>
        <w:t>The court finds respondent was properly served with a copy of the NDC and</w:t>
      </w:r>
      <w:r w:rsidR="00ED401A" w:rsidRPr="00ED401A">
        <w:t xml:space="preserve"> </w:t>
      </w:r>
      <w:r>
        <w:t xml:space="preserve">that </w:t>
      </w:r>
      <w:r w:rsidR="00ED401A" w:rsidRPr="00ED401A">
        <w:t xml:space="preserve">all due process requirements have been </w:t>
      </w:r>
      <w:r w:rsidR="008D0860">
        <w:t xml:space="preserve">adequately </w:t>
      </w:r>
      <w:r w:rsidR="00ED401A" w:rsidRPr="00ED401A">
        <w:t>satisfied</w:t>
      </w:r>
      <w:r w:rsidR="005D583F">
        <w:t xml:space="preserve">.  </w:t>
      </w:r>
      <w:proofErr w:type="gramStart"/>
      <w:r w:rsidR="005D583F">
        <w:t>(</w:t>
      </w:r>
      <w:r w:rsidR="004B6E24">
        <w:t xml:space="preserve">See </w:t>
      </w:r>
      <w:r w:rsidR="00ED401A" w:rsidRPr="005D583F">
        <w:rPr>
          <w:i/>
        </w:rPr>
        <w:t>Jones v. Flowers</w:t>
      </w:r>
      <w:r w:rsidR="00ED401A" w:rsidRPr="00ED401A">
        <w:t xml:space="preserve"> (2006) 547 U.S. 220, 224-227, 234.)</w:t>
      </w:r>
      <w:proofErr w:type="gramEnd"/>
    </w:p>
    <w:p w:rsidR="00355EF4" w:rsidRDefault="00D12934" w:rsidP="00BE5EF4">
      <w:pPr>
        <w:spacing w:line="480" w:lineRule="auto"/>
        <w:ind w:firstLine="720"/>
      </w:pPr>
      <w:r w:rsidRPr="00D12934">
        <w:t xml:space="preserve">Respondent was required to file a response to the NDC no later than </w:t>
      </w:r>
      <w:r w:rsidR="00B21849">
        <w:t>August 11</w:t>
      </w:r>
      <w:r w:rsidRPr="00D12934">
        <w:t>, 2009.  (Rules Proc. of State Bar, rules 103(a), 584.)</w:t>
      </w:r>
      <w:r w:rsidR="00681039">
        <w:t xml:space="preserve">  </w:t>
      </w:r>
      <w:r w:rsidR="00BE5EF4">
        <w:t xml:space="preserve">Respondent did not file a response to the NDC.  </w:t>
      </w:r>
      <w:proofErr w:type="gramStart"/>
      <w:r w:rsidR="00BE5EF4">
        <w:t>(Rules Proc. of State Bar, rule 103.)</w:t>
      </w:r>
      <w:proofErr w:type="gramEnd"/>
      <w:r w:rsidR="00BE5EF4">
        <w:t xml:space="preserve">  </w:t>
      </w:r>
      <w:r>
        <w:t>O</w:t>
      </w:r>
      <w:r w:rsidRPr="00D12934">
        <w:t xml:space="preserve">n </w:t>
      </w:r>
      <w:r w:rsidR="009C477B">
        <w:t>August 13</w:t>
      </w:r>
      <w:r w:rsidRPr="00D12934">
        <w:t>, 2009, the State Bar filed a motion for the entry of respondent</w:t>
      </w:r>
      <w:r>
        <w:t>’</w:t>
      </w:r>
      <w:r w:rsidRPr="00D12934">
        <w:t>s default</w:t>
      </w:r>
      <w:r>
        <w:t>.  A copy of said motion was</w:t>
      </w:r>
      <w:r w:rsidRPr="00D12934">
        <w:t xml:space="preserve"> properly served </w:t>
      </w:r>
      <w:r>
        <w:t xml:space="preserve">on </w:t>
      </w:r>
      <w:r w:rsidRPr="00D12934">
        <w:t>respondent</w:t>
      </w:r>
      <w:r w:rsidR="001D529B">
        <w:t xml:space="preserve"> on </w:t>
      </w:r>
      <w:r w:rsidR="00223093">
        <w:t>August 13</w:t>
      </w:r>
      <w:r w:rsidR="001D529B">
        <w:t>, 2009,</w:t>
      </w:r>
      <w:r w:rsidRPr="00D12934">
        <w:t xml:space="preserve"> by certified mail, return receipt requested</w:t>
      </w:r>
      <w:r w:rsidR="001D529B">
        <w:t>, addressed to respondent at his official address</w:t>
      </w:r>
      <w:r w:rsidRPr="00D12934">
        <w:t>.</w:t>
      </w:r>
    </w:p>
    <w:p w:rsidR="00ED401A" w:rsidRDefault="006A50AF" w:rsidP="004423E6">
      <w:pPr>
        <w:spacing w:line="480" w:lineRule="auto"/>
        <w:ind w:firstLine="720"/>
      </w:pPr>
      <w:r>
        <w:t>O</w:t>
      </w:r>
      <w:r w:rsidR="00355EF4" w:rsidRPr="00355EF4">
        <w:t xml:space="preserve">n </w:t>
      </w:r>
      <w:r w:rsidR="00745E57">
        <w:t>August 31</w:t>
      </w:r>
      <w:r w:rsidR="00355EF4" w:rsidRPr="00355EF4">
        <w:t>, 2009, respondent’s default was entered</w:t>
      </w:r>
      <w:r w:rsidR="0093256C">
        <w:t xml:space="preserve">.  </w:t>
      </w:r>
      <w:r w:rsidR="005568EC">
        <w:t>The order of entry of default was properly mailed to respondent’s official membership records address.</w:t>
      </w:r>
      <w:r w:rsidR="0093256C">
        <w:t xml:space="preserve"> </w:t>
      </w:r>
      <w:r w:rsidR="00B34729">
        <w:t xml:space="preserve"> </w:t>
      </w:r>
      <w:r w:rsidR="00BE5EF4">
        <w:t>R</w:t>
      </w:r>
      <w:r w:rsidR="00355EF4" w:rsidRPr="00355EF4">
        <w:t>espondent was enrolled as an inactive member</w:t>
      </w:r>
      <w:r w:rsidR="005568EC">
        <w:t xml:space="preserve"> under Business and Professions Code § 6007, subdivision (e)</w:t>
      </w:r>
      <w:r w:rsidR="00681039">
        <w:t>, effective</w:t>
      </w:r>
      <w:r w:rsidR="00355EF4" w:rsidRPr="00355EF4">
        <w:t xml:space="preserve"> </w:t>
      </w:r>
      <w:r w:rsidR="00745E57">
        <w:t>September 3</w:t>
      </w:r>
      <w:r w:rsidR="00355EF4" w:rsidRPr="00355EF4">
        <w:t>, 2009.</w:t>
      </w:r>
      <w:r w:rsidR="005568EC">
        <w:rPr>
          <w:rStyle w:val="FootnoteReference"/>
        </w:rPr>
        <w:footnoteReference w:id="3"/>
      </w:r>
    </w:p>
    <w:p w:rsidR="00681039" w:rsidRDefault="00A561A7" w:rsidP="00BE5EF4">
      <w:pPr>
        <w:spacing w:line="480" w:lineRule="auto"/>
        <w:ind w:firstLine="720"/>
      </w:pPr>
      <w:r>
        <w:lastRenderedPageBreak/>
        <w:t xml:space="preserve">On </w:t>
      </w:r>
      <w:r w:rsidR="004966EE">
        <w:t>September 8</w:t>
      </w:r>
      <w:r>
        <w:t>, 2009 the State Bar filed a</w:t>
      </w:r>
      <w:r w:rsidRPr="00A561A7">
        <w:t xml:space="preserve"> request for waiver of default hearing and brief on culpability and discipline.</w:t>
      </w:r>
      <w:r w:rsidR="00BE5EF4">
        <w:t xml:space="preserve">  </w:t>
      </w:r>
      <w:r>
        <w:t xml:space="preserve">On </w:t>
      </w:r>
      <w:r w:rsidR="004966EE">
        <w:t>September 21</w:t>
      </w:r>
      <w:r>
        <w:t xml:space="preserve">, 2009, the court took the case under </w:t>
      </w:r>
      <w:r w:rsidRPr="00A561A7">
        <w:t>submission for decision without a hearing.</w:t>
      </w:r>
    </w:p>
    <w:p w:rsidR="00B51DBF" w:rsidRPr="000C31B9" w:rsidRDefault="001F2210" w:rsidP="004423E6">
      <w:pPr>
        <w:tabs>
          <w:tab w:val="center" w:pos="4680"/>
        </w:tabs>
        <w:spacing w:line="480" w:lineRule="auto"/>
        <w:jc w:val="center"/>
      </w:pPr>
      <w:r w:rsidRPr="000C31B9">
        <w:rPr>
          <w:b/>
          <w:bCs/>
        </w:rPr>
        <w:t>FINDINGS OF FACT AND CONCLUSIONS OF LAW</w:t>
      </w:r>
    </w:p>
    <w:p w:rsidR="001F2210" w:rsidRDefault="006079A3" w:rsidP="00A7070E">
      <w:pPr>
        <w:spacing w:line="480" w:lineRule="auto"/>
        <w:ind w:firstLine="720"/>
        <w:rPr>
          <w:bCs/>
        </w:rPr>
      </w:pPr>
      <w:r>
        <w:rPr>
          <w:bCs/>
        </w:rPr>
        <w:t xml:space="preserve">All factual allegations of the NDC </w:t>
      </w:r>
      <w:r w:rsidRPr="003875BE">
        <w:t>are deemed admitted upon entry of respondent’s default unless otherwise ordered by the court based on contrary evidence.  (Rules Proc. of State Bar, rule 200(d</w:t>
      </w:r>
      <w:proofErr w:type="gramStart"/>
      <w:r w:rsidRPr="003875BE">
        <w:t>)(</w:t>
      </w:r>
      <w:proofErr w:type="gramEnd"/>
      <w:r w:rsidRPr="003875BE">
        <w:t>1)(A).)</w:t>
      </w:r>
    </w:p>
    <w:p w:rsidR="00AC3304" w:rsidRPr="000D11D5" w:rsidRDefault="00AC3304" w:rsidP="0031187F">
      <w:pPr>
        <w:tabs>
          <w:tab w:val="left" w:pos="720"/>
          <w:tab w:val="left" w:pos="1440"/>
          <w:tab w:val="center" w:pos="4680"/>
        </w:tabs>
        <w:spacing w:line="480" w:lineRule="auto"/>
        <w:rPr>
          <w:b/>
          <w:bCs/>
          <w:u w:val="single"/>
        </w:rPr>
      </w:pPr>
      <w:r w:rsidRPr="000D11D5">
        <w:rPr>
          <w:b/>
          <w:bCs/>
          <w:u w:val="single"/>
        </w:rPr>
        <w:t>Jurisdiction</w:t>
      </w:r>
    </w:p>
    <w:p w:rsidR="006E573E" w:rsidRPr="00326794" w:rsidRDefault="00AC3304" w:rsidP="00A7070E">
      <w:pPr>
        <w:spacing w:line="480" w:lineRule="auto"/>
        <w:ind w:firstLine="720"/>
        <w:rPr>
          <w:bCs/>
        </w:rPr>
      </w:pPr>
      <w:r w:rsidRPr="00326794">
        <w:rPr>
          <w:bCs/>
        </w:rPr>
        <w:t xml:space="preserve">Respondent was admitted to the practice of law in the State of California on </w:t>
      </w:r>
      <w:r w:rsidR="009E1559">
        <w:rPr>
          <w:bCs/>
        </w:rPr>
        <w:t>December 21, 1993</w:t>
      </w:r>
      <w:r w:rsidRPr="00326794">
        <w:rPr>
          <w:bCs/>
        </w:rPr>
        <w:t>, and has been a member at all times since that date.</w:t>
      </w:r>
    </w:p>
    <w:p w:rsidR="004A7BB8" w:rsidRPr="000D11D5" w:rsidRDefault="000D11D5" w:rsidP="004423E6">
      <w:pPr>
        <w:spacing w:line="480" w:lineRule="auto"/>
        <w:rPr>
          <w:b/>
          <w:u w:val="single"/>
        </w:rPr>
      </w:pPr>
      <w:r w:rsidRPr="000D11D5">
        <w:rPr>
          <w:b/>
          <w:u w:val="single"/>
        </w:rPr>
        <w:t>Factual Background</w:t>
      </w:r>
    </w:p>
    <w:p w:rsidR="00D833E4" w:rsidRDefault="00576087" w:rsidP="00F06593">
      <w:pPr>
        <w:spacing w:line="480" w:lineRule="auto"/>
        <w:ind w:firstLine="720"/>
      </w:pPr>
      <w:r w:rsidRPr="00576087">
        <w:t xml:space="preserve">On </w:t>
      </w:r>
      <w:r w:rsidR="007B351E">
        <w:t xml:space="preserve">or about </w:t>
      </w:r>
      <w:r w:rsidR="00C35B95">
        <w:t>April 3, 2009</w:t>
      </w:r>
      <w:r w:rsidRPr="00576087">
        <w:t xml:space="preserve">, the </w:t>
      </w:r>
      <w:r w:rsidR="007B351E" w:rsidRPr="00576087">
        <w:t xml:space="preserve">California </w:t>
      </w:r>
      <w:r w:rsidRPr="00576087">
        <w:t xml:space="preserve">Supreme Court filed </w:t>
      </w:r>
      <w:r w:rsidR="00DC5345">
        <w:t xml:space="preserve">disciplinary </w:t>
      </w:r>
      <w:r w:rsidR="007B351E">
        <w:t xml:space="preserve">Order </w:t>
      </w:r>
      <w:r w:rsidR="003D0106">
        <w:t>No.</w:t>
      </w:r>
      <w:r w:rsidRPr="00576087">
        <w:t xml:space="preserve"> </w:t>
      </w:r>
      <w:proofErr w:type="gramStart"/>
      <w:r w:rsidRPr="00576087">
        <w:t>S</w:t>
      </w:r>
      <w:r w:rsidR="00C35B95">
        <w:t>170199</w:t>
      </w:r>
      <w:r w:rsidRPr="00576087">
        <w:t xml:space="preserve"> </w:t>
      </w:r>
      <w:r w:rsidR="003D0106">
        <w:t xml:space="preserve">(the Supreme Court </w:t>
      </w:r>
      <w:r w:rsidR="00870EAE">
        <w:t>o</w:t>
      </w:r>
      <w:r w:rsidR="003D0106">
        <w:t>rder)</w:t>
      </w:r>
      <w:r w:rsidR="00F06593">
        <w:t>.</w:t>
      </w:r>
      <w:proofErr w:type="gramEnd"/>
      <w:r w:rsidR="00F06593">
        <w:t xml:space="preserve">  </w:t>
      </w:r>
      <w:r w:rsidR="00077266">
        <w:t>The Supreme Court order included a requirement that respondent comply with rule 9.20, California Rules of Court, by performing the acts specified in subdivision</w:t>
      </w:r>
      <w:r w:rsidR="00D874F6">
        <w:t>s</w:t>
      </w:r>
      <w:r w:rsidR="00077266">
        <w:t xml:space="preserve"> (a) and (c) within 30 and 40 days, respectively, after the effective date of the Supreme Court order.</w:t>
      </w:r>
    </w:p>
    <w:p w:rsidR="00077266" w:rsidRDefault="005E2BC9" w:rsidP="00F06593">
      <w:pPr>
        <w:spacing w:line="480" w:lineRule="auto"/>
        <w:ind w:firstLine="720"/>
      </w:pPr>
      <w:r>
        <w:t xml:space="preserve">On or about </w:t>
      </w:r>
      <w:r w:rsidR="00C35B95">
        <w:t>April 3, 2009</w:t>
      </w:r>
      <w:r>
        <w:t xml:space="preserve">, the </w:t>
      </w:r>
      <w:r w:rsidR="007B351E">
        <w:t>C</w:t>
      </w:r>
      <w:r>
        <w:t xml:space="preserve">lerk of the Supreme </w:t>
      </w:r>
      <w:r w:rsidR="007B351E">
        <w:t>C</w:t>
      </w:r>
      <w:r>
        <w:t>ourt of the State of California properly served upon respondent a copy of the Supreme Court order.  Respondent received the Supreme Court order.</w:t>
      </w:r>
    </w:p>
    <w:p w:rsidR="005E2BC9" w:rsidRDefault="005E2BC9" w:rsidP="00F06593">
      <w:pPr>
        <w:spacing w:line="480" w:lineRule="auto"/>
        <w:ind w:firstLine="720"/>
      </w:pPr>
      <w:r>
        <w:t xml:space="preserve">The Supreme Court order became effective on </w:t>
      </w:r>
      <w:r w:rsidR="00C35B95">
        <w:t>May 3, 2009</w:t>
      </w:r>
      <w:r>
        <w:t xml:space="preserve">, </w:t>
      </w:r>
      <w:r w:rsidR="00002500">
        <w:t>30</w:t>
      </w:r>
      <w:r>
        <w:t xml:space="preserve"> days after it was filed</w:t>
      </w:r>
      <w:r w:rsidR="00B3612F">
        <w:t>, and at all times thereafter remained in full force and effect</w:t>
      </w:r>
      <w:r>
        <w:t>.  Thus respondent was ordered to comply with subdivis</w:t>
      </w:r>
      <w:r w:rsidR="00F269E2">
        <w:t xml:space="preserve">ion (a) </w:t>
      </w:r>
      <w:r>
        <w:t xml:space="preserve">of rule 9.20 of the California Rules of Court no later than </w:t>
      </w:r>
      <w:r w:rsidR="00F269E2">
        <w:t>June 2, 2009</w:t>
      </w:r>
      <w:r>
        <w:t xml:space="preserve">, and was ordered to comply with subdivision (c) of rule 9.20 no later than </w:t>
      </w:r>
      <w:r w:rsidR="00F269E2">
        <w:t>June 12, 2009</w:t>
      </w:r>
      <w:r>
        <w:t>.</w:t>
      </w:r>
    </w:p>
    <w:p w:rsidR="007B351E" w:rsidRDefault="007B351E" w:rsidP="00F06593">
      <w:pPr>
        <w:spacing w:line="480" w:lineRule="auto"/>
        <w:ind w:firstLine="720"/>
      </w:pPr>
      <w:r>
        <w:lastRenderedPageBreak/>
        <w:t xml:space="preserve">Respondent </w:t>
      </w:r>
      <w:r w:rsidR="0067288E">
        <w:t>failed to comply with subdivision (c) of rule 9.20 prior to the June 12, 2009 deadline</w:t>
      </w:r>
      <w:r>
        <w:t>.</w:t>
      </w:r>
      <w:r w:rsidR="0067288E">
        <w:t xml:space="preserve">  </w:t>
      </w:r>
      <w:r w:rsidR="000B5C9E">
        <w:t>In fact, a</w:t>
      </w:r>
      <w:r w:rsidR="0067288E">
        <w:t xml:space="preserve">s of </w:t>
      </w:r>
      <w:r w:rsidR="00B06709">
        <w:t>the date the NDC was filed—July 17, 2009—</w:t>
      </w:r>
      <w:r w:rsidR="004A05C9">
        <w:t>respondent had still</w:t>
      </w:r>
      <w:r w:rsidR="0067288E">
        <w:t xml:space="preserve"> </w:t>
      </w:r>
      <w:r w:rsidR="000B5C9E">
        <w:t>not complied</w:t>
      </w:r>
      <w:r w:rsidR="0067288E">
        <w:t xml:space="preserve"> with subdivision (c) of rule 9.20.</w:t>
      </w:r>
      <w:r w:rsidR="0067288E">
        <w:rPr>
          <w:rStyle w:val="FootnoteReference"/>
        </w:rPr>
        <w:footnoteReference w:id="4"/>
      </w:r>
    </w:p>
    <w:p w:rsidR="00576087" w:rsidRPr="008A1C96" w:rsidRDefault="008A1C96" w:rsidP="00275E8A">
      <w:pPr>
        <w:spacing w:line="480" w:lineRule="auto"/>
        <w:rPr>
          <w:b/>
          <w:u w:val="single"/>
        </w:rPr>
      </w:pPr>
      <w:r w:rsidRPr="008A1C96">
        <w:rPr>
          <w:b/>
          <w:u w:val="single"/>
        </w:rPr>
        <w:t>Failure to Obey Supreme Court Order to Comply with Rule 9.20</w:t>
      </w:r>
    </w:p>
    <w:p w:rsidR="00576087" w:rsidRPr="00DA7778" w:rsidRDefault="008A1C96" w:rsidP="00DA7778">
      <w:pPr>
        <w:spacing w:line="480" w:lineRule="auto"/>
        <w:ind w:firstLine="720"/>
      </w:pPr>
      <w:r w:rsidRPr="008A1C96">
        <w:t>Rule 9.20(c) mandates that respondent “file with the Clerk of the State Bar Court an affidavit showing that he . . . has fully complied with those provisions of the order entered under this rule.”</w:t>
      </w:r>
      <w:r w:rsidR="000B5C9E">
        <w:t xml:space="preserve">  </w:t>
      </w:r>
      <w:r w:rsidR="00DA7778" w:rsidRPr="00DA7778">
        <w:t>The term “wi</w:t>
      </w:r>
      <w:r w:rsidR="0045188B">
        <w:t>l</w:t>
      </w:r>
      <w:r w:rsidR="00DA7778" w:rsidRPr="00DA7778">
        <w:t xml:space="preserve">lful” in the context of rule 9.20, formerly rule 955, does not require bad faith or any evidence of intent.  It is not necessarily even dependent on showing the respondent’s knowledge of the Supreme Court’s order requiring compliance. </w:t>
      </w:r>
      <w:proofErr w:type="gramStart"/>
      <w:r w:rsidR="00DA7778" w:rsidRPr="00DA7778">
        <w:t>(</w:t>
      </w:r>
      <w:r w:rsidR="00DA7778" w:rsidRPr="0045188B">
        <w:rPr>
          <w:i/>
        </w:rPr>
        <w:t>Powers v. State Bar</w:t>
      </w:r>
      <w:r w:rsidR="00DA7778" w:rsidRPr="00DA7778">
        <w:t xml:space="preserve"> (1988) 44 Cal.3d 337, 341-342; </w:t>
      </w:r>
      <w:r w:rsidR="00DA7778" w:rsidRPr="0045188B">
        <w:rPr>
          <w:i/>
        </w:rPr>
        <w:t>Hamilton v. State Bar</w:t>
      </w:r>
      <w:r w:rsidR="00DA7778" w:rsidRPr="00DA7778">
        <w:t xml:space="preserve"> (1979) 23 Cal.3d 868, 873-874.)</w:t>
      </w:r>
      <w:proofErr w:type="gramEnd"/>
      <w:r w:rsidR="00DA7778" w:rsidRPr="00DA7778">
        <w:t xml:space="preserve">  The Supreme Court has disbarred attorneys whose failure to keep their official addresses current prevented them from learning that they had been ordered to comply with rule 9.20. </w:t>
      </w:r>
      <w:proofErr w:type="gramStart"/>
      <w:r w:rsidR="00DA7778" w:rsidRPr="00DA7778">
        <w:t>(</w:t>
      </w:r>
      <w:r w:rsidR="00DA7778" w:rsidRPr="0045188B">
        <w:rPr>
          <w:i/>
        </w:rPr>
        <w:t>Powers v. State Bar</w:t>
      </w:r>
      <w:r w:rsidR="00DA7778" w:rsidRPr="00DA7778">
        <w:t xml:space="preserve">, </w:t>
      </w:r>
      <w:r w:rsidR="00DA7778" w:rsidRPr="0045188B">
        <w:rPr>
          <w:i/>
        </w:rPr>
        <w:t>supra</w:t>
      </w:r>
      <w:r w:rsidR="00DA7778" w:rsidRPr="00DA7778">
        <w:t>, 44 Cal.3d 337, 341.)</w:t>
      </w:r>
      <w:proofErr w:type="gramEnd"/>
    </w:p>
    <w:p w:rsidR="002202DC" w:rsidRDefault="002202DC" w:rsidP="007163DF">
      <w:pPr>
        <w:spacing w:line="480" w:lineRule="auto"/>
        <w:ind w:firstLine="720"/>
        <w:rPr>
          <w:color w:val="000000"/>
          <w:spacing w:val="3"/>
        </w:rPr>
      </w:pPr>
      <w:r>
        <w:rPr>
          <w:color w:val="000000"/>
          <w:spacing w:val="3"/>
        </w:rPr>
        <w:t>Based on the foregoing</w:t>
      </w:r>
      <w:r w:rsidR="00EA2F89">
        <w:rPr>
          <w:color w:val="000000"/>
          <w:spacing w:val="3"/>
        </w:rPr>
        <w:t>,</w:t>
      </w:r>
      <w:r w:rsidR="008C6AA2">
        <w:rPr>
          <w:color w:val="000000"/>
          <w:spacing w:val="3"/>
        </w:rPr>
        <w:t xml:space="preserve"> </w:t>
      </w:r>
      <w:r>
        <w:rPr>
          <w:color w:val="000000"/>
          <w:spacing w:val="3"/>
        </w:rPr>
        <w:t xml:space="preserve">the court concludes that respondent willfully failed to comply with rule 9.20, as ordered </w:t>
      </w:r>
      <w:r w:rsidR="008D4F37">
        <w:rPr>
          <w:color w:val="000000"/>
          <w:spacing w:val="3"/>
        </w:rPr>
        <w:t xml:space="preserve">by the Supreme Court in </w:t>
      </w:r>
      <w:r w:rsidR="00DC5345">
        <w:rPr>
          <w:color w:val="000000"/>
          <w:spacing w:val="3"/>
        </w:rPr>
        <w:t xml:space="preserve">disciplinary </w:t>
      </w:r>
      <w:r w:rsidR="009C69B7">
        <w:rPr>
          <w:color w:val="000000"/>
          <w:spacing w:val="3"/>
        </w:rPr>
        <w:t xml:space="preserve">Order No. </w:t>
      </w:r>
      <w:r w:rsidR="002A2D95">
        <w:rPr>
          <w:color w:val="000000"/>
          <w:spacing w:val="3"/>
        </w:rPr>
        <w:t>S</w:t>
      </w:r>
      <w:r w:rsidR="001A4C91">
        <w:rPr>
          <w:color w:val="000000"/>
          <w:spacing w:val="3"/>
        </w:rPr>
        <w:t>170199</w:t>
      </w:r>
      <w:r w:rsidR="008D4F37">
        <w:rPr>
          <w:color w:val="000000"/>
          <w:spacing w:val="3"/>
        </w:rPr>
        <w:t xml:space="preserve">. </w:t>
      </w:r>
    </w:p>
    <w:p w:rsidR="007E52C6" w:rsidRPr="00EA2F89" w:rsidRDefault="007E52C6" w:rsidP="00A70ACC">
      <w:pPr>
        <w:spacing w:line="480" w:lineRule="auto"/>
        <w:rPr>
          <w:b/>
          <w:color w:val="000000"/>
          <w:spacing w:val="3"/>
          <w:u w:val="single"/>
        </w:rPr>
      </w:pPr>
      <w:r w:rsidRPr="00EA2F89">
        <w:rPr>
          <w:b/>
          <w:color w:val="000000"/>
          <w:spacing w:val="3"/>
          <w:u w:val="single"/>
        </w:rPr>
        <w:t>Aggravatin</w:t>
      </w:r>
      <w:r w:rsidR="00EA2F89" w:rsidRPr="00EA2F89">
        <w:rPr>
          <w:b/>
          <w:color w:val="000000"/>
          <w:spacing w:val="3"/>
          <w:u w:val="single"/>
        </w:rPr>
        <w:t>g Circumstances</w:t>
      </w:r>
    </w:p>
    <w:p w:rsidR="00D514DA" w:rsidRDefault="00EA2F89" w:rsidP="007E52C6">
      <w:pPr>
        <w:spacing w:line="480" w:lineRule="auto"/>
        <w:ind w:firstLine="720"/>
        <w:rPr>
          <w:color w:val="000000"/>
          <w:spacing w:val="3"/>
        </w:rPr>
      </w:pPr>
      <w:r>
        <w:rPr>
          <w:color w:val="000000"/>
          <w:spacing w:val="3"/>
        </w:rPr>
        <w:t>The State Bar bears the burden of proving aggravating circumstances by clear and convincing evidence</w:t>
      </w:r>
      <w:r w:rsidR="00C74584">
        <w:rPr>
          <w:color w:val="000000"/>
          <w:spacing w:val="3"/>
        </w:rPr>
        <w:t xml:space="preserve">. </w:t>
      </w:r>
      <w:r w:rsidR="00C74584">
        <w:t>(Rules Proc. of State Bar, tit. IV, Stds. for Atty. Sanctions for Prof. Misconduct, std. 1.2(b).)</w:t>
      </w:r>
      <w:r w:rsidR="00C74584">
        <w:rPr>
          <w:rStyle w:val="FootnoteReference"/>
        </w:rPr>
        <w:footnoteReference w:id="5"/>
      </w:r>
      <w:r>
        <w:rPr>
          <w:color w:val="000000"/>
          <w:spacing w:val="3"/>
        </w:rPr>
        <w:t xml:space="preserve">  </w:t>
      </w:r>
    </w:p>
    <w:p w:rsidR="009C57D6" w:rsidRDefault="007E52C6" w:rsidP="007E52C6">
      <w:pPr>
        <w:spacing w:line="480" w:lineRule="auto"/>
        <w:ind w:firstLine="720"/>
        <w:rPr>
          <w:color w:val="000000"/>
          <w:spacing w:val="3"/>
        </w:rPr>
      </w:pPr>
      <w:r w:rsidRPr="007E52C6">
        <w:rPr>
          <w:color w:val="000000"/>
          <w:spacing w:val="3"/>
        </w:rPr>
        <w:t>Respondent</w:t>
      </w:r>
      <w:r w:rsidR="002B255F">
        <w:rPr>
          <w:color w:val="000000"/>
          <w:spacing w:val="3"/>
        </w:rPr>
        <w:t>’</w:t>
      </w:r>
      <w:r w:rsidRPr="007E52C6">
        <w:rPr>
          <w:color w:val="000000"/>
          <w:spacing w:val="3"/>
        </w:rPr>
        <w:t>s prior record of discipline</w:t>
      </w:r>
      <w:r w:rsidR="002B255F">
        <w:rPr>
          <w:color w:val="000000"/>
          <w:spacing w:val="3"/>
        </w:rPr>
        <w:t xml:space="preserve"> is an aggravating circumstance</w:t>
      </w:r>
      <w:r w:rsidRPr="007E52C6">
        <w:rPr>
          <w:color w:val="000000"/>
          <w:spacing w:val="3"/>
        </w:rPr>
        <w:t>. (Std. 1.2(b</w:t>
      </w:r>
      <w:proofErr w:type="gramStart"/>
      <w:r w:rsidRPr="007E52C6">
        <w:rPr>
          <w:color w:val="000000"/>
          <w:spacing w:val="3"/>
        </w:rPr>
        <w:t>)(</w:t>
      </w:r>
      <w:proofErr w:type="gramEnd"/>
      <w:r w:rsidRPr="007E52C6">
        <w:rPr>
          <w:color w:val="000000"/>
          <w:spacing w:val="3"/>
        </w:rPr>
        <w:t>i).</w:t>
      </w:r>
      <w:r w:rsidR="00140CAA">
        <w:rPr>
          <w:color w:val="000000"/>
          <w:spacing w:val="3"/>
        </w:rPr>
        <w:t xml:space="preserve">)  </w:t>
      </w:r>
      <w:r w:rsidR="009C57D6">
        <w:rPr>
          <w:color w:val="000000"/>
          <w:spacing w:val="3"/>
        </w:rPr>
        <w:t xml:space="preserve">Respondent has been disciplined </w:t>
      </w:r>
      <w:r w:rsidR="00A83DAB">
        <w:rPr>
          <w:color w:val="000000"/>
          <w:spacing w:val="3"/>
        </w:rPr>
        <w:t>once before</w:t>
      </w:r>
      <w:r w:rsidR="00D514DA">
        <w:rPr>
          <w:color w:val="000000"/>
          <w:spacing w:val="3"/>
        </w:rPr>
        <w:t xml:space="preserve"> in the underlying matter</w:t>
      </w:r>
      <w:r w:rsidR="00A83DAB">
        <w:rPr>
          <w:color w:val="000000"/>
          <w:spacing w:val="3"/>
        </w:rPr>
        <w:t xml:space="preserve">, and currently has a </w:t>
      </w:r>
      <w:r w:rsidR="00A83DAB">
        <w:rPr>
          <w:color w:val="000000"/>
          <w:spacing w:val="3"/>
        </w:rPr>
        <w:lastRenderedPageBreak/>
        <w:t>second disciplinary recommendation pending before the California Supreme Court</w:t>
      </w:r>
      <w:r w:rsidR="009C57D6">
        <w:rPr>
          <w:color w:val="000000"/>
          <w:spacing w:val="3"/>
        </w:rPr>
        <w:t>.</w:t>
      </w:r>
      <w:r w:rsidR="00D514DA" w:rsidRPr="00D514DA">
        <w:rPr>
          <w:color w:val="000000"/>
          <w:spacing w:val="3"/>
        </w:rPr>
        <w:t xml:space="preserve"> </w:t>
      </w:r>
      <w:r w:rsidR="00D514DA">
        <w:rPr>
          <w:color w:val="000000"/>
          <w:spacing w:val="3"/>
        </w:rPr>
        <w:t>(State Bar Court Case Nos. 07-O-12238 and 08-O-13216.)</w:t>
      </w:r>
    </w:p>
    <w:p w:rsidR="00675574" w:rsidRPr="007E52C6" w:rsidRDefault="00D514DA" w:rsidP="007E52C6">
      <w:pPr>
        <w:spacing w:line="480" w:lineRule="auto"/>
        <w:ind w:firstLine="720"/>
        <w:rPr>
          <w:color w:val="000000"/>
          <w:spacing w:val="3"/>
        </w:rPr>
      </w:pPr>
      <w:r>
        <w:rPr>
          <w:color w:val="000000"/>
          <w:spacing w:val="3"/>
        </w:rPr>
        <w:t xml:space="preserve">Respondent’s failure to participate in this </w:t>
      </w:r>
      <w:proofErr w:type="gramStart"/>
      <w:r>
        <w:rPr>
          <w:color w:val="000000"/>
          <w:spacing w:val="3"/>
        </w:rPr>
        <w:t>proceeding,</w:t>
      </w:r>
      <w:proofErr w:type="gramEnd"/>
      <w:r>
        <w:rPr>
          <w:color w:val="000000"/>
          <w:spacing w:val="3"/>
        </w:rPr>
        <w:t xml:space="preserve"> is also an aggravating factor.</w:t>
      </w:r>
    </w:p>
    <w:p w:rsidR="00C74584" w:rsidRPr="00EA2F89" w:rsidRDefault="00C74584" w:rsidP="00C74584">
      <w:pPr>
        <w:spacing w:line="480" w:lineRule="auto"/>
        <w:ind w:hanging="90"/>
        <w:rPr>
          <w:b/>
          <w:color w:val="000000"/>
          <w:spacing w:val="3"/>
          <w:u w:val="single"/>
        </w:rPr>
      </w:pPr>
      <w:r w:rsidRPr="00EA2F89">
        <w:rPr>
          <w:b/>
          <w:color w:val="000000"/>
          <w:spacing w:val="3"/>
          <w:u w:val="single"/>
        </w:rPr>
        <w:t>Mitigating Circumstances</w:t>
      </w:r>
    </w:p>
    <w:p w:rsidR="00C74584" w:rsidRDefault="006B1DEB" w:rsidP="00C74584">
      <w:pPr>
        <w:spacing w:line="480" w:lineRule="auto"/>
        <w:ind w:firstLine="720"/>
        <w:rPr>
          <w:color w:val="000000"/>
          <w:spacing w:val="3"/>
        </w:rPr>
      </w:pPr>
      <w:r>
        <w:rPr>
          <w:color w:val="000000"/>
          <w:spacing w:val="3"/>
        </w:rPr>
        <w:t>Respondent bears the burden of proving</w:t>
      </w:r>
      <w:r w:rsidR="00C74584" w:rsidRPr="007E52C6">
        <w:rPr>
          <w:color w:val="000000"/>
          <w:spacing w:val="3"/>
        </w:rPr>
        <w:t xml:space="preserve"> mitigating </w:t>
      </w:r>
      <w:r w:rsidR="0044081A">
        <w:rPr>
          <w:color w:val="000000"/>
          <w:spacing w:val="3"/>
        </w:rPr>
        <w:t>circumstances</w:t>
      </w:r>
      <w:r>
        <w:rPr>
          <w:color w:val="000000"/>
          <w:spacing w:val="3"/>
        </w:rPr>
        <w:t xml:space="preserve"> by clear and convincing evidence. </w:t>
      </w:r>
      <w:proofErr w:type="gramStart"/>
      <w:r w:rsidRPr="007E52C6">
        <w:rPr>
          <w:color w:val="000000"/>
          <w:spacing w:val="3"/>
        </w:rPr>
        <w:t>(</w:t>
      </w:r>
      <w:r>
        <w:rPr>
          <w:color w:val="000000"/>
          <w:spacing w:val="3"/>
        </w:rPr>
        <w:t>S</w:t>
      </w:r>
      <w:r w:rsidRPr="007E52C6">
        <w:rPr>
          <w:color w:val="000000"/>
          <w:spacing w:val="3"/>
        </w:rPr>
        <w:t>td. 1.2(e).)</w:t>
      </w:r>
      <w:proofErr w:type="gramEnd"/>
      <w:r>
        <w:rPr>
          <w:color w:val="000000"/>
          <w:spacing w:val="3"/>
        </w:rPr>
        <w:t xml:space="preserve">  There is no evidence of any mitigating circumstance.</w:t>
      </w:r>
      <w:r w:rsidR="00C74584" w:rsidRPr="007E52C6">
        <w:rPr>
          <w:color w:val="000000"/>
          <w:spacing w:val="3"/>
        </w:rPr>
        <w:t xml:space="preserve">  </w:t>
      </w:r>
    </w:p>
    <w:p w:rsidR="00E37369" w:rsidRPr="00E86214" w:rsidRDefault="005D6520" w:rsidP="00E86214">
      <w:pPr>
        <w:spacing w:line="480" w:lineRule="auto"/>
        <w:jc w:val="center"/>
        <w:rPr>
          <w:b/>
          <w:color w:val="000000"/>
          <w:spacing w:val="3"/>
        </w:rPr>
      </w:pPr>
      <w:r w:rsidRPr="00E86214">
        <w:rPr>
          <w:b/>
          <w:color w:val="000000"/>
          <w:spacing w:val="3"/>
        </w:rPr>
        <w:t>DISCUSSION</w:t>
      </w:r>
    </w:p>
    <w:p w:rsidR="00E86214" w:rsidRPr="00E86214" w:rsidRDefault="00E86214" w:rsidP="00E86214">
      <w:pPr>
        <w:spacing w:line="480" w:lineRule="auto"/>
        <w:ind w:firstLine="720"/>
        <w:rPr>
          <w:color w:val="000000"/>
          <w:spacing w:val="3"/>
        </w:rPr>
      </w:pPr>
      <w:r w:rsidRPr="00E86214">
        <w:rPr>
          <w:color w:val="000000"/>
          <w:spacing w:val="3"/>
        </w:rPr>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rsidRPr="00E86214">
        <w:rPr>
          <w:color w:val="000000"/>
          <w:spacing w:val="3"/>
        </w:rPr>
        <w:t>(</w:t>
      </w:r>
      <w:r w:rsidRPr="00E86214">
        <w:rPr>
          <w:i/>
          <w:color w:val="000000"/>
          <w:spacing w:val="3"/>
        </w:rPr>
        <w:t>Chadwick v. State Bar</w:t>
      </w:r>
      <w:r w:rsidRPr="00E86214">
        <w:rPr>
          <w:color w:val="000000"/>
          <w:spacing w:val="3"/>
        </w:rPr>
        <w:t xml:space="preserve"> (1989) 49 Cal.3d 103, 111; </w:t>
      </w:r>
      <w:r w:rsidRPr="00E86214">
        <w:rPr>
          <w:i/>
          <w:color w:val="000000"/>
          <w:spacing w:val="3"/>
        </w:rPr>
        <w:t>Cooper v. State Bar</w:t>
      </w:r>
      <w:r w:rsidRPr="00E86214">
        <w:rPr>
          <w:color w:val="000000"/>
          <w:spacing w:val="3"/>
        </w:rPr>
        <w:t xml:space="preserve"> (1987) 43 Cal.3d 1016, 1025; std. 1.3.)</w:t>
      </w:r>
      <w:proofErr w:type="gramEnd"/>
    </w:p>
    <w:p w:rsidR="000B5C9E" w:rsidRDefault="002417E0" w:rsidP="00E86214">
      <w:pPr>
        <w:spacing w:line="480" w:lineRule="auto"/>
        <w:ind w:firstLine="720"/>
        <w:rPr>
          <w:color w:val="000000"/>
          <w:spacing w:val="3"/>
        </w:rPr>
      </w:pPr>
      <w:r w:rsidRPr="002417E0">
        <w:rPr>
          <w:color w:val="000000"/>
          <w:spacing w:val="3"/>
        </w:rPr>
        <w:t xml:space="preserve">The standard here for assessing discipline is set out in the first instance in the rule itself.  </w:t>
      </w:r>
      <w:r w:rsidR="00DD6676">
        <w:rPr>
          <w:color w:val="000000"/>
          <w:spacing w:val="3"/>
        </w:rPr>
        <w:t>R</w:t>
      </w:r>
      <w:r w:rsidRPr="002417E0">
        <w:rPr>
          <w:color w:val="000000"/>
          <w:spacing w:val="3"/>
        </w:rPr>
        <w:t>ule 9.20(d) states,</w:t>
      </w:r>
      <w:r w:rsidR="00DD6676">
        <w:rPr>
          <w:color w:val="000000"/>
          <w:spacing w:val="3"/>
        </w:rPr>
        <w:t xml:space="preserve"> in pertinent part:</w:t>
      </w:r>
      <w:r w:rsidRPr="002417E0">
        <w:rPr>
          <w:color w:val="000000"/>
          <w:spacing w:val="3"/>
        </w:rPr>
        <w:t xml:space="preserve"> </w:t>
      </w:r>
      <w:r w:rsidR="00DD6676">
        <w:rPr>
          <w:color w:val="000000"/>
          <w:spacing w:val="3"/>
        </w:rPr>
        <w:t xml:space="preserve"> </w:t>
      </w:r>
      <w:r w:rsidRPr="002417E0">
        <w:rPr>
          <w:color w:val="000000"/>
          <w:spacing w:val="3"/>
        </w:rPr>
        <w:t>“A suspended member’s willful failure to comply with the provisions of this rule is a cause for disbarment or suspension and for revocation of any pending probation</w:t>
      </w:r>
      <w:r w:rsidR="00DD6676">
        <w:rPr>
          <w:color w:val="000000"/>
          <w:spacing w:val="3"/>
        </w:rPr>
        <w:t>.</w:t>
      </w:r>
      <w:r w:rsidRPr="002417E0">
        <w:rPr>
          <w:color w:val="000000"/>
          <w:spacing w:val="3"/>
        </w:rPr>
        <w:t xml:space="preserve">”  </w:t>
      </w:r>
    </w:p>
    <w:p w:rsidR="00CC023F" w:rsidRDefault="002D3D52" w:rsidP="00E86214">
      <w:pPr>
        <w:spacing w:line="480" w:lineRule="auto"/>
        <w:ind w:firstLine="720"/>
        <w:rPr>
          <w:color w:val="000000"/>
          <w:spacing w:val="3"/>
        </w:rPr>
      </w:pPr>
      <w:r>
        <w:rPr>
          <w:color w:val="000000"/>
          <w:spacing w:val="3"/>
        </w:rPr>
        <w:t>R</w:t>
      </w:r>
      <w:r w:rsidR="002417E0" w:rsidRPr="002417E0">
        <w:rPr>
          <w:color w:val="000000"/>
          <w:spacing w:val="3"/>
        </w:rPr>
        <w:t>espondent’s wi</w:t>
      </w:r>
      <w:r>
        <w:rPr>
          <w:color w:val="000000"/>
          <w:spacing w:val="3"/>
        </w:rPr>
        <w:t>l</w:t>
      </w:r>
      <w:r w:rsidR="002417E0" w:rsidRPr="002417E0">
        <w:rPr>
          <w:color w:val="000000"/>
          <w:spacing w:val="3"/>
        </w:rPr>
        <w:t xml:space="preserve">lful failure to comply with rule 9.20 is extremely serious misconduct for which disbarment is generally considered the appropriate sanction. </w:t>
      </w:r>
      <w:proofErr w:type="gramStart"/>
      <w:r w:rsidR="002417E0" w:rsidRPr="002417E0">
        <w:rPr>
          <w:color w:val="000000"/>
          <w:spacing w:val="3"/>
        </w:rPr>
        <w:t>(</w:t>
      </w:r>
      <w:r w:rsidR="002417E0" w:rsidRPr="002D3D52">
        <w:rPr>
          <w:i/>
          <w:color w:val="000000"/>
          <w:spacing w:val="3"/>
        </w:rPr>
        <w:t>Bercovich v. State Bar</w:t>
      </w:r>
      <w:r w:rsidR="002417E0" w:rsidRPr="002417E0">
        <w:rPr>
          <w:color w:val="000000"/>
          <w:spacing w:val="3"/>
        </w:rPr>
        <w:t xml:space="preserve"> (1990) 50 Cal.3d 116, 131.)</w:t>
      </w:r>
      <w:proofErr w:type="gramEnd"/>
      <w:r w:rsidR="002417E0" w:rsidRPr="002417E0">
        <w:rPr>
          <w:color w:val="000000"/>
          <w:spacing w:val="3"/>
        </w:rPr>
        <w:t xml:space="preserve">  </w:t>
      </w:r>
    </w:p>
    <w:p w:rsidR="009C69B7" w:rsidRDefault="002417E0" w:rsidP="00E86214">
      <w:pPr>
        <w:spacing w:line="480" w:lineRule="auto"/>
        <w:ind w:firstLine="720"/>
        <w:rPr>
          <w:color w:val="000000"/>
          <w:spacing w:val="3"/>
        </w:rPr>
      </w:pPr>
      <w:r w:rsidRPr="002417E0">
        <w:rPr>
          <w:color w:val="000000"/>
          <w:spacing w:val="3"/>
        </w:rPr>
        <w:t xml:space="preserve">Respondent has </w:t>
      </w:r>
      <w:r w:rsidR="00CA36A9">
        <w:rPr>
          <w:color w:val="000000"/>
          <w:spacing w:val="3"/>
        </w:rPr>
        <w:t xml:space="preserve">repeatedly </w:t>
      </w:r>
      <w:r w:rsidRPr="002417E0">
        <w:rPr>
          <w:color w:val="000000"/>
          <w:spacing w:val="3"/>
        </w:rPr>
        <w:t xml:space="preserve">demonstrated an unwillingness to comply with </w:t>
      </w:r>
      <w:r w:rsidR="00CA36A9">
        <w:rPr>
          <w:color w:val="000000"/>
          <w:spacing w:val="3"/>
        </w:rPr>
        <w:t>his</w:t>
      </w:r>
      <w:r w:rsidRPr="002417E0">
        <w:rPr>
          <w:color w:val="000000"/>
          <w:spacing w:val="3"/>
        </w:rPr>
        <w:t xml:space="preserve"> professional obligations</w:t>
      </w:r>
      <w:r w:rsidR="00D514DA">
        <w:rPr>
          <w:color w:val="000000"/>
          <w:spacing w:val="3"/>
        </w:rPr>
        <w:t>.  He has also demonstrated an unwillingness to p</w:t>
      </w:r>
      <w:r w:rsidR="00CA36A9">
        <w:rPr>
          <w:color w:val="000000"/>
          <w:spacing w:val="3"/>
        </w:rPr>
        <w:t xml:space="preserve">articipate in the disciplinary process. </w:t>
      </w:r>
      <w:r w:rsidR="00D514DA">
        <w:rPr>
          <w:color w:val="000000"/>
          <w:spacing w:val="3"/>
        </w:rPr>
        <w:t xml:space="preserve"> </w:t>
      </w:r>
      <w:r w:rsidR="00CA36A9">
        <w:rPr>
          <w:color w:val="000000"/>
          <w:spacing w:val="3"/>
        </w:rPr>
        <w:t>As a consequence,</w:t>
      </w:r>
      <w:r w:rsidR="00B06CA1">
        <w:rPr>
          <w:color w:val="000000"/>
          <w:spacing w:val="3"/>
        </w:rPr>
        <w:t xml:space="preserve"> </w:t>
      </w:r>
      <w:r w:rsidR="00D514DA">
        <w:rPr>
          <w:color w:val="000000"/>
          <w:spacing w:val="3"/>
        </w:rPr>
        <w:t>his</w:t>
      </w:r>
      <w:r w:rsidR="00B06CA1">
        <w:rPr>
          <w:color w:val="000000"/>
          <w:spacing w:val="3"/>
        </w:rPr>
        <w:t xml:space="preserve"> </w:t>
      </w:r>
      <w:r w:rsidR="00B06CA1" w:rsidRPr="00B06CA1">
        <w:rPr>
          <w:color w:val="000000"/>
          <w:spacing w:val="3"/>
        </w:rPr>
        <w:t>disbarment is necessary to protect the public, the</w:t>
      </w:r>
      <w:r w:rsidR="00D514DA">
        <w:rPr>
          <w:color w:val="000000"/>
          <w:spacing w:val="3"/>
        </w:rPr>
        <w:t xml:space="preserve"> courts and the legal community;</w:t>
      </w:r>
      <w:r w:rsidR="00B06CA1" w:rsidRPr="00B06CA1">
        <w:rPr>
          <w:color w:val="000000"/>
          <w:spacing w:val="3"/>
        </w:rPr>
        <w:t xml:space="preserve"> to maintain high professional standards</w:t>
      </w:r>
      <w:r w:rsidR="00D514DA">
        <w:rPr>
          <w:color w:val="000000"/>
          <w:spacing w:val="3"/>
        </w:rPr>
        <w:t>;</w:t>
      </w:r>
      <w:r w:rsidR="00B06CA1" w:rsidRPr="00B06CA1">
        <w:rPr>
          <w:color w:val="000000"/>
          <w:spacing w:val="3"/>
        </w:rPr>
        <w:t xml:space="preserve"> and to preserve public confidence in the legal profession</w:t>
      </w:r>
      <w:r w:rsidR="00B06CA1">
        <w:rPr>
          <w:color w:val="000000"/>
          <w:spacing w:val="3"/>
        </w:rPr>
        <w:t xml:space="preserve">.  </w:t>
      </w:r>
    </w:p>
    <w:p w:rsidR="00D514DA" w:rsidRDefault="00D514DA" w:rsidP="00E86214">
      <w:pPr>
        <w:spacing w:line="480" w:lineRule="auto"/>
        <w:ind w:firstLine="720"/>
        <w:rPr>
          <w:color w:val="000000"/>
          <w:spacing w:val="3"/>
        </w:rPr>
      </w:pPr>
    </w:p>
    <w:p w:rsidR="00E37369" w:rsidRPr="002738F2" w:rsidRDefault="005D6520" w:rsidP="00D7409E">
      <w:pPr>
        <w:spacing w:line="480" w:lineRule="auto"/>
        <w:ind w:firstLine="720"/>
        <w:jc w:val="center"/>
        <w:rPr>
          <w:b/>
          <w:color w:val="000000"/>
          <w:spacing w:val="3"/>
        </w:rPr>
      </w:pPr>
      <w:r w:rsidRPr="002738F2">
        <w:rPr>
          <w:b/>
          <w:color w:val="000000"/>
          <w:spacing w:val="3"/>
        </w:rPr>
        <w:lastRenderedPageBreak/>
        <w:t>RECOMMENDED DISCIPLINE</w:t>
      </w:r>
    </w:p>
    <w:p w:rsidR="005D6520" w:rsidRPr="005D6520" w:rsidRDefault="005D6520" w:rsidP="005D6520">
      <w:pPr>
        <w:spacing w:line="480" w:lineRule="auto"/>
        <w:rPr>
          <w:b/>
          <w:color w:val="000000"/>
          <w:spacing w:val="3"/>
          <w:u w:val="single"/>
        </w:rPr>
      </w:pPr>
      <w:r w:rsidRPr="005D6520">
        <w:rPr>
          <w:b/>
          <w:color w:val="000000"/>
          <w:spacing w:val="3"/>
          <w:u w:val="single"/>
        </w:rPr>
        <w:t>Disbarment</w:t>
      </w:r>
    </w:p>
    <w:p w:rsidR="000023A1" w:rsidRDefault="007170E3" w:rsidP="005D6520">
      <w:pPr>
        <w:spacing w:line="480" w:lineRule="auto"/>
        <w:ind w:firstLine="720"/>
        <w:rPr>
          <w:color w:val="000000"/>
          <w:spacing w:val="3"/>
        </w:rPr>
      </w:pPr>
      <w:r>
        <w:rPr>
          <w:color w:val="000000"/>
          <w:spacing w:val="3"/>
        </w:rPr>
        <w:t>T</w:t>
      </w:r>
      <w:r w:rsidR="002738F2" w:rsidRPr="002738F2">
        <w:rPr>
          <w:color w:val="000000"/>
          <w:spacing w:val="3"/>
        </w:rPr>
        <w:t>he court hereby recommends that respondent</w:t>
      </w:r>
      <w:r w:rsidR="005D6520">
        <w:rPr>
          <w:color w:val="000000"/>
          <w:spacing w:val="3"/>
        </w:rPr>
        <w:t xml:space="preserve"> </w:t>
      </w:r>
      <w:r w:rsidR="000036A5">
        <w:rPr>
          <w:b/>
        </w:rPr>
        <w:t>Alan Pet</w:t>
      </w:r>
      <w:r w:rsidR="00E26B5E">
        <w:rPr>
          <w:b/>
        </w:rPr>
        <w:t>er Dove</w:t>
      </w:r>
      <w:r w:rsidR="002738F2" w:rsidRPr="002738F2">
        <w:rPr>
          <w:color w:val="000000"/>
          <w:spacing w:val="3"/>
        </w:rPr>
        <w:t xml:space="preserve"> be disbarred from the practice of law in the State of California and that his name be stricken from the roll of attorneys in this State.</w:t>
      </w:r>
    </w:p>
    <w:p w:rsidR="008464D5" w:rsidRDefault="005D6520" w:rsidP="008464D5">
      <w:pPr>
        <w:spacing w:line="480" w:lineRule="auto"/>
        <w:rPr>
          <w:b/>
          <w:color w:val="000000"/>
          <w:spacing w:val="3"/>
          <w:u w:val="single"/>
        </w:rPr>
      </w:pPr>
      <w:r w:rsidRPr="005D6520">
        <w:rPr>
          <w:b/>
          <w:color w:val="000000"/>
          <w:spacing w:val="3"/>
          <w:u w:val="single"/>
        </w:rPr>
        <w:t>Rule 9.20</w:t>
      </w:r>
    </w:p>
    <w:p w:rsidR="000023A1" w:rsidRDefault="005D6520" w:rsidP="008464D5">
      <w:pPr>
        <w:spacing w:line="480" w:lineRule="auto"/>
        <w:ind w:firstLine="720"/>
        <w:rPr>
          <w:color w:val="000000"/>
          <w:spacing w:val="3"/>
        </w:rPr>
      </w:pPr>
      <w:r>
        <w:rPr>
          <w:color w:val="000000"/>
          <w:spacing w:val="3"/>
        </w:rPr>
        <w:t xml:space="preserve">The court </w:t>
      </w:r>
      <w:r w:rsidR="002738F2" w:rsidRPr="002738F2">
        <w:rPr>
          <w:color w:val="000000"/>
          <w:spacing w:val="3"/>
        </w:rPr>
        <w:t>recommend</w:t>
      </w:r>
      <w:r>
        <w:rPr>
          <w:color w:val="000000"/>
          <w:spacing w:val="3"/>
        </w:rPr>
        <w:t>s</w:t>
      </w:r>
      <w:r w:rsidR="002738F2" w:rsidRPr="002738F2">
        <w:rPr>
          <w:color w:val="000000"/>
          <w:spacing w:val="3"/>
        </w:rPr>
        <w:t xml:space="preserve"> that the Supreme Court order respondent to comply with California Rules of Court, rule 9.20, paragraphs (a) and (c), within 30 and 40 days, respectively, of the effective date of its order imposing discipline in this matter.</w:t>
      </w:r>
      <w:r w:rsidR="002738F2">
        <w:rPr>
          <w:rStyle w:val="FootnoteReference"/>
          <w:color w:val="000000"/>
          <w:spacing w:val="3"/>
        </w:rPr>
        <w:footnoteReference w:id="6"/>
      </w:r>
    </w:p>
    <w:p w:rsidR="00992344" w:rsidRPr="005D6520" w:rsidRDefault="005D6520" w:rsidP="00992344">
      <w:pPr>
        <w:spacing w:line="480" w:lineRule="auto"/>
        <w:rPr>
          <w:b/>
          <w:color w:val="000000"/>
          <w:spacing w:val="3"/>
          <w:u w:val="single"/>
        </w:rPr>
      </w:pPr>
      <w:r w:rsidRPr="005D6520">
        <w:rPr>
          <w:b/>
          <w:color w:val="000000"/>
          <w:spacing w:val="3"/>
          <w:u w:val="single"/>
        </w:rPr>
        <w:t>Costs</w:t>
      </w:r>
    </w:p>
    <w:p w:rsidR="00E37369" w:rsidRDefault="00D00FAB" w:rsidP="004423E6">
      <w:pPr>
        <w:spacing w:line="480" w:lineRule="auto"/>
        <w:ind w:firstLine="720"/>
        <w:rPr>
          <w:color w:val="000000"/>
          <w:spacing w:val="3"/>
        </w:rPr>
      </w:pPr>
      <w:r w:rsidRPr="00D00FAB">
        <w:rPr>
          <w:color w:val="000000"/>
          <w:spacing w:val="3"/>
        </w:rPr>
        <w:t>The court recommends that costs be awarded to the State Bar in accordance with Business and Professions Code section 6086.10 and are enforceable both as provided in Business and Professions Code section 6140.7 and as a money judgment.</w:t>
      </w:r>
    </w:p>
    <w:p w:rsidR="00D00FAB" w:rsidRPr="00D00FAB" w:rsidRDefault="005568EC" w:rsidP="00725C98">
      <w:pPr>
        <w:spacing w:line="480" w:lineRule="auto"/>
        <w:ind w:firstLine="720"/>
        <w:jc w:val="center"/>
        <w:rPr>
          <w:b/>
          <w:color w:val="000000"/>
          <w:spacing w:val="3"/>
        </w:rPr>
      </w:pPr>
      <w:r w:rsidRPr="00D00FAB">
        <w:rPr>
          <w:b/>
          <w:color w:val="000000"/>
          <w:spacing w:val="3"/>
        </w:rPr>
        <w:t>ORDER OF INVOLUNTARY INACTIVE ENROLLMENT</w:t>
      </w:r>
    </w:p>
    <w:p w:rsidR="004A1E04" w:rsidRDefault="00E8041E" w:rsidP="00834AD7">
      <w:pPr>
        <w:spacing w:line="480" w:lineRule="auto"/>
        <w:ind w:firstLine="720"/>
      </w:pPr>
      <w:r w:rsidRPr="00E8041E">
        <w:rPr>
          <w:color w:val="000000"/>
          <w:spacing w:val="3"/>
        </w:rPr>
        <w:t>It is ordered that respondent be transferred to involuntary inactive enrollment status</w:t>
      </w:r>
      <w:r w:rsidR="005568EC">
        <w:rPr>
          <w:color w:val="000000"/>
          <w:spacing w:val="3"/>
        </w:rPr>
        <w:t xml:space="preserve"> pursuant to</w:t>
      </w:r>
      <w:r w:rsidR="00761D71">
        <w:rPr>
          <w:color w:val="000000"/>
          <w:spacing w:val="3"/>
        </w:rPr>
        <w:t xml:space="preserve"> </w:t>
      </w:r>
      <w:r w:rsidR="00761D71">
        <w:t>section 6007, subdivision (c</w:t>
      </w:r>
      <w:proofErr w:type="gramStart"/>
      <w:r w:rsidR="00761D71">
        <w:t>)(</w:t>
      </w:r>
      <w:proofErr w:type="gramEnd"/>
      <w:r w:rsidR="00761D71">
        <w:t xml:space="preserve">4), and rule 220(c) of the Rules of Procedure of the </w:t>
      </w:r>
    </w:p>
    <w:p w:rsidR="002C182F" w:rsidRPr="000C31B9" w:rsidRDefault="00761D71" w:rsidP="004A1E04">
      <w:pPr>
        <w:spacing w:line="480" w:lineRule="auto"/>
        <w:rPr>
          <w:color w:val="000000"/>
          <w:spacing w:val="-8"/>
        </w:rPr>
      </w:pPr>
      <w:proofErr w:type="gramStart"/>
      <w:r>
        <w:t>State Bar</w:t>
      </w:r>
      <w:r w:rsidR="00E8041E" w:rsidRPr="00E8041E">
        <w:rPr>
          <w:color w:val="000000"/>
          <w:spacing w:val="3"/>
        </w:rPr>
        <w:t>.</w:t>
      </w:r>
      <w:proofErr w:type="gramEnd"/>
      <w:r w:rsidR="00E8041E" w:rsidRPr="00E8041E">
        <w:rPr>
          <w:color w:val="000000"/>
          <w:spacing w:val="3"/>
        </w:rPr>
        <w:t xml:space="preserve">  The inactive enrollment will become effective three calendar days after service of this order.</w:t>
      </w:r>
    </w:p>
    <w:p w:rsidR="008464D5" w:rsidRDefault="008464D5">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761D71">
            <w:pPr>
              <w:pStyle w:val="Header"/>
              <w:tabs>
                <w:tab w:val="clear" w:pos="4320"/>
                <w:tab w:val="clear" w:pos="8640"/>
              </w:tabs>
            </w:pPr>
            <w:r>
              <w:t xml:space="preserve">Dated:  </w:t>
            </w:r>
            <w:fldSimple w:instr=" DATE \@ &quot;MMMM _____, yyyy&quot; \* MERGEFORMAT ">
              <w:r w:rsidR="00FB6C4D">
                <w:rPr>
                  <w:noProof/>
                </w:rPr>
                <w:t>October _____, 2009</w:t>
              </w:r>
            </w:fldSimple>
          </w:p>
        </w:tc>
        <w:tc>
          <w:tcPr>
            <w:tcW w:w="4565" w:type="dxa"/>
            <w:tcBorders>
              <w:top w:val="single" w:sz="4" w:space="0" w:color="auto"/>
              <w:bottom w:val="nil"/>
              <w:right w:val="nil"/>
            </w:tcBorders>
          </w:tcPr>
          <w:p w:rsidR="003D3B12" w:rsidRDefault="000E0345" w:rsidP="000E0345">
            <w:bookmarkStart w:id="6" w:name="judge"/>
            <w:bookmarkEnd w:id="6"/>
            <w:r w:rsidRPr="00E22D67">
              <w:t>DONALD F. MILES</w:t>
            </w:r>
            <w:r>
              <w:t xml:space="preserve"> </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7170E3" w:rsidRDefault="007170E3" w:rsidP="000023A1">
      <w:pPr>
        <w:spacing w:line="480" w:lineRule="auto"/>
      </w:pPr>
    </w:p>
    <w:sectPr w:rsidR="007170E3"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918" w:rsidRDefault="00323918">
      <w:r>
        <w:separator/>
      </w:r>
    </w:p>
  </w:endnote>
  <w:endnote w:type="continuationSeparator" w:id="0">
    <w:p w:rsidR="00323918" w:rsidRDefault="00323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9E" w:rsidRDefault="00844B95" w:rsidP="003B44D5">
    <w:pPr>
      <w:pStyle w:val="Footer"/>
      <w:framePr w:wrap="around" w:vAnchor="text" w:hAnchor="margin" w:xAlign="center" w:y="1"/>
      <w:rPr>
        <w:rStyle w:val="PageNumber"/>
      </w:rPr>
    </w:pPr>
    <w:r>
      <w:rPr>
        <w:rStyle w:val="PageNumber"/>
      </w:rPr>
      <w:fldChar w:fldCharType="begin"/>
    </w:r>
    <w:r w:rsidR="00E5529E">
      <w:rPr>
        <w:rStyle w:val="PageNumber"/>
      </w:rPr>
      <w:instrText xml:space="preserve">PAGE  </w:instrText>
    </w:r>
    <w:r>
      <w:rPr>
        <w:rStyle w:val="PageNumber"/>
      </w:rPr>
      <w:fldChar w:fldCharType="end"/>
    </w:r>
  </w:p>
  <w:p w:rsidR="00E5529E" w:rsidRDefault="00E552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9E" w:rsidRDefault="00844B95" w:rsidP="00200B09">
    <w:pPr>
      <w:pStyle w:val="Footer"/>
      <w:framePr w:wrap="around" w:vAnchor="text" w:hAnchor="margin" w:xAlign="center" w:y="1"/>
      <w:rPr>
        <w:rStyle w:val="PageNumber"/>
      </w:rPr>
    </w:pPr>
    <w:r>
      <w:rPr>
        <w:rStyle w:val="PageNumber"/>
      </w:rPr>
      <w:fldChar w:fldCharType="begin"/>
    </w:r>
    <w:r w:rsidR="00E5529E">
      <w:rPr>
        <w:rStyle w:val="PageNumber"/>
      </w:rPr>
      <w:instrText xml:space="preserve">PAGE  </w:instrText>
    </w:r>
    <w:r>
      <w:rPr>
        <w:rStyle w:val="PageNumber"/>
      </w:rPr>
      <w:fldChar w:fldCharType="separate"/>
    </w:r>
    <w:r w:rsidR="00FB6C4D">
      <w:rPr>
        <w:rStyle w:val="PageNumber"/>
        <w:noProof/>
      </w:rPr>
      <w:t>- 6 -</w:t>
    </w:r>
    <w:r>
      <w:rPr>
        <w:rStyle w:val="PageNumber"/>
      </w:rPr>
      <w:fldChar w:fldCharType="end"/>
    </w:r>
  </w:p>
  <w:p w:rsidR="00E5529E" w:rsidRDefault="00E5529E">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9E" w:rsidRDefault="00E5529E">
    <w:pPr>
      <w:pStyle w:val="Footer"/>
      <w:framePr w:wrap="around" w:vAnchor="text" w:hAnchor="margin" w:xAlign="center" w:y="1"/>
      <w:rPr>
        <w:rStyle w:val="PageNumber"/>
      </w:rPr>
    </w:pPr>
  </w:p>
  <w:p w:rsidR="00E5529E" w:rsidRDefault="00E55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918" w:rsidRDefault="00323918">
      <w:r>
        <w:separator/>
      </w:r>
    </w:p>
  </w:footnote>
  <w:footnote w:type="continuationSeparator" w:id="0">
    <w:p w:rsidR="00323918" w:rsidRDefault="00323918">
      <w:r>
        <w:continuationSeparator/>
      </w:r>
    </w:p>
  </w:footnote>
  <w:footnote w:id="1">
    <w:p w:rsidR="00E5529E" w:rsidRDefault="00E5529E">
      <w:pPr>
        <w:pStyle w:val="FootnoteText"/>
      </w:pPr>
      <w:r>
        <w:rPr>
          <w:rStyle w:val="FootnoteReference"/>
        </w:rPr>
        <w:footnoteRef/>
      </w:r>
      <w:r>
        <w:t xml:space="preserve"> All references to rule 9.20 are to California Rules of Court, rule 9.20. </w:t>
      </w:r>
    </w:p>
  </w:footnote>
  <w:footnote w:id="2">
    <w:p w:rsidR="00E5529E" w:rsidRDefault="00E5529E">
      <w:pPr>
        <w:pStyle w:val="FootnoteText"/>
      </w:pPr>
      <w:r>
        <w:rPr>
          <w:rStyle w:val="FootnoteReference"/>
        </w:rPr>
        <w:footnoteRef/>
      </w:r>
      <w:r>
        <w:t xml:space="preserve"> Pursuant to Evidence Code 452, subdivision (h), the court takes judicial notice of respondent’s official membership records contact information and address history.  </w:t>
      </w:r>
    </w:p>
  </w:footnote>
  <w:footnote w:id="3">
    <w:p w:rsidR="00E5529E" w:rsidRDefault="00E5529E">
      <w:pPr>
        <w:pStyle w:val="FootnoteText"/>
      </w:pPr>
      <w:r>
        <w:rPr>
          <w:rStyle w:val="FootnoteReference"/>
        </w:rPr>
        <w:footnoteRef/>
      </w:r>
      <w:r>
        <w:t xml:space="preserve"> All references to section (§) are to the Business and Professions Code, unless otherwise indicated.</w:t>
      </w:r>
    </w:p>
  </w:footnote>
  <w:footnote w:id="4">
    <w:p w:rsidR="00E5529E" w:rsidRDefault="00E5529E">
      <w:pPr>
        <w:pStyle w:val="FootnoteText"/>
      </w:pPr>
      <w:r>
        <w:rPr>
          <w:rStyle w:val="FootnoteReference"/>
        </w:rPr>
        <w:footnoteRef/>
      </w:r>
      <w:r>
        <w:t xml:space="preserve"> There is no indication in the record that respondent has </w:t>
      </w:r>
      <w:r w:rsidR="00B06709">
        <w:t xml:space="preserve">since </w:t>
      </w:r>
      <w:r>
        <w:t>complied with subdivision (c) of rule 9.20.</w:t>
      </w:r>
    </w:p>
  </w:footnote>
  <w:footnote w:id="5">
    <w:p w:rsidR="00E5529E" w:rsidRDefault="00E5529E" w:rsidP="00C74584">
      <w:pPr>
        <w:pStyle w:val="FootnoteText"/>
      </w:pPr>
      <w:r>
        <w:rPr>
          <w:rStyle w:val="FootnoteReference"/>
        </w:rPr>
        <w:footnoteRef/>
      </w:r>
      <w:r>
        <w:t xml:space="preserve"> All further references to standard(s) are to this source.</w:t>
      </w:r>
    </w:p>
  </w:footnote>
  <w:footnote w:id="6">
    <w:p w:rsidR="00E5529E" w:rsidRDefault="00E5529E">
      <w:pPr>
        <w:pStyle w:val="FootnoteText"/>
      </w:pPr>
      <w:r>
        <w:rPr>
          <w:rStyle w:val="FootnoteReference"/>
        </w:rPr>
        <w:footnoteRef/>
      </w:r>
      <w:r>
        <w:t xml:space="preserve"> </w:t>
      </w:r>
      <w:r w:rsidRPr="009E5F33">
        <w:t xml:space="preserve">Respondent is required to file a rule 9.20(c) affidavit even if he has no clients to notify.  </w:t>
      </w:r>
      <w:proofErr w:type="gramStart"/>
      <w:r>
        <w:t>(</w:t>
      </w:r>
      <w:r w:rsidRPr="009E5F33">
        <w:rPr>
          <w:i/>
        </w:rPr>
        <w:t>Powers v. State Bar</w:t>
      </w:r>
      <w:r w:rsidRPr="009E5F33">
        <w:t xml:space="preserve">, </w:t>
      </w:r>
      <w:r w:rsidRPr="009E5F33">
        <w:rPr>
          <w:i/>
        </w:rPr>
        <w:t>supra</w:t>
      </w:r>
      <w:r w:rsidRPr="009E5F33">
        <w:t>, 44 Cal.3d 337, 341.)</w:t>
      </w:r>
      <w:proofErr w:type="gramEnd"/>
      <w:r>
        <w:t xml:space="preserve">  In addition to being punished as a crime or </w:t>
      </w:r>
      <w:proofErr w:type="gramStart"/>
      <w:r>
        <w:t>a contempt</w:t>
      </w:r>
      <w:proofErr w:type="gramEnd"/>
      <w:r>
        <w:t xml:space="preserve">, an attorney's failure to comply with rule 9.20 is also, </w:t>
      </w:r>
      <w:r w:rsidRPr="003464FD">
        <w:rPr>
          <w:i/>
        </w:rPr>
        <w:t>inter alia</w:t>
      </w:r>
      <w:r>
        <w:t>, cause for disbarment, suspension, revocation of any pending disciplinary probation, and denial of an application for reinstatement after disbarment.  (Cal. Rules of Court, rule 9.20(d).)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4BA8"/>
    <w:multiLevelType w:val="hybridMultilevel"/>
    <w:tmpl w:val="4EF44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2B1D71"/>
    <w:multiLevelType w:val="hybridMultilevel"/>
    <w:tmpl w:val="672ED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3F13C7"/>
    <w:rsid w:val="000023A1"/>
    <w:rsid w:val="00002500"/>
    <w:rsid w:val="00003169"/>
    <w:rsid w:val="000036A5"/>
    <w:rsid w:val="00006A76"/>
    <w:rsid w:val="00011B68"/>
    <w:rsid w:val="000206DC"/>
    <w:rsid w:val="00021EE5"/>
    <w:rsid w:val="000232F7"/>
    <w:rsid w:val="00035543"/>
    <w:rsid w:val="0004014F"/>
    <w:rsid w:val="00054302"/>
    <w:rsid w:val="00055030"/>
    <w:rsid w:val="000618E7"/>
    <w:rsid w:val="00063144"/>
    <w:rsid w:val="000648B6"/>
    <w:rsid w:val="00066FF7"/>
    <w:rsid w:val="00072050"/>
    <w:rsid w:val="00074723"/>
    <w:rsid w:val="00077266"/>
    <w:rsid w:val="00080BDA"/>
    <w:rsid w:val="0008396C"/>
    <w:rsid w:val="000841AE"/>
    <w:rsid w:val="00087A87"/>
    <w:rsid w:val="00092F78"/>
    <w:rsid w:val="000935C8"/>
    <w:rsid w:val="00093652"/>
    <w:rsid w:val="00095425"/>
    <w:rsid w:val="000A04B5"/>
    <w:rsid w:val="000B5775"/>
    <w:rsid w:val="000B5C9E"/>
    <w:rsid w:val="000B7CBF"/>
    <w:rsid w:val="000C0619"/>
    <w:rsid w:val="000C0EFF"/>
    <w:rsid w:val="000C27F8"/>
    <w:rsid w:val="000D11D5"/>
    <w:rsid w:val="000D3A97"/>
    <w:rsid w:val="000D3DD5"/>
    <w:rsid w:val="000D61DE"/>
    <w:rsid w:val="000D6699"/>
    <w:rsid w:val="000E0345"/>
    <w:rsid w:val="000E46B6"/>
    <w:rsid w:val="000E4D1C"/>
    <w:rsid w:val="000E4DFB"/>
    <w:rsid w:val="000E7B8C"/>
    <w:rsid w:val="000F4936"/>
    <w:rsid w:val="000F4B12"/>
    <w:rsid w:val="00105B59"/>
    <w:rsid w:val="0010609C"/>
    <w:rsid w:val="00107048"/>
    <w:rsid w:val="0010779D"/>
    <w:rsid w:val="00107F7E"/>
    <w:rsid w:val="0011315F"/>
    <w:rsid w:val="001132D2"/>
    <w:rsid w:val="001173D7"/>
    <w:rsid w:val="001177DC"/>
    <w:rsid w:val="00120E3A"/>
    <w:rsid w:val="00121318"/>
    <w:rsid w:val="00121894"/>
    <w:rsid w:val="00127CCB"/>
    <w:rsid w:val="00134148"/>
    <w:rsid w:val="00135673"/>
    <w:rsid w:val="00135758"/>
    <w:rsid w:val="00135982"/>
    <w:rsid w:val="00140CAA"/>
    <w:rsid w:val="00142FB0"/>
    <w:rsid w:val="001453C0"/>
    <w:rsid w:val="00153811"/>
    <w:rsid w:val="00157A3C"/>
    <w:rsid w:val="00160A87"/>
    <w:rsid w:val="00162B8F"/>
    <w:rsid w:val="00173876"/>
    <w:rsid w:val="00177585"/>
    <w:rsid w:val="00181C26"/>
    <w:rsid w:val="0018428C"/>
    <w:rsid w:val="00184C34"/>
    <w:rsid w:val="00186B76"/>
    <w:rsid w:val="00190712"/>
    <w:rsid w:val="001932C4"/>
    <w:rsid w:val="00194F8A"/>
    <w:rsid w:val="001952ED"/>
    <w:rsid w:val="00195949"/>
    <w:rsid w:val="001A202A"/>
    <w:rsid w:val="001A264E"/>
    <w:rsid w:val="001A4C91"/>
    <w:rsid w:val="001A53D1"/>
    <w:rsid w:val="001A5925"/>
    <w:rsid w:val="001A7331"/>
    <w:rsid w:val="001B769C"/>
    <w:rsid w:val="001B7EFF"/>
    <w:rsid w:val="001C1898"/>
    <w:rsid w:val="001C227C"/>
    <w:rsid w:val="001C4073"/>
    <w:rsid w:val="001C7D1D"/>
    <w:rsid w:val="001D368D"/>
    <w:rsid w:val="001D529B"/>
    <w:rsid w:val="001E281A"/>
    <w:rsid w:val="001E2DB2"/>
    <w:rsid w:val="001E3294"/>
    <w:rsid w:val="001E3CBD"/>
    <w:rsid w:val="001E5226"/>
    <w:rsid w:val="001E5D30"/>
    <w:rsid w:val="001E702A"/>
    <w:rsid w:val="001F219C"/>
    <w:rsid w:val="001F2210"/>
    <w:rsid w:val="001F7AB9"/>
    <w:rsid w:val="0020044C"/>
    <w:rsid w:val="00200B09"/>
    <w:rsid w:val="00201CB9"/>
    <w:rsid w:val="002024A5"/>
    <w:rsid w:val="002042AA"/>
    <w:rsid w:val="00207547"/>
    <w:rsid w:val="002130FA"/>
    <w:rsid w:val="0021376D"/>
    <w:rsid w:val="00213DC9"/>
    <w:rsid w:val="00215012"/>
    <w:rsid w:val="00215697"/>
    <w:rsid w:val="002202DC"/>
    <w:rsid w:val="00221B6B"/>
    <w:rsid w:val="00223093"/>
    <w:rsid w:val="002335C4"/>
    <w:rsid w:val="002417E0"/>
    <w:rsid w:val="002513B2"/>
    <w:rsid w:val="00254D46"/>
    <w:rsid w:val="002567BB"/>
    <w:rsid w:val="00257F79"/>
    <w:rsid w:val="002609AF"/>
    <w:rsid w:val="00260A72"/>
    <w:rsid w:val="00270115"/>
    <w:rsid w:val="002704B6"/>
    <w:rsid w:val="00271759"/>
    <w:rsid w:val="00271E32"/>
    <w:rsid w:val="00272397"/>
    <w:rsid w:val="002727F1"/>
    <w:rsid w:val="00272FCE"/>
    <w:rsid w:val="00273317"/>
    <w:rsid w:val="002733FF"/>
    <w:rsid w:val="002738F2"/>
    <w:rsid w:val="00274E4C"/>
    <w:rsid w:val="00275606"/>
    <w:rsid w:val="00275E8A"/>
    <w:rsid w:val="00276FF5"/>
    <w:rsid w:val="002778C7"/>
    <w:rsid w:val="0028330A"/>
    <w:rsid w:val="002952DA"/>
    <w:rsid w:val="002A2D95"/>
    <w:rsid w:val="002A329D"/>
    <w:rsid w:val="002A38C6"/>
    <w:rsid w:val="002B0187"/>
    <w:rsid w:val="002B05BD"/>
    <w:rsid w:val="002B070E"/>
    <w:rsid w:val="002B11FE"/>
    <w:rsid w:val="002B1C5B"/>
    <w:rsid w:val="002B255F"/>
    <w:rsid w:val="002B25A6"/>
    <w:rsid w:val="002B363A"/>
    <w:rsid w:val="002B593C"/>
    <w:rsid w:val="002B637C"/>
    <w:rsid w:val="002B7D1F"/>
    <w:rsid w:val="002C182F"/>
    <w:rsid w:val="002D1E99"/>
    <w:rsid w:val="002D2238"/>
    <w:rsid w:val="002D2366"/>
    <w:rsid w:val="002D28F1"/>
    <w:rsid w:val="002D3D52"/>
    <w:rsid w:val="002E139D"/>
    <w:rsid w:val="002E1AA0"/>
    <w:rsid w:val="002E26DF"/>
    <w:rsid w:val="002E4278"/>
    <w:rsid w:val="002F7F1D"/>
    <w:rsid w:val="003008F2"/>
    <w:rsid w:val="00300C97"/>
    <w:rsid w:val="00302953"/>
    <w:rsid w:val="0030304A"/>
    <w:rsid w:val="00304304"/>
    <w:rsid w:val="00305D73"/>
    <w:rsid w:val="003075F9"/>
    <w:rsid w:val="00310D7F"/>
    <w:rsid w:val="0031187F"/>
    <w:rsid w:val="00313A22"/>
    <w:rsid w:val="00313F2C"/>
    <w:rsid w:val="00315034"/>
    <w:rsid w:val="0031508F"/>
    <w:rsid w:val="00315B2D"/>
    <w:rsid w:val="00315EDA"/>
    <w:rsid w:val="00317B55"/>
    <w:rsid w:val="0032023C"/>
    <w:rsid w:val="00320B53"/>
    <w:rsid w:val="00323918"/>
    <w:rsid w:val="00326794"/>
    <w:rsid w:val="0033394F"/>
    <w:rsid w:val="00334428"/>
    <w:rsid w:val="00335646"/>
    <w:rsid w:val="00340154"/>
    <w:rsid w:val="00344ED4"/>
    <w:rsid w:val="00351CE8"/>
    <w:rsid w:val="0035282F"/>
    <w:rsid w:val="00355EF4"/>
    <w:rsid w:val="00356DFC"/>
    <w:rsid w:val="00356EEA"/>
    <w:rsid w:val="003606EA"/>
    <w:rsid w:val="00362606"/>
    <w:rsid w:val="003651D5"/>
    <w:rsid w:val="00367227"/>
    <w:rsid w:val="00383D60"/>
    <w:rsid w:val="003843F0"/>
    <w:rsid w:val="00385AA7"/>
    <w:rsid w:val="00385FCE"/>
    <w:rsid w:val="00390ACE"/>
    <w:rsid w:val="00396549"/>
    <w:rsid w:val="003A0010"/>
    <w:rsid w:val="003A041C"/>
    <w:rsid w:val="003A3484"/>
    <w:rsid w:val="003B44D5"/>
    <w:rsid w:val="003B52B2"/>
    <w:rsid w:val="003B61A5"/>
    <w:rsid w:val="003C2997"/>
    <w:rsid w:val="003C51F5"/>
    <w:rsid w:val="003C79D2"/>
    <w:rsid w:val="003D0106"/>
    <w:rsid w:val="003D0CB3"/>
    <w:rsid w:val="003D1F8E"/>
    <w:rsid w:val="003D3B12"/>
    <w:rsid w:val="003D7926"/>
    <w:rsid w:val="003E3843"/>
    <w:rsid w:val="003E4455"/>
    <w:rsid w:val="003F13C7"/>
    <w:rsid w:val="003F373A"/>
    <w:rsid w:val="003F45F9"/>
    <w:rsid w:val="003F4A85"/>
    <w:rsid w:val="003F72D7"/>
    <w:rsid w:val="003F7735"/>
    <w:rsid w:val="00401334"/>
    <w:rsid w:val="004026BA"/>
    <w:rsid w:val="004029BC"/>
    <w:rsid w:val="0040373E"/>
    <w:rsid w:val="0041331D"/>
    <w:rsid w:val="004134B2"/>
    <w:rsid w:val="00425FDA"/>
    <w:rsid w:val="00430C63"/>
    <w:rsid w:val="00432495"/>
    <w:rsid w:val="00433A24"/>
    <w:rsid w:val="00435C64"/>
    <w:rsid w:val="0043618D"/>
    <w:rsid w:val="0043710C"/>
    <w:rsid w:val="004404C4"/>
    <w:rsid w:val="0044081A"/>
    <w:rsid w:val="004423E6"/>
    <w:rsid w:val="004440D1"/>
    <w:rsid w:val="00444148"/>
    <w:rsid w:val="00450248"/>
    <w:rsid w:val="0045188B"/>
    <w:rsid w:val="00452CDA"/>
    <w:rsid w:val="0045706D"/>
    <w:rsid w:val="004608FF"/>
    <w:rsid w:val="00463ABD"/>
    <w:rsid w:val="00464D18"/>
    <w:rsid w:val="004661FE"/>
    <w:rsid w:val="004706A3"/>
    <w:rsid w:val="004706AA"/>
    <w:rsid w:val="00470DE6"/>
    <w:rsid w:val="00470E8D"/>
    <w:rsid w:val="00471DE9"/>
    <w:rsid w:val="00474672"/>
    <w:rsid w:val="00480499"/>
    <w:rsid w:val="00480DBC"/>
    <w:rsid w:val="004827BF"/>
    <w:rsid w:val="00482FB3"/>
    <w:rsid w:val="00487250"/>
    <w:rsid w:val="00487ABE"/>
    <w:rsid w:val="0049032A"/>
    <w:rsid w:val="004966EE"/>
    <w:rsid w:val="004A039B"/>
    <w:rsid w:val="004A05C9"/>
    <w:rsid w:val="004A1E04"/>
    <w:rsid w:val="004A450F"/>
    <w:rsid w:val="004A50FE"/>
    <w:rsid w:val="004A54D8"/>
    <w:rsid w:val="004A7BB8"/>
    <w:rsid w:val="004A7CD7"/>
    <w:rsid w:val="004B02A3"/>
    <w:rsid w:val="004B1E3F"/>
    <w:rsid w:val="004B322D"/>
    <w:rsid w:val="004B6E24"/>
    <w:rsid w:val="004C3531"/>
    <w:rsid w:val="004C3F40"/>
    <w:rsid w:val="004C41AA"/>
    <w:rsid w:val="004D0118"/>
    <w:rsid w:val="004D18CF"/>
    <w:rsid w:val="004D193B"/>
    <w:rsid w:val="004D464D"/>
    <w:rsid w:val="004D51CF"/>
    <w:rsid w:val="004E215A"/>
    <w:rsid w:val="004F0345"/>
    <w:rsid w:val="004F3F5C"/>
    <w:rsid w:val="004F68BB"/>
    <w:rsid w:val="005030A7"/>
    <w:rsid w:val="005058CD"/>
    <w:rsid w:val="00505E2E"/>
    <w:rsid w:val="00505F07"/>
    <w:rsid w:val="00506846"/>
    <w:rsid w:val="005123C4"/>
    <w:rsid w:val="00512D36"/>
    <w:rsid w:val="005164AD"/>
    <w:rsid w:val="0051697A"/>
    <w:rsid w:val="00517407"/>
    <w:rsid w:val="005210BC"/>
    <w:rsid w:val="00537453"/>
    <w:rsid w:val="00540EB1"/>
    <w:rsid w:val="00541DC2"/>
    <w:rsid w:val="00542247"/>
    <w:rsid w:val="00544883"/>
    <w:rsid w:val="00545811"/>
    <w:rsid w:val="00545BD4"/>
    <w:rsid w:val="005463B0"/>
    <w:rsid w:val="00546838"/>
    <w:rsid w:val="00547382"/>
    <w:rsid w:val="00550343"/>
    <w:rsid w:val="005568EC"/>
    <w:rsid w:val="00557A15"/>
    <w:rsid w:val="00560880"/>
    <w:rsid w:val="00562C59"/>
    <w:rsid w:val="00566DC3"/>
    <w:rsid w:val="00570E3D"/>
    <w:rsid w:val="0057214E"/>
    <w:rsid w:val="00572ED4"/>
    <w:rsid w:val="00576087"/>
    <w:rsid w:val="00576CA2"/>
    <w:rsid w:val="00576CDE"/>
    <w:rsid w:val="00580320"/>
    <w:rsid w:val="00584534"/>
    <w:rsid w:val="00590232"/>
    <w:rsid w:val="00591065"/>
    <w:rsid w:val="00591E83"/>
    <w:rsid w:val="005929DB"/>
    <w:rsid w:val="005930FA"/>
    <w:rsid w:val="00593682"/>
    <w:rsid w:val="00596301"/>
    <w:rsid w:val="00596FF1"/>
    <w:rsid w:val="005B5A2D"/>
    <w:rsid w:val="005B7552"/>
    <w:rsid w:val="005B7606"/>
    <w:rsid w:val="005B7B2D"/>
    <w:rsid w:val="005C26DD"/>
    <w:rsid w:val="005C39B8"/>
    <w:rsid w:val="005D583F"/>
    <w:rsid w:val="005D6520"/>
    <w:rsid w:val="005D6D37"/>
    <w:rsid w:val="005D760F"/>
    <w:rsid w:val="005E2A4C"/>
    <w:rsid w:val="005E2BC9"/>
    <w:rsid w:val="005E693A"/>
    <w:rsid w:val="005F045A"/>
    <w:rsid w:val="005F1A34"/>
    <w:rsid w:val="005F5084"/>
    <w:rsid w:val="005F534B"/>
    <w:rsid w:val="005F7A67"/>
    <w:rsid w:val="00601E4B"/>
    <w:rsid w:val="00604DFF"/>
    <w:rsid w:val="00606A18"/>
    <w:rsid w:val="006079A3"/>
    <w:rsid w:val="006079E0"/>
    <w:rsid w:val="00610E5A"/>
    <w:rsid w:val="00630E0A"/>
    <w:rsid w:val="00634EA1"/>
    <w:rsid w:val="00636467"/>
    <w:rsid w:val="0064183D"/>
    <w:rsid w:val="00652221"/>
    <w:rsid w:val="00653F23"/>
    <w:rsid w:val="00656066"/>
    <w:rsid w:val="00667716"/>
    <w:rsid w:val="00667B9F"/>
    <w:rsid w:val="006720D5"/>
    <w:rsid w:val="0067288E"/>
    <w:rsid w:val="00672C10"/>
    <w:rsid w:val="00672F35"/>
    <w:rsid w:val="00675574"/>
    <w:rsid w:val="006758CD"/>
    <w:rsid w:val="00681039"/>
    <w:rsid w:val="00681321"/>
    <w:rsid w:val="006817D5"/>
    <w:rsid w:val="00684791"/>
    <w:rsid w:val="006853E3"/>
    <w:rsid w:val="00686B4F"/>
    <w:rsid w:val="00691EBB"/>
    <w:rsid w:val="006925AE"/>
    <w:rsid w:val="006934B0"/>
    <w:rsid w:val="00697B02"/>
    <w:rsid w:val="006A1518"/>
    <w:rsid w:val="006A1523"/>
    <w:rsid w:val="006A3290"/>
    <w:rsid w:val="006A4361"/>
    <w:rsid w:val="006A50AF"/>
    <w:rsid w:val="006B1DEB"/>
    <w:rsid w:val="006B50BC"/>
    <w:rsid w:val="006B63FF"/>
    <w:rsid w:val="006B6A19"/>
    <w:rsid w:val="006C37F3"/>
    <w:rsid w:val="006D3DBC"/>
    <w:rsid w:val="006D49E3"/>
    <w:rsid w:val="006D7913"/>
    <w:rsid w:val="006E1E33"/>
    <w:rsid w:val="006E21DF"/>
    <w:rsid w:val="006E573E"/>
    <w:rsid w:val="006E6A51"/>
    <w:rsid w:val="006F2864"/>
    <w:rsid w:val="006F510B"/>
    <w:rsid w:val="006F7C05"/>
    <w:rsid w:val="007035CA"/>
    <w:rsid w:val="00704133"/>
    <w:rsid w:val="00707260"/>
    <w:rsid w:val="00711C1D"/>
    <w:rsid w:val="00712FF1"/>
    <w:rsid w:val="00713057"/>
    <w:rsid w:val="007163DF"/>
    <w:rsid w:val="007170E3"/>
    <w:rsid w:val="00720AFB"/>
    <w:rsid w:val="00721C4C"/>
    <w:rsid w:val="00725C98"/>
    <w:rsid w:val="00731533"/>
    <w:rsid w:val="00732281"/>
    <w:rsid w:val="0073320C"/>
    <w:rsid w:val="00733813"/>
    <w:rsid w:val="00734FB5"/>
    <w:rsid w:val="00736310"/>
    <w:rsid w:val="00742A60"/>
    <w:rsid w:val="00743EFF"/>
    <w:rsid w:val="00745E57"/>
    <w:rsid w:val="00750B94"/>
    <w:rsid w:val="00750D7C"/>
    <w:rsid w:val="00755DCE"/>
    <w:rsid w:val="00760343"/>
    <w:rsid w:val="007604E6"/>
    <w:rsid w:val="00761D71"/>
    <w:rsid w:val="00765F0F"/>
    <w:rsid w:val="0076609A"/>
    <w:rsid w:val="00773EE7"/>
    <w:rsid w:val="007817D6"/>
    <w:rsid w:val="007944EE"/>
    <w:rsid w:val="00795BAF"/>
    <w:rsid w:val="007A0346"/>
    <w:rsid w:val="007A0C3B"/>
    <w:rsid w:val="007A3BD7"/>
    <w:rsid w:val="007A3D0E"/>
    <w:rsid w:val="007A5D97"/>
    <w:rsid w:val="007B2A97"/>
    <w:rsid w:val="007B351E"/>
    <w:rsid w:val="007C0970"/>
    <w:rsid w:val="007C675B"/>
    <w:rsid w:val="007C7F5E"/>
    <w:rsid w:val="007D0DF8"/>
    <w:rsid w:val="007D2E2D"/>
    <w:rsid w:val="007D5119"/>
    <w:rsid w:val="007D555D"/>
    <w:rsid w:val="007E52C6"/>
    <w:rsid w:val="007F4CC5"/>
    <w:rsid w:val="007F7E1D"/>
    <w:rsid w:val="00802A80"/>
    <w:rsid w:val="008044A5"/>
    <w:rsid w:val="0080605E"/>
    <w:rsid w:val="008065FA"/>
    <w:rsid w:val="008070A5"/>
    <w:rsid w:val="00807EDE"/>
    <w:rsid w:val="008157C4"/>
    <w:rsid w:val="00822592"/>
    <w:rsid w:val="00823BC4"/>
    <w:rsid w:val="008249DE"/>
    <w:rsid w:val="00824BF7"/>
    <w:rsid w:val="00824E26"/>
    <w:rsid w:val="008305EE"/>
    <w:rsid w:val="008326C8"/>
    <w:rsid w:val="00834AD7"/>
    <w:rsid w:val="00835A58"/>
    <w:rsid w:val="00836C1B"/>
    <w:rsid w:val="00837B63"/>
    <w:rsid w:val="008424C3"/>
    <w:rsid w:val="00843C64"/>
    <w:rsid w:val="00843DEE"/>
    <w:rsid w:val="00844B95"/>
    <w:rsid w:val="008464D5"/>
    <w:rsid w:val="008474C8"/>
    <w:rsid w:val="00850493"/>
    <w:rsid w:val="00856DEE"/>
    <w:rsid w:val="00861784"/>
    <w:rsid w:val="00862895"/>
    <w:rsid w:val="00863DD8"/>
    <w:rsid w:val="00864362"/>
    <w:rsid w:val="0086491E"/>
    <w:rsid w:val="0086582B"/>
    <w:rsid w:val="0086695A"/>
    <w:rsid w:val="00870746"/>
    <w:rsid w:val="00870EAE"/>
    <w:rsid w:val="008712B6"/>
    <w:rsid w:val="00872BA1"/>
    <w:rsid w:val="00876BDC"/>
    <w:rsid w:val="008809EA"/>
    <w:rsid w:val="00886865"/>
    <w:rsid w:val="00890EB5"/>
    <w:rsid w:val="008A1C96"/>
    <w:rsid w:val="008A305F"/>
    <w:rsid w:val="008A47F9"/>
    <w:rsid w:val="008A4BC4"/>
    <w:rsid w:val="008A60D2"/>
    <w:rsid w:val="008B0A3A"/>
    <w:rsid w:val="008B0AFC"/>
    <w:rsid w:val="008B0D00"/>
    <w:rsid w:val="008B3FCD"/>
    <w:rsid w:val="008B4B2E"/>
    <w:rsid w:val="008B5667"/>
    <w:rsid w:val="008B578A"/>
    <w:rsid w:val="008C03F8"/>
    <w:rsid w:val="008C25EF"/>
    <w:rsid w:val="008C3C90"/>
    <w:rsid w:val="008C678B"/>
    <w:rsid w:val="008C6AA2"/>
    <w:rsid w:val="008D0860"/>
    <w:rsid w:val="008D1D11"/>
    <w:rsid w:val="008D27AA"/>
    <w:rsid w:val="008D4F37"/>
    <w:rsid w:val="008D5A0B"/>
    <w:rsid w:val="008D6ADD"/>
    <w:rsid w:val="008D6E06"/>
    <w:rsid w:val="008D777E"/>
    <w:rsid w:val="008E02DF"/>
    <w:rsid w:val="008F466C"/>
    <w:rsid w:val="008F4821"/>
    <w:rsid w:val="008F5A6F"/>
    <w:rsid w:val="00901377"/>
    <w:rsid w:val="00903C68"/>
    <w:rsid w:val="0090441A"/>
    <w:rsid w:val="00906DF2"/>
    <w:rsid w:val="00911203"/>
    <w:rsid w:val="00913B08"/>
    <w:rsid w:val="009163AA"/>
    <w:rsid w:val="00924006"/>
    <w:rsid w:val="00924B0E"/>
    <w:rsid w:val="009253ED"/>
    <w:rsid w:val="00927472"/>
    <w:rsid w:val="0093256C"/>
    <w:rsid w:val="0094496B"/>
    <w:rsid w:val="009455F4"/>
    <w:rsid w:val="00946084"/>
    <w:rsid w:val="0095050F"/>
    <w:rsid w:val="00952CA6"/>
    <w:rsid w:val="00952CD0"/>
    <w:rsid w:val="00952DC0"/>
    <w:rsid w:val="00957582"/>
    <w:rsid w:val="0095791E"/>
    <w:rsid w:val="009646DB"/>
    <w:rsid w:val="00967185"/>
    <w:rsid w:val="00973DC4"/>
    <w:rsid w:val="00973FDB"/>
    <w:rsid w:val="009752BB"/>
    <w:rsid w:val="00975C94"/>
    <w:rsid w:val="009763E0"/>
    <w:rsid w:val="00984D1F"/>
    <w:rsid w:val="00985ACF"/>
    <w:rsid w:val="00992344"/>
    <w:rsid w:val="00997D7F"/>
    <w:rsid w:val="009A0531"/>
    <w:rsid w:val="009A2EAA"/>
    <w:rsid w:val="009A32A2"/>
    <w:rsid w:val="009A5839"/>
    <w:rsid w:val="009A7094"/>
    <w:rsid w:val="009A75DB"/>
    <w:rsid w:val="009A7DDD"/>
    <w:rsid w:val="009A7E49"/>
    <w:rsid w:val="009C1FEC"/>
    <w:rsid w:val="009C477B"/>
    <w:rsid w:val="009C5656"/>
    <w:rsid w:val="009C57D6"/>
    <w:rsid w:val="009C69B7"/>
    <w:rsid w:val="009D0249"/>
    <w:rsid w:val="009D471C"/>
    <w:rsid w:val="009D73BB"/>
    <w:rsid w:val="009E0BF8"/>
    <w:rsid w:val="009E0CAF"/>
    <w:rsid w:val="009E1559"/>
    <w:rsid w:val="009E1D64"/>
    <w:rsid w:val="009E20F3"/>
    <w:rsid w:val="009E55E7"/>
    <w:rsid w:val="009E5F33"/>
    <w:rsid w:val="009F7686"/>
    <w:rsid w:val="00A01C3B"/>
    <w:rsid w:val="00A03E23"/>
    <w:rsid w:val="00A17E2E"/>
    <w:rsid w:val="00A24472"/>
    <w:rsid w:val="00A314A1"/>
    <w:rsid w:val="00A33497"/>
    <w:rsid w:val="00A3358A"/>
    <w:rsid w:val="00A33B2E"/>
    <w:rsid w:val="00A34B31"/>
    <w:rsid w:val="00A34D1B"/>
    <w:rsid w:val="00A358A4"/>
    <w:rsid w:val="00A35BBB"/>
    <w:rsid w:val="00A400A0"/>
    <w:rsid w:val="00A42DB0"/>
    <w:rsid w:val="00A44FEC"/>
    <w:rsid w:val="00A47242"/>
    <w:rsid w:val="00A50CFA"/>
    <w:rsid w:val="00A50D9A"/>
    <w:rsid w:val="00A54141"/>
    <w:rsid w:val="00A54146"/>
    <w:rsid w:val="00A55467"/>
    <w:rsid w:val="00A561A7"/>
    <w:rsid w:val="00A56434"/>
    <w:rsid w:val="00A57E95"/>
    <w:rsid w:val="00A7070E"/>
    <w:rsid w:val="00A70ACC"/>
    <w:rsid w:val="00A730D0"/>
    <w:rsid w:val="00A7468D"/>
    <w:rsid w:val="00A76D34"/>
    <w:rsid w:val="00A83DAB"/>
    <w:rsid w:val="00A86CCE"/>
    <w:rsid w:val="00A879A0"/>
    <w:rsid w:val="00A90A16"/>
    <w:rsid w:val="00A9237C"/>
    <w:rsid w:val="00A93E73"/>
    <w:rsid w:val="00A9470E"/>
    <w:rsid w:val="00A94F95"/>
    <w:rsid w:val="00A9781B"/>
    <w:rsid w:val="00AA5EAE"/>
    <w:rsid w:val="00AB342B"/>
    <w:rsid w:val="00AB4B1C"/>
    <w:rsid w:val="00AC0806"/>
    <w:rsid w:val="00AC3304"/>
    <w:rsid w:val="00AC4FA3"/>
    <w:rsid w:val="00AC5956"/>
    <w:rsid w:val="00AD141D"/>
    <w:rsid w:val="00AD4A6C"/>
    <w:rsid w:val="00AE0B6D"/>
    <w:rsid w:val="00AE1E0B"/>
    <w:rsid w:val="00AE72CD"/>
    <w:rsid w:val="00AF0E6D"/>
    <w:rsid w:val="00AF17E5"/>
    <w:rsid w:val="00AF5FEB"/>
    <w:rsid w:val="00B009C6"/>
    <w:rsid w:val="00B00F95"/>
    <w:rsid w:val="00B01875"/>
    <w:rsid w:val="00B02258"/>
    <w:rsid w:val="00B02CFC"/>
    <w:rsid w:val="00B04CC1"/>
    <w:rsid w:val="00B06709"/>
    <w:rsid w:val="00B06CA1"/>
    <w:rsid w:val="00B077A4"/>
    <w:rsid w:val="00B07DF2"/>
    <w:rsid w:val="00B07E1A"/>
    <w:rsid w:val="00B103DA"/>
    <w:rsid w:val="00B13EAE"/>
    <w:rsid w:val="00B20A52"/>
    <w:rsid w:val="00B21638"/>
    <w:rsid w:val="00B21849"/>
    <w:rsid w:val="00B221A7"/>
    <w:rsid w:val="00B238EF"/>
    <w:rsid w:val="00B33340"/>
    <w:rsid w:val="00B340E7"/>
    <w:rsid w:val="00B34729"/>
    <w:rsid w:val="00B35F4D"/>
    <w:rsid w:val="00B3612F"/>
    <w:rsid w:val="00B42E26"/>
    <w:rsid w:val="00B43411"/>
    <w:rsid w:val="00B45B88"/>
    <w:rsid w:val="00B51A96"/>
    <w:rsid w:val="00B51DBF"/>
    <w:rsid w:val="00B52FEC"/>
    <w:rsid w:val="00B53AA4"/>
    <w:rsid w:val="00B57524"/>
    <w:rsid w:val="00B643B7"/>
    <w:rsid w:val="00B711AC"/>
    <w:rsid w:val="00B7247E"/>
    <w:rsid w:val="00B731BB"/>
    <w:rsid w:val="00B74445"/>
    <w:rsid w:val="00B76F0A"/>
    <w:rsid w:val="00B85956"/>
    <w:rsid w:val="00B90B2E"/>
    <w:rsid w:val="00B90C34"/>
    <w:rsid w:val="00B95B4B"/>
    <w:rsid w:val="00B97EB8"/>
    <w:rsid w:val="00BA04A8"/>
    <w:rsid w:val="00BA573B"/>
    <w:rsid w:val="00BB12AF"/>
    <w:rsid w:val="00BB1459"/>
    <w:rsid w:val="00BC0059"/>
    <w:rsid w:val="00BC0D2C"/>
    <w:rsid w:val="00BC3A58"/>
    <w:rsid w:val="00BC555E"/>
    <w:rsid w:val="00BC6391"/>
    <w:rsid w:val="00BC651D"/>
    <w:rsid w:val="00BD1040"/>
    <w:rsid w:val="00BD456C"/>
    <w:rsid w:val="00BE5EF4"/>
    <w:rsid w:val="00C007EE"/>
    <w:rsid w:val="00C00A10"/>
    <w:rsid w:val="00C04CA6"/>
    <w:rsid w:val="00C2153F"/>
    <w:rsid w:val="00C21FF8"/>
    <w:rsid w:val="00C23D4B"/>
    <w:rsid w:val="00C33046"/>
    <w:rsid w:val="00C339F7"/>
    <w:rsid w:val="00C35B95"/>
    <w:rsid w:val="00C367DC"/>
    <w:rsid w:val="00C4016D"/>
    <w:rsid w:val="00C401D7"/>
    <w:rsid w:val="00C427E4"/>
    <w:rsid w:val="00C4660B"/>
    <w:rsid w:val="00C51ABD"/>
    <w:rsid w:val="00C52F32"/>
    <w:rsid w:val="00C60431"/>
    <w:rsid w:val="00C61A43"/>
    <w:rsid w:val="00C621AB"/>
    <w:rsid w:val="00C623B9"/>
    <w:rsid w:val="00C62FD0"/>
    <w:rsid w:val="00C647E2"/>
    <w:rsid w:val="00C64875"/>
    <w:rsid w:val="00C663B3"/>
    <w:rsid w:val="00C70EA9"/>
    <w:rsid w:val="00C72182"/>
    <w:rsid w:val="00C73009"/>
    <w:rsid w:val="00C73C27"/>
    <w:rsid w:val="00C74584"/>
    <w:rsid w:val="00C757CB"/>
    <w:rsid w:val="00C82468"/>
    <w:rsid w:val="00C85627"/>
    <w:rsid w:val="00C87023"/>
    <w:rsid w:val="00C874FE"/>
    <w:rsid w:val="00C9150B"/>
    <w:rsid w:val="00C9171C"/>
    <w:rsid w:val="00CA23B0"/>
    <w:rsid w:val="00CA36A9"/>
    <w:rsid w:val="00CA6755"/>
    <w:rsid w:val="00CB0337"/>
    <w:rsid w:val="00CB1AB6"/>
    <w:rsid w:val="00CB22B9"/>
    <w:rsid w:val="00CC023F"/>
    <w:rsid w:val="00CC330B"/>
    <w:rsid w:val="00CD72D9"/>
    <w:rsid w:val="00CD7E2F"/>
    <w:rsid w:val="00CE123E"/>
    <w:rsid w:val="00CE1DE9"/>
    <w:rsid w:val="00CF176A"/>
    <w:rsid w:val="00CF2934"/>
    <w:rsid w:val="00D00FAB"/>
    <w:rsid w:val="00D01438"/>
    <w:rsid w:val="00D06C0A"/>
    <w:rsid w:val="00D07EEA"/>
    <w:rsid w:val="00D12934"/>
    <w:rsid w:val="00D1471B"/>
    <w:rsid w:val="00D14BD1"/>
    <w:rsid w:val="00D17D9F"/>
    <w:rsid w:val="00D201F0"/>
    <w:rsid w:val="00D26E78"/>
    <w:rsid w:val="00D3029F"/>
    <w:rsid w:val="00D3065E"/>
    <w:rsid w:val="00D31F54"/>
    <w:rsid w:val="00D33814"/>
    <w:rsid w:val="00D34573"/>
    <w:rsid w:val="00D4187A"/>
    <w:rsid w:val="00D42BDD"/>
    <w:rsid w:val="00D50406"/>
    <w:rsid w:val="00D514DA"/>
    <w:rsid w:val="00D521E7"/>
    <w:rsid w:val="00D52EF7"/>
    <w:rsid w:val="00D61C37"/>
    <w:rsid w:val="00D61E7E"/>
    <w:rsid w:val="00D7266D"/>
    <w:rsid w:val="00D7409E"/>
    <w:rsid w:val="00D75FBF"/>
    <w:rsid w:val="00D833E4"/>
    <w:rsid w:val="00D838DB"/>
    <w:rsid w:val="00D84F6F"/>
    <w:rsid w:val="00D874F6"/>
    <w:rsid w:val="00D904C2"/>
    <w:rsid w:val="00D90A27"/>
    <w:rsid w:val="00D941F5"/>
    <w:rsid w:val="00DA3CAE"/>
    <w:rsid w:val="00DA4461"/>
    <w:rsid w:val="00DA7778"/>
    <w:rsid w:val="00DA780E"/>
    <w:rsid w:val="00DA7D1B"/>
    <w:rsid w:val="00DB6F84"/>
    <w:rsid w:val="00DC02C9"/>
    <w:rsid w:val="00DC21E4"/>
    <w:rsid w:val="00DC2FD3"/>
    <w:rsid w:val="00DC3016"/>
    <w:rsid w:val="00DC5221"/>
    <w:rsid w:val="00DC5345"/>
    <w:rsid w:val="00DC679D"/>
    <w:rsid w:val="00DC6DD5"/>
    <w:rsid w:val="00DC6E46"/>
    <w:rsid w:val="00DD194B"/>
    <w:rsid w:val="00DD3679"/>
    <w:rsid w:val="00DD4DFA"/>
    <w:rsid w:val="00DD55EB"/>
    <w:rsid w:val="00DD56B7"/>
    <w:rsid w:val="00DD64D8"/>
    <w:rsid w:val="00DD6676"/>
    <w:rsid w:val="00DD6E52"/>
    <w:rsid w:val="00DD7B36"/>
    <w:rsid w:val="00DD7F8D"/>
    <w:rsid w:val="00DE3A23"/>
    <w:rsid w:val="00DE40C0"/>
    <w:rsid w:val="00DE4CB5"/>
    <w:rsid w:val="00DE69F4"/>
    <w:rsid w:val="00DE6D4F"/>
    <w:rsid w:val="00DE7782"/>
    <w:rsid w:val="00DF2283"/>
    <w:rsid w:val="00DF5F21"/>
    <w:rsid w:val="00E015F7"/>
    <w:rsid w:val="00E0317F"/>
    <w:rsid w:val="00E03A39"/>
    <w:rsid w:val="00E042C5"/>
    <w:rsid w:val="00E043F1"/>
    <w:rsid w:val="00E0470A"/>
    <w:rsid w:val="00E06664"/>
    <w:rsid w:val="00E10525"/>
    <w:rsid w:val="00E158F7"/>
    <w:rsid w:val="00E15A82"/>
    <w:rsid w:val="00E210ED"/>
    <w:rsid w:val="00E221D5"/>
    <w:rsid w:val="00E22DF1"/>
    <w:rsid w:val="00E26B5E"/>
    <w:rsid w:val="00E303E6"/>
    <w:rsid w:val="00E3278E"/>
    <w:rsid w:val="00E32AEB"/>
    <w:rsid w:val="00E35462"/>
    <w:rsid w:val="00E359C6"/>
    <w:rsid w:val="00E35DFD"/>
    <w:rsid w:val="00E37369"/>
    <w:rsid w:val="00E45FF3"/>
    <w:rsid w:val="00E5186A"/>
    <w:rsid w:val="00E531DC"/>
    <w:rsid w:val="00E53297"/>
    <w:rsid w:val="00E53566"/>
    <w:rsid w:val="00E5529E"/>
    <w:rsid w:val="00E57904"/>
    <w:rsid w:val="00E61AD6"/>
    <w:rsid w:val="00E650A1"/>
    <w:rsid w:val="00E66703"/>
    <w:rsid w:val="00E73995"/>
    <w:rsid w:val="00E7601B"/>
    <w:rsid w:val="00E8041E"/>
    <w:rsid w:val="00E860B9"/>
    <w:rsid w:val="00E86214"/>
    <w:rsid w:val="00E862F7"/>
    <w:rsid w:val="00E91F9F"/>
    <w:rsid w:val="00E9218D"/>
    <w:rsid w:val="00EA2F89"/>
    <w:rsid w:val="00EA351A"/>
    <w:rsid w:val="00EA7645"/>
    <w:rsid w:val="00EB4FC5"/>
    <w:rsid w:val="00EB588C"/>
    <w:rsid w:val="00EC210F"/>
    <w:rsid w:val="00ED26C3"/>
    <w:rsid w:val="00ED401A"/>
    <w:rsid w:val="00ED5DB5"/>
    <w:rsid w:val="00EE0182"/>
    <w:rsid w:val="00EE1B77"/>
    <w:rsid w:val="00EE1D40"/>
    <w:rsid w:val="00EE246B"/>
    <w:rsid w:val="00EE3AFC"/>
    <w:rsid w:val="00EE523C"/>
    <w:rsid w:val="00EE5B3B"/>
    <w:rsid w:val="00EF20AD"/>
    <w:rsid w:val="00EF315B"/>
    <w:rsid w:val="00EF5953"/>
    <w:rsid w:val="00EF59F6"/>
    <w:rsid w:val="00F02DC0"/>
    <w:rsid w:val="00F04155"/>
    <w:rsid w:val="00F05517"/>
    <w:rsid w:val="00F06593"/>
    <w:rsid w:val="00F1337B"/>
    <w:rsid w:val="00F1518E"/>
    <w:rsid w:val="00F201B2"/>
    <w:rsid w:val="00F212DC"/>
    <w:rsid w:val="00F22321"/>
    <w:rsid w:val="00F22363"/>
    <w:rsid w:val="00F2354C"/>
    <w:rsid w:val="00F269E2"/>
    <w:rsid w:val="00F3018E"/>
    <w:rsid w:val="00F34AF5"/>
    <w:rsid w:val="00F36A0C"/>
    <w:rsid w:val="00F409D9"/>
    <w:rsid w:val="00F45FDB"/>
    <w:rsid w:val="00F4790B"/>
    <w:rsid w:val="00F50289"/>
    <w:rsid w:val="00F51C7A"/>
    <w:rsid w:val="00F574D7"/>
    <w:rsid w:val="00F634EA"/>
    <w:rsid w:val="00F63D16"/>
    <w:rsid w:val="00F73F57"/>
    <w:rsid w:val="00F8262E"/>
    <w:rsid w:val="00F93D9C"/>
    <w:rsid w:val="00F95F5E"/>
    <w:rsid w:val="00F96D69"/>
    <w:rsid w:val="00F97150"/>
    <w:rsid w:val="00FA0F26"/>
    <w:rsid w:val="00FA3FE3"/>
    <w:rsid w:val="00FA5C92"/>
    <w:rsid w:val="00FA5CDE"/>
    <w:rsid w:val="00FB0351"/>
    <w:rsid w:val="00FB28A3"/>
    <w:rsid w:val="00FB5B93"/>
    <w:rsid w:val="00FB6012"/>
    <w:rsid w:val="00FB6C4D"/>
    <w:rsid w:val="00FC065C"/>
    <w:rsid w:val="00FC532E"/>
    <w:rsid w:val="00FD1C61"/>
    <w:rsid w:val="00FD3D5E"/>
    <w:rsid w:val="00FD7480"/>
    <w:rsid w:val="00FD7821"/>
    <w:rsid w:val="00FE639C"/>
    <w:rsid w:val="00FE7058"/>
    <w:rsid w:val="00FF3674"/>
    <w:rsid w:val="00FF7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14"/>
    <w:rPr>
      <w:sz w:val="24"/>
      <w:szCs w:val="24"/>
    </w:rPr>
  </w:style>
  <w:style w:type="paragraph" w:styleId="Heading1">
    <w:name w:val="heading 1"/>
    <w:basedOn w:val="Normal"/>
    <w:next w:val="Normal"/>
    <w:qFormat/>
    <w:rsid w:val="00D3381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33814"/>
    <w:pPr>
      <w:spacing w:before="28"/>
      <w:ind w:right="90"/>
    </w:pPr>
    <w:rPr>
      <w:sz w:val="19"/>
      <w:szCs w:val="19"/>
    </w:rPr>
  </w:style>
  <w:style w:type="paragraph" w:styleId="Header">
    <w:name w:val="header"/>
    <w:basedOn w:val="Normal"/>
    <w:semiHidden/>
    <w:rsid w:val="00D33814"/>
    <w:pPr>
      <w:tabs>
        <w:tab w:val="center" w:pos="4320"/>
        <w:tab w:val="right" w:pos="8640"/>
      </w:tabs>
    </w:pPr>
  </w:style>
  <w:style w:type="paragraph" w:styleId="Footer">
    <w:name w:val="footer"/>
    <w:basedOn w:val="Normal"/>
    <w:semiHidden/>
    <w:rsid w:val="00D33814"/>
    <w:pPr>
      <w:tabs>
        <w:tab w:val="center" w:pos="4320"/>
        <w:tab w:val="right" w:pos="8640"/>
      </w:tabs>
    </w:pPr>
  </w:style>
  <w:style w:type="character" w:styleId="PageNumber">
    <w:name w:val="page number"/>
    <w:basedOn w:val="DefaultParagraphFont"/>
    <w:semiHidden/>
    <w:rsid w:val="00D33814"/>
  </w:style>
  <w:style w:type="paragraph" w:styleId="FootnoteText">
    <w:name w:val="footnote text"/>
    <w:basedOn w:val="Normal"/>
    <w:link w:val="FootnoteTextChar"/>
    <w:semiHidden/>
    <w:rsid w:val="00D33814"/>
    <w:pPr>
      <w:ind w:firstLine="720"/>
    </w:pPr>
    <w:rPr>
      <w:szCs w:val="20"/>
    </w:rPr>
  </w:style>
  <w:style w:type="character" w:styleId="FootnoteReference">
    <w:name w:val="footnote reference"/>
    <w:basedOn w:val="DefaultParagraphFont"/>
    <w:rsid w:val="00D33814"/>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B51DBF"/>
    <w:rPr>
      <w:sz w:val="24"/>
    </w:rPr>
  </w:style>
  <w:style w:type="paragraph" w:styleId="NoSpacing">
    <w:name w:val="No Spacing"/>
    <w:uiPriority w:val="1"/>
    <w:qFormat/>
    <w:rsid w:val="00B51DBF"/>
    <w:pPr>
      <w:widowControl w:val="0"/>
      <w:autoSpaceDE w:val="0"/>
      <w:autoSpaceDN w:val="0"/>
      <w:adjustRightInd w:val="0"/>
    </w:pPr>
    <w:rPr>
      <w:sz w:val="24"/>
      <w:szCs w:val="24"/>
    </w:rPr>
  </w:style>
  <w:style w:type="paragraph" w:styleId="BodyTextIndent">
    <w:name w:val="Body Text Indent"/>
    <w:basedOn w:val="Normal"/>
    <w:link w:val="BodyTextIndentChar"/>
    <w:semiHidden/>
    <w:rsid w:val="004A7BB8"/>
    <w:pPr>
      <w:spacing w:line="480" w:lineRule="auto"/>
      <w:ind w:left="360"/>
    </w:pPr>
  </w:style>
  <w:style w:type="character" w:customStyle="1" w:styleId="BodyTextIndentChar">
    <w:name w:val="Body Text Indent Char"/>
    <w:basedOn w:val="DefaultParagraphFont"/>
    <w:link w:val="BodyTextIndent"/>
    <w:semiHidden/>
    <w:rsid w:val="004A7BB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C5D9-4F59-4C9F-9397-270D3068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6</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Gordon Grenier</dc:creator>
  <cp:keywords/>
  <cp:lastModifiedBy>Tammy Cleaver</cp:lastModifiedBy>
  <cp:revision>2</cp:revision>
  <cp:lastPrinted>2009-10-27T19:51:00Z</cp:lastPrinted>
  <dcterms:created xsi:type="dcterms:W3CDTF">2009-10-27T22:44:00Z</dcterms:created>
  <dcterms:modified xsi:type="dcterms:W3CDTF">2009-10-27T22:44:00Z</dcterms:modified>
</cp:coreProperties>
</file>