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AUGUST 29, 2012</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CYNTHIA ANN THOMAS,</w:t>
            </w:r>
          </w:p>
          <w:p>
            <w:pPr>
              <w:rPr>
                <w:b/>
                <w:bCs/>
              </w:rPr>
            </w:pPr>
          </w:p>
          <w:p>
            <w:pPr>
              <w:rPr>
                <w:b/>
                <w:bCs/>
              </w:rPr>
            </w:pPr>
            <w:r>
              <w:rPr>
                <w:b/>
                <w:bCs/>
              </w:rPr>
              <w:t>Member No.  96180,</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09-O-10572 (09-O-10587)-LMA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Cynthia Ann Thomas (respondent) was charged with three counts of violations of the Business and Professions Code.</w:t>
      </w:r>
      <w:r>
        <w:rPr>
          <w:rStyle w:val="FootnoteReference"/>
        </w:rPr>
        <w:footnoteReference w:id="1"/>
      </w:r>
      <w:r>
        <w:t xml:space="preserve">  She failed to file a timely response to the Notice of Disciplinary Charges and failed to have the default set aside or vacated within the time prescribed.  The Office of the Chief Trial Counsel (State Bar) filed a petition for disbarment under rule 5.85 of the Rules of Procedure of the State Bar.</w:t>
      </w:r>
      <w:r>
        <w:rPr>
          <w:rStyle w:val="FootnoteReference"/>
        </w:rPr>
        <w:footnoteReference w:id="2"/>
      </w:r>
      <w:r>
        <w:t xml:space="preserve">  </w:t>
      </w:r>
    </w:p>
    <w:p>
      <w:pPr>
        <w:spacing w:line="480" w:lineRule="auto"/>
      </w:pPr>
      <w:r>
        <w:tab/>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r>
        <w:lastRenderedPageBreak/>
        <w:t>and the attorney fails to have the default set aside or vacated within 180 days, the State Bar will file a petition requesting the court to recommend the attorney’s disbarment.</w:t>
      </w:r>
      <w:r>
        <w:rPr>
          <w:rStyle w:val="FootnoteReference"/>
        </w:rPr>
        <w:footnoteReference w:id="3"/>
      </w:r>
      <w:r>
        <w:t xml:space="preserve">    </w:t>
      </w:r>
    </w:p>
    <w:p>
      <w:pPr>
        <w:spacing w:line="480" w:lineRule="auto"/>
      </w:pPr>
      <w:r>
        <w:tab/>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tab/>
        <w:t>Respondent was admitted to practice law in this state on December 16, 1980, and has been a member since then.</w:t>
      </w:r>
      <w:r>
        <w:rPr>
          <w:rStyle w:val="FootnoteReference"/>
        </w:rPr>
        <w:footnoteReference w:id="4"/>
      </w:r>
    </w:p>
    <w:p>
      <w:pPr>
        <w:spacing w:line="480" w:lineRule="auto"/>
        <w:rPr>
          <w:b/>
        </w:rPr>
      </w:pPr>
      <w:r>
        <w:rPr>
          <w:b/>
        </w:rPr>
        <w:t>Procedural Requirements Have Been Satisfied</w:t>
      </w:r>
    </w:p>
    <w:p>
      <w:pPr>
        <w:spacing w:line="480" w:lineRule="auto"/>
      </w:pPr>
      <w:r>
        <w:rPr>
          <w:b/>
        </w:rPr>
        <w:tab/>
      </w:r>
      <w:r>
        <w:t>In June 2011, Deputy Trial Counsel Manuel Jimenez (DTC Jimenez) and respondent exchanged email communications.</w:t>
      </w:r>
      <w:r>
        <w:rPr>
          <w:rStyle w:val="FootnoteReference"/>
        </w:rPr>
        <w:footnoteReference w:id="5"/>
      </w:r>
      <w:r>
        <w:t xml:space="preserve"> </w:t>
      </w:r>
    </w:p>
    <w:p>
      <w:pPr>
        <w:spacing w:line="480" w:lineRule="auto"/>
        <w:rPr>
          <w:b/>
        </w:rPr>
      </w:pPr>
      <w:r>
        <w:tab/>
        <w:t xml:space="preserve">In July 2011, DTC Jimenez sent correspondence to respondent’s membership records address and three additional addresses, giving notice of the State Bar’s intent to file a NDC.  </w:t>
      </w:r>
    </w:p>
    <w:p>
      <w:pPr>
        <w:spacing w:line="480" w:lineRule="auto"/>
      </w:pPr>
      <w:r>
        <w:tab/>
        <w:t>On August 11, 2011, respondent contacted DTC Jimenez by facsimile transmission regarding these cases, stating that she believed she had resigned from the State Bar but acknowledging that she had just learned that her resignation had not been accepted.  DTC Jimenez thereafter sent respondent (1) correspondence to her membership records address and to an alternate address, giving notice of the State Bar’s intent to file a NDC; and (2) a message to her membership records email address with a .pdf copy of correspondence giving notice of the State Bar’s intent to file a NDC.</w:t>
      </w:r>
    </w:p>
    <w:p>
      <w:pPr>
        <w:spacing w:line="480" w:lineRule="auto"/>
      </w:pPr>
      <w:r>
        <w:lastRenderedPageBreak/>
        <w:t xml:space="preserve"> </w:t>
      </w:r>
      <w:r>
        <w:tab/>
        <w:t xml:space="preserve">On October 4, 2011, the State Bar filed and properly served the NDC on respondent by certified mail, return receipt requested, and by first-class mail at her membership records address.  The NDC notified respondent that her failure to participate in the proceeding would result in a disbarment recommendation.  (Rule 5.41.)  Each NDC was returned by the U.S. Postal Service (USPS) as refused.  </w:t>
      </w:r>
    </w:p>
    <w:p>
      <w:pPr>
        <w:spacing w:line="480" w:lineRule="auto"/>
      </w:pPr>
      <w:r>
        <w:tab/>
        <w:t xml:space="preserve">Thereafter, the State Bar attempted to reach respondent twice by telephone at her membership records telephone number and by sending respondent an email message.  The State Bar also called two telephone numbers obtained from directory assistance and conducted an internet search for any additional addresses for respondent.     </w:t>
      </w:r>
    </w:p>
    <w:p>
      <w:pPr>
        <w:spacing w:line="480" w:lineRule="auto"/>
        <w:ind w:firstLine="720"/>
      </w:pPr>
      <w:r>
        <w:t>Respondent failed to file a response to the NDC.  On November 1, 2011, the State Bar filed and properly served a motion for entry of respondent’s default by certified mail, return receipt requested, at her membership records address, and by regular mail to her membership records address and to three other address.  The motion complied with all the requirements for a default, including supporting declarations of reasonable diligence by the State Bar deputy trial counsel declaring the additional steps taken to provide notice to respondent.  (Rule 5.80.)  The motion also notified respondent that if she did not timely move to set aside her default, the court would recommend her disbarment.  Respondent did not file a response to the motion, and her default was entered on November 17, 2011.  The order entering the default was served on respondent at her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she has remained inactively enrolled since that time.</w:t>
      </w:r>
    </w:p>
    <w:p>
      <w:pPr>
        <w:spacing w:line="480" w:lineRule="auto"/>
      </w:pPr>
      <w:r>
        <w:tab/>
        <w:t xml:space="preserve">Respondent also did not seek to have her default set aside or vacated.  (Rule 5.83(C)(1) [attorney has 180 days to file motion to set aside default].)  On May 22, 2012, the State Bar filed and served the petition for disbarment.  As required by rule 5.85(A), the State Bar reported in the petition that:  (1) respondent has not contacted the State Bar since the default was entered on November 17, 2011; (2) there are no other disciplinary matters pending; (3) respondent has a prior record of discipline; and (4) the Client Security Fund has not made any payments resulting from respondent’s conduct.  Respondent did not respond to the petition for disbarment or move to set aside or vacate the default.  The case was submitted for decision on June 19, 2012.    </w:t>
      </w:r>
    </w:p>
    <w:p>
      <w:pPr>
        <w:spacing w:line="480" w:lineRule="auto"/>
        <w:rPr>
          <w:highlight w:val="yellow"/>
        </w:rPr>
      </w:pPr>
      <w:r>
        <w:tab/>
        <w:t xml:space="preserve">Respondent has been disciplined on one prior occasion.  Pursuant to a Supreme Court order filed on February 21, 2007, respondent was suspended for six months, the execution of which was stayed, and she was placed on probation for one year on conditions including that she be actually suspended for 30 days.  The misconduct involved one client matter.  Respondent stipulated to a violation of section 6068, subdivision (m).  </w:t>
      </w:r>
    </w:p>
    <w:p>
      <w:pPr>
        <w:spacing w:line="480" w:lineRule="auto"/>
        <w:rPr>
          <w:b/>
        </w:rPr>
      </w:pPr>
      <w:r>
        <w:rPr>
          <w:b/>
        </w:rPr>
        <w:t>The Admitted Factual Allegations Warrant the Imposition of Discipline</w:t>
      </w:r>
    </w:p>
    <w:p>
      <w:pPr>
        <w:spacing w:line="480" w:lineRule="auto"/>
      </w:pPr>
      <w:r>
        <w:tab/>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r>
        <w:tab/>
      </w:r>
      <w:r>
        <w:rPr>
          <w:b/>
        </w:rPr>
        <w:t>Case Number 09-O-10572 (Unauthorized Practice of Law Matter)</w:t>
      </w:r>
    </w:p>
    <w:p>
      <w:pPr>
        <w:spacing w:line="480" w:lineRule="auto"/>
      </w:pPr>
      <w:r>
        <w:tab/>
        <w:t xml:space="preserve">Count One – respondent willfully violated section 6068, subdivision (a) (attorney’s duty to support Constitution and laws of United States and California) by arguing her client’s matter before the California Supreme Court, and by holding herself out as entitled to practice law in California when she knew, or should have known, that she was not entitled to practice law in California in willful violation of sections 6125 and 6126. </w:t>
      </w:r>
    </w:p>
    <w:p>
      <w:r>
        <w:t>/ / /</w:t>
      </w:r>
    </w:p>
    <w:p/>
    <w:p>
      <w:pPr>
        <w:spacing w:line="480" w:lineRule="auto"/>
        <w:rPr>
          <w:b/>
        </w:rPr>
      </w:pPr>
      <w:r>
        <w:tab/>
      </w:r>
      <w:r>
        <w:rPr>
          <w:b/>
        </w:rPr>
        <w:t>Case Number 09-O-10587 (Unauthorized Practice of Law Matter)</w:t>
      </w:r>
    </w:p>
    <w:p>
      <w:pPr>
        <w:spacing w:line="480" w:lineRule="auto"/>
      </w:pPr>
      <w:r>
        <w:tab/>
        <w:t xml:space="preserve">Count Two – respondent willfully violated section 6068, subdivision (a) by continuing to act as her client’s attorney, and by using the phrase “Attorney at Law” in her correspondence with the client, when she was not entitled to practice law in California in willful violation of sections 6125 and 6126.   </w:t>
      </w:r>
    </w:p>
    <w:p>
      <w:pPr>
        <w:spacing w:line="480" w:lineRule="auto"/>
      </w:pPr>
      <w:r>
        <w:tab/>
        <w:t xml:space="preserve">Count Three – respondent willfully violated section 6068, subdivision (m) (failing to inform client of significant developments) by failing to inform her client of her suspension. </w:t>
      </w:r>
    </w:p>
    <w:p>
      <w:pPr>
        <w:spacing w:line="480" w:lineRule="auto"/>
        <w:rPr>
          <w:b/>
        </w:rPr>
      </w:pPr>
      <w:r>
        <w:rPr>
          <w:b/>
        </w:rPr>
        <w:t>Disbarment is Mandated under the Rules of Procedure</w:t>
      </w:r>
    </w:p>
    <w:p>
      <w:pPr>
        <w:spacing w:line="480" w:lineRule="auto"/>
      </w:pPr>
      <w:r>
        <w:tab/>
        <w:t>Based on the above, the court concludes that the requirements of rule 5.85(E) have been satisfied, and respondent’s disbarment must be recommended.  In particular:</w:t>
      </w:r>
    </w:p>
    <w:p>
      <w:pPr>
        <w:spacing w:line="480" w:lineRule="auto"/>
      </w:pPr>
      <w:r>
        <w:tab/>
        <w:t xml:space="preserve">(1) the NDC was properly served on respondent under rule 5.25; </w:t>
      </w:r>
    </w:p>
    <w:p>
      <w:pPr>
        <w:spacing w:line="480" w:lineRule="auto"/>
      </w:pPr>
      <w:r>
        <w:tab/>
        <w:t>(2) reasonable diligence was used to notify respondent of the proceedings prior to the entry of her default, as the NDC</w:t>
      </w:r>
      <w:r>
        <w:rPr>
          <w:rStyle w:val="FootnoteReference"/>
        </w:rPr>
        <w:footnoteReference w:id="6"/>
      </w:r>
      <w:r>
        <w:t xml:space="preserve"> was served on respondent by certified mail and first class mail; the State Bar attempted to reach respondent by telephone and email and conducted an internet search for additional addresses for respondent;  </w:t>
      </w:r>
    </w:p>
    <w:p>
      <w:pPr>
        <w:spacing w:line="480" w:lineRule="auto"/>
        <w:ind w:firstLine="720"/>
      </w:pPr>
      <w:r>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rPr>
          <w:highlight w:val="yellow"/>
        </w:rPr>
      </w:pPr>
      <w:r>
        <w:tab/>
        <w:t xml:space="preserve">Despite adequate notice and opportunity, respondent failed to file a response.  As set forth in the Rules of Procedure of the State Bar, the court must recommend her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tab/>
        <w:t>The court recommends that respondent Cynthia Ann Thomas be disbarred from the practice of law in the State of California and that her name be stricken from the roll of attorneys.</w:t>
      </w:r>
    </w:p>
    <w:p>
      <w:pPr>
        <w:spacing w:line="480" w:lineRule="auto"/>
        <w:rPr>
          <w:b/>
        </w:rPr>
      </w:pPr>
      <w:r>
        <w:rPr>
          <w:b/>
        </w:rPr>
        <w:t>Rule 9.20</w:t>
      </w:r>
    </w:p>
    <w:p>
      <w:pPr>
        <w:spacing w:line="480" w:lineRule="auto"/>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tab/>
        <w:t>In accordance with Business and Professions Code section 6007, subdivision (c)(4), the court orders that Cynthia Ann Thomas, State Bar number 96180, be involuntarily enrolled as an inactive member of the State Bar of California, effective three calendar days after the service of this decision and order.  (Rules Proc. of State Bar, rule 5.111(D).)</w:t>
      </w:r>
    </w:p>
    <w:p>
      <w:pPr>
        <w:pStyle w:val="Header"/>
        <w:tabs>
          <w:tab w:val="clear" w:pos="4320"/>
          <w:tab w:val="clear" w:pos="8640"/>
        </w:tabs>
        <w:spacing w:line="480" w:lineRule="auto"/>
      </w:pP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September _____, 2012</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further references to section(s) refer to provisions of the Business and Professions Code.</w:t>
      </w:r>
    </w:p>
  </w:footnote>
  <w:footnote w:id="2">
    <w:p>
      <w:pPr>
        <w:pStyle w:val="FootnoteText"/>
      </w:pPr>
      <w:r>
        <w:rPr>
          <w:rStyle w:val="FootnoteReference"/>
        </w:rPr>
        <w:footnoteRef/>
      </w:r>
      <w:r>
        <w:t xml:space="preserve"> Unless otherwise indicated, all references to rules are to this source.</w:t>
      </w:r>
    </w:p>
  </w:footnote>
  <w:footnote w:id="3">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4">
    <w:p>
      <w:pPr>
        <w:pStyle w:val="FootnoteText"/>
      </w:pPr>
      <w:r>
        <w:rPr>
          <w:rStyle w:val="FootnoteReference"/>
        </w:rPr>
        <w:footnoteRef/>
      </w:r>
      <w:r>
        <w:t xml:space="preserve"> Respondent tendered her resignation with charges pending on April 28, 2009.  However, on June 8, 2011, the Supreme Court filed an order declining to accept the resignation.</w:t>
      </w:r>
    </w:p>
  </w:footnote>
  <w:footnote w:id="5">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w:t>
      </w:r>
    </w:p>
  </w:footnote>
  <w:footnote w:id="6">
    <w:p>
      <w:r>
        <w:tab/>
      </w:r>
      <w:r>
        <w:rPr>
          <w:rStyle w:val="FootnoteReference"/>
        </w:rPr>
        <w:footnoteRef/>
      </w:r>
      <w:r>
        <w:t xml:space="preserve"> Prior to the filing of the NDC, respondent and DTC Jimenez exchanged email communications; DTC Jimenez sent correspondence to respondent at several addresses; respondent contacted DTC Jimenez regarding these cases; DTC Jimenez sent correspondence to respondent’s membership records address and to an alternate address and also sent respondent another email message, along with a .pdf copy of correspondence.   </w:t>
      </w:r>
    </w:p>
    <w:p>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cryptProviderType="rsaFull" w:cryptAlgorithmClass="hash" w:cryptAlgorithmType="typeAny" w:cryptAlgorithmSid="4" w:cryptSpinCount="100000" w:hash="ECs+Ze7aZfbtaJiRqVTnVu11QlA=" w:salt="MgeJalYz2ATRUbl1pi6G+A=="/>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1511</Words>
  <Characters>7951</Characters>
  <Application>Microsoft Office Word</Application>
  <DocSecurity>0</DocSecurity>
  <Lines>162</Lines>
  <Paragraphs>69</Paragraphs>
  <ScaleCrop>false</ScaleCrop>
  <Manager/>
  <Company/>
  <LinksUpToDate>false</LinksUpToDate>
  <CharactersWithSpaces>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2012-09-18T17:19:00Z</dcterms:created>
  <dcterms:modified xsi:type="dcterms:W3CDTF">2012-09-18T17:19:00Z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