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74" w:rsidRPr="0094531C" w:rsidRDefault="0094531C" w:rsidP="0094531C">
      <w:pPr>
        <w:jc w:val="right"/>
        <w:rPr>
          <w:sz w:val="36"/>
        </w:rPr>
      </w:pPr>
      <w:r w:rsidRPr="0094531C">
        <w:t>FILED MAY 23, 2011</w:t>
      </w:r>
    </w:p>
    <w:p w:rsidR="00A14074" w:rsidRDefault="00A14074" w:rsidP="00A14074"/>
    <w:p w:rsidR="000E25E0" w:rsidRDefault="000E25E0" w:rsidP="00A14074"/>
    <w:p w:rsidR="000E25E0" w:rsidRDefault="000E25E0" w:rsidP="00A14074"/>
    <w:p w:rsidR="00A14074" w:rsidRDefault="00A14074" w:rsidP="00A14074"/>
    <w:p w:rsidR="00A14074" w:rsidRDefault="00A14074" w:rsidP="00A14074"/>
    <w:p w:rsidR="00A14074" w:rsidRDefault="00A14074" w:rsidP="00A14074"/>
    <w:p w:rsidR="00A14074" w:rsidRDefault="00A14074" w:rsidP="00A14074">
      <w:pPr>
        <w:pStyle w:val="Heading1"/>
      </w:pPr>
      <w:r>
        <w:t>STATE BAR COURT OF CALIFORNIA</w:t>
      </w:r>
    </w:p>
    <w:p w:rsidR="00A14074" w:rsidRDefault="00A14074" w:rsidP="00A14074">
      <w:pPr>
        <w:spacing w:line="480" w:lineRule="auto"/>
        <w:jc w:val="center"/>
        <w:rPr>
          <w:b/>
          <w:bCs/>
        </w:rPr>
      </w:pPr>
      <w:r>
        <w:rPr>
          <w:b/>
          <w:bCs/>
        </w:rPr>
        <w:t xml:space="preserve">HEARING DEPARTMENT – </w:t>
      </w:r>
      <w:bookmarkStart w:id="0" w:name="venue"/>
      <w:bookmarkEnd w:id="0"/>
      <w:r>
        <w:rPr>
          <w:b/>
          <w:bCs/>
        </w:rPr>
        <w:t>LOS ANGELES</w:t>
      </w:r>
    </w:p>
    <w:p w:rsidR="00A14074" w:rsidRDefault="00A14074" w:rsidP="00A14074">
      <w:pPr>
        <w:spacing w:line="480" w:lineRule="auto"/>
        <w:jc w:val="center"/>
        <w:rPr>
          <w:b/>
          <w:bCs/>
        </w:rPr>
      </w:pPr>
    </w:p>
    <w:p w:rsidR="00A14074" w:rsidRDefault="00A14074" w:rsidP="00A14074">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A14074" w:rsidTr="003950F4">
        <w:trPr>
          <w:cantSplit/>
          <w:trHeight w:val="462"/>
        </w:trPr>
        <w:tc>
          <w:tcPr>
            <w:tcW w:w="4378" w:type="dxa"/>
            <w:vMerge w:val="restart"/>
          </w:tcPr>
          <w:p w:rsidR="00A14074" w:rsidRDefault="00A14074" w:rsidP="003950F4">
            <w:r>
              <w:t>In the Matter of</w:t>
            </w:r>
          </w:p>
          <w:p w:rsidR="00A14074" w:rsidRDefault="00A14074" w:rsidP="003950F4">
            <w:pPr>
              <w:rPr>
                <w:b/>
                <w:bCs/>
              </w:rPr>
            </w:pPr>
            <w:bookmarkStart w:id="1" w:name="resp"/>
            <w:bookmarkEnd w:id="1"/>
          </w:p>
          <w:p w:rsidR="00A14074" w:rsidRDefault="00C63EAA" w:rsidP="003950F4">
            <w:pPr>
              <w:rPr>
                <w:b/>
                <w:bCs/>
              </w:rPr>
            </w:pPr>
            <w:r>
              <w:rPr>
                <w:b/>
                <w:bCs/>
              </w:rPr>
              <w:t>JAMES ALLEN MACY</w:t>
            </w:r>
            <w:r w:rsidR="00A14074">
              <w:rPr>
                <w:b/>
                <w:bCs/>
              </w:rPr>
              <w:t>,</w:t>
            </w:r>
          </w:p>
          <w:p w:rsidR="00A14074" w:rsidRDefault="00A14074" w:rsidP="003950F4">
            <w:pPr>
              <w:rPr>
                <w:b/>
                <w:bCs/>
              </w:rPr>
            </w:pPr>
          </w:p>
          <w:p w:rsidR="00A14074" w:rsidRDefault="00A14074" w:rsidP="003950F4">
            <w:pPr>
              <w:rPr>
                <w:b/>
                <w:bCs/>
              </w:rPr>
            </w:pPr>
            <w:r>
              <w:rPr>
                <w:b/>
                <w:bCs/>
              </w:rPr>
              <w:t xml:space="preserve">Member No.  </w:t>
            </w:r>
            <w:bookmarkStart w:id="2" w:name="member"/>
            <w:bookmarkEnd w:id="2"/>
            <w:r w:rsidR="00C63EAA">
              <w:rPr>
                <w:b/>
                <w:bCs/>
              </w:rPr>
              <w:t>57677</w:t>
            </w:r>
            <w:r>
              <w:rPr>
                <w:b/>
                <w:bCs/>
              </w:rPr>
              <w:t>,</w:t>
            </w:r>
          </w:p>
          <w:p w:rsidR="00A14074" w:rsidRDefault="00A14074" w:rsidP="003950F4">
            <w:bookmarkStart w:id="3" w:name="type"/>
            <w:bookmarkEnd w:id="3"/>
          </w:p>
          <w:p w:rsidR="00A14074" w:rsidRDefault="00A14074" w:rsidP="003950F4">
            <w:r>
              <w:t>A Member of the State Bar.</w:t>
            </w:r>
          </w:p>
        </w:tc>
        <w:tc>
          <w:tcPr>
            <w:tcW w:w="182" w:type="dxa"/>
            <w:vMerge w:val="restart"/>
            <w:tcBorders>
              <w:bottom w:val="nil"/>
            </w:tcBorders>
          </w:tcPr>
          <w:p w:rsidR="00A14074" w:rsidRDefault="00A14074" w:rsidP="003950F4">
            <w:pPr>
              <w:rPr>
                <w:b/>
                <w:bCs/>
              </w:rPr>
            </w:pPr>
            <w:r>
              <w:rPr>
                <w:b/>
                <w:bCs/>
              </w:rPr>
              <w:t>)</w:t>
            </w:r>
          </w:p>
          <w:p w:rsidR="00A14074" w:rsidRDefault="00A14074" w:rsidP="003950F4">
            <w:pPr>
              <w:rPr>
                <w:b/>
                <w:bCs/>
              </w:rPr>
            </w:pPr>
            <w:r>
              <w:rPr>
                <w:b/>
                <w:bCs/>
              </w:rPr>
              <w:t>)</w:t>
            </w:r>
          </w:p>
          <w:p w:rsidR="00A14074" w:rsidRDefault="00A14074" w:rsidP="003950F4">
            <w:pPr>
              <w:rPr>
                <w:b/>
                <w:bCs/>
              </w:rPr>
            </w:pPr>
            <w:r>
              <w:rPr>
                <w:b/>
                <w:bCs/>
              </w:rPr>
              <w:t>)</w:t>
            </w:r>
          </w:p>
          <w:p w:rsidR="00A14074" w:rsidRDefault="00A14074" w:rsidP="003950F4">
            <w:pPr>
              <w:rPr>
                <w:b/>
                <w:bCs/>
              </w:rPr>
            </w:pPr>
            <w:r>
              <w:rPr>
                <w:b/>
                <w:bCs/>
              </w:rPr>
              <w:t>)</w:t>
            </w:r>
          </w:p>
          <w:p w:rsidR="00A14074" w:rsidRDefault="00A14074" w:rsidP="003950F4">
            <w:pPr>
              <w:rPr>
                <w:b/>
                <w:bCs/>
              </w:rPr>
            </w:pPr>
            <w:r>
              <w:rPr>
                <w:b/>
                <w:bCs/>
              </w:rPr>
              <w:t>)</w:t>
            </w:r>
          </w:p>
          <w:p w:rsidR="00A14074" w:rsidRDefault="00A14074" w:rsidP="003950F4">
            <w:pPr>
              <w:rPr>
                <w:b/>
                <w:bCs/>
              </w:rPr>
            </w:pPr>
            <w:r>
              <w:rPr>
                <w:b/>
                <w:bCs/>
              </w:rPr>
              <w:t>)</w:t>
            </w:r>
          </w:p>
          <w:p w:rsidR="00A14074" w:rsidRDefault="00C63EAA" w:rsidP="003950F4">
            <w:pPr>
              <w:rPr>
                <w:b/>
                <w:bCs/>
              </w:rPr>
            </w:pPr>
            <w:r>
              <w:rPr>
                <w:b/>
                <w:bCs/>
              </w:rPr>
              <w:t>)</w:t>
            </w:r>
          </w:p>
        </w:tc>
        <w:tc>
          <w:tcPr>
            <w:tcW w:w="240" w:type="dxa"/>
            <w:vMerge w:val="restart"/>
            <w:tcBorders>
              <w:bottom w:val="nil"/>
            </w:tcBorders>
          </w:tcPr>
          <w:p w:rsidR="00A14074" w:rsidRDefault="00A14074" w:rsidP="003950F4">
            <w:pPr>
              <w:rPr>
                <w:b/>
                <w:bCs/>
              </w:rPr>
            </w:pPr>
          </w:p>
        </w:tc>
        <w:tc>
          <w:tcPr>
            <w:tcW w:w="1097" w:type="dxa"/>
            <w:tcBorders>
              <w:bottom w:val="nil"/>
            </w:tcBorders>
          </w:tcPr>
          <w:p w:rsidR="00A14074" w:rsidRDefault="00A14074" w:rsidP="003950F4">
            <w:r>
              <w:t>Case Nos.</w:t>
            </w:r>
          </w:p>
        </w:tc>
        <w:tc>
          <w:tcPr>
            <w:tcW w:w="3468" w:type="dxa"/>
          </w:tcPr>
          <w:p w:rsidR="00A14074" w:rsidRPr="00ED3BA4" w:rsidRDefault="00A14074" w:rsidP="003950F4">
            <w:pPr>
              <w:rPr>
                <w:bCs/>
              </w:rPr>
            </w:pPr>
            <w:bookmarkStart w:id="4" w:name="caseno"/>
            <w:bookmarkEnd w:id="4"/>
            <w:r w:rsidRPr="00ED3BA4">
              <w:rPr>
                <w:bCs/>
              </w:rPr>
              <w:t>0</w:t>
            </w:r>
            <w:r w:rsidR="0046658C">
              <w:rPr>
                <w:bCs/>
              </w:rPr>
              <w:t>9</w:t>
            </w:r>
            <w:r w:rsidRPr="00ED3BA4">
              <w:rPr>
                <w:bCs/>
              </w:rPr>
              <w:t>-O-</w:t>
            </w:r>
            <w:r w:rsidR="0046658C">
              <w:rPr>
                <w:bCs/>
              </w:rPr>
              <w:t>12351-RAP</w:t>
            </w:r>
            <w:r w:rsidRPr="00ED3BA4">
              <w:rPr>
                <w:bCs/>
              </w:rPr>
              <w:t>;</w:t>
            </w:r>
          </w:p>
          <w:p w:rsidR="00A14074" w:rsidRDefault="0046658C" w:rsidP="003950F4">
            <w:pPr>
              <w:rPr>
                <w:bCs/>
              </w:rPr>
            </w:pPr>
            <w:r>
              <w:rPr>
                <w:bCs/>
              </w:rPr>
              <w:t>10</w:t>
            </w:r>
            <w:r w:rsidR="00A14074" w:rsidRPr="00F41BEE">
              <w:rPr>
                <w:bCs/>
              </w:rPr>
              <w:t>-</w:t>
            </w:r>
            <w:r>
              <w:rPr>
                <w:bCs/>
              </w:rPr>
              <w:t>N</w:t>
            </w:r>
            <w:r w:rsidR="00A14074" w:rsidRPr="00F41BEE">
              <w:rPr>
                <w:bCs/>
              </w:rPr>
              <w:t>-</w:t>
            </w:r>
            <w:r>
              <w:rPr>
                <w:bCs/>
              </w:rPr>
              <w:t>10356</w:t>
            </w:r>
            <w:r w:rsidR="00A14074" w:rsidRPr="00F41BEE">
              <w:rPr>
                <w:bCs/>
              </w:rPr>
              <w:t xml:space="preserve"> </w:t>
            </w:r>
            <w:r w:rsidR="00A14074" w:rsidRPr="00404D8A">
              <w:rPr>
                <w:bCs/>
              </w:rPr>
              <w:t>(Cons.)</w:t>
            </w:r>
          </w:p>
          <w:p w:rsidR="00A14074" w:rsidRPr="00F41BEE" w:rsidRDefault="00A14074" w:rsidP="003950F4">
            <w:pPr>
              <w:rPr>
                <w:bCs/>
              </w:rPr>
            </w:pPr>
          </w:p>
        </w:tc>
      </w:tr>
      <w:tr w:rsidR="00A14074" w:rsidTr="00C63EAA">
        <w:trPr>
          <w:cantSplit/>
          <w:trHeight w:val="1062"/>
        </w:trPr>
        <w:tc>
          <w:tcPr>
            <w:tcW w:w="4378" w:type="dxa"/>
            <w:vMerge/>
          </w:tcPr>
          <w:p w:rsidR="00A14074" w:rsidRDefault="00A14074" w:rsidP="003950F4"/>
        </w:tc>
        <w:tc>
          <w:tcPr>
            <w:tcW w:w="182" w:type="dxa"/>
            <w:vMerge/>
            <w:tcBorders>
              <w:bottom w:val="nil"/>
            </w:tcBorders>
          </w:tcPr>
          <w:p w:rsidR="00A14074" w:rsidRDefault="00A14074" w:rsidP="003950F4">
            <w:pPr>
              <w:rPr>
                <w:b/>
                <w:bCs/>
              </w:rPr>
            </w:pPr>
          </w:p>
        </w:tc>
        <w:tc>
          <w:tcPr>
            <w:tcW w:w="240" w:type="dxa"/>
            <w:vMerge/>
            <w:tcBorders>
              <w:bottom w:val="nil"/>
            </w:tcBorders>
          </w:tcPr>
          <w:p w:rsidR="00A14074" w:rsidRDefault="00A14074" w:rsidP="003950F4">
            <w:pPr>
              <w:rPr>
                <w:b/>
                <w:bCs/>
              </w:rPr>
            </w:pPr>
          </w:p>
        </w:tc>
        <w:tc>
          <w:tcPr>
            <w:tcW w:w="4565" w:type="dxa"/>
            <w:gridSpan w:val="2"/>
            <w:tcBorders>
              <w:bottom w:val="nil"/>
            </w:tcBorders>
          </w:tcPr>
          <w:p w:rsidR="00A14074" w:rsidRDefault="00A14074" w:rsidP="003950F4">
            <w:pPr>
              <w:rPr>
                <w:b/>
                <w:bCs/>
              </w:rPr>
            </w:pPr>
            <w:bookmarkStart w:id="5" w:name="title"/>
            <w:bookmarkEnd w:id="5"/>
            <w:r>
              <w:rPr>
                <w:b/>
                <w:bCs/>
              </w:rPr>
              <w:t xml:space="preserve">DECISION AND ORDER OF INVOLUNTARY INACTIVE ENROLLMENT  </w:t>
            </w:r>
          </w:p>
        </w:tc>
      </w:tr>
    </w:tbl>
    <w:p w:rsidR="00A14074" w:rsidRDefault="00A14074" w:rsidP="00A14074">
      <w:pPr>
        <w:spacing w:line="480" w:lineRule="auto"/>
      </w:pPr>
    </w:p>
    <w:p w:rsidR="00A14074" w:rsidRPr="008D77BC" w:rsidRDefault="00A14074" w:rsidP="00A14074">
      <w:pPr>
        <w:spacing w:line="480" w:lineRule="auto"/>
        <w:jc w:val="center"/>
        <w:rPr>
          <w:b/>
        </w:rPr>
      </w:pPr>
      <w:r>
        <w:rPr>
          <w:b/>
        </w:rPr>
        <w:t xml:space="preserve">I. </w:t>
      </w:r>
      <w:r w:rsidRPr="008D77BC">
        <w:rPr>
          <w:b/>
        </w:rPr>
        <w:t>I</w:t>
      </w:r>
      <w:r>
        <w:rPr>
          <w:b/>
        </w:rPr>
        <w:t>ntroduction</w:t>
      </w:r>
    </w:p>
    <w:p w:rsidR="000F57DB" w:rsidRDefault="000F57DB" w:rsidP="000F57DB">
      <w:pPr>
        <w:spacing w:line="480" w:lineRule="auto"/>
        <w:ind w:firstLine="720"/>
      </w:pPr>
      <w:r>
        <w:t xml:space="preserve">In this </w:t>
      </w:r>
      <w:r w:rsidR="009A07A0">
        <w:t xml:space="preserve">consolidated </w:t>
      </w:r>
      <w:r>
        <w:t xml:space="preserve">default matter, respondent James Allen Macy (respondent) is charged with four counts of professional misconduct.  The court finds, by clear and convincing evidence, that respondent is culpable of </w:t>
      </w:r>
      <w:r w:rsidR="005A4312">
        <w:t>three</w:t>
      </w:r>
      <w:r>
        <w:t xml:space="preserve"> of the charged acts of misconduct.  </w:t>
      </w:r>
    </w:p>
    <w:p w:rsidR="000F57DB" w:rsidRDefault="000F57DB" w:rsidP="000F57DB">
      <w:pPr>
        <w:spacing w:line="480" w:lineRule="auto"/>
        <w:ind w:firstLine="720"/>
        <w:rPr>
          <w:highlight w:val="yellow"/>
        </w:rPr>
      </w:pPr>
      <w:r>
        <w:t>Based on the severity of the present charges and respondent’s prior record of discipline, the court recommends that he be disbarred from the practice of law.</w:t>
      </w:r>
    </w:p>
    <w:p w:rsidR="00A14074" w:rsidRPr="008D77BC" w:rsidRDefault="00A14074" w:rsidP="00A14074">
      <w:pPr>
        <w:spacing w:line="480" w:lineRule="auto"/>
        <w:jc w:val="center"/>
      </w:pPr>
      <w:r>
        <w:rPr>
          <w:b/>
        </w:rPr>
        <w:t>II. Significant Procedural History</w:t>
      </w:r>
    </w:p>
    <w:p w:rsidR="000F57DB" w:rsidRDefault="008A2513" w:rsidP="000F57DB">
      <w:pPr>
        <w:spacing w:line="480" w:lineRule="auto"/>
        <w:ind w:firstLine="720"/>
      </w:pPr>
      <w:r>
        <w:t>T</w:t>
      </w:r>
      <w:r w:rsidR="000F57DB">
        <w:t>he State Bar filed a Notice of Disciplinary Charges (</w:t>
      </w:r>
      <w:proofErr w:type="spellStart"/>
      <w:r w:rsidR="000F57DB">
        <w:t>NDC</w:t>
      </w:r>
      <w:proofErr w:type="spellEnd"/>
      <w:r w:rsidR="000F57DB">
        <w:t>) against respondent</w:t>
      </w:r>
      <w:r>
        <w:t>,</w:t>
      </w:r>
      <w:r w:rsidR="000F57DB">
        <w:t xml:space="preserve"> </w:t>
      </w:r>
      <w:r>
        <w:t xml:space="preserve">in Case No. 09-O-12351, </w:t>
      </w:r>
      <w:r w:rsidR="000F57DB">
        <w:t xml:space="preserve">on </w:t>
      </w:r>
      <w:r w:rsidR="00623081">
        <w:t>December 15</w:t>
      </w:r>
      <w:r w:rsidR="000F57DB">
        <w:t xml:space="preserve">, 2010.  That same day, a copy of the </w:t>
      </w:r>
      <w:proofErr w:type="spellStart"/>
      <w:r w:rsidR="000F57DB">
        <w:t>NDC</w:t>
      </w:r>
      <w:proofErr w:type="spellEnd"/>
      <w:r w:rsidR="000F57DB">
        <w:t xml:space="preserve"> was properly </w:t>
      </w:r>
      <w:r w:rsidR="000F57DB">
        <w:lastRenderedPageBreak/>
        <w:t>served on respondent in the manner set forth in rule 60 of the Former Rules of Procedure of the State Bar of Californi</w:t>
      </w:r>
      <w:r w:rsidR="00DD458F">
        <w:t>a (Former Rules of Procedure</w:t>
      </w:r>
      <w:r w:rsidR="000F57DB">
        <w:t>).</w:t>
      </w:r>
      <w:r w:rsidR="000F57DB">
        <w:rPr>
          <w:rStyle w:val="FootnoteReference"/>
        </w:rPr>
        <w:footnoteReference w:id="1"/>
      </w:r>
      <w:r w:rsidR="000F57DB">
        <w:t xml:space="preserve">  </w:t>
      </w:r>
    </w:p>
    <w:p w:rsidR="00623081" w:rsidRDefault="008A2513" w:rsidP="000F57DB">
      <w:pPr>
        <w:spacing w:line="480" w:lineRule="auto"/>
        <w:ind w:firstLine="720"/>
      </w:pPr>
      <w:r>
        <w:t>T</w:t>
      </w:r>
      <w:r w:rsidR="00623081">
        <w:t>he State</w:t>
      </w:r>
      <w:r>
        <w:t xml:space="preserve"> Bar filed a second </w:t>
      </w:r>
      <w:proofErr w:type="spellStart"/>
      <w:r>
        <w:t>NDC</w:t>
      </w:r>
      <w:proofErr w:type="spellEnd"/>
      <w:r>
        <w:t xml:space="preserve"> against respondent, in Case No. 10-N-10356, </w:t>
      </w:r>
      <w:r w:rsidR="00623081">
        <w:t xml:space="preserve">on December 22, 2010.  That same day, a copy of the </w:t>
      </w:r>
      <w:r w:rsidR="003D6125">
        <w:t xml:space="preserve">second </w:t>
      </w:r>
      <w:proofErr w:type="spellStart"/>
      <w:r w:rsidR="00623081">
        <w:t>NDC</w:t>
      </w:r>
      <w:proofErr w:type="spellEnd"/>
      <w:r w:rsidR="00623081">
        <w:t xml:space="preserve"> was properly served on respondent in the manner set forth in rule 60 of the Former Rules of Procedure.  Case Nos. 09-O-12351 and 10-N-10356 </w:t>
      </w:r>
      <w:r w:rsidR="00C345A8">
        <w:t xml:space="preserve">were subsequently consolidated.  </w:t>
      </w:r>
    </w:p>
    <w:p w:rsidR="008A2513" w:rsidRDefault="000F57DB" w:rsidP="000F57DB">
      <w:pPr>
        <w:spacing w:line="480" w:lineRule="auto"/>
        <w:ind w:firstLine="720"/>
      </w:pPr>
      <w:r>
        <w:t xml:space="preserve">As respondent did not timely file a response to </w:t>
      </w:r>
      <w:r w:rsidR="00623081">
        <w:t>either</w:t>
      </w:r>
      <w:r>
        <w:t xml:space="preserve"> </w:t>
      </w:r>
      <w:proofErr w:type="spellStart"/>
      <w:r>
        <w:t>NDC</w:t>
      </w:r>
      <w:proofErr w:type="spellEnd"/>
      <w:r>
        <w:t xml:space="preserve">, on </w:t>
      </w:r>
      <w:r w:rsidR="00623081">
        <w:t>January 26, 2011</w:t>
      </w:r>
      <w:r>
        <w:t>, the State Bar filed and properly served on respondent a motion for the entry of respondent’s default.</w:t>
      </w:r>
      <w:r>
        <w:rPr>
          <w:rStyle w:val="FootnoteReference"/>
        </w:rPr>
        <w:footnoteReference w:id="2"/>
      </w:r>
      <w:r>
        <w:t xml:space="preserve">  </w:t>
      </w:r>
    </w:p>
    <w:p w:rsidR="008A2513" w:rsidRDefault="008A2513" w:rsidP="000F57DB">
      <w:pPr>
        <w:spacing w:line="480" w:lineRule="auto"/>
        <w:ind w:firstLine="720"/>
      </w:pPr>
      <w:r>
        <w:t>On February 1</w:t>
      </w:r>
      <w:r w:rsidR="00E31529">
        <w:t xml:space="preserve">4, 2011, attorney Philip J. </w:t>
      </w:r>
      <w:proofErr w:type="spellStart"/>
      <w:r w:rsidR="00E31529">
        <w:t>Giacinti</w:t>
      </w:r>
      <w:proofErr w:type="spellEnd"/>
      <w:r w:rsidR="00AE0521">
        <w:t>, Jr.</w:t>
      </w:r>
      <w:r w:rsidR="00E31529">
        <w:t xml:space="preserve"> (</w:t>
      </w:r>
      <w:proofErr w:type="spellStart"/>
      <w:r w:rsidR="00E31529">
        <w:t>Gia</w:t>
      </w:r>
      <w:r>
        <w:t>cinti</w:t>
      </w:r>
      <w:proofErr w:type="spellEnd"/>
      <w:r>
        <w:t>) filed a notice of designation to receive service on behalf of r</w:t>
      </w:r>
      <w:r w:rsidR="00E31529">
        <w:t xml:space="preserve">espondent.  In this notice, </w:t>
      </w:r>
      <w:proofErr w:type="spellStart"/>
      <w:r w:rsidR="00E31529">
        <w:t>Gia</w:t>
      </w:r>
      <w:r>
        <w:t>cint</w:t>
      </w:r>
      <w:r w:rsidR="002B17FF">
        <w:t>i</w:t>
      </w:r>
      <w:proofErr w:type="spellEnd"/>
      <w:r w:rsidR="002B17FF">
        <w:t xml:space="preserve"> stated that he was representing</w:t>
      </w:r>
      <w:r>
        <w:t xml:space="preserve"> respondent in the present matter.</w:t>
      </w:r>
      <w:r w:rsidR="005461E3">
        <w:rPr>
          <w:rStyle w:val="FootnoteReference"/>
        </w:rPr>
        <w:footnoteReference w:id="3"/>
      </w:r>
    </w:p>
    <w:p w:rsidR="00A14074" w:rsidRDefault="000F57DB" w:rsidP="00893A03">
      <w:pPr>
        <w:spacing w:line="480" w:lineRule="auto"/>
        <w:ind w:firstLine="720"/>
      </w:pPr>
      <w:r>
        <w:t xml:space="preserve">When respondent failed to file a written response within ten days after service of the motion for the entry of his default, the court, on </w:t>
      </w:r>
      <w:r w:rsidR="008A2513">
        <w:t>February 15</w:t>
      </w:r>
      <w:r>
        <w:t>, 2011, filed an order of entry of default and involuntary inactive enrollment.</w:t>
      </w:r>
      <w:r>
        <w:rPr>
          <w:rStyle w:val="FootnoteReference"/>
        </w:rPr>
        <w:footnoteReference w:id="4"/>
      </w:r>
      <w:r>
        <w:t xml:space="preserve">  </w:t>
      </w:r>
      <w:r w:rsidRPr="00A01208">
        <w:t xml:space="preserve">A copy of said order was properly served on </w:t>
      </w:r>
      <w:proofErr w:type="spellStart"/>
      <w:r w:rsidR="00E31529">
        <w:t>Giacinti</w:t>
      </w:r>
      <w:proofErr w:type="spellEnd"/>
      <w:r w:rsidRPr="00A01208">
        <w:t>.</w:t>
      </w:r>
      <w:r>
        <w:t xml:space="preserve">  </w:t>
      </w:r>
      <w:r w:rsidR="00CD7316">
        <w:t xml:space="preserve">This order was not subsequently returned by the U.S. Postal service as undeliverable or for any other reason.  </w:t>
      </w:r>
      <w:r>
        <w:t xml:space="preserve">Thereafter, the State Bar waived a hearing in this matter, and it was submitted for decision on </w:t>
      </w:r>
      <w:r w:rsidR="00D73A57">
        <w:t>March 8</w:t>
      </w:r>
      <w:r>
        <w:t xml:space="preserve">, 2011.  </w:t>
      </w:r>
    </w:p>
    <w:p w:rsidR="001842F0" w:rsidRPr="00893A03" w:rsidRDefault="001842F0" w:rsidP="00893A03">
      <w:pPr>
        <w:spacing w:line="480" w:lineRule="auto"/>
        <w:ind w:firstLine="720"/>
      </w:pPr>
    </w:p>
    <w:p w:rsidR="00A14074" w:rsidRDefault="00A14074" w:rsidP="00A14074">
      <w:pPr>
        <w:spacing w:line="480" w:lineRule="auto"/>
        <w:jc w:val="center"/>
        <w:rPr>
          <w:b/>
        </w:rPr>
      </w:pPr>
      <w:r>
        <w:rPr>
          <w:b/>
        </w:rPr>
        <w:lastRenderedPageBreak/>
        <w:t xml:space="preserve">III. </w:t>
      </w:r>
      <w:r w:rsidRPr="008D77BC">
        <w:rPr>
          <w:b/>
        </w:rPr>
        <w:t>F</w:t>
      </w:r>
      <w:r>
        <w:rPr>
          <w:b/>
        </w:rPr>
        <w:t>indings of Fact and Conclusions of Law</w:t>
      </w:r>
    </w:p>
    <w:p w:rsidR="000145E6" w:rsidRDefault="000145E6" w:rsidP="000145E6">
      <w:pPr>
        <w:spacing w:line="480" w:lineRule="auto"/>
        <w:ind w:firstLine="720"/>
        <w:rPr>
          <w:highlight w:val="yellow"/>
        </w:rPr>
      </w:pPr>
      <w:r>
        <w:t xml:space="preserve">All factual allegations of the </w:t>
      </w:r>
      <w:proofErr w:type="spellStart"/>
      <w:r>
        <w:t>NDC</w:t>
      </w:r>
      <w:proofErr w:type="spellEnd"/>
      <w:r>
        <w:t xml:space="preserve"> are deemed admitted upon entry of respondent’s default unless otherwise ordered by the court based on contrary evidence.  (</w:t>
      </w:r>
      <w:r w:rsidR="0029053E" w:rsidRPr="0029053E">
        <w:t>Former Rules Proc</w:t>
      </w:r>
      <w:r w:rsidR="0029053E">
        <w:t>edure</w:t>
      </w:r>
      <w:r>
        <w:t xml:space="preserve">, rule 200(d)(1)(A).)  </w:t>
      </w:r>
    </w:p>
    <w:p w:rsidR="000145E6" w:rsidRDefault="000145E6" w:rsidP="000145E6">
      <w:pPr>
        <w:spacing w:line="480" w:lineRule="auto"/>
        <w:ind w:firstLine="720"/>
      </w:pPr>
      <w:r>
        <w:t xml:space="preserve">Respondent was admitted to the practice of law in California on December 18, 1973, and has been a member of the State Bar of California at all times since that date.  </w:t>
      </w:r>
    </w:p>
    <w:p w:rsidR="00A14074" w:rsidRDefault="00A14074" w:rsidP="00A14074">
      <w:pPr>
        <w:spacing w:line="480" w:lineRule="auto"/>
        <w:rPr>
          <w:b/>
        </w:rPr>
      </w:pPr>
      <w:r>
        <w:rPr>
          <w:b/>
        </w:rPr>
        <w:t xml:space="preserve">A. </w:t>
      </w:r>
      <w:r w:rsidR="00C02E71">
        <w:rPr>
          <w:b/>
        </w:rPr>
        <w:t xml:space="preserve"> </w:t>
      </w:r>
      <w:r w:rsidRPr="00E72A5D">
        <w:rPr>
          <w:b/>
        </w:rPr>
        <w:t xml:space="preserve">Case No. </w:t>
      </w:r>
      <w:r w:rsidR="00751A0E">
        <w:rPr>
          <w:b/>
        </w:rPr>
        <w:t>09</w:t>
      </w:r>
      <w:r w:rsidRPr="00E72A5D">
        <w:rPr>
          <w:b/>
        </w:rPr>
        <w:t>-O-</w:t>
      </w:r>
      <w:r w:rsidR="00751A0E">
        <w:rPr>
          <w:b/>
        </w:rPr>
        <w:t>12351</w:t>
      </w:r>
      <w:r w:rsidRPr="00E72A5D">
        <w:rPr>
          <w:b/>
        </w:rPr>
        <w:t xml:space="preserve"> - </w:t>
      </w:r>
      <w:r w:rsidR="00751A0E" w:rsidRPr="006D338B">
        <w:rPr>
          <w:rFonts w:cs="Times New Roman"/>
          <w:b/>
          <w:color w:val="000000"/>
          <w:szCs w:val="24"/>
        </w:rPr>
        <w:t>The Macy Family Trust Matter</w:t>
      </w:r>
      <w:r w:rsidR="00751A0E">
        <w:rPr>
          <w:rFonts w:cs="Times New Roman"/>
          <w:b/>
          <w:color w:val="000000"/>
          <w:szCs w:val="24"/>
        </w:rPr>
        <w:t xml:space="preserve"> </w:t>
      </w:r>
    </w:p>
    <w:p w:rsidR="00A14074" w:rsidRDefault="00A14074" w:rsidP="00A14074">
      <w:pPr>
        <w:tabs>
          <w:tab w:val="left" w:pos="540"/>
        </w:tabs>
        <w:spacing w:line="480" w:lineRule="auto"/>
        <w:ind w:firstLine="720"/>
        <w:rPr>
          <w:b/>
        </w:rPr>
      </w:pPr>
      <w:r>
        <w:rPr>
          <w:b/>
        </w:rPr>
        <w:t xml:space="preserve">Facts </w:t>
      </w:r>
    </w:p>
    <w:p w:rsidR="00751A0E" w:rsidRDefault="00751A0E" w:rsidP="00751A0E">
      <w:pPr>
        <w:spacing w:line="480" w:lineRule="auto"/>
        <w:ind w:firstLine="720"/>
        <w:rPr>
          <w:rFonts w:cs="Times New Roman"/>
          <w:szCs w:val="24"/>
        </w:rPr>
      </w:pPr>
      <w:r w:rsidRPr="00511A32">
        <w:rPr>
          <w:rFonts w:cs="Times New Roman"/>
          <w:color w:val="000000"/>
          <w:szCs w:val="24"/>
        </w:rPr>
        <w:t>On or about October 5, 1989, Richard D</w:t>
      </w:r>
      <w:r>
        <w:rPr>
          <w:rFonts w:cs="Times New Roman"/>
          <w:color w:val="000000"/>
          <w:szCs w:val="24"/>
        </w:rPr>
        <w:t>. Macy (Richard</w:t>
      </w:r>
      <w:r w:rsidRPr="00511A32">
        <w:rPr>
          <w:rFonts w:cs="Times New Roman"/>
          <w:color w:val="000000"/>
          <w:szCs w:val="24"/>
        </w:rPr>
        <w:t>) and Virginia R</w:t>
      </w:r>
      <w:r>
        <w:rPr>
          <w:rFonts w:cs="Times New Roman"/>
          <w:color w:val="000000"/>
          <w:szCs w:val="24"/>
        </w:rPr>
        <w:t>. Macy (Virginia</w:t>
      </w:r>
      <w:r w:rsidRPr="00511A32">
        <w:rPr>
          <w:rFonts w:cs="Times New Roman"/>
          <w:color w:val="000000"/>
          <w:szCs w:val="24"/>
        </w:rPr>
        <w:t>) crea</w:t>
      </w:r>
      <w:r>
        <w:rPr>
          <w:rFonts w:cs="Times New Roman"/>
          <w:color w:val="000000"/>
          <w:szCs w:val="24"/>
        </w:rPr>
        <w:t>ted the Macy Family Trust (the Macy Trust</w:t>
      </w:r>
      <w:r w:rsidRPr="00511A32">
        <w:rPr>
          <w:rFonts w:cs="Times New Roman"/>
          <w:color w:val="000000"/>
          <w:szCs w:val="24"/>
        </w:rPr>
        <w:t>).  Richard and Virginia had four children, including r</w:t>
      </w:r>
      <w:r>
        <w:rPr>
          <w:rFonts w:cs="Times New Roman"/>
          <w:color w:val="000000"/>
          <w:szCs w:val="24"/>
        </w:rPr>
        <w:t>espondent, Dennis Warren Macy (Dennis), Marilyn Macy Wilson (Marilyn), and Thomas Lee Macy (Thomas</w:t>
      </w:r>
      <w:r w:rsidRPr="00511A32">
        <w:rPr>
          <w:rFonts w:cs="Times New Roman"/>
          <w:color w:val="000000"/>
          <w:szCs w:val="24"/>
        </w:rPr>
        <w:t>).</w:t>
      </w:r>
    </w:p>
    <w:p w:rsidR="00751A0E" w:rsidRPr="00511A32" w:rsidRDefault="00751A0E" w:rsidP="00751A0E">
      <w:pPr>
        <w:spacing w:line="480" w:lineRule="auto"/>
        <w:ind w:firstLine="720"/>
        <w:rPr>
          <w:rFonts w:cs="Times New Roman"/>
          <w:szCs w:val="24"/>
        </w:rPr>
      </w:pPr>
      <w:r w:rsidRPr="00511A32">
        <w:rPr>
          <w:rFonts w:cs="Times New Roman"/>
          <w:color w:val="000000"/>
          <w:szCs w:val="24"/>
        </w:rPr>
        <w:t>On or about September 5, 1999, Richard and Virginia executed a restatement of the Macy Trust</w:t>
      </w:r>
      <w:r>
        <w:rPr>
          <w:rFonts w:cs="Times New Roman"/>
          <w:color w:val="000000"/>
          <w:szCs w:val="24"/>
        </w:rPr>
        <w:t xml:space="preserve">.  </w:t>
      </w:r>
      <w:r w:rsidRPr="00511A32">
        <w:rPr>
          <w:rFonts w:cs="Times New Roman"/>
          <w:color w:val="000000"/>
          <w:szCs w:val="24"/>
        </w:rPr>
        <w:t xml:space="preserve">Pursuant to the terms of the 1999 restatement, Virginia was appointed co-trustee of the Macy Trust together with </w:t>
      </w:r>
      <w:r>
        <w:rPr>
          <w:rFonts w:cs="Times New Roman"/>
          <w:color w:val="000000"/>
          <w:szCs w:val="24"/>
        </w:rPr>
        <w:t>respondent</w:t>
      </w:r>
      <w:r w:rsidRPr="00511A32">
        <w:rPr>
          <w:rFonts w:cs="Times New Roman"/>
          <w:color w:val="000000"/>
          <w:szCs w:val="24"/>
        </w:rPr>
        <w:t>.</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Contemporaneously with the execution of the 1999 restatement, Virginia and </w:t>
      </w:r>
      <w:r>
        <w:rPr>
          <w:rFonts w:cs="Times New Roman"/>
          <w:color w:val="000000"/>
          <w:szCs w:val="24"/>
        </w:rPr>
        <w:t>respondent</w:t>
      </w:r>
      <w:r w:rsidRPr="00511A32">
        <w:rPr>
          <w:rFonts w:cs="Times New Roman"/>
          <w:color w:val="000000"/>
          <w:szCs w:val="24"/>
        </w:rPr>
        <w:t>, as co-trustees of the Macy Trust, created a family limited partnership known as Macy Investments, L.P</w:t>
      </w:r>
      <w:r>
        <w:rPr>
          <w:rFonts w:cs="Times New Roman"/>
          <w:color w:val="000000"/>
          <w:szCs w:val="24"/>
        </w:rPr>
        <w:t xml:space="preserve">. </w:t>
      </w:r>
      <w:r w:rsidRPr="00511A32">
        <w:rPr>
          <w:rFonts w:cs="Times New Roman"/>
          <w:color w:val="000000"/>
          <w:szCs w:val="24"/>
        </w:rPr>
        <w:t>(the Partnership)</w:t>
      </w:r>
      <w:r>
        <w:rPr>
          <w:rFonts w:cs="Times New Roman"/>
          <w:color w:val="000000"/>
          <w:szCs w:val="24"/>
        </w:rPr>
        <w:t xml:space="preserve">.  </w:t>
      </w:r>
      <w:r w:rsidRPr="00511A32">
        <w:rPr>
          <w:rFonts w:cs="Times New Roman"/>
          <w:color w:val="000000"/>
          <w:szCs w:val="24"/>
        </w:rPr>
        <w:t>At the time the Partnership was formed, the Macy Trust was the sole partner</w:t>
      </w:r>
      <w:r>
        <w:rPr>
          <w:rFonts w:cs="Times New Roman"/>
          <w:color w:val="000000"/>
          <w:szCs w:val="24"/>
        </w:rPr>
        <w:t xml:space="preserve">.  </w:t>
      </w:r>
      <w:r w:rsidRPr="00511A32">
        <w:rPr>
          <w:rFonts w:cs="Times New Roman"/>
          <w:color w:val="000000"/>
          <w:szCs w:val="24"/>
        </w:rPr>
        <w:t xml:space="preserve">On or about November 30, 1999, the partnership agreement for the Partnership was restated to reflect the addition of the four children, </w:t>
      </w:r>
      <w:r>
        <w:rPr>
          <w:rFonts w:cs="Times New Roman"/>
          <w:color w:val="000000"/>
          <w:szCs w:val="24"/>
        </w:rPr>
        <w:t>respondent</w:t>
      </w:r>
      <w:r w:rsidRPr="00511A32">
        <w:rPr>
          <w:rFonts w:cs="Times New Roman"/>
          <w:color w:val="000000"/>
          <w:szCs w:val="24"/>
        </w:rPr>
        <w:t>, Dennis, Marilyn and Thomas, as limited partners</w:t>
      </w:r>
      <w:r>
        <w:rPr>
          <w:rFonts w:cs="Times New Roman"/>
          <w:color w:val="000000"/>
          <w:szCs w:val="24"/>
        </w:rPr>
        <w:t xml:space="preserve">.  </w:t>
      </w:r>
      <w:r w:rsidRPr="00511A32">
        <w:rPr>
          <w:rFonts w:cs="Times New Roman"/>
          <w:color w:val="000000"/>
          <w:szCs w:val="24"/>
        </w:rPr>
        <w:t>Pursuant to the restated partnership agreement, the Macy Trust</w:t>
      </w:r>
      <w:r>
        <w:rPr>
          <w:rFonts w:cs="Times New Roman"/>
          <w:szCs w:val="24"/>
        </w:rPr>
        <w:t xml:space="preserve"> </w:t>
      </w:r>
      <w:r w:rsidRPr="00511A32">
        <w:rPr>
          <w:rFonts w:cs="Times New Roman"/>
          <w:color w:val="000000"/>
          <w:szCs w:val="24"/>
        </w:rPr>
        <w:t>owned a 2% general partnership interest and a 94% limited partnership interest</w:t>
      </w:r>
      <w:r>
        <w:rPr>
          <w:rFonts w:cs="Times New Roman"/>
          <w:color w:val="000000"/>
          <w:szCs w:val="24"/>
        </w:rPr>
        <w:t xml:space="preserve">.  </w:t>
      </w:r>
      <w:r w:rsidRPr="00511A32">
        <w:rPr>
          <w:rFonts w:cs="Times New Roman"/>
          <w:color w:val="000000"/>
          <w:szCs w:val="24"/>
        </w:rPr>
        <w:t>Each of the four children owned a 1% limited partnership interest.</w:t>
      </w:r>
    </w:p>
    <w:p w:rsidR="00751A0E" w:rsidRDefault="00751A0E" w:rsidP="00751A0E">
      <w:pPr>
        <w:spacing w:line="480" w:lineRule="auto"/>
        <w:ind w:firstLine="720"/>
        <w:rPr>
          <w:rFonts w:cs="Times New Roman"/>
          <w:szCs w:val="24"/>
        </w:rPr>
      </w:pPr>
      <w:r w:rsidRPr="00511A32">
        <w:rPr>
          <w:rFonts w:cs="Times New Roman"/>
          <w:color w:val="000000"/>
          <w:szCs w:val="24"/>
        </w:rPr>
        <w:t>As of November 30, 1999, the capital contributions to the Partnership were valued at approximately $1.6 million and included the family</w:t>
      </w:r>
      <w:r>
        <w:rPr>
          <w:rFonts w:cs="Times New Roman"/>
          <w:color w:val="000000"/>
          <w:szCs w:val="24"/>
        </w:rPr>
        <w:t>’</w:t>
      </w:r>
      <w:r w:rsidRPr="00511A32">
        <w:rPr>
          <w:rFonts w:cs="Times New Roman"/>
          <w:color w:val="000000"/>
          <w:szCs w:val="24"/>
        </w:rPr>
        <w:t>s summer home in Big Bear, California, and miscellaneous cash and securities.</w:t>
      </w:r>
    </w:p>
    <w:p w:rsidR="00751A0E" w:rsidRDefault="00751A0E" w:rsidP="00751A0E">
      <w:pPr>
        <w:spacing w:line="480" w:lineRule="auto"/>
        <w:ind w:firstLine="720"/>
        <w:rPr>
          <w:rFonts w:cs="Times New Roman"/>
          <w:szCs w:val="24"/>
        </w:rPr>
      </w:pPr>
      <w:r w:rsidRPr="00511A32">
        <w:rPr>
          <w:rFonts w:cs="Times New Roman"/>
          <w:color w:val="000000"/>
          <w:szCs w:val="24"/>
        </w:rPr>
        <w:t>On or about December 8, 1999, Virginia died</w:t>
      </w:r>
      <w:r>
        <w:rPr>
          <w:rFonts w:cs="Times New Roman"/>
          <w:color w:val="000000"/>
          <w:szCs w:val="24"/>
        </w:rPr>
        <w:t xml:space="preserve">.  </w:t>
      </w:r>
      <w:r w:rsidRPr="00511A32">
        <w:rPr>
          <w:rFonts w:cs="Times New Roman"/>
          <w:color w:val="000000"/>
          <w:szCs w:val="24"/>
        </w:rPr>
        <w:t>Upon Virginia</w:t>
      </w:r>
      <w:r>
        <w:rPr>
          <w:rFonts w:cs="Times New Roman"/>
          <w:color w:val="000000"/>
          <w:szCs w:val="24"/>
        </w:rPr>
        <w:t>’</w:t>
      </w:r>
      <w:r w:rsidRPr="00511A32">
        <w:rPr>
          <w:rFonts w:cs="Times New Roman"/>
          <w:color w:val="000000"/>
          <w:szCs w:val="24"/>
        </w:rPr>
        <w:t xml:space="preserve">s death, </w:t>
      </w:r>
      <w:r>
        <w:rPr>
          <w:rFonts w:cs="Times New Roman"/>
          <w:color w:val="000000"/>
          <w:szCs w:val="24"/>
        </w:rPr>
        <w:t>respondent</w:t>
      </w:r>
      <w:r w:rsidRPr="00511A32">
        <w:rPr>
          <w:rFonts w:cs="Times New Roman"/>
          <w:color w:val="000000"/>
          <w:szCs w:val="24"/>
        </w:rPr>
        <w:t xml:space="preserve"> was left as sole successor trustee of the Macy Trust</w:t>
      </w:r>
      <w:r>
        <w:rPr>
          <w:rFonts w:cs="Times New Roman"/>
          <w:color w:val="000000"/>
          <w:szCs w:val="24"/>
        </w:rPr>
        <w:t xml:space="preserve">.  </w:t>
      </w:r>
      <w:r w:rsidRPr="00511A32">
        <w:rPr>
          <w:rFonts w:cs="Times New Roman"/>
          <w:color w:val="000000"/>
          <w:szCs w:val="24"/>
        </w:rPr>
        <w:t xml:space="preserve">As sole trustee of the Macy Trust, </w:t>
      </w:r>
      <w:r>
        <w:rPr>
          <w:rFonts w:cs="Times New Roman"/>
          <w:color w:val="000000"/>
          <w:szCs w:val="24"/>
        </w:rPr>
        <w:t>respondent</w:t>
      </w:r>
      <w:r w:rsidRPr="00511A32">
        <w:rPr>
          <w:rFonts w:cs="Times New Roman"/>
          <w:color w:val="000000"/>
          <w:szCs w:val="24"/>
        </w:rPr>
        <w:t xml:space="preserve"> served as the general partner of the Partnership</w:t>
      </w:r>
      <w:r>
        <w:rPr>
          <w:rFonts w:cs="Times New Roman"/>
          <w:color w:val="000000"/>
          <w:szCs w:val="24"/>
        </w:rPr>
        <w:t xml:space="preserve">.  </w:t>
      </w:r>
      <w:r w:rsidRPr="00511A32">
        <w:rPr>
          <w:rFonts w:cs="Times New Roman"/>
          <w:color w:val="000000"/>
          <w:szCs w:val="24"/>
        </w:rPr>
        <w:t xml:space="preserve">As sole trustee of the Macy Trust and as general partner of the Partnership, </w:t>
      </w:r>
      <w:r>
        <w:rPr>
          <w:rFonts w:cs="Times New Roman"/>
          <w:color w:val="000000"/>
          <w:szCs w:val="24"/>
        </w:rPr>
        <w:t>respondent</w:t>
      </w:r>
      <w:r w:rsidRPr="00511A32">
        <w:rPr>
          <w:rFonts w:cs="Times New Roman"/>
          <w:color w:val="000000"/>
          <w:szCs w:val="24"/>
        </w:rPr>
        <w:t xml:space="preserve"> maintained</w:t>
      </w:r>
      <w:r w:rsidR="008C2032">
        <w:rPr>
          <w:rFonts w:cs="Times New Roman"/>
          <w:color w:val="000000"/>
          <w:szCs w:val="24"/>
        </w:rPr>
        <w:t xml:space="preserve"> control of the Macy Trust and the P</w:t>
      </w:r>
      <w:r w:rsidRPr="00511A32">
        <w:rPr>
          <w:rFonts w:cs="Times New Roman"/>
          <w:color w:val="000000"/>
          <w:szCs w:val="24"/>
        </w:rPr>
        <w:t>artnership assets for the benefit of the beneficiaries and partners.</w:t>
      </w:r>
    </w:p>
    <w:p w:rsidR="00751A0E" w:rsidRDefault="00751A0E" w:rsidP="00751A0E">
      <w:pPr>
        <w:spacing w:line="480" w:lineRule="auto"/>
        <w:ind w:firstLine="720"/>
        <w:rPr>
          <w:rFonts w:cs="Times New Roman"/>
          <w:szCs w:val="24"/>
        </w:rPr>
      </w:pPr>
      <w:r w:rsidRPr="00511A32">
        <w:rPr>
          <w:rFonts w:cs="Times New Roman"/>
          <w:color w:val="000000"/>
          <w:szCs w:val="24"/>
        </w:rPr>
        <w:t>The Macy Trust and the Partnership maintained accounts at Northern Trust Bank</w:t>
      </w:r>
      <w:r>
        <w:rPr>
          <w:rFonts w:cs="Times New Roman"/>
          <w:color w:val="000000"/>
          <w:szCs w:val="24"/>
        </w:rPr>
        <w:t xml:space="preserve">.  </w:t>
      </w:r>
      <w:r w:rsidRPr="00511A32">
        <w:rPr>
          <w:rFonts w:cs="Times New Roman"/>
          <w:color w:val="000000"/>
          <w:szCs w:val="24"/>
        </w:rPr>
        <w:t>The Partnership maintained an additional account at Salomon Smith Barney.</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In his capacity as sole trustee of the Macy Trust and as general partner of the Partnership, </w:t>
      </w:r>
      <w:r>
        <w:rPr>
          <w:rFonts w:cs="Times New Roman"/>
          <w:color w:val="000000"/>
          <w:szCs w:val="24"/>
        </w:rPr>
        <w:t>respondent</w:t>
      </w:r>
      <w:r w:rsidRPr="00511A32">
        <w:rPr>
          <w:rFonts w:cs="Times New Roman"/>
          <w:color w:val="000000"/>
          <w:szCs w:val="24"/>
        </w:rPr>
        <w:t xml:space="preserve"> used the trust and partnership assets</w:t>
      </w:r>
      <w:r w:rsidR="00E87A61">
        <w:rPr>
          <w:rFonts w:cs="Times New Roman"/>
          <w:color w:val="000000"/>
          <w:szCs w:val="24"/>
        </w:rPr>
        <w:t xml:space="preserve"> for his personal use and self-</w:t>
      </w:r>
      <w:r w:rsidRPr="00511A32">
        <w:rPr>
          <w:rFonts w:cs="Times New Roman"/>
          <w:color w:val="000000"/>
          <w:szCs w:val="24"/>
        </w:rPr>
        <w:t>enrichment, spending approximately $725,424.80 from the trust and partnership accounts</w:t>
      </w:r>
      <w:r>
        <w:rPr>
          <w:rFonts w:cs="Times New Roman"/>
          <w:color w:val="000000"/>
          <w:szCs w:val="24"/>
        </w:rPr>
        <w:t xml:space="preserve">.  </w:t>
      </w:r>
      <w:r w:rsidRPr="00511A32">
        <w:rPr>
          <w:rFonts w:cs="Times New Roman"/>
          <w:color w:val="000000"/>
          <w:szCs w:val="24"/>
        </w:rPr>
        <w:t xml:space="preserve">These expenditures and disbursements were not made for legitimate expenses or purposes of the Macy Trust or the Partnership and were substantially more than </w:t>
      </w:r>
      <w:r>
        <w:rPr>
          <w:rFonts w:cs="Times New Roman"/>
          <w:color w:val="000000"/>
          <w:szCs w:val="24"/>
        </w:rPr>
        <w:t>respondent’</w:t>
      </w:r>
      <w:r w:rsidRPr="00511A32">
        <w:rPr>
          <w:rFonts w:cs="Times New Roman"/>
          <w:color w:val="000000"/>
          <w:szCs w:val="24"/>
        </w:rPr>
        <w:t>s beneficial interest in the Macy Trust estate.</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Between in or about April 2000 and July 2000, </w:t>
      </w:r>
      <w:r>
        <w:rPr>
          <w:rFonts w:cs="Times New Roman"/>
          <w:color w:val="000000"/>
          <w:szCs w:val="24"/>
        </w:rPr>
        <w:t>respondent</w:t>
      </w:r>
      <w:r w:rsidRPr="00511A32">
        <w:rPr>
          <w:rFonts w:cs="Times New Roman"/>
          <w:color w:val="000000"/>
          <w:szCs w:val="24"/>
        </w:rPr>
        <w:t xml:space="preserve"> withdrew, in eight separate disbursements, approximately $8,651 from the Partnership</w:t>
      </w:r>
      <w:r>
        <w:rPr>
          <w:rFonts w:cs="Times New Roman"/>
          <w:color w:val="000000"/>
          <w:szCs w:val="24"/>
        </w:rPr>
        <w:t>’</w:t>
      </w:r>
      <w:r w:rsidRPr="00511A32">
        <w:rPr>
          <w:rFonts w:cs="Times New Roman"/>
          <w:color w:val="000000"/>
          <w:szCs w:val="24"/>
        </w:rPr>
        <w:t>s account at Salomon Smith Barney for his personal use</w:t>
      </w:r>
      <w:r>
        <w:rPr>
          <w:rFonts w:cs="Times New Roman"/>
          <w:color w:val="000000"/>
          <w:szCs w:val="24"/>
        </w:rPr>
        <w:t xml:space="preserve">.  </w:t>
      </w:r>
      <w:r w:rsidRPr="00511A32">
        <w:rPr>
          <w:rFonts w:cs="Times New Roman"/>
          <w:color w:val="000000"/>
          <w:szCs w:val="24"/>
        </w:rPr>
        <w:t>These disbursements were not used for any legitimate trust or partnership expenses or purposes.</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Between in or about January 2000 and February 2004, </w:t>
      </w:r>
      <w:r>
        <w:rPr>
          <w:rFonts w:cs="Times New Roman"/>
          <w:color w:val="000000"/>
          <w:szCs w:val="24"/>
        </w:rPr>
        <w:t>respondent</w:t>
      </w:r>
      <w:r w:rsidRPr="00511A32">
        <w:rPr>
          <w:rFonts w:cs="Times New Roman"/>
          <w:color w:val="000000"/>
          <w:szCs w:val="24"/>
        </w:rPr>
        <w:t xml:space="preserve"> withdrew approximately $369,339 from the Partnership</w:t>
      </w:r>
      <w:r>
        <w:rPr>
          <w:rFonts w:cs="Times New Roman"/>
          <w:color w:val="000000"/>
          <w:szCs w:val="24"/>
        </w:rPr>
        <w:t>’</w:t>
      </w:r>
      <w:r w:rsidRPr="00511A32">
        <w:rPr>
          <w:rFonts w:cs="Times New Roman"/>
          <w:color w:val="000000"/>
          <w:szCs w:val="24"/>
        </w:rPr>
        <w:t>s account at Northern Trust Bank solely for his personal benefit</w:t>
      </w:r>
      <w:r>
        <w:rPr>
          <w:rFonts w:cs="Times New Roman"/>
          <w:color w:val="000000"/>
          <w:szCs w:val="24"/>
        </w:rPr>
        <w:t>.  Respondent</w:t>
      </w:r>
      <w:r w:rsidRPr="00511A32">
        <w:rPr>
          <w:rFonts w:cs="Times New Roman"/>
          <w:color w:val="000000"/>
          <w:szCs w:val="24"/>
        </w:rPr>
        <w:t xml:space="preserve"> wrote 73 checks to himself from the Partnership</w:t>
      </w:r>
      <w:r>
        <w:rPr>
          <w:rFonts w:cs="Times New Roman"/>
          <w:color w:val="000000"/>
          <w:szCs w:val="24"/>
        </w:rPr>
        <w:t>’</w:t>
      </w:r>
      <w:r w:rsidRPr="00511A32">
        <w:rPr>
          <w:rFonts w:cs="Times New Roman"/>
          <w:color w:val="000000"/>
          <w:szCs w:val="24"/>
        </w:rPr>
        <w:t>s account totaling $317,900</w:t>
      </w:r>
      <w:r>
        <w:rPr>
          <w:rFonts w:cs="Times New Roman"/>
          <w:color w:val="000000"/>
          <w:szCs w:val="24"/>
        </w:rPr>
        <w:t xml:space="preserve">.  </w:t>
      </w:r>
      <w:r w:rsidRPr="00511A32">
        <w:rPr>
          <w:rFonts w:cs="Times New Roman"/>
          <w:color w:val="000000"/>
          <w:szCs w:val="24"/>
        </w:rPr>
        <w:t>Included in this sum was a cashier</w:t>
      </w:r>
      <w:r>
        <w:rPr>
          <w:rFonts w:cs="Times New Roman"/>
          <w:color w:val="000000"/>
          <w:szCs w:val="24"/>
        </w:rPr>
        <w:t>’</w:t>
      </w:r>
      <w:r w:rsidRPr="00511A32">
        <w:rPr>
          <w:rFonts w:cs="Times New Roman"/>
          <w:color w:val="000000"/>
          <w:szCs w:val="24"/>
        </w:rPr>
        <w:t xml:space="preserve">s check in the amount of $40,000 that </w:t>
      </w:r>
      <w:r>
        <w:rPr>
          <w:rFonts w:cs="Times New Roman"/>
          <w:color w:val="000000"/>
          <w:szCs w:val="24"/>
        </w:rPr>
        <w:t>respondent</w:t>
      </w:r>
      <w:r w:rsidRPr="00511A32">
        <w:rPr>
          <w:rFonts w:cs="Times New Roman"/>
          <w:color w:val="000000"/>
          <w:szCs w:val="24"/>
        </w:rPr>
        <w:t xml:space="preserve"> withdrew from the Partnership</w:t>
      </w:r>
      <w:r>
        <w:rPr>
          <w:rFonts w:cs="Times New Roman"/>
          <w:color w:val="000000"/>
          <w:szCs w:val="24"/>
        </w:rPr>
        <w:t>’</w:t>
      </w:r>
      <w:r w:rsidRPr="00511A32">
        <w:rPr>
          <w:rFonts w:cs="Times New Roman"/>
          <w:color w:val="000000"/>
          <w:szCs w:val="24"/>
        </w:rPr>
        <w:t>s account to pay off a settlement of personal litigation with a law partner</w:t>
      </w:r>
      <w:r>
        <w:rPr>
          <w:rFonts w:cs="Times New Roman"/>
          <w:color w:val="000000"/>
          <w:szCs w:val="24"/>
        </w:rPr>
        <w:t xml:space="preserve">.  </w:t>
      </w:r>
      <w:r w:rsidRPr="00511A32">
        <w:rPr>
          <w:rFonts w:cs="Times New Roman"/>
          <w:color w:val="000000"/>
          <w:szCs w:val="24"/>
        </w:rPr>
        <w:t xml:space="preserve">In addition, </w:t>
      </w:r>
      <w:r>
        <w:rPr>
          <w:rFonts w:cs="Times New Roman"/>
          <w:color w:val="000000"/>
          <w:szCs w:val="24"/>
        </w:rPr>
        <w:t>respondent</w:t>
      </w:r>
      <w:r w:rsidRPr="00511A32">
        <w:rPr>
          <w:rFonts w:cs="Times New Roman"/>
          <w:color w:val="000000"/>
          <w:szCs w:val="24"/>
        </w:rPr>
        <w:t xml:space="preserve"> wrote 4 checks to </w:t>
      </w:r>
      <w:r>
        <w:rPr>
          <w:rFonts w:cs="Times New Roman"/>
          <w:color w:val="000000"/>
          <w:szCs w:val="24"/>
        </w:rPr>
        <w:t>“</w:t>
      </w:r>
      <w:r w:rsidRPr="00511A32">
        <w:rPr>
          <w:rFonts w:cs="Times New Roman"/>
          <w:color w:val="000000"/>
          <w:szCs w:val="24"/>
        </w:rPr>
        <w:t>Cash</w:t>
      </w:r>
      <w:r>
        <w:rPr>
          <w:rFonts w:cs="Times New Roman"/>
          <w:color w:val="000000"/>
          <w:szCs w:val="24"/>
        </w:rPr>
        <w:t>”</w:t>
      </w:r>
      <w:r w:rsidRPr="00511A32">
        <w:rPr>
          <w:rFonts w:cs="Times New Roman"/>
          <w:color w:val="000000"/>
          <w:szCs w:val="24"/>
        </w:rPr>
        <w:t xml:space="preserve"> from the Partnership</w:t>
      </w:r>
      <w:r>
        <w:rPr>
          <w:rFonts w:cs="Times New Roman"/>
          <w:color w:val="000000"/>
          <w:szCs w:val="24"/>
        </w:rPr>
        <w:t>’</w:t>
      </w:r>
      <w:r w:rsidRPr="00511A32">
        <w:rPr>
          <w:rFonts w:cs="Times New Roman"/>
          <w:color w:val="000000"/>
          <w:szCs w:val="24"/>
        </w:rPr>
        <w:t>s account</w:t>
      </w:r>
      <w:r>
        <w:rPr>
          <w:rFonts w:cs="Times New Roman"/>
          <w:szCs w:val="24"/>
        </w:rPr>
        <w:t xml:space="preserve"> </w:t>
      </w:r>
      <w:r w:rsidRPr="00511A32">
        <w:rPr>
          <w:rFonts w:cs="Times New Roman"/>
          <w:color w:val="000000"/>
          <w:szCs w:val="24"/>
        </w:rPr>
        <w:t>totaling $6,600</w:t>
      </w:r>
      <w:r>
        <w:rPr>
          <w:rFonts w:cs="Times New Roman"/>
          <w:color w:val="000000"/>
          <w:szCs w:val="24"/>
        </w:rPr>
        <w:t>.  Respondent</w:t>
      </w:r>
      <w:r w:rsidRPr="00511A32">
        <w:rPr>
          <w:rFonts w:cs="Times New Roman"/>
          <w:color w:val="000000"/>
          <w:szCs w:val="24"/>
        </w:rPr>
        <w:t xml:space="preserve"> also used $12,120.40 in </w:t>
      </w:r>
      <w:r w:rsidR="008C2032">
        <w:rPr>
          <w:rFonts w:cs="Times New Roman"/>
          <w:color w:val="000000"/>
          <w:szCs w:val="24"/>
        </w:rPr>
        <w:t>P</w:t>
      </w:r>
      <w:r w:rsidRPr="00511A32">
        <w:rPr>
          <w:rFonts w:cs="Times New Roman"/>
          <w:color w:val="000000"/>
          <w:szCs w:val="24"/>
        </w:rPr>
        <w:t>artnership account funds to pay the mortgage on his personal residence, used an additional $4,890.98 to pay his legal secretary, and withdrew $3,070.00 to pay personal medical expenses</w:t>
      </w:r>
      <w:r>
        <w:rPr>
          <w:rFonts w:cs="Times New Roman"/>
          <w:color w:val="000000"/>
          <w:szCs w:val="24"/>
        </w:rPr>
        <w:t xml:space="preserve">.  </w:t>
      </w:r>
      <w:r w:rsidRPr="00511A32">
        <w:rPr>
          <w:rFonts w:cs="Times New Roman"/>
          <w:color w:val="000000"/>
          <w:szCs w:val="24"/>
        </w:rPr>
        <w:t>The remaining funds withdrawn from the Partnership</w:t>
      </w:r>
      <w:r>
        <w:rPr>
          <w:rFonts w:cs="Times New Roman"/>
          <w:color w:val="000000"/>
          <w:szCs w:val="24"/>
        </w:rPr>
        <w:t>’</w:t>
      </w:r>
      <w:r w:rsidRPr="00511A32">
        <w:rPr>
          <w:rFonts w:cs="Times New Roman"/>
          <w:color w:val="000000"/>
          <w:szCs w:val="24"/>
        </w:rPr>
        <w:t xml:space="preserve">s account by </w:t>
      </w:r>
      <w:r>
        <w:rPr>
          <w:rFonts w:cs="Times New Roman"/>
          <w:color w:val="000000"/>
          <w:szCs w:val="24"/>
        </w:rPr>
        <w:t>respondent</w:t>
      </w:r>
      <w:r w:rsidR="00CE1CBC">
        <w:rPr>
          <w:rFonts w:cs="Times New Roman"/>
          <w:color w:val="000000"/>
          <w:szCs w:val="24"/>
        </w:rPr>
        <w:t>–</w:t>
      </w:r>
      <w:r w:rsidRPr="00511A32">
        <w:rPr>
          <w:rFonts w:cs="Times New Roman"/>
          <w:color w:val="000000"/>
          <w:szCs w:val="24"/>
        </w:rPr>
        <w:t>totaling approximately $24,758</w:t>
      </w:r>
      <w:r w:rsidR="00CE1CBC">
        <w:rPr>
          <w:rFonts w:cs="Times New Roman"/>
          <w:color w:val="000000"/>
          <w:szCs w:val="24"/>
        </w:rPr>
        <w:t>–</w:t>
      </w:r>
      <w:r w:rsidRPr="00511A32">
        <w:rPr>
          <w:rFonts w:cs="Times New Roman"/>
          <w:color w:val="000000"/>
          <w:szCs w:val="24"/>
        </w:rPr>
        <w:t>w</w:t>
      </w:r>
      <w:r w:rsidR="003D1657">
        <w:rPr>
          <w:rFonts w:cs="Times New Roman"/>
          <w:color w:val="000000"/>
          <w:szCs w:val="24"/>
        </w:rPr>
        <w:t>ere</w:t>
      </w:r>
      <w:r w:rsidRPr="00511A32">
        <w:rPr>
          <w:rFonts w:cs="Times New Roman"/>
          <w:color w:val="000000"/>
          <w:szCs w:val="24"/>
        </w:rPr>
        <w:t xml:space="preserve"> used by </w:t>
      </w:r>
      <w:r>
        <w:rPr>
          <w:rFonts w:cs="Times New Roman"/>
          <w:color w:val="000000"/>
          <w:szCs w:val="24"/>
        </w:rPr>
        <w:t>respondent</w:t>
      </w:r>
      <w:r w:rsidRPr="00511A32">
        <w:rPr>
          <w:rFonts w:cs="Times New Roman"/>
          <w:color w:val="000000"/>
          <w:szCs w:val="24"/>
        </w:rPr>
        <w:t xml:space="preserve"> for a variety of miscellaneous office and other personal expenses.</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Between in or about October 2000 and March 2004, </w:t>
      </w:r>
      <w:r>
        <w:rPr>
          <w:rFonts w:cs="Times New Roman"/>
          <w:color w:val="000000"/>
          <w:szCs w:val="24"/>
        </w:rPr>
        <w:t>respondent</w:t>
      </w:r>
      <w:r w:rsidRPr="00511A32">
        <w:rPr>
          <w:rFonts w:cs="Times New Roman"/>
          <w:color w:val="000000"/>
          <w:szCs w:val="24"/>
        </w:rPr>
        <w:t xml:space="preserve"> withdrew approximately $328,933 from the Macy Trust</w:t>
      </w:r>
      <w:r>
        <w:rPr>
          <w:rFonts w:cs="Times New Roman"/>
          <w:color w:val="000000"/>
          <w:szCs w:val="24"/>
        </w:rPr>
        <w:t>’</w:t>
      </w:r>
      <w:r w:rsidRPr="00511A32">
        <w:rPr>
          <w:rFonts w:cs="Times New Roman"/>
          <w:color w:val="000000"/>
          <w:szCs w:val="24"/>
        </w:rPr>
        <w:t>s account at Northern Trust Bank solely for his personal benefit</w:t>
      </w:r>
      <w:r>
        <w:rPr>
          <w:rFonts w:cs="Times New Roman"/>
          <w:color w:val="000000"/>
          <w:szCs w:val="24"/>
        </w:rPr>
        <w:t xml:space="preserve">.  </w:t>
      </w:r>
      <w:r w:rsidR="00534409">
        <w:rPr>
          <w:rFonts w:cs="Times New Roman"/>
          <w:color w:val="000000"/>
          <w:szCs w:val="24"/>
        </w:rPr>
        <w:t>Included in this sum</w:t>
      </w:r>
      <w:r w:rsidRPr="00511A32">
        <w:rPr>
          <w:rFonts w:cs="Times New Roman"/>
          <w:color w:val="000000"/>
          <w:szCs w:val="24"/>
        </w:rPr>
        <w:t xml:space="preserve"> are 49 checks </w:t>
      </w:r>
      <w:r>
        <w:rPr>
          <w:rFonts w:cs="Times New Roman"/>
          <w:color w:val="000000"/>
          <w:szCs w:val="24"/>
        </w:rPr>
        <w:t>respondent</w:t>
      </w:r>
      <w:r w:rsidRPr="00511A32">
        <w:rPr>
          <w:rFonts w:cs="Times New Roman"/>
          <w:color w:val="000000"/>
          <w:szCs w:val="24"/>
        </w:rPr>
        <w:t xml:space="preserve"> wrote to himself totaling $245,300</w:t>
      </w:r>
      <w:r>
        <w:rPr>
          <w:rFonts w:cs="Times New Roman"/>
          <w:color w:val="000000"/>
          <w:szCs w:val="24"/>
        </w:rPr>
        <w:t xml:space="preserve">.  </w:t>
      </w:r>
      <w:r w:rsidR="00FE23F4" w:rsidRPr="00511A32">
        <w:rPr>
          <w:rFonts w:cs="Times New Roman"/>
          <w:color w:val="000000"/>
          <w:szCs w:val="24"/>
        </w:rPr>
        <w:t xml:space="preserve">On or about October 13, 2000, </w:t>
      </w:r>
      <w:r w:rsidR="00FE23F4">
        <w:rPr>
          <w:rFonts w:cs="Times New Roman"/>
          <w:color w:val="000000"/>
          <w:szCs w:val="24"/>
        </w:rPr>
        <w:t>respondent</w:t>
      </w:r>
      <w:r w:rsidR="00FE23F4" w:rsidRPr="00511A32">
        <w:rPr>
          <w:rFonts w:cs="Times New Roman"/>
          <w:color w:val="000000"/>
          <w:szCs w:val="24"/>
        </w:rPr>
        <w:t xml:space="preserve"> withdrew $932.19 from the Macy Trust</w:t>
      </w:r>
      <w:r w:rsidR="00FE23F4">
        <w:rPr>
          <w:rFonts w:cs="Times New Roman"/>
          <w:color w:val="000000"/>
          <w:szCs w:val="24"/>
        </w:rPr>
        <w:t>’</w:t>
      </w:r>
      <w:r w:rsidR="00FE23F4" w:rsidRPr="00511A32">
        <w:rPr>
          <w:rFonts w:cs="Times New Roman"/>
          <w:color w:val="000000"/>
          <w:szCs w:val="24"/>
        </w:rPr>
        <w:t>s account to pay for law books</w:t>
      </w:r>
      <w:r w:rsidR="00FE23F4">
        <w:rPr>
          <w:rFonts w:cs="Times New Roman"/>
          <w:color w:val="000000"/>
          <w:szCs w:val="24"/>
        </w:rPr>
        <w:t xml:space="preserve">.  </w:t>
      </w:r>
      <w:r w:rsidR="00BE5F45">
        <w:rPr>
          <w:rFonts w:cs="Times New Roman"/>
          <w:color w:val="000000"/>
          <w:szCs w:val="24"/>
        </w:rPr>
        <w:t>On or about October 31, 2000</w:t>
      </w:r>
      <w:r w:rsidR="00FE23F4" w:rsidRPr="00511A32">
        <w:rPr>
          <w:rFonts w:cs="Times New Roman"/>
          <w:color w:val="000000"/>
          <w:szCs w:val="24"/>
        </w:rPr>
        <w:t xml:space="preserve"> and September 4, 2001, </w:t>
      </w:r>
      <w:r w:rsidR="00FE23F4">
        <w:rPr>
          <w:rFonts w:cs="Times New Roman"/>
          <w:color w:val="000000"/>
          <w:szCs w:val="24"/>
        </w:rPr>
        <w:t>respondent</w:t>
      </w:r>
      <w:r w:rsidR="00FE23F4" w:rsidRPr="00511A32">
        <w:rPr>
          <w:rFonts w:cs="Times New Roman"/>
          <w:color w:val="000000"/>
          <w:szCs w:val="24"/>
        </w:rPr>
        <w:t xml:space="preserve"> withdrew funds totaling $2,705.42 from the Macy Trust</w:t>
      </w:r>
      <w:r w:rsidR="00FE23F4">
        <w:rPr>
          <w:rFonts w:cs="Times New Roman"/>
          <w:color w:val="000000"/>
          <w:szCs w:val="24"/>
        </w:rPr>
        <w:t>’</w:t>
      </w:r>
      <w:r w:rsidR="00FE23F4" w:rsidRPr="00511A32">
        <w:rPr>
          <w:rFonts w:cs="Times New Roman"/>
          <w:color w:val="000000"/>
          <w:szCs w:val="24"/>
        </w:rPr>
        <w:t>s account to pay his home mortgage</w:t>
      </w:r>
      <w:r w:rsidR="00FE23F4">
        <w:rPr>
          <w:rFonts w:cs="Times New Roman"/>
          <w:color w:val="000000"/>
          <w:szCs w:val="24"/>
        </w:rPr>
        <w:t xml:space="preserve">.  </w:t>
      </w:r>
      <w:r w:rsidR="00FE23F4" w:rsidRPr="00511A32">
        <w:rPr>
          <w:rFonts w:cs="Times New Roman"/>
          <w:color w:val="000000"/>
          <w:szCs w:val="24"/>
        </w:rPr>
        <w:t xml:space="preserve">On or about July 28, 2001, </w:t>
      </w:r>
      <w:r w:rsidR="00FE23F4">
        <w:rPr>
          <w:rFonts w:cs="Times New Roman"/>
          <w:color w:val="000000"/>
          <w:szCs w:val="24"/>
        </w:rPr>
        <w:t>respondent</w:t>
      </w:r>
      <w:r w:rsidR="00FE23F4" w:rsidRPr="00511A32">
        <w:rPr>
          <w:rFonts w:cs="Times New Roman"/>
          <w:color w:val="000000"/>
          <w:szCs w:val="24"/>
        </w:rPr>
        <w:t xml:space="preserve"> issued a check from the Macy Trust</w:t>
      </w:r>
      <w:r w:rsidR="00FE23F4">
        <w:rPr>
          <w:rFonts w:cs="Times New Roman"/>
          <w:color w:val="000000"/>
          <w:szCs w:val="24"/>
        </w:rPr>
        <w:t>’</w:t>
      </w:r>
      <w:r w:rsidR="00FE23F4" w:rsidRPr="00511A32">
        <w:rPr>
          <w:rFonts w:cs="Times New Roman"/>
          <w:color w:val="000000"/>
          <w:szCs w:val="24"/>
        </w:rPr>
        <w:t>s account to purchase a new car in the amount of $33,497.75</w:t>
      </w:r>
      <w:r w:rsidR="00FE23F4">
        <w:rPr>
          <w:rFonts w:cs="Times New Roman"/>
          <w:color w:val="000000"/>
          <w:szCs w:val="24"/>
        </w:rPr>
        <w:t xml:space="preserve">.  </w:t>
      </w:r>
      <w:r w:rsidR="00FE23F4" w:rsidRPr="00511A32">
        <w:rPr>
          <w:rFonts w:cs="Times New Roman"/>
          <w:color w:val="000000"/>
          <w:szCs w:val="24"/>
        </w:rPr>
        <w:t xml:space="preserve">On or about October 20, 2001, </w:t>
      </w:r>
      <w:r w:rsidR="00FE23F4">
        <w:rPr>
          <w:rFonts w:cs="Times New Roman"/>
          <w:color w:val="000000"/>
          <w:szCs w:val="24"/>
        </w:rPr>
        <w:t>respondent</w:t>
      </w:r>
      <w:r w:rsidR="00FE23F4" w:rsidRPr="00511A32">
        <w:rPr>
          <w:rFonts w:cs="Times New Roman"/>
          <w:color w:val="000000"/>
          <w:szCs w:val="24"/>
        </w:rPr>
        <w:t xml:space="preserve"> withdrew $5,180.35 from the Macy Trust</w:t>
      </w:r>
      <w:r w:rsidR="00FE23F4">
        <w:rPr>
          <w:rFonts w:cs="Times New Roman"/>
          <w:color w:val="000000"/>
          <w:szCs w:val="24"/>
        </w:rPr>
        <w:t>’</w:t>
      </w:r>
      <w:r w:rsidR="00FE23F4" w:rsidRPr="00511A32">
        <w:rPr>
          <w:rFonts w:cs="Times New Roman"/>
          <w:color w:val="000000"/>
          <w:szCs w:val="24"/>
        </w:rPr>
        <w:t>s account to pay for his son</w:t>
      </w:r>
      <w:r w:rsidR="00FE23F4">
        <w:rPr>
          <w:rFonts w:cs="Times New Roman"/>
          <w:color w:val="000000"/>
          <w:szCs w:val="24"/>
        </w:rPr>
        <w:t>’</w:t>
      </w:r>
      <w:r w:rsidR="00FE23F4" w:rsidRPr="00511A32">
        <w:rPr>
          <w:rFonts w:cs="Times New Roman"/>
          <w:color w:val="000000"/>
          <w:szCs w:val="24"/>
        </w:rPr>
        <w:t>s college tuition</w:t>
      </w:r>
      <w:r w:rsidR="00FE23F4">
        <w:rPr>
          <w:rFonts w:cs="Times New Roman"/>
          <w:color w:val="000000"/>
          <w:szCs w:val="24"/>
        </w:rPr>
        <w:t>.  B</w:t>
      </w:r>
      <w:r w:rsidRPr="00511A32">
        <w:rPr>
          <w:rFonts w:cs="Times New Roman"/>
          <w:color w:val="000000"/>
          <w:szCs w:val="24"/>
        </w:rPr>
        <w:t>etwee</w:t>
      </w:r>
      <w:r w:rsidR="00325717">
        <w:rPr>
          <w:rFonts w:cs="Times New Roman"/>
          <w:color w:val="000000"/>
          <w:szCs w:val="24"/>
        </w:rPr>
        <w:t xml:space="preserve">n on or about </w:t>
      </w:r>
      <w:r w:rsidR="00FE23F4">
        <w:rPr>
          <w:rFonts w:cs="Times New Roman"/>
          <w:color w:val="000000"/>
          <w:szCs w:val="24"/>
        </w:rPr>
        <w:t>2000 and</w:t>
      </w:r>
      <w:r w:rsidRPr="00511A32">
        <w:rPr>
          <w:rFonts w:cs="Times New Roman"/>
          <w:color w:val="000000"/>
          <w:szCs w:val="24"/>
        </w:rPr>
        <w:t xml:space="preserve"> 2001, </w:t>
      </w:r>
      <w:r>
        <w:rPr>
          <w:rFonts w:cs="Times New Roman"/>
          <w:color w:val="000000"/>
          <w:szCs w:val="24"/>
        </w:rPr>
        <w:t>respondent</w:t>
      </w:r>
      <w:r w:rsidRPr="00511A32">
        <w:rPr>
          <w:rFonts w:cs="Times New Roman"/>
          <w:color w:val="000000"/>
          <w:szCs w:val="24"/>
        </w:rPr>
        <w:t xml:space="preserve"> issued four checks payable to </w:t>
      </w:r>
      <w:r>
        <w:rPr>
          <w:rFonts w:cs="Times New Roman"/>
          <w:color w:val="000000"/>
          <w:szCs w:val="24"/>
        </w:rPr>
        <w:t>“</w:t>
      </w:r>
      <w:r w:rsidRPr="00511A32">
        <w:rPr>
          <w:rFonts w:cs="Times New Roman"/>
          <w:color w:val="000000"/>
          <w:szCs w:val="24"/>
        </w:rPr>
        <w:t>Cash</w:t>
      </w:r>
      <w:r>
        <w:rPr>
          <w:rFonts w:cs="Times New Roman"/>
          <w:color w:val="000000"/>
          <w:szCs w:val="24"/>
        </w:rPr>
        <w:t>”</w:t>
      </w:r>
      <w:r w:rsidRPr="00511A32">
        <w:rPr>
          <w:rFonts w:cs="Times New Roman"/>
          <w:color w:val="000000"/>
          <w:szCs w:val="24"/>
        </w:rPr>
        <w:t xml:space="preserve"> totaling $25,300 from the Macy Trust</w:t>
      </w:r>
      <w:r>
        <w:rPr>
          <w:rFonts w:cs="Times New Roman"/>
          <w:color w:val="000000"/>
          <w:szCs w:val="24"/>
        </w:rPr>
        <w:t>’</w:t>
      </w:r>
      <w:r w:rsidRPr="00511A32">
        <w:rPr>
          <w:rFonts w:cs="Times New Roman"/>
          <w:color w:val="000000"/>
          <w:szCs w:val="24"/>
        </w:rPr>
        <w:t>s account</w:t>
      </w:r>
      <w:r>
        <w:rPr>
          <w:rFonts w:cs="Times New Roman"/>
          <w:color w:val="000000"/>
          <w:szCs w:val="24"/>
        </w:rPr>
        <w:t>.  Respondent</w:t>
      </w:r>
      <w:r w:rsidRPr="00511A32">
        <w:rPr>
          <w:rFonts w:cs="Times New Roman"/>
          <w:color w:val="000000"/>
          <w:szCs w:val="24"/>
        </w:rPr>
        <w:t xml:space="preserve"> </w:t>
      </w:r>
      <w:r w:rsidR="00FE23F4">
        <w:rPr>
          <w:rFonts w:cs="Times New Roman"/>
          <w:color w:val="000000"/>
          <w:szCs w:val="24"/>
        </w:rPr>
        <w:t xml:space="preserve">also </w:t>
      </w:r>
      <w:r w:rsidRPr="00511A32">
        <w:rPr>
          <w:rFonts w:cs="Times New Roman"/>
          <w:color w:val="000000"/>
          <w:szCs w:val="24"/>
        </w:rPr>
        <w:t>withdrew an additional $16,017.63 from the Macy Trust</w:t>
      </w:r>
      <w:r w:rsidR="00BE5F45">
        <w:rPr>
          <w:rFonts w:cs="Times New Roman"/>
          <w:color w:val="000000"/>
          <w:szCs w:val="24"/>
        </w:rPr>
        <w:t>’s</w:t>
      </w:r>
      <w:r w:rsidRPr="00511A32">
        <w:rPr>
          <w:rFonts w:cs="Times New Roman"/>
          <w:color w:val="000000"/>
          <w:szCs w:val="24"/>
        </w:rPr>
        <w:t xml:space="preserve"> account to pay for various miscellaneous personal expenses including payments to his legal secretary in the total amount of $2,440.55 and one check written for $200 for personal medical expenses.</w:t>
      </w:r>
    </w:p>
    <w:p w:rsidR="00751A0E" w:rsidRDefault="00751A0E" w:rsidP="00751A0E">
      <w:pPr>
        <w:spacing w:line="480" w:lineRule="auto"/>
        <w:ind w:firstLine="720"/>
        <w:rPr>
          <w:rFonts w:cs="Times New Roman"/>
          <w:szCs w:val="24"/>
        </w:rPr>
      </w:pPr>
      <w:r w:rsidRPr="00A25062">
        <w:rPr>
          <w:rFonts w:cs="Times New Roman"/>
          <w:color w:val="000000"/>
          <w:szCs w:val="24"/>
        </w:rPr>
        <w:t>On or about May 10, 2002, Richard died.  Pursuant to the terms of the restated Macy Trust, upon Richard’s death, the trustee was required to distribute the Macy Trust estate in equal shares to the four children.</w:t>
      </w:r>
    </w:p>
    <w:p w:rsidR="00751A0E" w:rsidRDefault="00751A0E" w:rsidP="00751A0E">
      <w:pPr>
        <w:spacing w:line="480" w:lineRule="auto"/>
        <w:ind w:firstLine="720"/>
        <w:rPr>
          <w:rFonts w:cs="Times New Roman"/>
          <w:color w:val="000000"/>
          <w:szCs w:val="24"/>
        </w:rPr>
      </w:pPr>
      <w:r w:rsidRPr="00511A32">
        <w:rPr>
          <w:rFonts w:cs="Times New Roman"/>
          <w:color w:val="000000"/>
          <w:szCs w:val="24"/>
        </w:rPr>
        <w:t xml:space="preserve">In or about January 2003, </w:t>
      </w:r>
      <w:r>
        <w:rPr>
          <w:rFonts w:cs="Times New Roman"/>
          <w:color w:val="000000"/>
          <w:szCs w:val="24"/>
        </w:rPr>
        <w:t>respondent</w:t>
      </w:r>
      <w:r w:rsidRPr="00511A32">
        <w:rPr>
          <w:rFonts w:cs="Times New Roman"/>
          <w:color w:val="000000"/>
          <w:szCs w:val="24"/>
        </w:rPr>
        <w:t xml:space="preserve"> made an unsecured loan to Bakker Ventures LLP (Bakker) in the amou</w:t>
      </w:r>
      <w:r w:rsidR="008C2032">
        <w:rPr>
          <w:rFonts w:cs="Times New Roman"/>
          <w:color w:val="000000"/>
          <w:szCs w:val="24"/>
        </w:rPr>
        <w:t>nt of $50,000 on behalf of the P</w:t>
      </w:r>
      <w:r w:rsidRPr="00511A32">
        <w:rPr>
          <w:rFonts w:cs="Times New Roman"/>
          <w:color w:val="000000"/>
          <w:szCs w:val="24"/>
        </w:rPr>
        <w:t>artnership</w:t>
      </w:r>
      <w:r>
        <w:rPr>
          <w:rFonts w:cs="Times New Roman"/>
          <w:color w:val="000000"/>
          <w:szCs w:val="24"/>
        </w:rPr>
        <w:t xml:space="preserve">.  </w:t>
      </w:r>
      <w:r w:rsidRPr="00511A32">
        <w:rPr>
          <w:rFonts w:cs="Times New Roman"/>
          <w:color w:val="000000"/>
          <w:szCs w:val="24"/>
        </w:rPr>
        <w:t>Bakker</w:t>
      </w:r>
      <w:r>
        <w:rPr>
          <w:rFonts w:cs="Times New Roman"/>
          <w:color w:val="000000"/>
          <w:szCs w:val="24"/>
        </w:rPr>
        <w:t>’</w:t>
      </w:r>
      <w:r w:rsidRPr="00511A32">
        <w:rPr>
          <w:rFonts w:cs="Times New Roman"/>
          <w:color w:val="000000"/>
          <w:szCs w:val="24"/>
        </w:rPr>
        <w:t xml:space="preserve">s business is the rehabilitation and resale of residential property and is owned by </w:t>
      </w:r>
      <w:r>
        <w:rPr>
          <w:rFonts w:cs="Times New Roman"/>
          <w:color w:val="000000"/>
          <w:szCs w:val="24"/>
        </w:rPr>
        <w:t>respondent’</w:t>
      </w:r>
      <w:r w:rsidRPr="00511A32">
        <w:rPr>
          <w:rFonts w:cs="Times New Roman"/>
          <w:color w:val="000000"/>
          <w:szCs w:val="24"/>
        </w:rPr>
        <w:t>s friend, Ron Baker</w:t>
      </w:r>
      <w:r>
        <w:rPr>
          <w:rFonts w:cs="Times New Roman"/>
          <w:color w:val="000000"/>
          <w:szCs w:val="24"/>
        </w:rPr>
        <w:t xml:space="preserve">.  </w:t>
      </w:r>
      <w:r w:rsidRPr="00511A32">
        <w:rPr>
          <w:rFonts w:cs="Times New Roman"/>
          <w:color w:val="000000"/>
          <w:szCs w:val="24"/>
        </w:rPr>
        <w:t>No principal or interest was ever collected on the loan</w:t>
      </w:r>
      <w:r>
        <w:rPr>
          <w:rFonts w:cs="Times New Roman"/>
          <w:color w:val="000000"/>
          <w:szCs w:val="24"/>
        </w:rPr>
        <w:t xml:space="preserve">.  </w:t>
      </w:r>
      <w:r w:rsidRPr="00511A32">
        <w:rPr>
          <w:rFonts w:cs="Times New Roman"/>
          <w:color w:val="000000"/>
          <w:szCs w:val="24"/>
        </w:rPr>
        <w:t xml:space="preserve">In or about April 2003, </w:t>
      </w:r>
      <w:r>
        <w:rPr>
          <w:rFonts w:cs="Times New Roman"/>
          <w:color w:val="000000"/>
          <w:szCs w:val="24"/>
        </w:rPr>
        <w:t>respondent</w:t>
      </w:r>
      <w:r w:rsidRPr="00511A32">
        <w:rPr>
          <w:rFonts w:cs="Times New Roman"/>
          <w:color w:val="000000"/>
          <w:szCs w:val="24"/>
        </w:rPr>
        <w:t xml:space="preserve"> made an additional investment of $20,000 in Bakker Ventures in his own name using funds from the Macy Trust</w:t>
      </w:r>
      <w:r>
        <w:rPr>
          <w:rFonts w:cs="Times New Roman"/>
          <w:color w:val="000000"/>
          <w:szCs w:val="24"/>
        </w:rPr>
        <w:t xml:space="preserve">.  </w:t>
      </w:r>
      <w:r w:rsidRPr="00511A32">
        <w:rPr>
          <w:rFonts w:cs="Times New Roman"/>
          <w:color w:val="000000"/>
          <w:szCs w:val="24"/>
        </w:rPr>
        <w:t xml:space="preserve">At that time, </w:t>
      </w:r>
      <w:r>
        <w:rPr>
          <w:rFonts w:cs="Times New Roman"/>
          <w:color w:val="000000"/>
          <w:szCs w:val="24"/>
        </w:rPr>
        <w:t>respondent</w:t>
      </w:r>
      <w:r w:rsidRPr="00511A32">
        <w:rPr>
          <w:rFonts w:cs="Times New Roman"/>
          <w:color w:val="000000"/>
          <w:szCs w:val="24"/>
        </w:rPr>
        <w:t xml:space="preserve"> requested that Bakker Ventures give him a priority position relative to the other investors, including the Macy Trust.</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During the years 2003 and 2004, the beneficiaries made repeated requests to </w:t>
      </w:r>
      <w:r>
        <w:rPr>
          <w:rFonts w:cs="Times New Roman"/>
          <w:color w:val="000000"/>
          <w:szCs w:val="24"/>
        </w:rPr>
        <w:t>respondent</w:t>
      </w:r>
      <w:r w:rsidRPr="00511A32">
        <w:rPr>
          <w:rFonts w:cs="Times New Roman"/>
          <w:color w:val="000000"/>
          <w:szCs w:val="24"/>
        </w:rPr>
        <w:t xml:space="preserve"> to obtain an accounting and copies of cancelled checks to verify the legitimacy of </w:t>
      </w:r>
      <w:r>
        <w:rPr>
          <w:rFonts w:cs="Times New Roman"/>
          <w:color w:val="000000"/>
          <w:szCs w:val="24"/>
        </w:rPr>
        <w:t>respondent’</w:t>
      </w:r>
      <w:r w:rsidRPr="00511A32">
        <w:rPr>
          <w:rFonts w:cs="Times New Roman"/>
          <w:color w:val="000000"/>
          <w:szCs w:val="24"/>
        </w:rPr>
        <w:t>s disbursements and to confirm the status of the Macy Trust and Partnership accounts</w:t>
      </w:r>
      <w:r>
        <w:rPr>
          <w:rFonts w:cs="Times New Roman"/>
          <w:color w:val="000000"/>
          <w:szCs w:val="24"/>
        </w:rPr>
        <w:t>.  Respondent</w:t>
      </w:r>
      <w:r w:rsidRPr="00511A32">
        <w:rPr>
          <w:rFonts w:cs="Times New Roman"/>
          <w:color w:val="000000"/>
          <w:szCs w:val="24"/>
        </w:rPr>
        <w:t xml:space="preserve"> refused to provide the requested documentation, thereby forcing the beneficiaries to obtain the banking records through other means.</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On or about February 5, 2003, counsel for beneficiaries Marilyn and Dennis mailed a letter to </w:t>
      </w:r>
      <w:r>
        <w:rPr>
          <w:rFonts w:cs="Times New Roman"/>
          <w:color w:val="000000"/>
          <w:szCs w:val="24"/>
        </w:rPr>
        <w:t>respondent</w:t>
      </w:r>
      <w:r w:rsidRPr="00511A32">
        <w:rPr>
          <w:rFonts w:cs="Times New Roman"/>
          <w:color w:val="000000"/>
          <w:szCs w:val="24"/>
        </w:rPr>
        <w:t xml:space="preserve"> and requested, among other things, that </w:t>
      </w:r>
      <w:r>
        <w:rPr>
          <w:rFonts w:cs="Times New Roman"/>
          <w:color w:val="000000"/>
          <w:szCs w:val="24"/>
        </w:rPr>
        <w:t>respondent</w:t>
      </w:r>
      <w:r w:rsidRPr="00511A32">
        <w:rPr>
          <w:rFonts w:cs="Times New Roman"/>
          <w:color w:val="000000"/>
          <w:szCs w:val="24"/>
        </w:rPr>
        <w:t xml:space="preserve"> provide certain recent bank statements</w:t>
      </w:r>
      <w:r>
        <w:rPr>
          <w:rFonts w:cs="Times New Roman"/>
          <w:color w:val="000000"/>
          <w:szCs w:val="24"/>
        </w:rPr>
        <w:t xml:space="preserve">.  </w:t>
      </w:r>
      <w:r w:rsidRPr="00511A32">
        <w:rPr>
          <w:rFonts w:cs="Times New Roman"/>
          <w:color w:val="000000"/>
          <w:szCs w:val="24"/>
        </w:rPr>
        <w:t xml:space="preserve">Again, on or about June 20, 2003, the same counsel mailed a letter to </w:t>
      </w:r>
      <w:r>
        <w:rPr>
          <w:rFonts w:cs="Times New Roman"/>
          <w:color w:val="000000"/>
          <w:szCs w:val="24"/>
        </w:rPr>
        <w:t>respondent</w:t>
      </w:r>
      <w:r w:rsidRPr="00511A32">
        <w:rPr>
          <w:rFonts w:cs="Times New Roman"/>
          <w:color w:val="000000"/>
          <w:szCs w:val="24"/>
        </w:rPr>
        <w:t xml:space="preserve"> requesting bank statements for April and May 2003</w:t>
      </w:r>
      <w:r w:rsidR="00FC12D2">
        <w:rPr>
          <w:rFonts w:cs="Times New Roman"/>
          <w:color w:val="000000"/>
          <w:szCs w:val="24"/>
        </w:rPr>
        <w:t>,</w:t>
      </w:r>
      <w:r w:rsidRPr="00511A32">
        <w:rPr>
          <w:rFonts w:cs="Times New Roman"/>
          <w:color w:val="000000"/>
          <w:szCs w:val="24"/>
        </w:rPr>
        <w:t xml:space="preserve"> for both the Macy Trust and Partnership accounts and the most current </w:t>
      </w:r>
      <w:proofErr w:type="spellStart"/>
      <w:r w:rsidRPr="00511A32">
        <w:rPr>
          <w:rFonts w:cs="Times New Roman"/>
          <w:color w:val="000000"/>
          <w:szCs w:val="24"/>
        </w:rPr>
        <w:t>Saloman</w:t>
      </w:r>
      <w:proofErr w:type="spellEnd"/>
      <w:r w:rsidRPr="00511A32">
        <w:rPr>
          <w:rFonts w:cs="Times New Roman"/>
          <w:color w:val="000000"/>
          <w:szCs w:val="24"/>
        </w:rPr>
        <w:t xml:space="preserve"> Smith Barney account statement</w:t>
      </w:r>
      <w:r>
        <w:rPr>
          <w:rFonts w:cs="Times New Roman"/>
          <w:color w:val="000000"/>
          <w:szCs w:val="24"/>
        </w:rPr>
        <w:t>.  Respondent</w:t>
      </w:r>
      <w:r w:rsidRPr="00511A32">
        <w:rPr>
          <w:rFonts w:cs="Times New Roman"/>
          <w:color w:val="000000"/>
          <w:szCs w:val="24"/>
        </w:rPr>
        <w:t xml:space="preserve"> received the letters but did not provide the requested documents.</w:t>
      </w:r>
    </w:p>
    <w:p w:rsidR="00751A0E" w:rsidRDefault="00751A0E" w:rsidP="00751A0E">
      <w:pPr>
        <w:spacing w:line="480" w:lineRule="auto"/>
        <w:ind w:firstLine="720"/>
        <w:rPr>
          <w:rFonts w:cs="Times New Roman"/>
          <w:szCs w:val="24"/>
        </w:rPr>
      </w:pPr>
      <w:r w:rsidRPr="00511A32">
        <w:rPr>
          <w:rFonts w:cs="Times New Roman"/>
          <w:color w:val="000000"/>
          <w:szCs w:val="24"/>
        </w:rPr>
        <w:t>On or about November 21, 2003, counsel for Marilyn and Dennis again requested bank statements and copies of cancelled checks regarding the Macy Trust</w:t>
      </w:r>
      <w:r>
        <w:rPr>
          <w:rFonts w:cs="Times New Roman"/>
          <w:color w:val="000000"/>
          <w:szCs w:val="24"/>
        </w:rPr>
        <w:t>.  Respondent</w:t>
      </w:r>
      <w:r w:rsidRPr="00511A32">
        <w:rPr>
          <w:rFonts w:cs="Times New Roman"/>
          <w:color w:val="000000"/>
          <w:szCs w:val="24"/>
        </w:rPr>
        <w:t xml:space="preserve"> did not provide the requested information.</w:t>
      </w:r>
    </w:p>
    <w:p w:rsidR="00751A0E" w:rsidRDefault="00751A0E" w:rsidP="00751A0E">
      <w:pPr>
        <w:spacing w:line="480" w:lineRule="auto"/>
        <w:ind w:firstLine="720"/>
        <w:rPr>
          <w:rFonts w:cs="Times New Roman"/>
          <w:szCs w:val="24"/>
        </w:rPr>
      </w:pPr>
      <w:r>
        <w:rPr>
          <w:rFonts w:cs="Times New Roman"/>
          <w:color w:val="000000"/>
          <w:szCs w:val="24"/>
        </w:rPr>
        <w:t xml:space="preserve">On or about February </w:t>
      </w:r>
      <w:r w:rsidRPr="00511A32">
        <w:rPr>
          <w:rFonts w:cs="Times New Roman"/>
          <w:color w:val="000000"/>
          <w:szCs w:val="24"/>
        </w:rPr>
        <w:t xml:space="preserve">16, 2004, counsel for Marilyn and Dennis mailed a letter to </w:t>
      </w:r>
      <w:r>
        <w:rPr>
          <w:rFonts w:cs="Times New Roman"/>
          <w:color w:val="000000"/>
          <w:szCs w:val="24"/>
        </w:rPr>
        <w:t>respondent</w:t>
      </w:r>
      <w:r w:rsidRPr="00511A32">
        <w:rPr>
          <w:rFonts w:cs="Times New Roman"/>
          <w:color w:val="000000"/>
          <w:szCs w:val="24"/>
        </w:rPr>
        <w:t xml:space="preserve"> demanding the requested </w:t>
      </w:r>
      <w:r w:rsidR="00507662">
        <w:rPr>
          <w:rFonts w:cs="Times New Roman"/>
          <w:color w:val="000000"/>
          <w:szCs w:val="24"/>
        </w:rPr>
        <w:t>banking information and informing</w:t>
      </w:r>
      <w:r w:rsidRPr="00511A32">
        <w:rPr>
          <w:rFonts w:cs="Times New Roman"/>
          <w:color w:val="000000"/>
          <w:szCs w:val="24"/>
        </w:rPr>
        <w:t xml:space="preserve"> </w:t>
      </w:r>
      <w:r>
        <w:rPr>
          <w:rFonts w:cs="Times New Roman"/>
          <w:color w:val="000000"/>
          <w:szCs w:val="24"/>
        </w:rPr>
        <w:t>respondent</w:t>
      </w:r>
      <w:r w:rsidRPr="00511A32">
        <w:rPr>
          <w:rFonts w:cs="Times New Roman"/>
          <w:color w:val="000000"/>
          <w:szCs w:val="24"/>
        </w:rPr>
        <w:t xml:space="preserve"> of his</w:t>
      </w:r>
      <w:r>
        <w:rPr>
          <w:rFonts w:cs="Times New Roman"/>
          <w:szCs w:val="24"/>
        </w:rPr>
        <w:t xml:space="preserve"> </w:t>
      </w:r>
      <w:r w:rsidRPr="00511A32">
        <w:rPr>
          <w:rFonts w:cs="Times New Roman"/>
          <w:color w:val="000000"/>
          <w:szCs w:val="24"/>
        </w:rPr>
        <w:t xml:space="preserve">intention to file a petition to remove </w:t>
      </w:r>
      <w:r w:rsidR="00507662">
        <w:rPr>
          <w:rFonts w:cs="Times New Roman"/>
          <w:color w:val="000000"/>
          <w:szCs w:val="24"/>
        </w:rPr>
        <w:t>respondent</w:t>
      </w:r>
      <w:r w:rsidRPr="00511A32">
        <w:rPr>
          <w:rFonts w:cs="Times New Roman"/>
          <w:color w:val="000000"/>
          <w:szCs w:val="24"/>
        </w:rPr>
        <w:t xml:space="preserve"> as trustee if the information was not provided</w:t>
      </w:r>
      <w:r>
        <w:rPr>
          <w:rFonts w:cs="Times New Roman"/>
          <w:color w:val="000000"/>
          <w:szCs w:val="24"/>
        </w:rPr>
        <w:t>.  Respondent</w:t>
      </w:r>
      <w:r w:rsidRPr="00511A32">
        <w:rPr>
          <w:rFonts w:cs="Times New Roman"/>
          <w:color w:val="000000"/>
          <w:szCs w:val="24"/>
        </w:rPr>
        <w:t xml:space="preserve"> received the letter but did not provide the requested information.</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On or about May 6, 2004, the beneficiaries filed a petition in the San Diego County Superior Court entitled </w:t>
      </w:r>
      <w:r w:rsidRPr="00414A26">
        <w:rPr>
          <w:rFonts w:cs="Times New Roman"/>
          <w:i/>
          <w:color w:val="000000"/>
          <w:szCs w:val="24"/>
        </w:rPr>
        <w:t>In re: The Matter of: Trust Created October 5, 1989, as Amended by Restatement Dated September 15, 1999 by Richard D. Macy and Virginia R. Macy Deceased</w:t>
      </w:r>
      <w:r w:rsidRPr="00511A32">
        <w:rPr>
          <w:rFonts w:cs="Times New Roman"/>
          <w:color w:val="000000"/>
          <w:szCs w:val="24"/>
        </w:rPr>
        <w:t xml:space="preserve">, </w:t>
      </w:r>
      <w:r w:rsidR="00177FA9">
        <w:rPr>
          <w:rFonts w:cs="Times New Roman"/>
          <w:color w:val="000000"/>
          <w:szCs w:val="24"/>
        </w:rPr>
        <w:t>C</w:t>
      </w:r>
      <w:r w:rsidRPr="00511A32">
        <w:rPr>
          <w:rFonts w:cs="Times New Roman"/>
          <w:color w:val="000000"/>
          <w:szCs w:val="24"/>
        </w:rPr>
        <w:t xml:space="preserve">ase </w:t>
      </w:r>
      <w:r w:rsidR="00177FA9">
        <w:rPr>
          <w:rFonts w:cs="Times New Roman"/>
          <w:color w:val="000000"/>
          <w:szCs w:val="24"/>
        </w:rPr>
        <w:t>N</w:t>
      </w:r>
      <w:r w:rsidRPr="00511A32">
        <w:rPr>
          <w:rFonts w:cs="Times New Roman"/>
          <w:color w:val="000000"/>
          <w:szCs w:val="24"/>
        </w:rPr>
        <w:t>o</w:t>
      </w:r>
      <w:r>
        <w:rPr>
          <w:rFonts w:cs="Times New Roman"/>
          <w:color w:val="000000"/>
          <w:szCs w:val="24"/>
        </w:rPr>
        <w:t xml:space="preserve">. </w:t>
      </w:r>
      <w:proofErr w:type="spellStart"/>
      <w:r w:rsidRPr="00511A32">
        <w:rPr>
          <w:rFonts w:cs="Times New Roman"/>
          <w:color w:val="000000"/>
          <w:szCs w:val="24"/>
        </w:rPr>
        <w:t>P186615</w:t>
      </w:r>
      <w:proofErr w:type="spellEnd"/>
      <w:r w:rsidRPr="00511A32">
        <w:rPr>
          <w:rFonts w:cs="Times New Roman"/>
          <w:color w:val="000000"/>
          <w:szCs w:val="24"/>
        </w:rPr>
        <w:t xml:space="preserve">, seeking to remove </w:t>
      </w:r>
      <w:r>
        <w:rPr>
          <w:rFonts w:cs="Times New Roman"/>
          <w:color w:val="000000"/>
          <w:szCs w:val="24"/>
        </w:rPr>
        <w:t>respondent</w:t>
      </w:r>
      <w:r w:rsidRPr="00511A32">
        <w:rPr>
          <w:rFonts w:cs="Times New Roman"/>
          <w:color w:val="000000"/>
          <w:szCs w:val="24"/>
        </w:rPr>
        <w:t xml:space="preserve"> as trustee and to appoint a successor trustee</w:t>
      </w:r>
      <w:r w:rsidR="00557043">
        <w:rPr>
          <w:rFonts w:cs="Times New Roman"/>
          <w:color w:val="000000"/>
          <w:szCs w:val="24"/>
        </w:rPr>
        <w:t xml:space="preserve"> </w:t>
      </w:r>
      <w:r w:rsidR="00557043" w:rsidRPr="00511A32">
        <w:rPr>
          <w:rFonts w:cs="Times New Roman"/>
          <w:color w:val="000000"/>
          <w:szCs w:val="24"/>
        </w:rPr>
        <w:t>(</w:t>
      </w:r>
      <w:r w:rsidR="00557043">
        <w:rPr>
          <w:rFonts w:cs="Times New Roman"/>
          <w:color w:val="000000"/>
          <w:szCs w:val="24"/>
        </w:rPr>
        <w:t xml:space="preserve">the </w:t>
      </w:r>
      <w:r w:rsidR="00557043" w:rsidRPr="00511A32">
        <w:rPr>
          <w:rFonts w:cs="Times New Roman"/>
          <w:color w:val="000000"/>
          <w:szCs w:val="24"/>
        </w:rPr>
        <w:t>Macy Case)</w:t>
      </w:r>
      <w:r w:rsidRPr="00511A32">
        <w:rPr>
          <w:rFonts w:cs="Times New Roman"/>
          <w:color w:val="000000"/>
          <w:szCs w:val="24"/>
        </w:rPr>
        <w:t>.</w:t>
      </w:r>
    </w:p>
    <w:p w:rsidR="00751A0E" w:rsidRDefault="00751A0E" w:rsidP="00751A0E">
      <w:pPr>
        <w:spacing w:line="480" w:lineRule="auto"/>
        <w:ind w:firstLine="720"/>
        <w:rPr>
          <w:rFonts w:cs="Times New Roman"/>
          <w:szCs w:val="24"/>
        </w:rPr>
      </w:pPr>
      <w:r w:rsidRPr="00511A32">
        <w:rPr>
          <w:rFonts w:cs="Times New Roman"/>
          <w:color w:val="000000"/>
          <w:szCs w:val="24"/>
        </w:rPr>
        <w:t xml:space="preserve">On or about May 26, 2004, the court entered an order in the Macy Case suspending </w:t>
      </w:r>
      <w:r>
        <w:rPr>
          <w:rFonts w:cs="Times New Roman"/>
          <w:color w:val="000000"/>
          <w:szCs w:val="24"/>
        </w:rPr>
        <w:t>respondent’</w:t>
      </w:r>
      <w:r w:rsidRPr="00511A32">
        <w:rPr>
          <w:rFonts w:cs="Times New Roman"/>
          <w:color w:val="000000"/>
          <w:szCs w:val="24"/>
        </w:rPr>
        <w:t>s powers as trustee and appointing Colin Fort</w:t>
      </w:r>
      <w:r w:rsidR="00760915">
        <w:rPr>
          <w:rFonts w:cs="Times New Roman"/>
          <w:color w:val="000000"/>
          <w:szCs w:val="24"/>
        </w:rPr>
        <w:t xml:space="preserve"> (Fort)</w:t>
      </w:r>
      <w:r w:rsidRPr="00511A32">
        <w:rPr>
          <w:rFonts w:cs="Times New Roman"/>
          <w:color w:val="000000"/>
          <w:szCs w:val="24"/>
        </w:rPr>
        <w:t xml:space="preserve"> as temporary successor trustee</w:t>
      </w:r>
      <w:r>
        <w:rPr>
          <w:rFonts w:cs="Times New Roman"/>
          <w:color w:val="000000"/>
          <w:szCs w:val="24"/>
        </w:rPr>
        <w:t xml:space="preserve">.  </w:t>
      </w:r>
      <w:r w:rsidRPr="00511A32">
        <w:rPr>
          <w:rFonts w:cs="Times New Roman"/>
          <w:color w:val="000000"/>
          <w:szCs w:val="24"/>
        </w:rPr>
        <w:t xml:space="preserve">Shortly thereafter, </w:t>
      </w:r>
      <w:r>
        <w:rPr>
          <w:rFonts w:cs="Times New Roman"/>
          <w:color w:val="000000"/>
          <w:szCs w:val="24"/>
        </w:rPr>
        <w:t>respondent</w:t>
      </w:r>
      <w:r w:rsidRPr="00511A32">
        <w:rPr>
          <w:rFonts w:cs="Times New Roman"/>
          <w:color w:val="000000"/>
          <w:szCs w:val="24"/>
        </w:rPr>
        <w:t xml:space="preserve"> resigned as trustee</w:t>
      </w:r>
      <w:r>
        <w:rPr>
          <w:rFonts w:cs="Times New Roman"/>
          <w:color w:val="000000"/>
          <w:szCs w:val="24"/>
        </w:rPr>
        <w:t xml:space="preserve">.  </w:t>
      </w:r>
      <w:r w:rsidRPr="00511A32">
        <w:rPr>
          <w:rFonts w:cs="Times New Roman"/>
          <w:color w:val="000000"/>
          <w:szCs w:val="24"/>
        </w:rPr>
        <w:t>On or about September 17, 2004, the court appointed Fort as permanent trustee.</w:t>
      </w:r>
    </w:p>
    <w:p w:rsidR="00751A0E" w:rsidRDefault="00751A0E" w:rsidP="00751A0E">
      <w:pPr>
        <w:spacing w:line="480" w:lineRule="auto"/>
        <w:ind w:firstLine="720"/>
        <w:rPr>
          <w:rFonts w:cs="Times New Roman"/>
          <w:color w:val="000000"/>
          <w:szCs w:val="24"/>
        </w:rPr>
      </w:pPr>
      <w:r w:rsidRPr="00511A32">
        <w:rPr>
          <w:rFonts w:cs="Times New Roman"/>
          <w:color w:val="000000"/>
          <w:szCs w:val="24"/>
        </w:rPr>
        <w:t xml:space="preserve">On or about June 30, 2006, Marilyn and Dennis filed a petition seeking to recover the misappropriated funds from </w:t>
      </w:r>
      <w:r>
        <w:rPr>
          <w:rFonts w:cs="Times New Roman"/>
          <w:color w:val="000000"/>
          <w:szCs w:val="24"/>
        </w:rPr>
        <w:t>respondent</w:t>
      </w:r>
      <w:r w:rsidRPr="00511A32">
        <w:rPr>
          <w:rFonts w:cs="Times New Roman"/>
          <w:color w:val="000000"/>
          <w:szCs w:val="24"/>
        </w:rPr>
        <w:t xml:space="preserve"> in the Macy Case</w:t>
      </w:r>
      <w:r>
        <w:rPr>
          <w:rFonts w:cs="Times New Roman"/>
          <w:color w:val="000000"/>
          <w:szCs w:val="24"/>
        </w:rPr>
        <w:t xml:space="preserve">.  </w:t>
      </w:r>
      <w:r w:rsidRPr="00511A32">
        <w:rPr>
          <w:rFonts w:cs="Times New Roman"/>
          <w:color w:val="000000"/>
          <w:szCs w:val="24"/>
        </w:rPr>
        <w:t>In or about November 2008, the parties reached a settlement in the Macy Case.</w:t>
      </w:r>
    </w:p>
    <w:p w:rsidR="00B732F6" w:rsidRDefault="00B732F6" w:rsidP="00B732F6">
      <w:pPr>
        <w:spacing w:line="480" w:lineRule="auto"/>
        <w:ind w:firstLine="720"/>
        <w:rPr>
          <w:rFonts w:cs="Times New Roman"/>
          <w:szCs w:val="24"/>
        </w:rPr>
      </w:pPr>
      <w:r w:rsidRPr="002E2887">
        <w:rPr>
          <w:rFonts w:cs="Times New Roman"/>
          <w:color w:val="000000"/>
          <w:szCs w:val="24"/>
        </w:rPr>
        <w:t xml:space="preserve">On or about May 1, 2009, </w:t>
      </w:r>
      <w:r w:rsidRPr="00F4306E">
        <w:rPr>
          <w:rFonts w:cs="Times New Roman"/>
          <w:color w:val="000000"/>
          <w:szCs w:val="24"/>
        </w:rPr>
        <w:t xml:space="preserve">Dennis made a complaint to the State Bar </w:t>
      </w:r>
      <w:r w:rsidRPr="002E2887">
        <w:rPr>
          <w:rFonts w:cs="Times New Roman"/>
          <w:color w:val="000000"/>
          <w:szCs w:val="24"/>
        </w:rPr>
        <w:t>alleging that respondent committed professional misconduct in the handling of his fiduciary duties as trustee of the Macy Family Trust and as general partner of Macy Investments, L.P</w:t>
      </w:r>
      <w:r>
        <w:rPr>
          <w:rFonts w:cs="Times New Roman"/>
          <w:color w:val="000000"/>
          <w:szCs w:val="24"/>
        </w:rPr>
        <w:t>.</w:t>
      </w:r>
      <w:r w:rsidRPr="002E2887">
        <w:rPr>
          <w:rFonts w:cs="Times New Roman"/>
          <w:color w:val="000000"/>
          <w:szCs w:val="24"/>
        </w:rPr>
        <w:t xml:space="preserve"> (the Dennis Macy complaint).</w:t>
      </w:r>
    </w:p>
    <w:p w:rsidR="00B732F6" w:rsidRDefault="00B732F6" w:rsidP="00B732F6">
      <w:pPr>
        <w:spacing w:line="480" w:lineRule="auto"/>
        <w:ind w:firstLine="720"/>
        <w:rPr>
          <w:rFonts w:cs="Times New Roman"/>
          <w:szCs w:val="24"/>
        </w:rPr>
      </w:pPr>
      <w:r w:rsidRPr="00511A32">
        <w:rPr>
          <w:rFonts w:cs="Times New Roman"/>
          <w:color w:val="000000"/>
          <w:szCs w:val="24"/>
        </w:rPr>
        <w:t xml:space="preserve">On or about May 15, 2009, </w:t>
      </w:r>
      <w:r>
        <w:rPr>
          <w:rFonts w:cs="Times New Roman"/>
          <w:color w:val="000000"/>
          <w:szCs w:val="24"/>
        </w:rPr>
        <w:t>a State Bar i</w:t>
      </w:r>
      <w:r w:rsidRPr="00511A32">
        <w:rPr>
          <w:rFonts w:cs="Times New Roman"/>
          <w:color w:val="000000"/>
          <w:szCs w:val="24"/>
        </w:rPr>
        <w:t xml:space="preserve">nvestigator mailed a letter to </w:t>
      </w:r>
      <w:r w:rsidR="008A0430">
        <w:rPr>
          <w:rFonts w:cs="Times New Roman"/>
          <w:color w:val="000000"/>
          <w:szCs w:val="24"/>
        </w:rPr>
        <w:t xml:space="preserve">respondent’s counsel, </w:t>
      </w:r>
      <w:proofErr w:type="spellStart"/>
      <w:r w:rsidR="008A0430">
        <w:rPr>
          <w:rFonts w:cs="Times New Roman"/>
          <w:color w:val="000000"/>
          <w:szCs w:val="24"/>
        </w:rPr>
        <w:t>Giacinti</w:t>
      </w:r>
      <w:proofErr w:type="spellEnd"/>
      <w:r w:rsidR="008A0430">
        <w:rPr>
          <w:rFonts w:cs="Times New Roman"/>
          <w:color w:val="000000"/>
          <w:szCs w:val="24"/>
        </w:rPr>
        <w:t xml:space="preserve">, </w:t>
      </w:r>
      <w:r w:rsidRPr="00511A32">
        <w:rPr>
          <w:rFonts w:cs="Times New Roman"/>
          <w:color w:val="000000"/>
          <w:szCs w:val="24"/>
        </w:rPr>
        <w:t>requesting a response to the Dennis Macy complaint</w:t>
      </w:r>
      <w:r>
        <w:rPr>
          <w:rFonts w:cs="Times New Roman"/>
          <w:color w:val="000000"/>
          <w:szCs w:val="24"/>
        </w:rPr>
        <w:t xml:space="preserve">.  </w:t>
      </w:r>
      <w:r w:rsidRPr="00511A32">
        <w:rPr>
          <w:rFonts w:cs="Times New Roman"/>
          <w:color w:val="000000"/>
          <w:szCs w:val="24"/>
        </w:rPr>
        <w:t xml:space="preserve">On or about May 21, 2009, </w:t>
      </w:r>
      <w:r>
        <w:rPr>
          <w:rFonts w:cs="Times New Roman"/>
          <w:color w:val="000000"/>
          <w:szCs w:val="24"/>
        </w:rPr>
        <w:t>respondent’</w:t>
      </w:r>
      <w:r w:rsidRPr="00511A32">
        <w:rPr>
          <w:rFonts w:cs="Times New Roman"/>
          <w:color w:val="000000"/>
          <w:szCs w:val="24"/>
        </w:rPr>
        <w:t xml:space="preserve">s counsel informed the State Bar that he would forward the May 15, 2009, letter to </w:t>
      </w:r>
      <w:r>
        <w:rPr>
          <w:rFonts w:cs="Times New Roman"/>
          <w:color w:val="000000"/>
          <w:szCs w:val="24"/>
        </w:rPr>
        <w:t>respondent</w:t>
      </w:r>
      <w:r w:rsidRPr="00511A32">
        <w:rPr>
          <w:rFonts w:cs="Times New Roman"/>
          <w:color w:val="000000"/>
          <w:szCs w:val="24"/>
        </w:rPr>
        <w:t xml:space="preserve"> and further requested that the State Bar send the letter to </w:t>
      </w:r>
      <w:r>
        <w:rPr>
          <w:rFonts w:cs="Times New Roman"/>
          <w:color w:val="000000"/>
          <w:szCs w:val="24"/>
        </w:rPr>
        <w:t>respondent</w:t>
      </w:r>
      <w:r w:rsidRPr="00511A32">
        <w:rPr>
          <w:rFonts w:cs="Times New Roman"/>
          <w:color w:val="000000"/>
          <w:szCs w:val="24"/>
        </w:rPr>
        <w:t xml:space="preserve"> directly.</w:t>
      </w:r>
    </w:p>
    <w:p w:rsidR="00B732F6" w:rsidRDefault="00B732F6" w:rsidP="00B732F6">
      <w:pPr>
        <w:spacing w:line="480" w:lineRule="auto"/>
        <w:ind w:firstLine="720"/>
        <w:rPr>
          <w:rFonts w:cs="Times New Roman"/>
          <w:szCs w:val="24"/>
        </w:rPr>
      </w:pPr>
      <w:r w:rsidRPr="00511A32">
        <w:rPr>
          <w:rFonts w:cs="Times New Roman"/>
          <w:color w:val="000000"/>
          <w:szCs w:val="24"/>
        </w:rPr>
        <w:t xml:space="preserve">On or about May 22, 2009, the State Bar </w:t>
      </w:r>
      <w:r>
        <w:rPr>
          <w:rFonts w:cs="Times New Roman"/>
          <w:color w:val="000000"/>
          <w:szCs w:val="24"/>
        </w:rPr>
        <w:t>i</w:t>
      </w:r>
      <w:r w:rsidRPr="00511A32">
        <w:rPr>
          <w:rFonts w:cs="Times New Roman"/>
          <w:color w:val="000000"/>
          <w:szCs w:val="24"/>
        </w:rPr>
        <w:t xml:space="preserve">nvestigator mailed a letter to </w:t>
      </w:r>
      <w:r>
        <w:rPr>
          <w:rFonts w:cs="Times New Roman"/>
          <w:color w:val="000000"/>
          <w:szCs w:val="24"/>
        </w:rPr>
        <w:t>respondent</w:t>
      </w:r>
      <w:r w:rsidRPr="00511A32">
        <w:rPr>
          <w:rFonts w:cs="Times New Roman"/>
          <w:color w:val="000000"/>
          <w:szCs w:val="24"/>
        </w:rPr>
        <w:t xml:space="preserve"> at his member records address concerning the Dennis Macy complaint and requesting that </w:t>
      </w:r>
      <w:r>
        <w:rPr>
          <w:rFonts w:cs="Times New Roman"/>
          <w:color w:val="000000"/>
          <w:szCs w:val="24"/>
        </w:rPr>
        <w:t>respondent</w:t>
      </w:r>
      <w:r w:rsidRPr="00511A32">
        <w:rPr>
          <w:rFonts w:cs="Times New Roman"/>
          <w:color w:val="000000"/>
          <w:szCs w:val="24"/>
        </w:rPr>
        <w:t xml:space="preserve"> cooperate and participate in the investigation by providing a written response to the allegations under investigation</w:t>
      </w:r>
      <w:r>
        <w:rPr>
          <w:rFonts w:cs="Times New Roman"/>
          <w:color w:val="000000"/>
          <w:szCs w:val="24"/>
        </w:rPr>
        <w:t xml:space="preserve">.  </w:t>
      </w:r>
      <w:r w:rsidRPr="00511A32">
        <w:rPr>
          <w:rFonts w:cs="Times New Roman"/>
          <w:color w:val="000000"/>
          <w:szCs w:val="24"/>
        </w:rPr>
        <w:t xml:space="preserve">The letter also requested that </w:t>
      </w:r>
      <w:r>
        <w:rPr>
          <w:rFonts w:cs="Times New Roman"/>
          <w:color w:val="000000"/>
          <w:szCs w:val="24"/>
        </w:rPr>
        <w:t>respondent</w:t>
      </w:r>
      <w:r w:rsidRPr="00511A32">
        <w:rPr>
          <w:rFonts w:cs="Times New Roman"/>
          <w:color w:val="000000"/>
          <w:szCs w:val="24"/>
        </w:rPr>
        <w:t xml:space="preserve"> provide copies of any and all accountings he prepared as trustee for the Macy Family Trust and proof of all payments he made to reimburse the Macy Family Trust</w:t>
      </w:r>
      <w:r>
        <w:rPr>
          <w:rFonts w:cs="Times New Roman"/>
          <w:color w:val="000000"/>
          <w:szCs w:val="24"/>
        </w:rPr>
        <w:t>.  Respondent</w:t>
      </w:r>
      <w:r w:rsidRPr="00511A32">
        <w:rPr>
          <w:rFonts w:cs="Times New Roman"/>
          <w:color w:val="000000"/>
          <w:szCs w:val="24"/>
        </w:rPr>
        <w:t xml:space="preserve"> received the letter</w:t>
      </w:r>
      <w:r>
        <w:rPr>
          <w:rFonts w:cs="Times New Roman"/>
          <w:color w:val="000000"/>
          <w:szCs w:val="24"/>
        </w:rPr>
        <w:t>.  Respondent</w:t>
      </w:r>
      <w:r w:rsidRPr="00511A32">
        <w:rPr>
          <w:rFonts w:cs="Times New Roman"/>
          <w:color w:val="000000"/>
          <w:szCs w:val="24"/>
        </w:rPr>
        <w:t xml:space="preserve"> did not provide a written response to the letter or otherwise cooperate with the State Bar</w:t>
      </w:r>
      <w:r>
        <w:rPr>
          <w:rFonts w:cs="Times New Roman"/>
          <w:color w:val="000000"/>
          <w:szCs w:val="24"/>
        </w:rPr>
        <w:t>’</w:t>
      </w:r>
      <w:r w:rsidRPr="00511A32">
        <w:rPr>
          <w:rFonts w:cs="Times New Roman"/>
          <w:color w:val="000000"/>
          <w:szCs w:val="24"/>
        </w:rPr>
        <w:t>s investigation.</w:t>
      </w:r>
    </w:p>
    <w:p w:rsidR="00B732F6" w:rsidRDefault="00B732F6" w:rsidP="00751A0E">
      <w:pPr>
        <w:spacing w:line="480" w:lineRule="auto"/>
        <w:ind w:firstLine="720"/>
        <w:rPr>
          <w:rFonts w:cs="Times New Roman"/>
          <w:szCs w:val="24"/>
        </w:rPr>
      </w:pPr>
      <w:r w:rsidRPr="00511A32">
        <w:rPr>
          <w:rFonts w:cs="Times New Roman"/>
          <w:color w:val="000000"/>
          <w:szCs w:val="24"/>
        </w:rPr>
        <w:t>On or abou</w:t>
      </w:r>
      <w:r>
        <w:rPr>
          <w:rFonts w:cs="Times New Roman"/>
          <w:color w:val="000000"/>
          <w:szCs w:val="24"/>
        </w:rPr>
        <w:t>t June 16, 2009, the State Bar i</w:t>
      </w:r>
      <w:r w:rsidRPr="00511A32">
        <w:rPr>
          <w:rFonts w:cs="Times New Roman"/>
          <w:color w:val="000000"/>
          <w:szCs w:val="24"/>
        </w:rPr>
        <w:t>n</w:t>
      </w:r>
      <w:r w:rsidR="00F900E2">
        <w:rPr>
          <w:rFonts w:cs="Times New Roman"/>
          <w:color w:val="000000"/>
          <w:szCs w:val="24"/>
        </w:rPr>
        <w:t xml:space="preserve">vestigator mailed a letter to </w:t>
      </w:r>
      <w:proofErr w:type="spellStart"/>
      <w:r w:rsidRPr="00511A32">
        <w:rPr>
          <w:rFonts w:cs="Times New Roman"/>
          <w:color w:val="000000"/>
          <w:szCs w:val="24"/>
        </w:rPr>
        <w:t>Giacinti</w:t>
      </w:r>
      <w:proofErr w:type="spellEnd"/>
      <w:r w:rsidRPr="00511A32">
        <w:rPr>
          <w:rFonts w:cs="Times New Roman"/>
          <w:color w:val="000000"/>
          <w:szCs w:val="24"/>
        </w:rPr>
        <w:t xml:space="preserve">, with a copy to </w:t>
      </w:r>
      <w:r>
        <w:rPr>
          <w:rFonts w:cs="Times New Roman"/>
          <w:color w:val="000000"/>
          <w:szCs w:val="24"/>
        </w:rPr>
        <w:t>respondent</w:t>
      </w:r>
      <w:r w:rsidRPr="00511A32">
        <w:rPr>
          <w:rFonts w:cs="Times New Roman"/>
          <w:color w:val="000000"/>
          <w:szCs w:val="24"/>
        </w:rPr>
        <w:t xml:space="preserve"> at his member records address, reminding them that the State Bar had not received a response to</w:t>
      </w:r>
      <w:r w:rsidR="001C4C73">
        <w:rPr>
          <w:rFonts w:cs="Times New Roman"/>
          <w:color w:val="000000"/>
          <w:szCs w:val="24"/>
        </w:rPr>
        <w:t xml:space="preserve"> the</w:t>
      </w:r>
      <w:r w:rsidRPr="00511A32">
        <w:rPr>
          <w:rFonts w:cs="Times New Roman"/>
          <w:color w:val="000000"/>
          <w:szCs w:val="24"/>
        </w:rPr>
        <w:t xml:space="preserve"> Dennis Macy complaint</w:t>
      </w:r>
      <w:r>
        <w:rPr>
          <w:rFonts w:cs="Times New Roman"/>
          <w:color w:val="000000"/>
          <w:szCs w:val="24"/>
        </w:rPr>
        <w:t>.  Respondent</w:t>
      </w:r>
      <w:r w:rsidRPr="00511A32">
        <w:rPr>
          <w:rFonts w:cs="Times New Roman"/>
          <w:color w:val="000000"/>
          <w:szCs w:val="24"/>
        </w:rPr>
        <w:t xml:space="preserve"> received the letter</w:t>
      </w:r>
      <w:r>
        <w:rPr>
          <w:rFonts w:cs="Times New Roman"/>
          <w:color w:val="000000"/>
          <w:szCs w:val="24"/>
        </w:rPr>
        <w:t>.  Respondent</w:t>
      </w:r>
      <w:r w:rsidRPr="00511A32">
        <w:rPr>
          <w:rFonts w:cs="Times New Roman"/>
          <w:color w:val="000000"/>
          <w:szCs w:val="24"/>
        </w:rPr>
        <w:t xml:space="preserve"> did not provide a response to the Dennis Macy complaint or otherwise cooperate in the State Bar</w:t>
      </w:r>
      <w:r>
        <w:rPr>
          <w:rFonts w:cs="Times New Roman"/>
          <w:color w:val="000000"/>
          <w:szCs w:val="24"/>
        </w:rPr>
        <w:t>’</w:t>
      </w:r>
      <w:r w:rsidRPr="00511A32">
        <w:rPr>
          <w:rFonts w:cs="Times New Roman"/>
          <w:color w:val="000000"/>
          <w:szCs w:val="24"/>
        </w:rPr>
        <w:t>s investigation.</w:t>
      </w:r>
    </w:p>
    <w:p w:rsidR="00A14074" w:rsidRDefault="00A14074" w:rsidP="00640AAA">
      <w:pPr>
        <w:tabs>
          <w:tab w:val="left" w:pos="540"/>
        </w:tabs>
        <w:spacing w:line="480" w:lineRule="auto"/>
        <w:ind w:firstLine="720"/>
        <w:rPr>
          <w:b/>
        </w:rPr>
      </w:pPr>
      <w:r>
        <w:rPr>
          <w:b/>
        </w:rPr>
        <w:t xml:space="preserve">Conclusions of Law </w:t>
      </w:r>
    </w:p>
    <w:p w:rsidR="003C3AC9" w:rsidRPr="003C3AC9" w:rsidRDefault="00A14074" w:rsidP="00A14074">
      <w:pPr>
        <w:pStyle w:val="ListParagraph"/>
        <w:numPr>
          <w:ilvl w:val="0"/>
          <w:numId w:val="2"/>
        </w:numPr>
        <w:tabs>
          <w:tab w:val="left" w:pos="540"/>
        </w:tabs>
      </w:pPr>
      <w:r w:rsidRPr="00295321">
        <w:rPr>
          <w:b/>
          <w:i/>
        </w:rPr>
        <w:t>Count One – (</w:t>
      </w:r>
      <w:r w:rsidR="003C3AC9" w:rsidRPr="00295321">
        <w:rPr>
          <w:b/>
          <w:i/>
        </w:rPr>
        <w:t xml:space="preserve">Bus. &amp; Prof. Code, § </w:t>
      </w:r>
      <w:r w:rsidR="00B323F8">
        <w:rPr>
          <w:b/>
          <w:i/>
        </w:rPr>
        <w:t>6106</w:t>
      </w:r>
      <w:r w:rsidR="003C3AC9" w:rsidRPr="006473A9">
        <w:rPr>
          <w:rStyle w:val="FootnoteReference"/>
        </w:rPr>
        <w:footnoteReference w:id="5"/>
      </w:r>
      <w:r w:rsidR="003C3AC9">
        <w:rPr>
          <w:b/>
          <w:i/>
        </w:rPr>
        <w:t xml:space="preserve"> [</w:t>
      </w:r>
      <w:r w:rsidR="00B323F8">
        <w:rPr>
          <w:b/>
          <w:i/>
        </w:rPr>
        <w:t>Moral Turpitude–Misappropriation</w:t>
      </w:r>
      <w:r w:rsidR="003C3AC9">
        <w:rPr>
          <w:b/>
          <w:i/>
        </w:rPr>
        <w:t>])</w:t>
      </w:r>
    </w:p>
    <w:p w:rsidR="003C3AC9" w:rsidRPr="003C3AC9" w:rsidRDefault="003C3AC9" w:rsidP="003C3AC9">
      <w:pPr>
        <w:pStyle w:val="ListParagraph"/>
        <w:tabs>
          <w:tab w:val="left" w:pos="540"/>
        </w:tabs>
        <w:ind w:left="1065"/>
      </w:pPr>
    </w:p>
    <w:p w:rsidR="003C3AC9" w:rsidRPr="003C3AC9" w:rsidRDefault="00ED6DD1" w:rsidP="00226685">
      <w:pPr>
        <w:pStyle w:val="ListParagraph"/>
        <w:tabs>
          <w:tab w:val="left" w:pos="540"/>
        </w:tabs>
        <w:spacing w:line="480" w:lineRule="auto"/>
        <w:ind w:left="0" w:firstLine="720"/>
      </w:pPr>
      <w:r>
        <w:t xml:space="preserve">Section 6106 prohibits an attorney from engaging in conduct involving moral turpitude, dishonesty or corruption.  </w:t>
      </w:r>
      <w:r w:rsidR="00226685" w:rsidRPr="00226685">
        <w:rPr>
          <w:rFonts w:cs="Times New Roman"/>
          <w:color w:val="000000"/>
          <w:szCs w:val="24"/>
        </w:rPr>
        <w:t>By misappropriating funds from the Macy Trust and the Partnership for his own use and benefit in breach of his fiduciary duties as Trustee of the Macy Trust, respondent committed acts involving moral turpitude, dishonesty or corruption</w:t>
      </w:r>
      <w:r w:rsidR="00A165CD">
        <w:rPr>
          <w:rFonts w:cs="Times New Roman"/>
          <w:color w:val="000000"/>
          <w:szCs w:val="24"/>
        </w:rPr>
        <w:t>, in willful violation of section 6106</w:t>
      </w:r>
      <w:r w:rsidR="00226685" w:rsidRPr="00226685">
        <w:rPr>
          <w:rFonts w:cs="Times New Roman"/>
          <w:color w:val="000000"/>
          <w:szCs w:val="24"/>
        </w:rPr>
        <w:t>.</w:t>
      </w:r>
    </w:p>
    <w:p w:rsidR="00A14074" w:rsidRPr="00515FF8" w:rsidRDefault="00EE0A02" w:rsidP="00EE0A02">
      <w:pPr>
        <w:pStyle w:val="ListParagraph"/>
        <w:numPr>
          <w:ilvl w:val="0"/>
          <w:numId w:val="2"/>
        </w:numPr>
        <w:tabs>
          <w:tab w:val="left" w:pos="540"/>
        </w:tabs>
        <w:spacing w:line="480" w:lineRule="auto"/>
      </w:pPr>
      <w:r w:rsidRPr="00ED3BA4">
        <w:rPr>
          <w:b/>
          <w:i/>
        </w:rPr>
        <w:t>Count T</w:t>
      </w:r>
      <w:r>
        <w:rPr>
          <w:b/>
          <w:i/>
        </w:rPr>
        <w:t>wo</w:t>
      </w:r>
      <w:r w:rsidRPr="00ED3BA4">
        <w:rPr>
          <w:b/>
          <w:i/>
        </w:rPr>
        <w:t xml:space="preserve"> – (§ 6106</w:t>
      </w:r>
      <w:r>
        <w:rPr>
          <w:b/>
          <w:i/>
        </w:rPr>
        <w:t xml:space="preserve"> [</w:t>
      </w:r>
      <w:r w:rsidRPr="00ED3BA4">
        <w:rPr>
          <w:b/>
          <w:i/>
        </w:rPr>
        <w:t>Moral Turpitude</w:t>
      </w:r>
      <w:r>
        <w:rPr>
          <w:b/>
          <w:i/>
        </w:rPr>
        <w:t>]</w:t>
      </w:r>
      <w:r w:rsidRPr="00ED3BA4">
        <w:rPr>
          <w:b/>
          <w:i/>
        </w:rPr>
        <w:t>)</w:t>
      </w:r>
    </w:p>
    <w:p w:rsidR="00515FF8" w:rsidRPr="00515FF8" w:rsidRDefault="00A53BBA" w:rsidP="00515FF8">
      <w:pPr>
        <w:pStyle w:val="ListParagraph"/>
        <w:tabs>
          <w:tab w:val="left" w:pos="540"/>
        </w:tabs>
        <w:spacing w:line="480" w:lineRule="auto"/>
        <w:ind w:left="0" w:firstLine="720"/>
      </w:pPr>
      <w:r>
        <w:rPr>
          <w:rFonts w:cs="Times New Roman"/>
          <w:color w:val="000000"/>
          <w:szCs w:val="24"/>
        </w:rPr>
        <w:t>The State Bar alleged that b</w:t>
      </w:r>
      <w:r w:rsidR="00515FF8" w:rsidRPr="00427D0C">
        <w:rPr>
          <w:rFonts w:cs="Times New Roman"/>
          <w:color w:val="000000"/>
          <w:szCs w:val="24"/>
        </w:rPr>
        <w:t xml:space="preserve">y </w:t>
      </w:r>
      <w:r>
        <w:rPr>
          <w:rFonts w:cs="Times New Roman"/>
          <w:color w:val="000000"/>
          <w:szCs w:val="24"/>
        </w:rPr>
        <w:t>not providing</w:t>
      </w:r>
      <w:r w:rsidR="00515FF8" w:rsidRPr="00427D0C">
        <w:rPr>
          <w:rFonts w:cs="Times New Roman"/>
          <w:color w:val="000000"/>
          <w:szCs w:val="24"/>
        </w:rPr>
        <w:t xml:space="preserve"> documents and accounts as requested by the beneficiaries in breach of his fiduciary duties as Trustee of the Macy Trust, respondent committed acts involving moral turpitude, dishonesty or corruption.</w:t>
      </w:r>
      <w:r>
        <w:rPr>
          <w:rFonts w:cs="Times New Roman"/>
          <w:color w:val="000000"/>
          <w:szCs w:val="24"/>
        </w:rPr>
        <w:t xml:space="preserve">  </w:t>
      </w:r>
      <w:r w:rsidR="00FB51FD">
        <w:rPr>
          <w:rFonts w:cs="Times New Roman"/>
          <w:color w:val="000000"/>
          <w:szCs w:val="24"/>
        </w:rPr>
        <w:t>The court disagrees.  While the present conduct demonstrates a failure to account, the court lacks clear and convincing evidence that respondent’s failure to provide the beneficiaries with the requested documents rises to a level of moral turpitude.  Consequently, Count Two is dismissed with prejudice.</w:t>
      </w:r>
    </w:p>
    <w:p w:rsidR="00515FF8" w:rsidRPr="00515FF8" w:rsidRDefault="00515FF8" w:rsidP="00EE0A02">
      <w:pPr>
        <w:pStyle w:val="ListParagraph"/>
        <w:numPr>
          <w:ilvl w:val="0"/>
          <w:numId w:val="2"/>
        </w:numPr>
        <w:tabs>
          <w:tab w:val="left" w:pos="540"/>
        </w:tabs>
        <w:spacing w:line="480" w:lineRule="auto"/>
        <w:rPr>
          <w:b/>
          <w:i/>
        </w:rPr>
      </w:pPr>
      <w:r w:rsidRPr="00515FF8">
        <w:rPr>
          <w:b/>
          <w:i/>
        </w:rPr>
        <w:t xml:space="preserve">Count Three – (§ 6068, </w:t>
      </w:r>
      <w:proofErr w:type="spellStart"/>
      <w:r w:rsidRPr="00515FF8">
        <w:rPr>
          <w:b/>
          <w:i/>
        </w:rPr>
        <w:t>subd</w:t>
      </w:r>
      <w:proofErr w:type="spellEnd"/>
      <w:r w:rsidRPr="00515FF8">
        <w:rPr>
          <w:b/>
          <w:i/>
        </w:rPr>
        <w:t>. (</w:t>
      </w:r>
      <w:proofErr w:type="spellStart"/>
      <w:r w:rsidRPr="00515FF8">
        <w:rPr>
          <w:b/>
          <w:i/>
        </w:rPr>
        <w:t>i</w:t>
      </w:r>
      <w:proofErr w:type="spellEnd"/>
      <w:r w:rsidRPr="00515FF8">
        <w:rPr>
          <w:b/>
          <w:i/>
        </w:rPr>
        <w:t>) [Failure to Cooperate in State Bar Investigation])</w:t>
      </w:r>
    </w:p>
    <w:p w:rsidR="00A165CD" w:rsidRPr="00A165CD" w:rsidRDefault="005541D4" w:rsidP="00A165CD">
      <w:pPr>
        <w:pStyle w:val="ListParagraph"/>
        <w:spacing w:line="480" w:lineRule="auto"/>
        <w:ind w:left="0" w:firstLine="720"/>
        <w:rPr>
          <w:rFonts w:cs="Times New Roman"/>
          <w:szCs w:val="24"/>
        </w:rPr>
      </w:pPr>
      <w:r>
        <w:t>Section 6068, subdivision (</w:t>
      </w:r>
      <w:proofErr w:type="spellStart"/>
      <w:r>
        <w:t>i</w:t>
      </w:r>
      <w:proofErr w:type="spellEnd"/>
      <w:r>
        <w:t xml:space="preserve">) provides that an attorney must cooperate and participate in any disciplinary investigation or proceeding pending against the attorney.  </w:t>
      </w:r>
      <w:r w:rsidR="00A165CD" w:rsidRPr="00A165CD">
        <w:rPr>
          <w:rFonts w:cs="Times New Roman"/>
          <w:color w:val="000000"/>
          <w:szCs w:val="24"/>
        </w:rPr>
        <w:t xml:space="preserve">By not providing a written response to the allegations in the Dennis Macy complaint or otherwise cooperating </w:t>
      </w:r>
      <w:r w:rsidR="00395177">
        <w:rPr>
          <w:rFonts w:cs="Times New Roman"/>
          <w:color w:val="000000"/>
          <w:szCs w:val="24"/>
        </w:rPr>
        <w:t>with</w:t>
      </w:r>
      <w:r w:rsidR="00A165CD" w:rsidRPr="00A165CD">
        <w:rPr>
          <w:rFonts w:cs="Times New Roman"/>
          <w:color w:val="000000"/>
          <w:szCs w:val="24"/>
        </w:rPr>
        <w:t xml:space="preserve"> the investigation on the Dennis Macy complaint, respondent failed to cooperate and participate in a disciplinary investig</w:t>
      </w:r>
      <w:r w:rsidR="00A165CD">
        <w:rPr>
          <w:rFonts w:cs="Times New Roman"/>
          <w:color w:val="000000"/>
          <w:szCs w:val="24"/>
        </w:rPr>
        <w:t>ation pending against him, in willful violation of section 6068, subdivision (</w:t>
      </w:r>
      <w:proofErr w:type="spellStart"/>
      <w:r w:rsidR="00A165CD">
        <w:rPr>
          <w:rFonts w:cs="Times New Roman"/>
          <w:color w:val="000000"/>
          <w:szCs w:val="24"/>
        </w:rPr>
        <w:t>i</w:t>
      </w:r>
      <w:proofErr w:type="spellEnd"/>
      <w:r w:rsidR="00A165CD">
        <w:rPr>
          <w:rFonts w:cs="Times New Roman"/>
          <w:color w:val="000000"/>
          <w:szCs w:val="24"/>
        </w:rPr>
        <w:t>).</w:t>
      </w:r>
    </w:p>
    <w:p w:rsidR="00A14074" w:rsidRPr="00A7734F" w:rsidRDefault="00A14074" w:rsidP="00A14074">
      <w:pPr>
        <w:spacing w:line="480" w:lineRule="auto"/>
        <w:rPr>
          <w:b/>
        </w:rPr>
      </w:pPr>
      <w:r>
        <w:rPr>
          <w:b/>
        </w:rPr>
        <w:t xml:space="preserve">B. </w:t>
      </w:r>
      <w:r w:rsidR="00AB6D14">
        <w:rPr>
          <w:b/>
        </w:rPr>
        <w:t xml:space="preserve"> </w:t>
      </w:r>
      <w:r w:rsidRPr="00A7734F">
        <w:rPr>
          <w:b/>
        </w:rPr>
        <w:t xml:space="preserve">Case No. </w:t>
      </w:r>
      <w:r w:rsidR="001D5B0B">
        <w:rPr>
          <w:b/>
        </w:rPr>
        <w:t>10</w:t>
      </w:r>
      <w:r w:rsidRPr="00A7734F">
        <w:rPr>
          <w:b/>
        </w:rPr>
        <w:t>-</w:t>
      </w:r>
      <w:r w:rsidR="001D5B0B">
        <w:rPr>
          <w:b/>
        </w:rPr>
        <w:t>N</w:t>
      </w:r>
      <w:r w:rsidRPr="00A7734F">
        <w:rPr>
          <w:b/>
        </w:rPr>
        <w:t>-</w:t>
      </w:r>
      <w:r w:rsidR="001D5B0B">
        <w:rPr>
          <w:b/>
        </w:rPr>
        <w:t>10356</w:t>
      </w:r>
      <w:r w:rsidRPr="00A7734F">
        <w:rPr>
          <w:b/>
        </w:rPr>
        <w:t xml:space="preserve"> - The </w:t>
      </w:r>
      <w:r w:rsidR="001D5B0B">
        <w:rPr>
          <w:b/>
        </w:rPr>
        <w:t>Rule 9.20 Matter</w:t>
      </w:r>
    </w:p>
    <w:p w:rsidR="00A14074" w:rsidRPr="008B251B" w:rsidRDefault="00A14074" w:rsidP="004F17B1">
      <w:pPr>
        <w:spacing w:line="480" w:lineRule="auto"/>
        <w:ind w:firstLine="720"/>
        <w:rPr>
          <w:b/>
        </w:rPr>
      </w:pPr>
      <w:r w:rsidRPr="008B251B">
        <w:rPr>
          <w:b/>
        </w:rPr>
        <w:t>Facts</w:t>
      </w:r>
      <w:r w:rsidR="00747BBF">
        <w:rPr>
          <w:b/>
        </w:rPr>
        <w:t xml:space="preserve"> </w:t>
      </w:r>
    </w:p>
    <w:p w:rsidR="008B251B" w:rsidRPr="005A7599" w:rsidRDefault="008B251B" w:rsidP="008B251B">
      <w:pPr>
        <w:spacing w:line="480" w:lineRule="auto"/>
        <w:ind w:firstLine="720"/>
        <w:rPr>
          <w:rFonts w:cs="Times New Roman"/>
          <w:szCs w:val="24"/>
        </w:rPr>
      </w:pPr>
      <w:r w:rsidRPr="005A7599">
        <w:rPr>
          <w:rFonts w:cs="Times New Roman"/>
          <w:color w:val="000000"/>
          <w:szCs w:val="24"/>
        </w:rPr>
        <w:t xml:space="preserve">On or about January 12, 2010, the California Supreme Court filed an order in its </w:t>
      </w:r>
      <w:r>
        <w:rPr>
          <w:rFonts w:cs="Times New Roman"/>
          <w:color w:val="000000"/>
          <w:szCs w:val="24"/>
        </w:rPr>
        <w:t>c</w:t>
      </w:r>
      <w:r w:rsidRPr="005A7599">
        <w:rPr>
          <w:rFonts w:cs="Times New Roman"/>
          <w:color w:val="000000"/>
          <w:szCs w:val="24"/>
        </w:rPr>
        <w:t xml:space="preserve">ase </w:t>
      </w:r>
      <w:r>
        <w:rPr>
          <w:rFonts w:cs="Times New Roman"/>
          <w:color w:val="000000"/>
          <w:szCs w:val="24"/>
        </w:rPr>
        <w:t>n</w:t>
      </w:r>
      <w:r w:rsidR="004F2543">
        <w:rPr>
          <w:rFonts w:cs="Times New Roman"/>
          <w:color w:val="000000"/>
          <w:szCs w:val="24"/>
        </w:rPr>
        <w:t xml:space="preserve">umber </w:t>
      </w:r>
      <w:proofErr w:type="spellStart"/>
      <w:r w:rsidR="004F2543">
        <w:rPr>
          <w:rFonts w:cs="Times New Roman"/>
          <w:color w:val="000000"/>
          <w:szCs w:val="24"/>
        </w:rPr>
        <w:t>S177750</w:t>
      </w:r>
      <w:proofErr w:type="spellEnd"/>
      <w:r w:rsidR="004F2543">
        <w:rPr>
          <w:rFonts w:cs="Times New Roman"/>
          <w:color w:val="000000"/>
          <w:szCs w:val="24"/>
        </w:rPr>
        <w:t xml:space="preserve">, </w:t>
      </w:r>
      <w:r w:rsidRPr="005A7599">
        <w:rPr>
          <w:rFonts w:cs="Times New Roman"/>
          <w:color w:val="000000"/>
          <w:szCs w:val="24"/>
        </w:rPr>
        <w:t xml:space="preserve">State Bar Court </w:t>
      </w:r>
      <w:r w:rsidR="002F30AF">
        <w:rPr>
          <w:rFonts w:cs="Times New Roman"/>
          <w:color w:val="000000"/>
          <w:szCs w:val="24"/>
        </w:rPr>
        <w:t>C</w:t>
      </w:r>
      <w:r w:rsidRPr="005A7599">
        <w:rPr>
          <w:rFonts w:cs="Times New Roman"/>
          <w:color w:val="000000"/>
          <w:szCs w:val="24"/>
        </w:rPr>
        <w:t xml:space="preserve">ase </w:t>
      </w:r>
      <w:r w:rsidR="002F30AF">
        <w:rPr>
          <w:rFonts w:cs="Times New Roman"/>
          <w:color w:val="000000"/>
          <w:szCs w:val="24"/>
        </w:rPr>
        <w:t>N</w:t>
      </w:r>
      <w:r w:rsidRPr="005A7599">
        <w:rPr>
          <w:rFonts w:cs="Times New Roman"/>
          <w:color w:val="000000"/>
          <w:szCs w:val="24"/>
        </w:rPr>
        <w:t>o</w:t>
      </w:r>
      <w:r>
        <w:rPr>
          <w:rFonts w:cs="Times New Roman"/>
          <w:color w:val="000000"/>
          <w:szCs w:val="24"/>
        </w:rPr>
        <w:t xml:space="preserve">. </w:t>
      </w:r>
      <w:r w:rsidRPr="005A7599">
        <w:rPr>
          <w:rFonts w:cs="Times New Roman"/>
          <w:color w:val="000000"/>
          <w:szCs w:val="24"/>
        </w:rPr>
        <w:t>07-O-</w:t>
      </w:r>
      <w:r w:rsidR="004F2543">
        <w:rPr>
          <w:rFonts w:cs="Times New Roman"/>
          <w:color w:val="000000"/>
          <w:szCs w:val="24"/>
        </w:rPr>
        <w:t>13002</w:t>
      </w:r>
      <w:r>
        <w:rPr>
          <w:rFonts w:cs="Times New Roman"/>
          <w:color w:val="000000"/>
          <w:szCs w:val="24"/>
        </w:rPr>
        <w:t xml:space="preserve"> (</w:t>
      </w:r>
      <w:r w:rsidRPr="005A7599">
        <w:rPr>
          <w:rFonts w:cs="Times New Roman"/>
          <w:color w:val="000000"/>
          <w:szCs w:val="24"/>
        </w:rPr>
        <w:t xml:space="preserve">the Order).  </w:t>
      </w:r>
    </w:p>
    <w:p w:rsidR="008B251B" w:rsidRDefault="008B251B" w:rsidP="008B251B">
      <w:pPr>
        <w:spacing w:line="480" w:lineRule="auto"/>
        <w:ind w:firstLine="720"/>
        <w:rPr>
          <w:rFonts w:cs="Times New Roman"/>
          <w:szCs w:val="24"/>
        </w:rPr>
      </w:pPr>
      <w:r w:rsidRPr="00511A32">
        <w:rPr>
          <w:rFonts w:cs="Times New Roman"/>
          <w:color w:val="000000"/>
          <w:szCs w:val="24"/>
        </w:rPr>
        <w:t xml:space="preserve">The Order required </w:t>
      </w:r>
      <w:r>
        <w:rPr>
          <w:rFonts w:cs="Times New Roman"/>
          <w:color w:val="000000"/>
          <w:szCs w:val="24"/>
        </w:rPr>
        <w:t>respondent</w:t>
      </w:r>
      <w:r w:rsidRPr="00511A32">
        <w:rPr>
          <w:rFonts w:cs="Times New Roman"/>
          <w:color w:val="000000"/>
          <w:szCs w:val="24"/>
        </w:rPr>
        <w:t xml:space="preserve"> to comply with rule 9.20, California Rules of Court, by performing the acts specified in subdivisions (a) and (c) of that rule within 30 and 40 days, respectively, after the effective date of the Order.</w:t>
      </w:r>
    </w:p>
    <w:p w:rsidR="008B251B" w:rsidRDefault="008B251B" w:rsidP="008B251B">
      <w:pPr>
        <w:spacing w:line="480" w:lineRule="auto"/>
        <w:ind w:firstLine="720"/>
        <w:rPr>
          <w:rFonts w:cs="Times New Roman"/>
          <w:szCs w:val="24"/>
        </w:rPr>
      </w:pPr>
      <w:r w:rsidRPr="00511A32">
        <w:rPr>
          <w:rFonts w:cs="Times New Roman"/>
          <w:color w:val="000000"/>
          <w:szCs w:val="24"/>
        </w:rPr>
        <w:t xml:space="preserve">Notice of the Order was properly served upon </w:t>
      </w:r>
      <w:r>
        <w:rPr>
          <w:rFonts w:cs="Times New Roman"/>
          <w:color w:val="000000"/>
          <w:szCs w:val="24"/>
        </w:rPr>
        <w:t>respondent</w:t>
      </w:r>
      <w:r w:rsidRPr="00511A32">
        <w:rPr>
          <w:rFonts w:cs="Times New Roman"/>
          <w:color w:val="000000"/>
          <w:szCs w:val="24"/>
        </w:rPr>
        <w:t xml:space="preserve"> in the manner prescribed by California Rules of Court, rule 9.18(b), at the address </w:t>
      </w:r>
      <w:r>
        <w:rPr>
          <w:rFonts w:cs="Times New Roman"/>
          <w:color w:val="000000"/>
          <w:szCs w:val="24"/>
        </w:rPr>
        <w:t>respondent</w:t>
      </w:r>
      <w:r w:rsidRPr="00511A32">
        <w:rPr>
          <w:rFonts w:cs="Times New Roman"/>
          <w:color w:val="000000"/>
          <w:szCs w:val="24"/>
        </w:rPr>
        <w:t xml:space="preserve"> maintained with the State Bar in accordance with California Business and Professions Code section 6002.1, subdivision (a).</w:t>
      </w:r>
    </w:p>
    <w:p w:rsidR="008B251B" w:rsidRDefault="008B251B" w:rsidP="008B251B">
      <w:pPr>
        <w:spacing w:line="480" w:lineRule="auto"/>
        <w:ind w:firstLine="720"/>
        <w:rPr>
          <w:rFonts w:cs="Times New Roman"/>
          <w:szCs w:val="24"/>
        </w:rPr>
      </w:pPr>
      <w:r>
        <w:rPr>
          <w:rFonts w:cs="Times New Roman"/>
          <w:szCs w:val="24"/>
        </w:rPr>
        <w:t>R</w:t>
      </w:r>
      <w:r>
        <w:rPr>
          <w:rFonts w:cs="Times New Roman"/>
          <w:color w:val="000000"/>
          <w:szCs w:val="24"/>
        </w:rPr>
        <w:t>espondent</w:t>
      </w:r>
      <w:r w:rsidRPr="00511A32">
        <w:rPr>
          <w:rFonts w:cs="Times New Roman"/>
          <w:color w:val="000000"/>
          <w:szCs w:val="24"/>
        </w:rPr>
        <w:t xml:space="preserve"> received the Order.</w:t>
      </w:r>
      <w:r>
        <w:rPr>
          <w:rFonts w:cs="Times New Roman"/>
          <w:color w:val="000000"/>
          <w:szCs w:val="24"/>
        </w:rPr>
        <w:t xml:space="preserve">  And t</w:t>
      </w:r>
      <w:r w:rsidRPr="00511A32">
        <w:rPr>
          <w:rFonts w:cs="Times New Roman"/>
          <w:color w:val="000000"/>
          <w:szCs w:val="24"/>
        </w:rPr>
        <w:t xml:space="preserve">he Order became effective on February 11, 2010, 30 days after it was </w:t>
      </w:r>
      <w:r>
        <w:rPr>
          <w:rFonts w:cs="Times New Roman"/>
          <w:color w:val="000000"/>
          <w:szCs w:val="24"/>
        </w:rPr>
        <w:t>f</w:t>
      </w:r>
      <w:r w:rsidRPr="00511A32">
        <w:rPr>
          <w:rFonts w:cs="Times New Roman"/>
          <w:color w:val="000000"/>
          <w:szCs w:val="24"/>
        </w:rPr>
        <w:t>iled</w:t>
      </w:r>
      <w:r w:rsidR="00C4046F">
        <w:rPr>
          <w:rFonts w:cs="Times New Roman"/>
          <w:color w:val="000000"/>
          <w:szCs w:val="24"/>
        </w:rPr>
        <w:t>,</w:t>
      </w:r>
      <w:r w:rsidRPr="00511A32">
        <w:rPr>
          <w:rFonts w:cs="Times New Roman"/>
          <w:color w:val="000000"/>
          <w:szCs w:val="24"/>
        </w:rPr>
        <w:t xml:space="preserve"> and has remained in full force and effect at all times thereafter.</w:t>
      </w:r>
    </w:p>
    <w:p w:rsidR="008B251B" w:rsidRDefault="008B251B" w:rsidP="008B251B">
      <w:pPr>
        <w:spacing w:line="480" w:lineRule="auto"/>
        <w:ind w:firstLine="720"/>
        <w:rPr>
          <w:rFonts w:cs="Times New Roman"/>
          <w:szCs w:val="24"/>
        </w:rPr>
      </w:pPr>
      <w:r>
        <w:rPr>
          <w:rFonts w:cs="Times New Roman"/>
          <w:szCs w:val="24"/>
        </w:rPr>
        <w:t>R</w:t>
      </w:r>
      <w:r>
        <w:rPr>
          <w:rFonts w:cs="Times New Roman"/>
          <w:color w:val="000000"/>
          <w:szCs w:val="24"/>
        </w:rPr>
        <w:t>espondent</w:t>
      </w:r>
      <w:r w:rsidRPr="00511A32">
        <w:rPr>
          <w:rFonts w:cs="Times New Roman"/>
          <w:color w:val="000000"/>
          <w:szCs w:val="24"/>
        </w:rPr>
        <w:t xml:space="preserve"> was ordered to comply with subdivision (a) of rule 9.20 of the California Rules of Court, by no later than March 13, 2010.</w:t>
      </w:r>
    </w:p>
    <w:p w:rsidR="008B251B" w:rsidRDefault="008B251B" w:rsidP="008B251B">
      <w:pPr>
        <w:spacing w:line="480" w:lineRule="auto"/>
        <w:ind w:firstLine="720"/>
        <w:rPr>
          <w:rFonts w:cs="Times New Roman"/>
          <w:szCs w:val="24"/>
        </w:rPr>
      </w:pPr>
      <w:r>
        <w:rPr>
          <w:rFonts w:cs="Times New Roman"/>
          <w:szCs w:val="24"/>
        </w:rPr>
        <w:t>R</w:t>
      </w:r>
      <w:r>
        <w:rPr>
          <w:rFonts w:cs="Times New Roman"/>
          <w:color w:val="000000"/>
          <w:szCs w:val="24"/>
        </w:rPr>
        <w:t>espondent</w:t>
      </w:r>
      <w:r w:rsidRPr="00511A32">
        <w:rPr>
          <w:rFonts w:cs="Times New Roman"/>
          <w:color w:val="000000"/>
          <w:szCs w:val="24"/>
        </w:rPr>
        <w:t xml:space="preserve"> was ordered to comply with subdivision (c) of rule 9.20, by no later than March 23, 2010.</w:t>
      </w:r>
    </w:p>
    <w:p w:rsidR="008B251B" w:rsidRDefault="008B251B" w:rsidP="008B251B">
      <w:pPr>
        <w:spacing w:line="480" w:lineRule="auto"/>
        <w:ind w:firstLine="720"/>
        <w:rPr>
          <w:rFonts w:cs="Times New Roman"/>
          <w:color w:val="000000"/>
          <w:szCs w:val="24"/>
        </w:rPr>
      </w:pPr>
      <w:r>
        <w:rPr>
          <w:rFonts w:cs="Times New Roman"/>
          <w:szCs w:val="24"/>
        </w:rPr>
        <w:t>R</w:t>
      </w:r>
      <w:r>
        <w:rPr>
          <w:rFonts w:cs="Times New Roman"/>
          <w:color w:val="000000"/>
          <w:szCs w:val="24"/>
        </w:rPr>
        <w:t xml:space="preserve">espondent </w:t>
      </w:r>
      <w:r w:rsidR="00291E78">
        <w:rPr>
          <w:rFonts w:cs="Times New Roman"/>
          <w:color w:val="000000"/>
          <w:szCs w:val="24"/>
        </w:rPr>
        <w:t>did not file</w:t>
      </w:r>
      <w:r w:rsidRPr="00511A32">
        <w:rPr>
          <w:rFonts w:cs="Times New Roman"/>
          <w:color w:val="000000"/>
          <w:szCs w:val="24"/>
        </w:rPr>
        <w:t xml:space="preserve"> with the Clerk of the State Bar Court a declaration of his compliance with California Rules of Court, rule 9.20(a) and (b), by March 23, 2010.</w:t>
      </w:r>
      <w:r w:rsidR="00291E78" w:rsidRPr="00291E78">
        <w:rPr>
          <w:rFonts w:cs="Times New Roman"/>
          <w:color w:val="000000"/>
          <w:szCs w:val="24"/>
        </w:rPr>
        <w:t xml:space="preserve">  By failing to file a proof of his compliance with California Rules of Court, rule 9.20(a) and (b) by March 23, 2010, r</w:t>
      </w:r>
      <w:r w:rsidRPr="00291E78">
        <w:rPr>
          <w:rFonts w:cs="Times New Roman"/>
          <w:color w:val="000000"/>
          <w:szCs w:val="24"/>
        </w:rPr>
        <w:t xml:space="preserve">espondent </w:t>
      </w:r>
      <w:r w:rsidR="00291E78" w:rsidRPr="00291E78">
        <w:rPr>
          <w:rFonts w:cs="Times New Roman"/>
          <w:color w:val="000000"/>
          <w:szCs w:val="24"/>
        </w:rPr>
        <w:t>willfully violated rule 9.20(c)</w:t>
      </w:r>
      <w:r w:rsidRPr="00291E78">
        <w:rPr>
          <w:rFonts w:cs="Times New Roman"/>
          <w:color w:val="000000"/>
          <w:szCs w:val="24"/>
        </w:rPr>
        <w:t>.</w:t>
      </w:r>
    </w:p>
    <w:p w:rsidR="008B251B" w:rsidRPr="00437E8C" w:rsidRDefault="008B251B" w:rsidP="008B251B">
      <w:pPr>
        <w:spacing w:line="480" w:lineRule="auto"/>
        <w:rPr>
          <w:b/>
        </w:rPr>
      </w:pPr>
      <w:r>
        <w:rPr>
          <w:b/>
          <w:i/>
        </w:rPr>
        <w:tab/>
      </w:r>
      <w:r w:rsidRPr="00437E8C">
        <w:rPr>
          <w:b/>
        </w:rPr>
        <w:t xml:space="preserve">Conclusions of Law </w:t>
      </w:r>
    </w:p>
    <w:p w:rsidR="008B251B" w:rsidRPr="00D108BD" w:rsidRDefault="008B251B" w:rsidP="008B251B">
      <w:pPr>
        <w:pStyle w:val="ListParagraph"/>
        <w:numPr>
          <w:ilvl w:val="0"/>
          <w:numId w:val="3"/>
        </w:numPr>
        <w:spacing w:line="480" w:lineRule="auto"/>
        <w:rPr>
          <w:b/>
          <w:i/>
        </w:rPr>
      </w:pPr>
      <w:r w:rsidRPr="00D108BD">
        <w:rPr>
          <w:b/>
          <w:i/>
        </w:rPr>
        <w:t xml:space="preserve">Count </w:t>
      </w:r>
      <w:r>
        <w:rPr>
          <w:b/>
          <w:i/>
        </w:rPr>
        <w:t>One</w:t>
      </w:r>
      <w:r w:rsidRPr="00D108BD">
        <w:rPr>
          <w:b/>
          <w:i/>
        </w:rPr>
        <w:t xml:space="preserve"> - </w:t>
      </w:r>
      <w:r w:rsidRPr="00ED3BA4">
        <w:rPr>
          <w:b/>
          <w:i/>
        </w:rPr>
        <w:t>(§ 610</w:t>
      </w:r>
      <w:r>
        <w:rPr>
          <w:b/>
          <w:i/>
        </w:rPr>
        <w:t>3 [Violation of a Court Order]</w:t>
      </w:r>
      <w:r w:rsidRPr="00D108BD">
        <w:rPr>
          <w:b/>
          <w:i/>
        </w:rPr>
        <w:t>)</w:t>
      </w:r>
    </w:p>
    <w:p w:rsidR="00A14074" w:rsidRDefault="007B65DD" w:rsidP="008B251B">
      <w:pPr>
        <w:spacing w:line="480" w:lineRule="auto"/>
        <w:ind w:firstLine="720"/>
        <w:rPr>
          <w:rFonts w:cs="Times New Roman"/>
          <w:color w:val="000000"/>
          <w:szCs w:val="24"/>
        </w:rPr>
      </w:pPr>
      <w:r w:rsidRPr="00664718">
        <w:t xml:space="preserve">Section 6103 provides that “[a] </w:t>
      </w:r>
      <w:proofErr w:type="spellStart"/>
      <w:r w:rsidRPr="00664718">
        <w:t>wilful</w:t>
      </w:r>
      <w:proofErr w:type="spellEnd"/>
      <w:r w:rsidRPr="00664718">
        <w:t xml:space="preserve">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r w:rsidRPr="007B65DD">
        <w:rPr>
          <w:rFonts w:cs="Times New Roman"/>
          <w:color w:val="000000"/>
          <w:szCs w:val="24"/>
        </w:rPr>
        <w:t xml:space="preserve">  </w:t>
      </w:r>
      <w:r w:rsidR="008B251B" w:rsidRPr="007B65DD">
        <w:rPr>
          <w:rFonts w:cs="Times New Roman"/>
          <w:color w:val="000000"/>
          <w:szCs w:val="24"/>
        </w:rPr>
        <w:t>By not filing a declaration of his compliance with rule 9.20 in conformity with the requirements of rule 9.20(c), respondent failed to timely comply with the Order requiring his compliance with California Rules of Court, rule 9.20, in willful violation of section 6103.</w:t>
      </w:r>
      <w:r>
        <w:rPr>
          <w:rFonts w:cs="Times New Roman"/>
          <w:color w:val="000000"/>
          <w:szCs w:val="24"/>
        </w:rPr>
        <w:t xml:space="preserve">  </w:t>
      </w:r>
    </w:p>
    <w:p w:rsidR="00F6789D" w:rsidRPr="004F17B1" w:rsidRDefault="00F6789D" w:rsidP="008B251B">
      <w:pPr>
        <w:spacing w:line="480" w:lineRule="auto"/>
        <w:ind w:firstLine="720"/>
      </w:pPr>
    </w:p>
    <w:p w:rsidR="00A14074" w:rsidRPr="007C5D43" w:rsidRDefault="00A14074" w:rsidP="00A14074">
      <w:pPr>
        <w:spacing w:line="480" w:lineRule="auto"/>
        <w:jc w:val="center"/>
        <w:rPr>
          <w:b/>
        </w:rPr>
      </w:pPr>
      <w:r>
        <w:rPr>
          <w:b/>
        </w:rPr>
        <w:t xml:space="preserve">IV. </w:t>
      </w:r>
      <w:r w:rsidRPr="007C5D43">
        <w:rPr>
          <w:b/>
        </w:rPr>
        <w:t>A</w:t>
      </w:r>
      <w:r>
        <w:rPr>
          <w:b/>
        </w:rPr>
        <w:t>ggravation and Mitigation</w:t>
      </w:r>
    </w:p>
    <w:p w:rsidR="00A14074" w:rsidRDefault="00A14074" w:rsidP="00A14074">
      <w:pPr>
        <w:spacing w:line="480" w:lineRule="auto"/>
        <w:rPr>
          <w:b/>
        </w:rPr>
      </w:pPr>
      <w:r>
        <w:rPr>
          <w:b/>
        </w:rPr>
        <w:t xml:space="preserve">A.  </w:t>
      </w:r>
      <w:r w:rsidRPr="00510C61">
        <w:rPr>
          <w:b/>
        </w:rPr>
        <w:t>Aggravation</w:t>
      </w:r>
    </w:p>
    <w:p w:rsidR="00A14074" w:rsidRDefault="00A60898" w:rsidP="00A60898">
      <w:pPr>
        <w:spacing w:line="480" w:lineRule="auto"/>
        <w:ind w:firstLine="720"/>
        <w:rPr>
          <w:b/>
          <w:i/>
        </w:rPr>
      </w:pPr>
      <w:r>
        <w:rPr>
          <w:b/>
          <w:i/>
        </w:rPr>
        <w:t xml:space="preserve">1.  </w:t>
      </w:r>
      <w:r w:rsidR="00A14074" w:rsidRPr="00A236E4">
        <w:rPr>
          <w:b/>
          <w:i/>
        </w:rPr>
        <w:t>Prior Record of Discipline</w:t>
      </w:r>
    </w:p>
    <w:p w:rsidR="00A14074" w:rsidRPr="001D3E81" w:rsidRDefault="00086EF6" w:rsidP="001D3E81">
      <w:pPr>
        <w:spacing w:line="480" w:lineRule="auto"/>
        <w:ind w:firstLine="720"/>
      </w:pPr>
      <w:r>
        <w:t xml:space="preserve">Respondent’s prior record of discipline is a significant factor in aggravation.  (Rules Proc. of State Bar, tit. IV, </w:t>
      </w:r>
      <w:proofErr w:type="spellStart"/>
      <w:r>
        <w:t>Stds</w:t>
      </w:r>
      <w:proofErr w:type="spellEnd"/>
      <w:r>
        <w:t>. for Atty. Sanctions for Prof. Misconduct, std. 1.2(b)(</w:t>
      </w:r>
      <w:proofErr w:type="spellStart"/>
      <w:r>
        <w:t>i</w:t>
      </w:r>
      <w:proofErr w:type="spellEnd"/>
      <w:r>
        <w:t>).)</w:t>
      </w:r>
      <w:r>
        <w:rPr>
          <w:rStyle w:val="FootnoteReference"/>
        </w:rPr>
        <w:footnoteReference w:id="6"/>
      </w:r>
      <w:r>
        <w:t xml:space="preserve">  </w:t>
      </w:r>
      <w:r w:rsidR="00611636" w:rsidRPr="009A7F02">
        <w:t xml:space="preserve">On </w:t>
      </w:r>
      <w:r w:rsidR="00611636">
        <w:t>January 12, 2010</w:t>
      </w:r>
      <w:r w:rsidR="00611636" w:rsidRPr="009A7F02">
        <w:t>, the</w:t>
      </w:r>
      <w:r w:rsidR="00611636">
        <w:t xml:space="preserve"> California Supreme Court issued an order (</w:t>
      </w:r>
      <w:proofErr w:type="spellStart"/>
      <w:r w:rsidR="00611636">
        <w:t>S177750</w:t>
      </w:r>
      <w:proofErr w:type="spellEnd"/>
      <w:r w:rsidR="00611636">
        <w:t xml:space="preserve">) suspending respondent from the practice of law for </w:t>
      </w:r>
      <w:r w:rsidR="0025579C">
        <w:t>3</w:t>
      </w:r>
      <w:r w:rsidR="00611636">
        <w:t xml:space="preserve"> years, stayed, with a </w:t>
      </w:r>
      <w:r w:rsidR="0025579C">
        <w:t>3</w:t>
      </w:r>
      <w:r w:rsidR="00611636">
        <w:t>-year period of probation</w:t>
      </w:r>
      <w:r w:rsidR="0025579C">
        <w:t>,</w:t>
      </w:r>
      <w:r w:rsidR="00611636">
        <w:t xml:space="preserve"> including </w:t>
      </w:r>
      <w:r w:rsidR="0025579C">
        <w:t>an 18</w:t>
      </w:r>
      <w:r w:rsidR="00611636">
        <w:t xml:space="preserve">-month actual suspension and/until respondent provides proof of </w:t>
      </w:r>
      <w:r w:rsidR="0025579C">
        <w:t>his rehabilitation, fitness to practice, and learning and ability in the law</w:t>
      </w:r>
      <w:r w:rsidR="00611636">
        <w:t xml:space="preserve">.  In this proceeding, respondent stipulated to </w:t>
      </w:r>
      <w:r w:rsidR="0077557E">
        <w:t>failing to render accounts</w:t>
      </w:r>
      <w:r w:rsidR="0077557E" w:rsidRPr="0077557E">
        <w:t xml:space="preserve"> </w:t>
      </w:r>
      <w:r w:rsidR="0077557E">
        <w:t>and failing to deposit and maintain client funds in trust</w:t>
      </w:r>
      <w:r w:rsidR="00611636">
        <w:t xml:space="preserve">.  In mitigation, respondent </w:t>
      </w:r>
      <w:r w:rsidR="00715B74">
        <w:t>had been a member of the State Bar since 1973, with no prior record of discipline</w:t>
      </w:r>
      <w:r w:rsidR="00611636">
        <w:t xml:space="preserve">.  </w:t>
      </w:r>
      <w:r w:rsidR="00A55F0E">
        <w:t>No aggravating circumstances were involved.</w:t>
      </w:r>
    </w:p>
    <w:p w:rsidR="00A14074" w:rsidRPr="0085074B" w:rsidRDefault="00A14074" w:rsidP="00A14074">
      <w:pPr>
        <w:spacing w:line="480" w:lineRule="auto"/>
        <w:ind w:firstLine="720"/>
        <w:rPr>
          <w:b/>
          <w:i/>
        </w:rPr>
      </w:pPr>
      <w:r w:rsidRPr="0085074B">
        <w:rPr>
          <w:b/>
          <w:i/>
        </w:rPr>
        <w:t>2.</w:t>
      </w:r>
      <w:r w:rsidR="00A60898">
        <w:rPr>
          <w:b/>
          <w:i/>
        </w:rPr>
        <w:t xml:space="preserve"> </w:t>
      </w:r>
      <w:r>
        <w:rPr>
          <w:b/>
          <w:i/>
        </w:rPr>
        <w:t xml:space="preserve"> </w:t>
      </w:r>
      <w:r w:rsidRPr="0085074B">
        <w:rPr>
          <w:b/>
          <w:i/>
        </w:rPr>
        <w:t>Multiple Acts of Misconduct</w:t>
      </w:r>
    </w:p>
    <w:p w:rsidR="00A14074" w:rsidRPr="004E3E66" w:rsidRDefault="004E3E66" w:rsidP="004E3E66">
      <w:pPr>
        <w:spacing w:line="480" w:lineRule="auto"/>
        <w:ind w:firstLine="720"/>
      </w:pPr>
      <w:r>
        <w:t xml:space="preserve">Respondent was found culpable of </w:t>
      </w:r>
      <w:r w:rsidR="000839B7">
        <w:t>three</w:t>
      </w:r>
      <w:r>
        <w:t xml:space="preserve"> acts of misconduct.  Multiple acts of misconduct are an aggravating factor.  (Std. 1.2(b)(ii).)</w:t>
      </w:r>
    </w:p>
    <w:p w:rsidR="00A7482F" w:rsidRDefault="00F157E4" w:rsidP="00A7482F">
      <w:pPr>
        <w:spacing w:line="480" w:lineRule="auto"/>
        <w:ind w:firstLine="720"/>
        <w:rPr>
          <w:b/>
          <w:i/>
        </w:rPr>
      </w:pPr>
      <w:r>
        <w:rPr>
          <w:b/>
          <w:i/>
        </w:rPr>
        <w:t>3</w:t>
      </w:r>
      <w:r w:rsidR="00CC56DB">
        <w:rPr>
          <w:b/>
          <w:i/>
        </w:rPr>
        <w:t>.  Failure to Cooperate</w:t>
      </w:r>
    </w:p>
    <w:p w:rsidR="00CC56DB" w:rsidRDefault="00CC56DB" w:rsidP="00CC56DB">
      <w:pPr>
        <w:spacing w:line="480" w:lineRule="auto"/>
        <w:ind w:firstLine="720"/>
      </w:pPr>
      <w:r>
        <w:t>Respondent's failure to participate in the present proceeding</w:t>
      </w:r>
      <w:r w:rsidR="00F157E4">
        <w:t>s</w:t>
      </w:r>
      <w:r>
        <w:t xml:space="preserve"> constitutes an additional factor in aggravation.  (Std. 1.2(b)(vi).)  </w:t>
      </w:r>
    </w:p>
    <w:p w:rsidR="00A14074" w:rsidRDefault="00A14074" w:rsidP="00A14074">
      <w:pPr>
        <w:spacing w:line="480" w:lineRule="auto"/>
        <w:rPr>
          <w:b/>
        </w:rPr>
      </w:pPr>
      <w:r>
        <w:rPr>
          <w:b/>
        </w:rPr>
        <w:t xml:space="preserve">B.  </w:t>
      </w:r>
      <w:r w:rsidRPr="00510C61">
        <w:rPr>
          <w:b/>
        </w:rPr>
        <w:t>Mitigation</w:t>
      </w:r>
    </w:p>
    <w:p w:rsidR="00CC56DB" w:rsidRDefault="00CC56DB" w:rsidP="00CC56DB">
      <w:pPr>
        <w:spacing w:line="480" w:lineRule="auto"/>
        <w:ind w:firstLine="720"/>
      </w:pPr>
      <w:r>
        <w:t xml:space="preserve">No mitigating factors were submitted into evidence and none could be gleaned from the record.  </w:t>
      </w:r>
      <w:r w:rsidR="008614B8">
        <w:t>(Std. 1.2(e).)</w:t>
      </w:r>
    </w:p>
    <w:p w:rsidR="00B9257D" w:rsidRDefault="00B9257D" w:rsidP="00CC56DB">
      <w:pPr>
        <w:spacing w:line="480" w:lineRule="auto"/>
        <w:ind w:firstLine="720"/>
      </w:pPr>
    </w:p>
    <w:p w:rsidR="00A14074" w:rsidRPr="003E41D9" w:rsidRDefault="00A14074" w:rsidP="005629FD">
      <w:pPr>
        <w:spacing w:line="480" w:lineRule="auto"/>
        <w:jc w:val="center"/>
        <w:rPr>
          <w:b/>
        </w:rPr>
      </w:pPr>
      <w:r>
        <w:rPr>
          <w:b/>
        </w:rPr>
        <w:t xml:space="preserve">V. </w:t>
      </w:r>
      <w:r w:rsidRPr="003E41D9">
        <w:rPr>
          <w:b/>
        </w:rPr>
        <w:t>D</w:t>
      </w:r>
      <w:r>
        <w:rPr>
          <w:b/>
        </w:rPr>
        <w:t>iscussion</w:t>
      </w:r>
    </w:p>
    <w:p w:rsidR="00CC56DB" w:rsidRDefault="00CC56DB" w:rsidP="00CC56DB">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sidRPr="0003569F">
        <w:rPr>
          <w:i/>
        </w:rPr>
        <w:t>Chadwick v. State Bar</w:t>
      </w:r>
      <w:r>
        <w:t xml:space="preserve"> (1989) 49 </w:t>
      </w:r>
      <w:proofErr w:type="spellStart"/>
      <w:r>
        <w:t>Cal.3d</w:t>
      </w:r>
      <w:proofErr w:type="spellEnd"/>
      <w:r>
        <w:t xml:space="preserve"> 103, 111; </w:t>
      </w:r>
      <w:r w:rsidRPr="0003569F">
        <w:rPr>
          <w:i/>
        </w:rPr>
        <w:t>Cooper v. State Bar</w:t>
      </w:r>
      <w:r>
        <w:t xml:space="preserve"> (1987) 43 </w:t>
      </w:r>
      <w:proofErr w:type="spellStart"/>
      <w:r>
        <w:t>Cal.3d</w:t>
      </w:r>
      <w:proofErr w:type="spellEnd"/>
      <w:r>
        <w:t xml:space="preserve"> 1016, 1025; std. 1.3.) </w:t>
      </w:r>
    </w:p>
    <w:p w:rsidR="00CC56DB" w:rsidRDefault="00CC56DB" w:rsidP="00CC56DB">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rsidR="00CC56DB" w:rsidRDefault="00737453" w:rsidP="00CC56DB">
      <w:pPr>
        <w:spacing w:line="480" w:lineRule="auto"/>
        <w:ind w:firstLine="720"/>
      </w:pPr>
      <w:r>
        <w:t xml:space="preserve">Standards 2.2(a), </w:t>
      </w:r>
      <w:r w:rsidR="00CC56DB">
        <w:t xml:space="preserve">2.3, </w:t>
      </w:r>
      <w:r>
        <w:t>and 2.6</w:t>
      </w:r>
      <w:r w:rsidR="00CC56DB">
        <w:t xml:space="preserve">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w:t>
      </w:r>
      <w:r w:rsidR="00755505">
        <w:t xml:space="preserve"> a one-</w:t>
      </w:r>
      <w:r w:rsidR="00CC56DB">
        <w:t>year actual suspension.</w:t>
      </w:r>
    </w:p>
    <w:p w:rsidR="00CC56DB" w:rsidRDefault="00CC56DB" w:rsidP="00CC56DB">
      <w:pPr>
        <w:spacing w:line="480" w:lineRule="auto"/>
        <w:ind w:firstLine="720"/>
      </w:pPr>
      <w:r>
        <w:t>The Supreme Court gives the standards “great weight” and will reject a recommendation consistent with the standards only where the court entertains “grave doubts” as to its propriety.  (</w:t>
      </w:r>
      <w:r w:rsidRPr="0003569F">
        <w:rPr>
          <w:i/>
        </w:rPr>
        <w:t>In re Silverton</w:t>
      </w:r>
      <w:r>
        <w:t xml:space="preserve"> (2005) 36 </w:t>
      </w:r>
      <w:proofErr w:type="spellStart"/>
      <w:r>
        <w:t>Cal.4th</w:t>
      </w:r>
      <w:proofErr w:type="spellEnd"/>
      <w:r>
        <w:t xml:space="preserve"> 81, </w:t>
      </w:r>
      <w:r w:rsidRPr="00EB6947">
        <w:t>91-92</w:t>
      </w:r>
      <w:r>
        <w:t xml:space="preserve">; </w:t>
      </w:r>
      <w:r w:rsidRPr="0003569F">
        <w:rPr>
          <w:i/>
        </w:rPr>
        <w:t xml:space="preserve">In re </w:t>
      </w:r>
      <w:proofErr w:type="spellStart"/>
      <w:r w:rsidRPr="0003569F">
        <w:rPr>
          <w:i/>
        </w:rPr>
        <w:t>Naney</w:t>
      </w:r>
      <w:proofErr w:type="spellEnd"/>
      <w:r>
        <w:t xml:space="preserve"> (1990) 51 </w:t>
      </w:r>
      <w:proofErr w:type="spellStart"/>
      <w:r>
        <w:t>Cal.3d</w:t>
      </w:r>
      <w:proofErr w:type="spellEnd"/>
      <w:r>
        <w:t xml:space="preserve"> 186, 190.)  The standards are not mandatory; they may be deviated from when there is a compelling, well-defined reason to do so.  (</w:t>
      </w:r>
      <w:r w:rsidRPr="0003569F">
        <w:rPr>
          <w:i/>
        </w:rPr>
        <w:t>Bates v. State Bar</w:t>
      </w:r>
      <w:r>
        <w:t xml:space="preserve"> (1990) 51 </w:t>
      </w:r>
      <w:proofErr w:type="spellStart"/>
      <w:r>
        <w:t>Cal.3d</w:t>
      </w:r>
      <w:proofErr w:type="spellEnd"/>
      <w:r>
        <w:t xml:space="preserve"> 1056, 1061, fn. 2; </w:t>
      </w:r>
      <w:proofErr w:type="spellStart"/>
      <w:r w:rsidRPr="0003569F">
        <w:rPr>
          <w:i/>
        </w:rPr>
        <w:t>Aronin</w:t>
      </w:r>
      <w:proofErr w:type="spellEnd"/>
      <w:r w:rsidRPr="0003569F">
        <w:rPr>
          <w:i/>
        </w:rPr>
        <w:t xml:space="preserve"> v. State Bar</w:t>
      </w:r>
      <w:r>
        <w:t xml:space="preserve"> (1990) 52 </w:t>
      </w:r>
      <w:proofErr w:type="spellStart"/>
      <w:r>
        <w:t>Cal.3d</w:t>
      </w:r>
      <w:proofErr w:type="spellEnd"/>
      <w:r>
        <w:t xml:space="preserve"> 276, 291.)</w:t>
      </w:r>
    </w:p>
    <w:p w:rsidR="00EE6B79" w:rsidRDefault="00CC56DB" w:rsidP="00EE6B79">
      <w:pPr>
        <w:spacing w:line="480" w:lineRule="auto"/>
        <w:ind w:firstLine="720"/>
      </w:pPr>
      <w:r>
        <w:t xml:space="preserve">The State Bar urges that respondent </w:t>
      </w:r>
      <w:r w:rsidR="00EB1EFD">
        <w:t xml:space="preserve">should </w:t>
      </w:r>
      <w:r>
        <w:t xml:space="preserve">be disbarred.  The court agrees.  The Supreme Court has repeatedly held that disbarment is the usual discipline for willful misappropriation.  (See </w:t>
      </w:r>
      <w:r w:rsidRPr="0003569F">
        <w:rPr>
          <w:i/>
        </w:rPr>
        <w:t>Edwards v. State Bar</w:t>
      </w:r>
      <w:r>
        <w:t xml:space="preserve"> (1990) 52 </w:t>
      </w:r>
      <w:proofErr w:type="spellStart"/>
      <w:r>
        <w:t>Cal.3d</w:t>
      </w:r>
      <w:proofErr w:type="spellEnd"/>
      <w:r>
        <w:t xml:space="preserve"> 28, 37; and </w:t>
      </w:r>
      <w:r w:rsidRPr="0003569F">
        <w:rPr>
          <w:i/>
        </w:rPr>
        <w:t xml:space="preserve">Howard v. State Bar </w:t>
      </w:r>
      <w:r>
        <w:t xml:space="preserve">(1990) 51 </w:t>
      </w:r>
      <w:proofErr w:type="spellStart"/>
      <w:r>
        <w:t>Cal.3d</w:t>
      </w:r>
      <w:proofErr w:type="spellEnd"/>
      <w:r>
        <w:t xml:space="preserve"> 215, 221.)  </w:t>
      </w:r>
      <w:r w:rsidR="00EE6B79">
        <w:t>In addition, an attorney’s willful failure to comply with rule 9.20, subdivision</w:t>
      </w:r>
      <w:r w:rsidR="009177A7">
        <w:t xml:space="preserve"> (c)</w:t>
      </w:r>
      <w:r w:rsidR="00EE6B79">
        <w:t xml:space="preserve"> is extremely serious misconduct for which disbarment is also generally considered the appropriate sanction.  (</w:t>
      </w:r>
      <w:proofErr w:type="spellStart"/>
      <w:r w:rsidR="00EE6B79" w:rsidRPr="00833892">
        <w:rPr>
          <w:i/>
        </w:rPr>
        <w:t>Bercovich</w:t>
      </w:r>
      <w:proofErr w:type="spellEnd"/>
      <w:r w:rsidR="00EE6B79" w:rsidRPr="00833892">
        <w:rPr>
          <w:i/>
        </w:rPr>
        <w:t xml:space="preserve"> v. State Bar</w:t>
      </w:r>
      <w:r w:rsidR="00EE6B79">
        <w:t xml:space="preserve"> (1990) 50 </w:t>
      </w:r>
      <w:proofErr w:type="spellStart"/>
      <w:r w:rsidR="00EE6B79">
        <w:t>Cal.3d</w:t>
      </w:r>
      <w:proofErr w:type="spellEnd"/>
      <w:r w:rsidR="00EE6B79">
        <w:t xml:space="preserve"> 116, 131.)  </w:t>
      </w:r>
    </w:p>
    <w:p w:rsidR="00CC56DB" w:rsidRDefault="00061F89" w:rsidP="00CC56DB">
      <w:pPr>
        <w:spacing w:line="480" w:lineRule="auto"/>
        <w:ind w:firstLine="720"/>
      </w:pPr>
      <w:r>
        <w:t xml:space="preserve">Here, respondent </w:t>
      </w:r>
      <w:r w:rsidR="00EE6B79">
        <w:t xml:space="preserve">willingly </w:t>
      </w:r>
      <w:r>
        <w:t xml:space="preserve">abandoned </w:t>
      </w:r>
      <w:r w:rsidR="00EE6B79">
        <w:t>his</w:t>
      </w:r>
      <w:r>
        <w:t xml:space="preserve"> fiduciary duties</w:t>
      </w:r>
      <w:r w:rsidR="00EE6B79">
        <w:t xml:space="preserve"> owed to his father and siblings in exchange for his own financial benefit.  Respondent has </w:t>
      </w:r>
      <w:r w:rsidR="00185AE6">
        <w:t>simultaneously</w:t>
      </w:r>
      <w:r w:rsidR="00EE6B79">
        <w:t xml:space="preserve"> demonstrated an inability or unwillingness to comply with the professional obligations and rules of court imposed on California attorneys.  </w:t>
      </w:r>
      <w:r w:rsidR="00CC56DB">
        <w:t xml:space="preserve">Based on respondent’s egregious misconduct, his failure to participate in the present proceedings, and the </w:t>
      </w:r>
      <w:r w:rsidR="00606A87">
        <w:t xml:space="preserve">other </w:t>
      </w:r>
      <w:r w:rsidR="00CC56DB">
        <w:t>factors in aggravation, the court finds no reason to deviate from the standards.  Therefore, it is recommended that respondent be disbarred.</w:t>
      </w:r>
    </w:p>
    <w:p w:rsidR="00A14074" w:rsidRDefault="00A14074" w:rsidP="00A14074">
      <w:pPr>
        <w:spacing w:line="480" w:lineRule="auto"/>
        <w:jc w:val="center"/>
        <w:rPr>
          <w:b/>
        </w:rPr>
      </w:pPr>
      <w:r>
        <w:rPr>
          <w:b/>
        </w:rPr>
        <w:t xml:space="preserve">VI. </w:t>
      </w:r>
      <w:r w:rsidRPr="003E41D9">
        <w:rPr>
          <w:b/>
        </w:rPr>
        <w:t>R</w:t>
      </w:r>
      <w:r>
        <w:rPr>
          <w:b/>
        </w:rPr>
        <w:t>ecommendations</w:t>
      </w:r>
    </w:p>
    <w:p w:rsidR="00CC56DB" w:rsidRDefault="00CC56DB" w:rsidP="006A74A9">
      <w:pPr>
        <w:spacing w:line="480" w:lineRule="auto"/>
        <w:ind w:firstLine="720"/>
      </w:pPr>
      <w:r>
        <w:t xml:space="preserve">The court recommends that respondent </w:t>
      </w:r>
      <w:r w:rsidR="001631AE">
        <w:rPr>
          <w:b/>
        </w:rPr>
        <w:t>James Allen Macy</w:t>
      </w:r>
      <w:r>
        <w:t xml:space="preserve"> be disbarred from the practice of law in the State of California and that his name be stricken from the roll of attorneys in this state.</w:t>
      </w:r>
    </w:p>
    <w:p w:rsidR="00A14074" w:rsidRPr="001805FC" w:rsidRDefault="001631AE" w:rsidP="001805FC">
      <w:pPr>
        <w:spacing w:line="480" w:lineRule="auto"/>
        <w:rPr>
          <w:b/>
        </w:rPr>
      </w:pPr>
      <w:r>
        <w:rPr>
          <w:b/>
        </w:rPr>
        <w:t>A</w:t>
      </w:r>
      <w:r w:rsidR="001805FC">
        <w:rPr>
          <w:b/>
        </w:rPr>
        <w:t xml:space="preserve">.  </w:t>
      </w:r>
      <w:r w:rsidR="00A14074" w:rsidRPr="001805FC">
        <w:rPr>
          <w:b/>
        </w:rPr>
        <w:t>California Rules of Court, Rule 9.20</w:t>
      </w:r>
    </w:p>
    <w:p w:rsidR="00A14074" w:rsidRDefault="00CC56DB" w:rsidP="001805FC">
      <w:pPr>
        <w:spacing w:line="480" w:lineRule="auto"/>
        <w:ind w:firstLine="720"/>
        <w:rPr>
          <w:b/>
          <w:u w:val="single"/>
        </w:rPr>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7"/>
      </w:r>
    </w:p>
    <w:p w:rsidR="00606A87" w:rsidRDefault="00606A87" w:rsidP="001805FC">
      <w:pPr>
        <w:spacing w:line="480" w:lineRule="auto"/>
        <w:rPr>
          <w:b/>
        </w:rPr>
      </w:pPr>
    </w:p>
    <w:p w:rsidR="00606A87" w:rsidRDefault="00606A87" w:rsidP="001805FC">
      <w:pPr>
        <w:spacing w:line="480" w:lineRule="auto"/>
        <w:rPr>
          <w:b/>
        </w:rPr>
      </w:pPr>
    </w:p>
    <w:p w:rsidR="00A14074" w:rsidRPr="001805FC" w:rsidRDefault="001631AE" w:rsidP="001805FC">
      <w:pPr>
        <w:spacing w:line="480" w:lineRule="auto"/>
        <w:rPr>
          <w:b/>
        </w:rPr>
      </w:pPr>
      <w:r>
        <w:rPr>
          <w:b/>
        </w:rPr>
        <w:t>B</w:t>
      </w:r>
      <w:r w:rsidR="001805FC">
        <w:rPr>
          <w:b/>
        </w:rPr>
        <w:t xml:space="preserve">.  </w:t>
      </w:r>
      <w:r w:rsidR="00A14074" w:rsidRPr="001805FC">
        <w:rPr>
          <w:b/>
        </w:rPr>
        <w:t>Costs</w:t>
      </w:r>
    </w:p>
    <w:p w:rsidR="00A14074" w:rsidRDefault="00CC56DB" w:rsidP="00A14074">
      <w:pPr>
        <w:spacing w:line="480" w:lineRule="auto"/>
        <w:ind w:firstLine="720"/>
        <w:rPr>
          <w:b/>
          <w:u w:val="single"/>
        </w:rPr>
      </w:pPr>
      <w:r>
        <w:t>It is recommended that costs be awarded to the State Bar in accordance with Business and Professions Code section 6086.10 and are enforceable both as provided in Business and Professions Code section 6140.7 and as a money judgment.</w:t>
      </w:r>
    </w:p>
    <w:p w:rsidR="00A14074" w:rsidRPr="003E41D9" w:rsidRDefault="00A14074" w:rsidP="00A14074">
      <w:pPr>
        <w:spacing w:line="480" w:lineRule="auto"/>
        <w:jc w:val="center"/>
        <w:rPr>
          <w:b/>
        </w:rPr>
      </w:pPr>
      <w:r>
        <w:rPr>
          <w:b/>
        </w:rPr>
        <w:t xml:space="preserve">VII. </w:t>
      </w:r>
      <w:r w:rsidRPr="003E41D9">
        <w:rPr>
          <w:b/>
        </w:rPr>
        <w:t>O</w:t>
      </w:r>
      <w:r>
        <w:rPr>
          <w:b/>
        </w:rPr>
        <w:t>rder of Involuntary Inactive Enrollment</w:t>
      </w:r>
    </w:p>
    <w:p w:rsidR="00CC56DB" w:rsidRDefault="00CC56DB" w:rsidP="00CC56DB">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5.111(D)(1).)</w:t>
      </w:r>
    </w:p>
    <w:p w:rsidR="00A14074" w:rsidRDefault="00A14074" w:rsidP="00A14074">
      <w:pPr>
        <w:spacing w:line="480" w:lineRule="auto"/>
        <w:ind w:firstLine="720"/>
        <w:rPr>
          <w:b/>
          <w:u w:val="single"/>
        </w:rPr>
      </w:pPr>
    </w:p>
    <w:p w:rsidR="00A14074" w:rsidRDefault="00A14074" w:rsidP="00A14074">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A14074" w:rsidTr="003950F4">
        <w:tc>
          <w:tcPr>
            <w:tcW w:w="4800" w:type="dxa"/>
            <w:tcBorders>
              <w:left w:val="nil"/>
              <w:bottom w:val="nil"/>
            </w:tcBorders>
          </w:tcPr>
          <w:p w:rsidR="00A14074" w:rsidRDefault="00A14074" w:rsidP="00F064A0">
            <w:pPr>
              <w:pStyle w:val="Header"/>
              <w:tabs>
                <w:tab w:val="clear" w:pos="4320"/>
                <w:tab w:val="clear" w:pos="8640"/>
              </w:tabs>
            </w:pPr>
            <w:r>
              <w:t xml:space="preserve">Dated:  </w:t>
            </w:r>
            <w:r w:rsidR="00F064A0">
              <w:t>May 23, 2011.</w:t>
            </w:r>
          </w:p>
        </w:tc>
        <w:tc>
          <w:tcPr>
            <w:tcW w:w="4565" w:type="dxa"/>
            <w:tcBorders>
              <w:top w:val="single" w:sz="4" w:space="0" w:color="auto"/>
              <w:bottom w:val="nil"/>
              <w:right w:val="nil"/>
            </w:tcBorders>
          </w:tcPr>
          <w:p w:rsidR="00A14074" w:rsidRDefault="00A14074" w:rsidP="0084636A">
            <w:bookmarkStart w:id="6" w:name="judge"/>
            <w:bookmarkEnd w:id="6"/>
            <w:r>
              <w:t xml:space="preserve">RICHARD A. </w:t>
            </w:r>
            <w:r w:rsidR="0084636A">
              <w:t>PLATEL</w:t>
            </w:r>
          </w:p>
        </w:tc>
      </w:tr>
      <w:tr w:rsidR="00A14074" w:rsidTr="003950F4">
        <w:tc>
          <w:tcPr>
            <w:tcW w:w="4800" w:type="dxa"/>
            <w:tcBorders>
              <w:left w:val="nil"/>
              <w:bottom w:val="nil"/>
            </w:tcBorders>
          </w:tcPr>
          <w:p w:rsidR="00A14074" w:rsidRDefault="00A14074" w:rsidP="003950F4"/>
        </w:tc>
        <w:tc>
          <w:tcPr>
            <w:tcW w:w="4565" w:type="dxa"/>
            <w:tcBorders>
              <w:bottom w:val="nil"/>
              <w:right w:val="nil"/>
            </w:tcBorders>
          </w:tcPr>
          <w:p w:rsidR="00A14074" w:rsidRDefault="00A14074" w:rsidP="003950F4">
            <w:r>
              <w:t>Judge of the State Bar Court</w:t>
            </w:r>
          </w:p>
        </w:tc>
      </w:tr>
    </w:tbl>
    <w:p w:rsidR="00A14074" w:rsidRDefault="00A14074" w:rsidP="00A14074">
      <w:pPr>
        <w:spacing w:line="480" w:lineRule="auto"/>
      </w:pPr>
    </w:p>
    <w:p w:rsidR="00A14074" w:rsidRDefault="00A14074" w:rsidP="00BE1D12">
      <w:pPr>
        <w:rPr>
          <w:b/>
        </w:rPr>
      </w:pPr>
    </w:p>
    <w:p w:rsidR="00A14074" w:rsidRPr="00F45FA1" w:rsidRDefault="00A14074" w:rsidP="00BE1D12">
      <w:pPr>
        <w:rPr>
          <w:b/>
        </w:rPr>
      </w:pPr>
    </w:p>
    <w:sectPr w:rsidR="00A14074" w:rsidRPr="00F45FA1" w:rsidSect="00DC138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56" w:rsidRDefault="00143856" w:rsidP="00A14074">
      <w:r>
        <w:separator/>
      </w:r>
    </w:p>
  </w:endnote>
  <w:endnote w:type="continuationSeparator" w:id="0">
    <w:p w:rsidR="00143856" w:rsidRDefault="00143856" w:rsidP="00A1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C" w:rsidRDefault="00623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49"/>
      <w:docPartObj>
        <w:docPartGallery w:val="Page Numbers (Bottom of Page)"/>
        <w:docPartUnique/>
      </w:docPartObj>
    </w:sdtPr>
    <w:sdtContent>
      <w:p w:rsidR="00DC138B" w:rsidRDefault="001D1C09">
        <w:pPr>
          <w:pStyle w:val="Footer"/>
          <w:jc w:val="center"/>
        </w:pPr>
        <w:fldSimple w:instr=" PAGE   \* MERGEFORMAT ">
          <w:r w:rsidR="0062345C">
            <w:rPr>
              <w:noProof/>
            </w:rPr>
            <w:t>2</w:t>
          </w:r>
        </w:fldSimple>
      </w:p>
    </w:sdtContent>
  </w:sdt>
  <w:p w:rsidR="00A53BBA" w:rsidRDefault="00A53B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C" w:rsidRDefault="00623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56" w:rsidRDefault="00143856" w:rsidP="00A14074">
      <w:r>
        <w:separator/>
      </w:r>
    </w:p>
  </w:footnote>
  <w:footnote w:type="continuationSeparator" w:id="0">
    <w:p w:rsidR="00143856" w:rsidRDefault="00143856" w:rsidP="00A14074">
      <w:r>
        <w:continuationSeparator/>
      </w:r>
    </w:p>
  </w:footnote>
  <w:footnote w:id="1">
    <w:p w:rsidR="00A53BBA" w:rsidRDefault="00A53BBA" w:rsidP="000F57DB">
      <w:pPr>
        <w:pStyle w:val="FootnoteText"/>
      </w:pPr>
      <w:r>
        <w:rPr>
          <w:rStyle w:val="FootnoteReference"/>
        </w:rPr>
        <w:footnoteRef/>
      </w:r>
      <w:r>
        <w:t xml:space="preserve"> Effective January 1, 2011, the Rules of Procedure of the State Bar of California were amended.  Based on the court’s determination that injustice would otherwise result, the court applied the Former Rules of Procedure in this proceeding.</w:t>
      </w:r>
    </w:p>
  </w:footnote>
  <w:footnote w:id="2">
    <w:p w:rsidR="00A53BBA" w:rsidRDefault="00A53BBA" w:rsidP="000F57DB">
      <w:pPr>
        <w:pStyle w:val="FootnoteText"/>
      </w:pPr>
      <w:r>
        <w:rPr>
          <w:rStyle w:val="FootnoteReference"/>
        </w:rPr>
        <w:footnoteRef/>
      </w:r>
      <w:r>
        <w:t xml:space="preserve"> The State Bar also requested that the court take judicial notice of respondent’s official membership records address history.  The court grants this request.</w:t>
      </w:r>
    </w:p>
  </w:footnote>
  <w:footnote w:id="3">
    <w:p w:rsidR="005461E3" w:rsidRDefault="005461E3" w:rsidP="005461E3">
      <w:pPr>
        <w:ind w:firstLine="720"/>
      </w:pPr>
      <w:r>
        <w:rPr>
          <w:rStyle w:val="FootnoteReference"/>
        </w:rPr>
        <w:footnoteRef/>
      </w:r>
      <w:r>
        <w:t xml:space="preserve"> </w:t>
      </w:r>
      <w:proofErr w:type="spellStart"/>
      <w:r>
        <w:t>Giacinti</w:t>
      </w:r>
      <w:proofErr w:type="spellEnd"/>
      <w:r>
        <w:t xml:space="preserve"> previously represented respondent before the State Bar Court in Case No. 07-O-13002.</w:t>
      </w:r>
    </w:p>
  </w:footnote>
  <w:footnote w:id="4">
    <w:p w:rsidR="00A53BBA" w:rsidRDefault="00A53BBA" w:rsidP="00DF55AC">
      <w:pPr>
        <w:ind w:firstLine="720"/>
      </w:pPr>
      <w:r>
        <w:rPr>
          <w:rStyle w:val="FootnoteReference"/>
        </w:rPr>
        <w:footnoteRef/>
      </w:r>
      <w:r>
        <w:t xml:space="preserve"> Respondent’s involuntary inactive enrollment pursuant to Business and Professions Code section 6007, subdivision (e), was effective three days after the service of this order by mail. </w:t>
      </w:r>
    </w:p>
  </w:footnote>
  <w:footnote w:id="5">
    <w:p w:rsidR="00A53BBA" w:rsidRDefault="00A53BBA" w:rsidP="003C3AC9">
      <w:pPr>
        <w:pStyle w:val="FootnoteText"/>
      </w:pPr>
      <w:r>
        <w:rPr>
          <w:rStyle w:val="FootnoteReference"/>
        </w:rPr>
        <w:footnoteRef/>
      </w:r>
      <w:r>
        <w:t xml:space="preserve"> Unless otherwise indicated, all further statutory references are to the Business and Professions Code.</w:t>
      </w:r>
    </w:p>
  </w:footnote>
  <w:footnote w:id="6">
    <w:p w:rsidR="00086EF6" w:rsidRDefault="00086EF6" w:rsidP="00086EF6">
      <w:pPr>
        <w:pStyle w:val="FootnoteText"/>
      </w:pPr>
      <w:r>
        <w:rPr>
          <w:rStyle w:val="FootnoteReference"/>
        </w:rPr>
        <w:footnoteRef/>
      </w:r>
      <w:r>
        <w:t xml:space="preserve"> All further references to standard(s) are to this source.</w:t>
      </w:r>
    </w:p>
  </w:footnote>
  <w:footnote w:id="7">
    <w:p w:rsidR="00A53BBA" w:rsidRDefault="00A53BBA" w:rsidP="00CC56DB">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w:t>
      </w:r>
      <w:proofErr w:type="spellStart"/>
      <w:r>
        <w:t>Cal.3d</w:t>
      </w:r>
      <w:proofErr w:type="spellEnd"/>
      <w:r>
        <w:t xml:space="preserve">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C" w:rsidRDefault="00623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C" w:rsidRDefault="006234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5C" w:rsidRDefault="00623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2923C2C"/>
    <w:multiLevelType w:val="hybridMultilevel"/>
    <w:tmpl w:val="4A4C9F9A"/>
    <w:lvl w:ilvl="0" w:tplc="464676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2347EE"/>
    <w:multiLevelType w:val="hybridMultilevel"/>
    <w:tmpl w:val="BB846AFA"/>
    <w:lvl w:ilvl="0" w:tplc="59966A2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45FA1"/>
    <w:rsid w:val="000145E6"/>
    <w:rsid w:val="000259C2"/>
    <w:rsid w:val="00046DDD"/>
    <w:rsid w:val="00061F89"/>
    <w:rsid w:val="000839B7"/>
    <w:rsid w:val="00086EF6"/>
    <w:rsid w:val="000A3C42"/>
    <w:rsid w:val="000D0F58"/>
    <w:rsid w:val="000E25E0"/>
    <w:rsid w:val="000E626F"/>
    <w:rsid w:val="000F57DB"/>
    <w:rsid w:val="00101CC2"/>
    <w:rsid w:val="001312A5"/>
    <w:rsid w:val="00143856"/>
    <w:rsid w:val="001631AE"/>
    <w:rsid w:val="0017236C"/>
    <w:rsid w:val="00177FA9"/>
    <w:rsid w:val="001805FC"/>
    <w:rsid w:val="001842F0"/>
    <w:rsid w:val="00185AE6"/>
    <w:rsid w:val="00190634"/>
    <w:rsid w:val="0019402F"/>
    <w:rsid w:val="001C4C73"/>
    <w:rsid w:val="001D1C09"/>
    <w:rsid w:val="001D3E81"/>
    <w:rsid w:val="001D46C3"/>
    <w:rsid w:val="001D5B0B"/>
    <w:rsid w:val="0021030A"/>
    <w:rsid w:val="002176A7"/>
    <w:rsid w:val="00226685"/>
    <w:rsid w:val="0025579C"/>
    <w:rsid w:val="0029053E"/>
    <w:rsid w:val="00291E78"/>
    <w:rsid w:val="002B17FF"/>
    <w:rsid w:val="002D0148"/>
    <w:rsid w:val="002F30AF"/>
    <w:rsid w:val="00325717"/>
    <w:rsid w:val="003313E4"/>
    <w:rsid w:val="00347794"/>
    <w:rsid w:val="00367001"/>
    <w:rsid w:val="00375EA2"/>
    <w:rsid w:val="003950F4"/>
    <w:rsid w:val="00395177"/>
    <w:rsid w:val="003A685A"/>
    <w:rsid w:val="003B7851"/>
    <w:rsid w:val="003C3AC9"/>
    <w:rsid w:val="003D1657"/>
    <w:rsid w:val="003D6125"/>
    <w:rsid w:val="003E00C3"/>
    <w:rsid w:val="00401D40"/>
    <w:rsid w:val="00404D8A"/>
    <w:rsid w:val="00427D0C"/>
    <w:rsid w:val="004441FA"/>
    <w:rsid w:val="0046620A"/>
    <w:rsid w:val="0046658C"/>
    <w:rsid w:val="004E3E66"/>
    <w:rsid w:val="004E7EA8"/>
    <w:rsid w:val="004F17B1"/>
    <w:rsid w:val="004F2543"/>
    <w:rsid w:val="00507662"/>
    <w:rsid w:val="00515FF8"/>
    <w:rsid w:val="00534409"/>
    <w:rsid w:val="005461E3"/>
    <w:rsid w:val="005541D4"/>
    <w:rsid w:val="00557043"/>
    <w:rsid w:val="005629FD"/>
    <w:rsid w:val="00571B8F"/>
    <w:rsid w:val="00595EA3"/>
    <w:rsid w:val="005A4312"/>
    <w:rsid w:val="005E1D05"/>
    <w:rsid w:val="00606A87"/>
    <w:rsid w:val="006077AA"/>
    <w:rsid w:val="00611636"/>
    <w:rsid w:val="00623081"/>
    <w:rsid w:val="0062345C"/>
    <w:rsid w:val="0063785A"/>
    <w:rsid w:val="00640AAA"/>
    <w:rsid w:val="00652B0A"/>
    <w:rsid w:val="00690FF0"/>
    <w:rsid w:val="006A74A9"/>
    <w:rsid w:val="006B6596"/>
    <w:rsid w:val="006D6135"/>
    <w:rsid w:val="00715A6D"/>
    <w:rsid w:val="00715B74"/>
    <w:rsid w:val="00726D05"/>
    <w:rsid w:val="00737453"/>
    <w:rsid w:val="00747BBF"/>
    <w:rsid w:val="00751A0E"/>
    <w:rsid w:val="00753445"/>
    <w:rsid w:val="00755505"/>
    <w:rsid w:val="00760915"/>
    <w:rsid w:val="0077557E"/>
    <w:rsid w:val="007B564E"/>
    <w:rsid w:val="007B65DD"/>
    <w:rsid w:val="00821AA1"/>
    <w:rsid w:val="0084636A"/>
    <w:rsid w:val="008614B8"/>
    <w:rsid w:val="0086260F"/>
    <w:rsid w:val="0089144E"/>
    <w:rsid w:val="00893A03"/>
    <w:rsid w:val="008A0430"/>
    <w:rsid w:val="008A2513"/>
    <w:rsid w:val="008B1EE6"/>
    <w:rsid w:val="008B251B"/>
    <w:rsid w:val="008B4D28"/>
    <w:rsid w:val="008C2032"/>
    <w:rsid w:val="008C291C"/>
    <w:rsid w:val="00906F30"/>
    <w:rsid w:val="009177A7"/>
    <w:rsid w:val="0094028B"/>
    <w:rsid w:val="0094531C"/>
    <w:rsid w:val="009A07A0"/>
    <w:rsid w:val="009B3831"/>
    <w:rsid w:val="009C0FCA"/>
    <w:rsid w:val="00A14074"/>
    <w:rsid w:val="00A165CD"/>
    <w:rsid w:val="00A42D83"/>
    <w:rsid w:val="00A53BBA"/>
    <w:rsid w:val="00A55F0E"/>
    <w:rsid w:val="00A60898"/>
    <w:rsid w:val="00A611D5"/>
    <w:rsid w:val="00A7482F"/>
    <w:rsid w:val="00A7776B"/>
    <w:rsid w:val="00AB6D14"/>
    <w:rsid w:val="00AC1466"/>
    <w:rsid w:val="00AD4A65"/>
    <w:rsid w:val="00AE0521"/>
    <w:rsid w:val="00AE0617"/>
    <w:rsid w:val="00B323F8"/>
    <w:rsid w:val="00B463F8"/>
    <w:rsid w:val="00B60C83"/>
    <w:rsid w:val="00B63462"/>
    <w:rsid w:val="00B732F6"/>
    <w:rsid w:val="00B91B87"/>
    <w:rsid w:val="00B9257D"/>
    <w:rsid w:val="00B97776"/>
    <w:rsid w:val="00BE1D12"/>
    <w:rsid w:val="00BE5F45"/>
    <w:rsid w:val="00C02E71"/>
    <w:rsid w:val="00C345A8"/>
    <w:rsid w:val="00C4046F"/>
    <w:rsid w:val="00C63EAA"/>
    <w:rsid w:val="00CB75D7"/>
    <w:rsid w:val="00CB7D2E"/>
    <w:rsid w:val="00CC56DB"/>
    <w:rsid w:val="00CD7316"/>
    <w:rsid w:val="00CE03B1"/>
    <w:rsid w:val="00CE1CBC"/>
    <w:rsid w:val="00D12B97"/>
    <w:rsid w:val="00D57579"/>
    <w:rsid w:val="00D73A57"/>
    <w:rsid w:val="00D97EB1"/>
    <w:rsid w:val="00DC138B"/>
    <w:rsid w:val="00DD458F"/>
    <w:rsid w:val="00DF25BB"/>
    <w:rsid w:val="00DF55AC"/>
    <w:rsid w:val="00E141E3"/>
    <w:rsid w:val="00E31529"/>
    <w:rsid w:val="00E572AE"/>
    <w:rsid w:val="00E75CAC"/>
    <w:rsid w:val="00E87A61"/>
    <w:rsid w:val="00EA3CD7"/>
    <w:rsid w:val="00EB1EFD"/>
    <w:rsid w:val="00EB710C"/>
    <w:rsid w:val="00ED6DD1"/>
    <w:rsid w:val="00EE0A02"/>
    <w:rsid w:val="00EE6B79"/>
    <w:rsid w:val="00F064A0"/>
    <w:rsid w:val="00F157E4"/>
    <w:rsid w:val="00F177C7"/>
    <w:rsid w:val="00F4306E"/>
    <w:rsid w:val="00F45FA1"/>
    <w:rsid w:val="00F6789D"/>
    <w:rsid w:val="00F900E2"/>
    <w:rsid w:val="00FB51FD"/>
    <w:rsid w:val="00FC12D2"/>
    <w:rsid w:val="00FD0E9D"/>
    <w:rsid w:val="00FE23F4"/>
    <w:rsid w:val="00FF103E"/>
    <w:rsid w:val="00FF4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2E"/>
    <w:pPr>
      <w:spacing w:after="0" w:line="240" w:lineRule="auto"/>
    </w:pPr>
    <w:rPr>
      <w:rFonts w:ascii="Times New Roman" w:hAnsi="Times New Roman"/>
      <w:sz w:val="24"/>
    </w:rPr>
  </w:style>
  <w:style w:type="paragraph" w:styleId="Heading1">
    <w:name w:val="heading 1"/>
    <w:basedOn w:val="Normal"/>
    <w:next w:val="Normal"/>
    <w:link w:val="Heading1Char"/>
    <w:qFormat/>
    <w:rsid w:val="00A14074"/>
    <w:pPr>
      <w:keepNext/>
      <w:spacing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12"/>
    <w:pPr>
      <w:ind w:left="720"/>
      <w:contextualSpacing/>
    </w:pPr>
  </w:style>
  <w:style w:type="character" w:customStyle="1" w:styleId="Heading1Char">
    <w:name w:val="Heading 1 Char"/>
    <w:basedOn w:val="DefaultParagraphFont"/>
    <w:link w:val="Heading1"/>
    <w:rsid w:val="00A14074"/>
    <w:rPr>
      <w:rFonts w:ascii="Times New Roman" w:eastAsia="Times New Roman" w:hAnsi="Times New Roman" w:cs="Times New Roman"/>
      <w:b/>
      <w:bCs/>
      <w:sz w:val="24"/>
      <w:szCs w:val="24"/>
    </w:rPr>
  </w:style>
  <w:style w:type="paragraph" w:styleId="Header">
    <w:name w:val="header"/>
    <w:basedOn w:val="Normal"/>
    <w:link w:val="HeaderChar"/>
    <w:semiHidden/>
    <w:rsid w:val="00A14074"/>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semiHidden/>
    <w:rsid w:val="00A1407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A14074"/>
    <w:pPr>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A14074"/>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A14074"/>
    <w:rPr>
      <w:vertAlign w:val="superscript"/>
    </w:rPr>
  </w:style>
  <w:style w:type="paragraph" w:styleId="BalloonText">
    <w:name w:val="Balloon Text"/>
    <w:basedOn w:val="Normal"/>
    <w:link w:val="BalloonTextChar"/>
    <w:uiPriority w:val="99"/>
    <w:semiHidden/>
    <w:unhideWhenUsed/>
    <w:rsid w:val="00A14074"/>
    <w:rPr>
      <w:rFonts w:ascii="Tahoma" w:hAnsi="Tahoma" w:cs="Tahoma"/>
      <w:sz w:val="16"/>
      <w:szCs w:val="16"/>
    </w:rPr>
  </w:style>
  <w:style w:type="character" w:customStyle="1" w:styleId="BalloonTextChar">
    <w:name w:val="Balloon Text Char"/>
    <w:basedOn w:val="DefaultParagraphFont"/>
    <w:link w:val="BalloonText"/>
    <w:uiPriority w:val="99"/>
    <w:semiHidden/>
    <w:rsid w:val="00A14074"/>
    <w:rPr>
      <w:rFonts w:ascii="Tahoma" w:hAnsi="Tahoma" w:cs="Tahoma"/>
      <w:sz w:val="16"/>
      <w:szCs w:val="16"/>
    </w:rPr>
  </w:style>
  <w:style w:type="paragraph" w:styleId="Footer">
    <w:name w:val="footer"/>
    <w:basedOn w:val="Normal"/>
    <w:link w:val="FooterChar"/>
    <w:uiPriority w:val="99"/>
    <w:unhideWhenUsed/>
    <w:rsid w:val="00D97EB1"/>
    <w:pPr>
      <w:tabs>
        <w:tab w:val="center" w:pos="4680"/>
        <w:tab w:val="right" w:pos="9360"/>
      </w:tabs>
    </w:pPr>
  </w:style>
  <w:style w:type="character" w:customStyle="1" w:styleId="FooterChar">
    <w:name w:val="Footer Char"/>
    <w:basedOn w:val="DefaultParagraphFont"/>
    <w:link w:val="Footer"/>
    <w:uiPriority w:val="99"/>
    <w:rsid w:val="00D97EB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3335359">
      <w:bodyDiv w:val="1"/>
      <w:marLeft w:val="0"/>
      <w:marRight w:val="0"/>
      <w:marTop w:val="0"/>
      <w:marBottom w:val="0"/>
      <w:divBdr>
        <w:top w:val="none" w:sz="0" w:space="0" w:color="auto"/>
        <w:left w:val="none" w:sz="0" w:space="0" w:color="auto"/>
        <w:bottom w:val="none" w:sz="0" w:space="0" w:color="auto"/>
        <w:right w:val="none" w:sz="0" w:space="0" w:color="auto"/>
      </w:divBdr>
    </w:div>
    <w:div w:id="207645232">
      <w:bodyDiv w:val="1"/>
      <w:marLeft w:val="0"/>
      <w:marRight w:val="0"/>
      <w:marTop w:val="0"/>
      <w:marBottom w:val="0"/>
      <w:divBdr>
        <w:top w:val="none" w:sz="0" w:space="0" w:color="auto"/>
        <w:left w:val="none" w:sz="0" w:space="0" w:color="auto"/>
        <w:bottom w:val="none" w:sz="0" w:space="0" w:color="auto"/>
        <w:right w:val="none" w:sz="0" w:space="0" w:color="auto"/>
      </w:divBdr>
    </w:div>
    <w:div w:id="219631020">
      <w:bodyDiv w:val="1"/>
      <w:marLeft w:val="0"/>
      <w:marRight w:val="0"/>
      <w:marTop w:val="0"/>
      <w:marBottom w:val="0"/>
      <w:divBdr>
        <w:top w:val="none" w:sz="0" w:space="0" w:color="auto"/>
        <w:left w:val="none" w:sz="0" w:space="0" w:color="auto"/>
        <w:bottom w:val="none" w:sz="0" w:space="0" w:color="auto"/>
        <w:right w:val="none" w:sz="0" w:space="0" w:color="auto"/>
      </w:divBdr>
    </w:div>
    <w:div w:id="547761286">
      <w:bodyDiv w:val="1"/>
      <w:marLeft w:val="0"/>
      <w:marRight w:val="0"/>
      <w:marTop w:val="0"/>
      <w:marBottom w:val="0"/>
      <w:divBdr>
        <w:top w:val="none" w:sz="0" w:space="0" w:color="auto"/>
        <w:left w:val="none" w:sz="0" w:space="0" w:color="auto"/>
        <w:bottom w:val="none" w:sz="0" w:space="0" w:color="auto"/>
        <w:right w:val="none" w:sz="0" w:space="0" w:color="auto"/>
      </w:divBdr>
    </w:div>
    <w:div w:id="561141378">
      <w:bodyDiv w:val="1"/>
      <w:marLeft w:val="0"/>
      <w:marRight w:val="0"/>
      <w:marTop w:val="0"/>
      <w:marBottom w:val="0"/>
      <w:divBdr>
        <w:top w:val="none" w:sz="0" w:space="0" w:color="auto"/>
        <w:left w:val="none" w:sz="0" w:space="0" w:color="auto"/>
        <w:bottom w:val="none" w:sz="0" w:space="0" w:color="auto"/>
        <w:right w:val="none" w:sz="0" w:space="0" w:color="auto"/>
      </w:divBdr>
    </w:div>
    <w:div w:id="910316384">
      <w:bodyDiv w:val="1"/>
      <w:marLeft w:val="0"/>
      <w:marRight w:val="0"/>
      <w:marTop w:val="0"/>
      <w:marBottom w:val="0"/>
      <w:divBdr>
        <w:top w:val="none" w:sz="0" w:space="0" w:color="auto"/>
        <w:left w:val="none" w:sz="0" w:space="0" w:color="auto"/>
        <w:bottom w:val="none" w:sz="0" w:space="0" w:color="auto"/>
        <w:right w:val="none" w:sz="0" w:space="0" w:color="auto"/>
      </w:divBdr>
    </w:div>
    <w:div w:id="949703467">
      <w:bodyDiv w:val="1"/>
      <w:marLeft w:val="0"/>
      <w:marRight w:val="0"/>
      <w:marTop w:val="0"/>
      <w:marBottom w:val="0"/>
      <w:divBdr>
        <w:top w:val="none" w:sz="0" w:space="0" w:color="auto"/>
        <w:left w:val="none" w:sz="0" w:space="0" w:color="auto"/>
        <w:bottom w:val="none" w:sz="0" w:space="0" w:color="auto"/>
        <w:right w:val="none" w:sz="0" w:space="0" w:color="auto"/>
      </w:divBdr>
    </w:div>
    <w:div w:id="960182616">
      <w:bodyDiv w:val="1"/>
      <w:marLeft w:val="0"/>
      <w:marRight w:val="0"/>
      <w:marTop w:val="0"/>
      <w:marBottom w:val="0"/>
      <w:divBdr>
        <w:top w:val="none" w:sz="0" w:space="0" w:color="auto"/>
        <w:left w:val="none" w:sz="0" w:space="0" w:color="auto"/>
        <w:bottom w:val="none" w:sz="0" w:space="0" w:color="auto"/>
        <w:right w:val="none" w:sz="0" w:space="0" w:color="auto"/>
      </w:divBdr>
    </w:div>
    <w:div w:id="1329871188">
      <w:bodyDiv w:val="1"/>
      <w:marLeft w:val="0"/>
      <w:marRight w:val="0"/>
      <w:marTop w:val="0"/>
      <w:marBottom w:val="0"/>
      <w:divBdr>
        <w:top w:val="none" w:sz="0" w:space="0" w:color="auto"/>
        <w:left w:val="none" w:sz="0" w:space="0" w:color="auto"/>
        <w:bottom w:val="none" w:sz="0" w:space="0" w:color="auto"/>
        <w:right w:val="none" w:sz="0" w:space="0" w:color="auto"/>
      </w:divBdr>
    </w:div>
    <w:div w:id="1446000923">
      <w:bodyDiv w:val="1"/>
      <w:marLeft w:val="0"/>
      <w:marRight w:val="0"/>
      <w:marTop w:val="0"/>
      <w:marBottom w:val="0"/>
      <w:divBdr>
        <w:top w:val="none" w:sz="0" w:space="0" w:color="auto"/>
        <w:left w:val="none" w:sz="0" w:space="0" w:color="auto"/>
        <w:bottom w:val="none" w:sz="0" w:space="0" w:color="auto"/>
        <w:right w:val="none" w:sz="0" w:space="0" w:color="auto"/>
      </w:divBdr>
    </w:div>
    <w:div w:id="1827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CAE0-67DD-4AE6-802D-FDFF71D4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3249</Words>
  <Characters>18523</Characters>
  <Application>Microsoft Office Word</Application>
  <DocSecurity>0</DocSecurity>
  <Lines>154</Lines>
  <Paragraphs>43</Paragraphs>
  <ScaleCrop>false</ScaleCrop>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2011-05-23T19:02:00Z</dcterms:created>
  <dcterms:modified xsi:type="dcterms:W3CDTF">2011-05-23T19:02:00Z</dcterms:modified>
</cp:coreProperties>
</file>