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B12" w:rsidRPr="00130D01" w:rsidRDefault="00130D01" w:rsidP="00130D01">
      <w:pPr>
        <w:jc w:val="right"/>
        <w:rPr>
          <w:b/>
          <w:sz w:val="36"/>
        </w:rPr>
      </w:pPr>
      <w:r w:rsidRPr="00130D01">
        <w:rPr>
          <w:b/>
        </w:rPr>
        <w:t>FILED NOVEMBER 24, 2010</w:t>
      </w:r>
    </w:p>
    <w:p w:rsidR="003D3B12" w:rsidRDefault="003D3B12"/>
    <w:p w:rsidR="003D3B12" w:rsidRDefault="003D3B12"/>
    <w:p w:rsidR="003D3B12" w:rsidRDefault="003D3B12"/>
    <w:p w:rsidR="003D3B12" w:rsidRDefault="003D3B12"/>
    <w:p w:rsidR="003D3B12" w:rsidRDefault="003D3B12"/>
    <w:p w:rsidR="003D3B12" w:rsidRDefault="003D3B12">
      <w:pPr>
        <w:pStyle w:val="Heading1"/>
      </w:pPr>
      <w:r>
        <w:t>STATE BAR COURT OF CALIFORNIA</w:t>
      </w:r>
    </w:p>
    <w:p w:rsidR="003D3B12" w:rsidRDefault="003D3B12">
      <w:pPr>
        <w:spacing w:line="480" w:lineRule="auto"/>
        <w:jc w:val="center"/>
        <w:rPr>
          <w:b/>
          <w:bCs/>
        </w:rPr>
      </w:pPr>
      <w:r>
        <w:rPr>
          <w:b/>
          <w:bCs/>
        </w:rPr>
        <w:t xml:space="preserve">HEARING DEPARTMENT – </w:t>
      </w:r>
      <w:bookmarkStart w:id="0" w:name="venue"/>
      <w:bookmarkEnd w:id="0"/>
      <w:r w:rsidR="00666FC9">
        <w:rPr>
          <w:rFonts w:eastAsiaTheme="minorEastAsia"/>
          <w:b/>
          <w:bCs/>
        </w:rPr>
        <w:t xml:space="preserve">LOS ANGELES </w:t>
      </w:r>
      <w:r w:rsidR="00831BC7">
        <w:rPr>
          <w:b/>
          <w:bCs/>
        </w:rPr>
        <w:t xml:space="preserve"> </w:t>
      </w:r>
    </w:p>
    <w:p w:rsidR="003D3B12" w:rsidRDefault="003D3B12">
      <w:pPr>
        <w:spacing w:line="480" w:lineRule="auto"/>
        <w:jc w:val="center"/>
        <w:rPr>
          <w:b/>
          <w:bCs/>
        </w:rPr>
      </w:pPr>
    </w:p>
    <w:p w:rsidR="003D3B12" w:rsidRDefault="003D3B12">
      <w:pPr>
        <w:spacing w:line="480" w:lineRule="auto"/>
        <w:rPr>
          <w:b/>
          <w:bCs/>
        </w:rPr>
      </w:pPr>
    </w:p>
    <w:tbl>
      <w:tblPr>
        <w:tblW w:w="0" w:type="auto"/>
        <w:tblInd w:w="5" w:type="dxa"/>
        <w:tblBorders>
          <w:bottom w:val="single" w:sz="4" w:space="0" w:color="auto"/>
        </w:tblBorders>
        <w:tblCellMar>
          <w:left w:w="0" w:type="dxa"/>
          <w:right w:w="0" w:type="dxa"/>
        </w:tblCellMar>
        <w:tblLook w:val="0000"/>
      </w:tblPr>
      <w:tblGrid>
        <w:gridCol w:w="4373"/>
        <w:gridCol w:w="182"/>
        <w:gridCol w:w="240"/>
        <w:gridCol w:w="1050"/>
        <w:gridCol w:w="3510"/>
      </w:tblGrid>
      <w:tr w:rsidR="003D3B12" w:rsidTr="003F222A">
        <w:trPr>
          <w:cantSplit/>
          <w:trHeight w:val="462"/>
        </w:trPr>
        <w:tc>
          <w:tcPr>
            <w:tcW w:w="4373" w:type="dxa"/>
            <w:vMerge w:val="restart"/>
          </w:tcPr>
          <w:p w:rsidR="003D3B12" w:rsidRDefault="003D3B12">
            <w:r>
              <w:t>In the Matter of</w:t>
            </w:r>
          </w:p>
          <w:p w:rsidR="003D3B12" w:rsidRDefault="003D3B12">
            <w:pPr>
              <w:rPr>
                <w:b/>
                <w:bCs/>
              </w:rPr>
            </w:pPr>
          </w:p>
          <w:p w:rsidR="003D3B12" w:rsidRDefault="00666FC9">
            <w:pPr>
              <w:rPr>
                <w:b/>
                <w:bCs/>
              </w:rPr>
            </w:pPr>
            <w:bookmarkStart w:id="1" w:name="resp"/>
            <w:bookmarkEnd w:id="1"/>
            <w:r>
              <w:rPr>
                <w:b/>
                <w:bCs/>
              </w:rPr>
              <w:t>L</w:t>
            </w:r>
            <w:r w:rsidR="00BF0101">
              <w:rPr>
                <w:b/>
                <w:bCs/>
              </w:rPr>
              <w:t>ARRY SCOTT SPEARS</w:t>
            </w:r>
            <w:r w:rsidR="008B5FC4">
              <w:rPr>
                <w:b/>
                <w:bCs/>
              </w:rPr>
              <w:t>,</w:t>
            </w:r>
          </w:p>
          <w:p w:rsidR="003D3B12" w:rsidRDefault="003D3B12">
            <w:pPr>
              <w:rPr>
                <w:b/>
                <w:bCs/>
              </w:rPr>
            </w:pPr>
          </w:p>
          <w:p w:rsidR="003D3B12" w:rsidRDefault="003D3B12">
            <w:pPr>
              <w:rPr>
                <w:b/>
                <w:bCs/>
              </w:rPr>
            </w:pPr>
            <w:r>
              <w:rPr>
                <w:b/>
                <w:bCs/>
              </w:rPr>
              <w:t>Member No.</w:t>
            </w:r>
            <w:r w:rsidR="00666FC9">
              <w:rPr>
                <w:b/>
                <w:bCs/>
              </w:rPr>
              <w:t xml:space="preserve">  195993</w:t>
            </w:r>
            <w:r w:rsidR="008B5FC4">
              <w:rPr>
                <w:b/>
                <w:bCs/>
              </w:rPr>
              <w:t>,</w:t>
            </w:r>
          </w:p>
          <w:p w:rsidR="003D3B12" w:rsidRDefault="003D3B12">
            <w:pPr>
              <w:rPr>
                <w:b/>
                <w:bCs/>
              </w:rPr>
            </w:pPr>
          </w:p>
          <w:p w:rsidR="003D3B12" w:rsidRDefault="008B5FC4">
            <w:bookmarkStart w:id="2" w:name="type"/>
            <w:bookmarkEnd w:id="2"/>
            <w:r>
              <w:t>A Member of the State Bar.</w:t>
            </w:r>
          </w:p>
        </w:tc>
        <w:tc>
          <w:tcPr>
            <w:tcW w:w="182" w:type="dxa"/>
            <w:vMerge w:val="restart"/>
            <w:tcBorders>
              <w:bottom w:val="nil"/>
            </w:tcBorders>
          </w:tcPr>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tc>
        <w:tc>
          <w:tcPr>
            <w:tcW w:w="240" w:type="dxa"/>
            <w:vMerge w:val="restart"/>
            <w:tcBorders>
              <w:bottom w:val="nil"/>
            </w:tcBorders>
          </w:tcPr>
          <w:p w:rsidR="003D3B12" w:rsidRDefault="003D3B12">
            <w:pPr>
              <w:rPr>
                <w:b/>
                <w:bCs/>
              </w:rPr>
            </w:pPr>
          </w:p>
        </w:tc>
        <w:tc>
          <w:tcPr>
            <w:tcW w:w="1050" w:type="dxa"/>
            <w:tcBorders>
              <w:bottom w:val="nil"/>
            </w:tcBorders>
          </w:tcPr>
          <w:p w:rsidR="003D3B12" w:rsidRDefault="008B5FC4">
            <w:r>
              <w:t>Case No</w:t>
            </w:r>
            <w:r w:rsidR="003F222A">
              <w:t>s</w:t>
            </w:r>
            <w:r>
              <w:t>.</w:t>
            </w:r>
          </w:p>
        </w:tc>
        <w:tc>
          <w:tcPr>
            <w:tcW w:w="3510" w:type="dxa"/>
          </w:tcPr>
          <w:p w:rsidR="003D3B12" w:rsidRDefault="00666FC9" w:rsidP="00EB0352">
            <w:pPr>
              <w:rPr>
                <w:b/>
                <w:bCs/>
              </w:rPr>
            </w:pPr>
            <w:bookmarkStart w:id="3" w:name="caseno"/>
            <w:bookmarkEnd w:id="3"/>
            <w:r>
              <w:rPr>
                <w:b/>
                <w:bCs/>
              </w:rPr>
              <w:t xml:space="preserve">09-O-13598-RAH </w:t>
            </w:r>
            <w:r w:rsidR="00EB0352" w:rsidRPr="00EB0352">
              <w:rPr>
                <w:bCs/>
              </w:rPr>
              <w:t>(</w:t>
            </w:r>
            <w:r w:rsidRPr="00666FC9">
              <w:rPr>
                <w:bCs/>
              </w:rPr>
              <w:t>09-O-14697</w:t>
            </w:r>
            <w:r w:rsidR="00EB0352">
              <w:rPr>
                <w:bCs/>
              </w:rPr>
              <w:t>)</w:t>
            </w:r>
          </w:p>
        </w:tc>
      </w:tr>
      <w:tr w:rsidR="003D3B12" w:rsidTr="008B5FC4">
        <w:trPr>
          <w:cantSplit/>
          <w:trHeight w:val="1480"/>
        </w:trPr>
        <w:tc>
          <w:tcPr>
            <w:tcW w:w="4373" w:type="dxa"/>
            <w:vMerge/>
          </w:tcPr>
          <w:p w:rsidR="003D3B12" w:rsidRDefault="003D3B12"/>
        </w:tc>
        <w:tc>
          <w:tcPr>
            <w:tcW w:w="182" w:type="dxa"/>
            <w:vMerge/>
            <w:tcBorders>
              <w:bottom w:val="nil"/>
            </w:tcBorders>
          </w:tcPr>
          <w:p w:rsidR="003D3B12" w:rsidRDefault="003D3B12">
            <w:pPr>
              <w:rPr>
                <w:b/>
                <w:bCs/>
              </w:rPr>
            </w:pPr>
          </w:p>
        </w:tc>
        <w:tc>
          <w:tcPr>
            <w:tcW w:w="240" w:type="dxa"/>
            <w:vMerge/>
            <w:tcBorders>
              <w:bottom w:val="nil"/>
            </w:tcBorders>
          </w:tcPr>
          <w:p w:rsidR="003D3B12" w:rsidRDefault="003D3B12">
            <w:pPr>
              <w:rPr>
                <w:b/>
                <w:bCs/>
              </w:rPr>
            </w:pPr>
          </w:p>
        </w:tc>
        <w:tc>
          <w:tcPr>
            <w:tcW w:w="4560" w:type="dxa"/>
            <w:gridSpan w:val="2"/>
            <w:tcBorders>
              <w:bottom w:val="nil"/>
            </w:tcBorders>
          </w:tcPr>
          <w:p w:rsidR="00DF4597" w:rsidRDefault="00DF4597">
            <w:pPr>
              <w:rPr>
                <w:b/>
                <w:bCs/>
              </w:rPr>
            </w:pPr>
            <w:bookmarkStart w:id="4" w:name="title"/>
            <w:bookmarkEnd w:id="4"/>
          </w:p>
          <w:p w:rsidR="003D3B12" w:rsidRDefault="00DF4597">
            <w:pPr>
              <w:rPr>
                <w:b/>
                <w:bCs/>
              </w:rPr>
            </w:pPr>
            <w:r>
              <w:rPr>
                <w:b/>
                <w:bCs/>
              </w:rPr>
              <w:t>DECISION</w:t>
            </w:r>
          </w:p>
        </w:tc>
      </w:tr>
    </w:tbl>
    <w:p w:rsidR="003D3B12" w:rsidRDefault="003D3B12">
      <w:pPr>
        <w:spacing w:line="480" w:lineRule="auto"/>
      </w:pPr>
    </w:p>
    <w:p w:rsidR="004D7DC9" w:rsidRDefault="004D7DC9" w:rsidP="00571C7F">
      <w:pPr>
        <w:tabs>
          <w:tab w:val="center" w:pos="4680"/>
        </w:tabs>
        <w:spacing w:line="480" w:lineRule="auto"/>
        <w:ind w:firstLine="90"/>
        <w:jc w:val="center"/>
      </w:pPr>
      <w:r>
        <w:rPr>
          <w:b/>
          <w:bCs/>
        </w:rPr>
        <w:t>I.  Introduction</w:t>
      </w:r>
    </w:p>
    <w:p w:rsidR="00B341A6" w:rsidRPr="003873FA" w:rsidRDefault="004D7DC9" w:rsidP="003873FA">
      <w:pPr>
        <w:spacing w:line="480" w:lineRule="auto"/>
      </w:pPr>
      <w:r w:rsidRPr="003873FA">
        <w:tab/>
      </w:r>
      <w:r w:rsidR="00B31584" w:rsidRPr="003873FA">
        <w:t>In this default disciplinary matter</w:t>
      </w:r>
      <w:r w:rsidRPr="003873FA">
        <w:t>, respondent</w:t>
      </w:r>
      <w:r w:rsidR="00666FC9">
        <w:rPr>
          <w:b/>
          <w:bCs/>
        </w:rPr>
        <w:t xml:space="preserve"> Larry Scott Spears </w:t>
      </w:r>
      <w:r w:rsidRPr="003873FA">
        <w:t>is charged with multiple acts of professional misconduct</w:t>
      </w:r>
      <w:r w:rsidR="0070043E" w:rsidRPr="003873FA">
        <w:t xml:space="preserve"> in two matters</w:t>
      </w:r>
      <w:r w:rsidRPr="003873FA">
        <w:t xml:space="preserve">, including (1) </w:t>
      </w:r>
      <w:r w:rsidR="000F4D36" w:rsidRPr="003873FA">
        <w:t>failing to perform competently</w:t>
      </w:r>
      <w:r w:rsidR="00B341A6" w:rsidRPr="003873FA">
        <w:t xml:space="preserve">; </w:t>
      </w:r>
      <w:r w:rsidRPr="003873FA">
        <w:t>(2)</w:t>
      </w:r>
      <w:r w:rsidR="000F4D36" w:rsidRPr="000F4D36">
        <w:t xml:space="preserve"> </w:t>
      </w:r>
      <w:r w:rsidR="000F4D36" w:rsidRPr="003873FA">
        <w:t>failing to communicate</w:t>
      </w:r>
      <w:r w:rsidR="000F4D36">
        <w:t xml:space="preserve"> with client</w:t>
      </w:r>
      <w:r w:rsidR="00B341A6" w:rsidRPr="003873FA">
        <w:t xml:space="preserve">; </w:t>
      </w:r>
      <w:r w:rsidRPr="003873FA">
        <w:t>(3)</w:t>
      </w:r>
      <w:r w:rsidR="00246970">
        <w:t xml:space="preserve"> improper withdrawal from employment</w:t>
      </w:r>
      <w:r w:rsidR="0070043E" w:rsidRPr="003873FA">
        <w:t xml:space="preserve">; (4) </w:t>
      </w:r>
      <w:r w:rsidR="00246970">
        <w:t xml:space="preserve">failing to comply with conditions of </w:t>
      </w:r>
      <w:proofErr w:type="spellStart"/>
      <w:r w:rsidR="00246970">
        <w:t>reproval</w:t>
      </w:r>
      <w:proofErr w:type="spellEnd"/>
      <w:r w:rsidR="00246970">
        <w:t xml:space="preserve">; and (5) </w:t>
      </w:r>
      <w:r w:rsidR="0070043E" w:rsidRPr="003873FA">
        <w:t>failing to cooperate with the State Bar.</w:t>
      </w:r>
    </w:p>
    <w:p w:rsidR="00E67FCF" w:rsidRDefault="00B341A6" w:rsidP="003873FA">
      <w:pPr>
        <w:spacing w:line="480" w:lineRule="auto"/>
      </w:pPr>
      <w:r w:rsidRPr="003873FA">
        <w:tab/>
      </w:r>
      <w:r w:rsidR="004D7DC9" w:rsidRPr="003873FA">
        <w:t xml:space="preserve">The court finds, by clear and convincing evidence, that respondent is culpable of </w:t>
      </w:r>
      <w:r w:rsidR="00E6699A">
        <w:t xml:space="preserve">the </w:t>
      </w:r>
      <w:r w:rsidR="004D7DC9" w:rsidRPr="003873FA">
        <w:t xml:space="preserve">alleged counts of misconduct.  In view of respondent’s misconduct and the evidence in aggravation, the court recommends, among other things, that respondent be suspended from the practice of law </w:t>
      </w:r>
      <w:r w:rsidR="00F04F30">
        <w:t xml:space="preserve">in California </w:t>
      </w:r>
      <w:r w:rsidR="004D7DC9" w:rsidRPr="003873FA">
        <w:t>for</w:t>
      </w:r>
      <w:r w:rsidR="000204F7">
        <w:t xml:space="preserve"> two years</w:t>
      </w:r>
      <w:r w:rsidR="004D7DC9" w:rsidRPr="003873FA">
        <w:t xml:space="preserve">, that execution of suspension be stayed, and that he be suspended </w:t>
      </w:r>
      <w:r w:rsidR="00A71529" w:rsidRPr="003873FA">
        <w:t>for a minimum of</w:t>
      </w:r>
      <w:r w:rsidR="005076E1">
        <w:t xml:space="preserve"> one year </w:t>
      </w:r>
      <w:r w:rsidR="00230DD1" w:rsidRPr="003873FA">
        <w:t xml:space="preserve">and </w:t>
      </w:r>
      <w:r w:rsidR="004D7DC9" w:rsidRPr="003873FA">
        <w:t xml:space="preserve">until the State Bar Court grants a motion to terminate </w:t>
      </w:r>
      <w:r w:rsidR="004B510A" w:rsidRPr="003873FA">
        <w:t>h</w:t>
      </w:r>
      <w:r w:rsidR="003C25BC" w:rsidRPr="003873FA">
        <w:t>is</w:t>
      </w:r>
      <w:r w:rsidR="004D7DC9" w:rsidRPr="003873FA">
        <w:t xml:space="preserve"> suspension</w:t>
      </w:r>
      <w:r w:rsidR="00A71529" w:rsidRPr="003873FA">
        <w:t xml:space="preserve"> (Rules Proc. of State Bar, rule 205)</w:t>
      </w:r>
      <w:r w:rsidR="00E6699A">
        <w:t>.</w:t>
      </w:r>
      <w:r w:rsidR="00A71529" w:rsidRPr="003873FA">
        <w:t xml:space="preserve"> </w:t>
      </w:r>
    </w:p>
    <w:p w:rsidR="00841838" w:rsidRDefault="00841838" w:rsidP="003873FA">
      <w:pPr>
        <w:spacing w:line="480" w:lineRule="auto"/>
      </w:pPr>
    </w:p>
    <w:p w:rsidR="00841838" w:rsidRDefault="00841838" w:rsidP="003873FA">
      <w:pPr>
        <w:spacing w:line="480" w:lineRule="auto"/>
      </w:pPr>
    </w:p>
    <w:p w:rsidR="00AE195A" w:rsidRPr="00045F75" w:rsidRDefault="00AE195A" w:rsidP="00045F75">
      <w:pPr>
        <w:spacing w:line="480" w:lineRule="auto"/>
        <w:jc w:val="center"/>
        <w:rPr>
          <w:b/>
        </w:rPr>
      </w:pPr>
      <w:r w:rsidRPr="00045F75">
        <w:rPr>
          <w:b/>
        </w:rPr>
        <w:lastRenderedPageBreak/>
        <w:t>II</w:t>
      </w:r>
      <w:proofErr w:type="gramStart"/>
      <w:r w:rsidRPr="00045F75">
        <w:rPr>
          <w:b/>
        </w:rPr>
        <w:t>.  Pertinent</w:t>
      </w:r>
      <w:proofErr w:type="gramEnd"/>
      <w:r w:rsidRPr="00045F75">
        <w:rPr>
          <w:b/>
        </w:rPr>
        <w:t xml:space="preserve"> Procedural History</w:t>
      </w:r>
    </w:p>
    <w:p w:rsidR="00B31584" w:rsidRPr="003873FA" w:rsidRDefault="00045F75" w:rsidP="003873FA">
      <w:pPr>
        <w:spacing w:line="480" w:lineRule="auto"/>
      </w:pPr>
      <w:r>
        <w:tab/>
      </w:r>
      <w:r w:rsidR="00B31584" w:rsidRPr="003873FA">
        <w:t>On</w:t>
      </w:r>
      <w:r w:rsidR="005009E6">
        <w:t xml:space="preserve"> June 23, 2010</w:t>
      </w:r>
      <w:r w:rsidR="00B31584" w:rsidRPr="003873FA">
        <w:t>, the Office of the Chief Trial Counsel of the State Bar of California (State Bar) filed and properly served on respondent a Notice of Disciplinary Charges (</w:t>
      </w:r>
      <w:proofErr w:type="spellStart"/>
      <w:r w:rsidR="00B31584" w:rsidRPr="003873FA">
        <w:t>NDC</w:t>
      </w:r>
      <w:proofErr w:type="spellEnd"/>
      <w:r w:rsidR="00B31584" w:rsidRPr="003873FA">
        <w:t>) at his official membership records address</w:t>
      </w:r>
      <w:r w:rsidR="005076E1">
        <w:t xml:space="preserve"> in Herndon, Virginia</w:t>
      </w:r>
      <w:r w:rsidR="00B31584" w:rsidRPr="003873FA">
        <w:t xml:space="preserve">.  </w:t>
      </w:r>
      <w:r w:rsidR="00EB0352">
        <w:t xml:space="preserve">On June 29, 2010, the State Bar received a return receipt signed by “Peter Henry.”  A courtesy copy of the </w:t>
      </w:r>
      <w:proofErr w:type="spellStart"/>
      <w:r w:rsidR="00EB0352">
        <w:t>NDC</w:t>
      </w:r>
      <w:proofErr w:type="spellEnd"/>
      <w:r w:rsidR="00EB0352">
        <w:t xml:space="preserve"> was also sent to respondent and it was not returned as undeliverable.  </w:t>
      </w:r>
      <w:r w:rsidR="00B31584" w:rsidRPr="003873FA">
        <w:t>Respondent did not file a response.</w:t>
      </w:r>
    </w:p>
    <w:p w:rsidR="00B31584" w:rsidRDefault="00045F75" w:rsidP="003873FA">
      <w:pPr>
        <w:spacing w:line="480" w:lineRule="auto"/>
      </w:pPr>
      <w:r>
        <w:tab/>
      </w:r>
      <w:r w:rsidR="00B31584" w:rsidRPr="003873FA">
        <w:t>Respondent’s default was entered on</w:t>
      </w:r>
      <w:r w:rsidR="005009E6">
        <w:t xml:space="preserve"> August 18, 2010</w:t>
      </w:r>
      <w:r w:rsidR="00B31584" w:rsidRPr="003873FA">
        <w:t>, and respondent was enrolled as an inactive member on</w:t>
      </w:r>
      <w:r w:rsidR="005009E6">
        <w:t xml:space="preserve"> August 21, 2010</w:t>
      </w:r>
      <w:r w:rsidR="00B31584" w:rsidRPr="003873FA">
        <w:t>.</w:t>
      </w:r>
      <w:r w:rsidR="00301974" w:rsidRPr="003873FA">
        <w:t xml:space="preserve">  The matter </w:t>
      </w:r>
      <w:r w:rsidR="007F2927" w:rsidRPr="003873FA">
        <w:t>was</w:t>
      </w:r>
      <w:r w:rsidR="00301974" w:rsidRPr="003873FA">
        <w:t xml:space="preserve"> submitted on</w:t>
      </w:r>
      <w:r w:rsidR="005009E6">
        <w:t xml:space="preserve"> September 6, 2010</w:t>
      </w:r>
      <w:r w:rsidR="00B31584" w:rsidRPr="003873FA">
        <w:t>, following the filing of State Bar’s brief on culpability and discipline.</w:t>
      </w:r>
    </w:p>
    <w:p w:rsidR="0027794B" w:rsidRPr="003873FA" w:rsidRDefault="0027794B" w:rsidP="00045F75">
      <w:pPr>
        <w:spacing w:line="480" w:lineRule="auto"/>
        <w:jc w:val="center"/>
        <w:rPr>
          <w:b/>
        </w:rPr>
      </w:pPr>
      <w:r w:rsidRPr="003873FA">
        <w:rPr>
          <w:b/>
        </w:rPr>
        <w:t>III</w:t>
      </w:r>
      <w:proofErr w:type="gramStart"/>
      <w:r w:rsidRPr="003873FA">
        <w:rPr>
          <w:b/>
        </w:rPr>
        <w:t>.  Findings</w:t>
      </w:r>
      <w:proofErr w:type="gramEnd"/>
      <w:r w:rsidRPr="003873FA">
        <w:rPr>
          <w:b/>
        </w:rPr>
        <w:t xml:space="preserve"> of Fact and Conclusions of Law</w:t>
      </w:r>
    </w:p>
    <w:p w:rsidR="00BF1A28" w:rsidRDefault="00B217AB" w:rsidP="003873FA">
      <w:pPr>
        <w:spacing w:line="480" w:lineRule="auto"/>
      </w:pPr>
      <w:r w:rsidRPr="003873FA">
        <w:tab/>
      </w:r>
      <w:r w:rsidR="0027794B" w:rsidRPr="003873FA">
        <w:t xml:space="preserve">All factual allegations of the </w:t>
      </w:r>
      <w:proofErr w:type="spellStart"/>
      <w:r w:rsidR="0027794B" w:rsidRPr="003873FA">
        <w:t>NDC</w:t>
      </w:r>
      <w:r w:rsidR="00301974" w:rsidRPr="003873FA">
        <w:t>s</w:t>
      </w:r>
      <w:proofErr w:type="spellEnd"/>
      <w:r w:rsidR="0027794B" w:rsidRPr="003873FA">
        <w:t xml:space="preserve"> are deemed admitted upon entry of respondent’s default unless otherwise ordered by the court based on contrary evidence.  (Rules Proc. of State Bar, rule 200(d</w:t>
      </w:r>
      <w:proofErr w:type="gramStart"/>
      <w:r w:rsidR="0027794B" w:rsidRPr="003873FA">
        <w:t>)(</w:t>
      </w:r>
      <w:proofErr w:type="gramEnd"/>
      <w:r w:rsidR="0027794B" w:rsidRPr="003873FA">
        <w:t>1)(A).)</w:t>
      </w:r>
      <w:r w:rsidR="005D7EF0" w:rsidRPr="003873FA">
        <w:t xml:space="preserve">  </w:t>
      </w:r>
    </w:p>
    <w:p w:rsidR="004B510A" w:rsidRDefault="00B217AB" w:rsidP="003873FA">
      <w:pPr>
        <w:spacing w:line="480" w:lineRule="auto"/>
      </w:pPr>
      <w:r w:rsidRPr="003873FA">
        <w:tab/>
      </w:r>
      <w:r w:rsidR="0027794B" w:rsidRPr="003873FA">
        <w:t>Respondent was admitted to the practice of law in California on</w:t>
      </w:r>
      <w:r w:rsidR="005009E6">
        <w:t xml:space="preserve"> June 10, 1998</w:t>
      </w:r>
      <w:r w:rsidR="0027794B" w:rsidRPr="003873FA">
        <w:t>, and has since been a member of the State Bar of California.</w:t>
      </w:r>
    </w:p>
    <w:p w:rsidR="00C33E06" w:rsidRPr="003873FA" w:rsidRDefault="00C33E06" w:rsidP="003873FA">
      <w:pPr>
        <w:spacing w:line="480" w:lineRule="auto"/>
        <w:rPr>
          <w:b/>
        </w:rPr>
      </w:pPr>
      <w:r w:rsidRPr="003873FA">
        <w:rPr>
          <w:b/>
        </w:rPr>
        <w:t>A.</w:t>
      </w:r>
      <w:r w:rsidRPr="003873FA">
        <w:rPr>
          <w:b/>
        </w:rPr>
        <w:tab/>
        <w:t xml:space="preserve">The </w:t>
      </w:r>
      <w:r w:rsidR="005009E6">
        <w:rPr>
          <w:b/>
        </w:rPr>
        <w:t>Cole</w:t>
      </w:r>
      <w:r w:rsidR="00C04D90">
        <w:rPr>
          <w:b/>
        </w:rPr>
        <w:t xml:space="preserve"> </w:t>
      </w:r>
      <w:r w:rsidRPr="003873FA">
        <w:rPr>
          <w:b/>
        </w:rPr>
        <w:t>Matter</w:t>
      </w:r>
      <w:r w:rsidR="005B42F9" w:rsidRPr="003873FA">
        <w:rPr>
          <w:b/>
        </w:rPr>
        <w:t xml:space="preserve"> </w:t>
      </w:r>
      <w:r w:rsidR="005B42F9" w:rsidRPr="003873FA">
        <w:rPr>
          <w:b/>
          <w:bCs/>
        </w:rPr>
        <w:t>(Case No.</w:t>
      </w:r>
      <w:r w:rsidR="005009E6">
        <w:rPr>
          <w:b/>
          <w:bCs/>
        </w:rPr>
        <w:t xml:space="preserve"> 09-O-13598</w:t>
      </w:r>
      <w:r w:rsidR="005B42F9" w:rsidRPr="003873FA">
        <w:rPr>
          <w:b/>
          <w:bCs/>
        </w:rPr>
        <w:t>)</w:t>
      </w:r>
    </w:p>
    <w:p w:rsidR="00186310" w:rsidRPr="00096053" w:rsidRDefault="00186310" w:rsidP="00186310">
      <w:pPr>
        <w:spacing w:line="480" w:lineRule="auto"/>
      </w:pPr>
      <w:r>
        <w:rPr>
          <w:color w:val="000000"/>
        </w:rPr>
        <w:tab/>
      </w:r>
      <w:r w:rsidRPr="00096053">
        <w:rPr>
          <w:color w:val="000000"/>
        </w:rPr>
        <w:t xml:space="preserve">On or about August 18, 2008, Barbara Cole </w:t>
      </w:r>
      <w:r w:rsidR="006044B7">
        <w:rPr>
          <w:color w:val="000000"/>
        </w:rPr>
        <w:t>employed r</w:t>
      </w:r>
      <w:r w:rsidRPr="00096053">
        <w:rPr>
          <w:color w:val="000000"/>
        </w:rPr>
        <w:t>espondent to prepare a series of estate planning docume</w:t>
      </w:r>
      <w:r w:rsidR="00194792">
        <w:rPr>
          <w:color w:val="000000"/>
        </w:rPr>
        <w:t xml:space="preserve">nts (i.e., </w:t>
      </w:r>
      <w:r w:rsidR="00194792" w:rsidRPr="00096053">
        <w:rPr>
          <w:color w:val="000000"/>
        </w:rPr>
        <w:t>a power of attorney, two wills and a trust</w:t>
      </w:r>
      <w:r w:rsidR="00194792">
        <w:rPr>
          <w:color w:val="000000"/>
        </w:rPr>
        <w:t>) for her and Daniel Hill.</w:t>
      </w:r>
      <w:r w:rsidR="006044B7">
        <w:rPr>
          <w:color w:val="000000"/>
        </w:rPr>
        <w:t xml:space="preserve"> </w:t>
      </w:r>
      <w:r w:rsidRPr="00096053">
        <w:rPr>
          <w:color w:val="000000"/>
        </w:rPr>
        <w:t xml:space="preserve"> Cole paid </w:t>
      </w:r>
      <w:r w:rsidR="006044B7">
        <w:rPr>
          <w:color w:val="000000"/>
        </w:rPr>
        <w:t>r</w:t>
      </w:r>
      <w:r w:rsidRPr="00096053">
        <w:rPr>
          <w:color w:val="000000"/>
        </w:rPr>
        <w:t>espondent $1</w:t>
      </w:r>
      <w:r w:rsidR="006044B7">
        <w:rPr>
          <w:color w:val="000000"/>
        </w:rPr>
        <w:t>,</w:t>
      </w:r>
      <w:r w:rsidRPr="00096053">
        <w:rPr>
          <w:color w:val="000000"/>
        </w:rPr>
        <w:t>500 in attorney fees for his services.</w:t>
      </w:r>
    </w:p>
    <w:p w:rsidR="00186310" w:rsidRPr="00096053" w:rsidRDefault="00186310" w:rsidP="00186310">
      <w:pPr>
        <w:spacing w:line="480" w:lineRule="auto"/>
      </w:pPr>
      <w:r>
        <w:rPr>
          <w:color w:val="000000"/>
        </w:rPr>
        <w:tab/>
      </w:r>
      <w:r w:rsidRPr="00096053">
        <w:rPr>
          <w:color w:val="000000"/>
        </w:rPr>
        <w:t>Respondent subsequently</w:t>
      </w:r>
      <w:r w:rsidR="00194792">
        <w:rPr>
          <w:color w:val="000000"/>
        </w:rPr>
        <w:t xml:space="preserve"> did not </w:t>
      </w:r>
      <w:r w:rsidRPr="00096053">
        <w:rPr>
          <w:color w:val="000000"/>
        </w:rPr>
        <w:t>prepare any of the</w:t>
      </w:r>
      <w:r w:rsidR="00194792">
        <w:rPr>
          <w:color w:val="000000"/>
        </w:rPr>
        <w:t xml:space="preserve"> estate planning </w:t>
      </w:r>
      <w:r w:rsidRPr="00096053">
        <w:rPr>
          <w:color w:val="000000"/>
        </w:rPr>
        <w:t>documents for Cole or Hill.</w:t>
      </w:r>
    </w:p>
    <w:p w:rsidR="00186310" w:rsidRPr="00096053" w:rsidRDefault="00186310" w:rsidP="00186310">
      <w:pPr>
        <w:spacing w:line="480" w:lineRule="auto"/>
      </w:pPr>
      <w:r>
        <w:rPr>
          <w:color w:val="000000"/>
        </w:rPr>
        <w:tab/>
      </w:r>
      <w:r w:rsidRPr="00096053">
        <w:rPr>
          <w:color w:val="000000"/>
        </w:rPr>
        <w:t xml:space="preserve">In or about October 2008, when Cole inquired about the status of her matter, </w:t>
      </w:r>
      <w:r w:rsidR="006044B7">
        <w:rPr>
          <w:color w:val="000000"/>
        </w:rPr>
        <w:t>r</w:t>
      </w:r>
      <w:r w:rsidRPr="00096053">
        <w:rPr>
          <w:color w:val="000000"/>
        </w:rPr>
        <w:t>espondent told Cole that he completed the work and would contact her after he returned from a trip to Denver.</w:t>
      </w:r>
    </w:p>
    <w:p w:rsidR="00186310" w:rsidRPr="00096053" w:rsidRDefault="00186310" w:rsidP="00186310">
      <w:pPr>
        <w:spacing w:line="480" w:lineRule="auto"/>
      </w:pPr>
      <w:r>
        <w:rPr>
          <w:color w:val="000000"/>
        </w:rPr>
        <w:lastRenderedPageBreak/>
        <w:tab/>
      </w:r>
      <w:r w:rsidR="00194792">
        <w:rPr>
          <w:color w:val="000000"/>
        </w:rPr>
        <w:t xml:space="preserve">But respondent </w:t>
      </w:r>
      <w:r w:rsidRPr="00096053">
        <w:rPr>
          <w:color w:val="000000"/>
        </w:rPr>
        <w:t xml:space="preserve">did not contact Cole. </w:t>
      </w:r>
      <w:r>
        <w:rPr>
          <w:color w:val="000000"/>
        </w:rPr>
        <w:t xml:space="preserve"> </w:t>
      </w:r>
      <w:r w:rsidRPr="00096053">
        <w:rPr>
          <w:color w:val="000000"/>
        </w:rPr>
        <w:t xml:space="preserve">In or about December 2008, Cole attempted to telephone </w:t>
      </w:r>
      <w:r w:rsidR="006044B7">
        <w:rPr>
          <w:color w:val="000000"/>
        </w:rPr>
        <w:t>respondent</w:t>
      </w:r>
      <w:r w:rsidRPr="00096053">
        <w:rPr>
          <w:color w:val="000000"/>
        </w:rPr>
        <w:t xml:space="preserve"> and found out that his telephone had been disconnected. </w:t>
      </w:r>
      <w:r>
        <w:rPr>
          <w:color w:val="000000"/>
        </w:rPr>
        <w:t xml:space="preserve"> </w:t>
      </w:r>
      <w:r w:rsidRPr="00096053">
        <w:rPr>
          <w:color w:val="000000"/>
        </w:rPr>
        <w:t>Cole then</w:t>
      </w:r>
    </w:p>
    <w:p w:rsidR="00186310" w:rsidRDefault="00186310" w:rsidP="00186310">
      <w:pPr>
        <w:spacing w:line="480" w:lineRule="auto"/>
        <w:rPr>
          <w:color w:val="000000"/>
        </w:rPr>
      </w:pPr>
      <w:proofErr w:type="gramStart"/>
      <w:r w:rsidRPr="00096053">
        <w:rPr>
          <w:color w:val="000000"/>
        </w:rPr>
        <w:t>learned</w:t>
      </w:r>
      <w:proofErr w:type="gramEnd"/>
      <w:r w:rsidRPr="00096053">
        <w:rPr>
          <w:color w:val="000000"/>
        </w:rPr>
        <w:t xml:space="preserve"> that </w:t>
      </w:r>
      <w:r w:rsidR="006044B7">
        <w:rPr>
          <w:color w:val="000000"/>
        </w:rPr>
        <w:t>respondent</w:t>
      </w:r>
      <w:r w:rsidRPr="00096053">
        <w:rPr>
          <w:color w:val="000000"/>
        </w:rPr>
        <w:t xml:space="preserve"> had closed his office. </w:t>
      </w:r>
      <w:r>
        <w:rPr>
          <w:color w:val="000000"/>
        </w:rPr>
        <w:t xml:space="preserve"> </w:t>
      </w:r>
      <w:r w:rsidRPr="00096053">
        <w:rPr>
          <w:color w:val="000000"/>
        </w:rPr>
        <w:t>Respondent did not provide Cole with a forwarding address or a new telephone number.</w:t>
      </w:r>
    </w:p>
    <w:p w:rsidR="00186310" w:rsidRPr="00096053" w:rsidRDefault="00186310" w:rsidP="00186310">
      <w:pPr>
        <w:spacing w:line="480" w:lineRule="auto"/>
      </w:pPr>
      <w:r>
        <w:rPr>
          <w:color w:val="000000"/>
        </w:rPr>
        <w:tab/>
      </w:r>
      <w:r w:rsidR="001F33E9">
        <w:rPr>
          <w:color w:val="000000"/>
        </w:rPr>
        <w:t>Previously, o</w:t>
      </w:r>
      <w:r w:rsidRPr="00096053">
        <w:rPr>
          <w:color w:val="000000"/>
        </w:rPr>
        <w:t xml:space="preserve">n or about March 15, 2008, </w:t>
      </w:r>
      <w:r w:rsidR="006044B7">
        <w:rPr>
          <w:color w:val="000000"/>
        </w:rPr>
        <w:t>respondent</w:t>
      </w:r>
      <w:r w:rsidRPr="00096053">
        <w:rPr>
          <w:color w:val="000000"/>
        </w:rPr>
        <w:t xml:space="preserve"> entered into and executed a stipulation regarding facts, conclusions of law, and disposition (</w:t>
      </w:r>
      <w:r>
        <w:rPr>
          <w:color w:val="000000"/>
        </w:rPr>
        <w:t>“</w:t>
      </w:r>
      <w:r w:rsidRPr="00096053">
        <w:rPr>
          <w:color w:val="000000"/>
        </w:rPr>
        <w:t>Stipulation</w:t>
      </w:r>
      <w:r>
        <w:rPr>
          <w:color w:val="000000"/>
        </w:rPr>
        <w:t>”</w:t>
      </w:r>
      <w:r w:rsidR="0079346D">
        <w:rPr>
          <w:color w:val="000000"/>
        </w:rPr>
        <w:t>) in State Bar C</w:t>
      </w:r>
      <w:r w:rsidRPr="00096053">
        <w:rPr>
          <w:color w:val="000000"/>
        </w:rPr>
        <w:t xml:space="preserve">ourt case </w:t>
      </w:r>
      <w:r w:rsidR="0079346D">
        <w:rPr>
          <w:color w:val="000000"/>
        </w:rPr>
        <w:t>N</w:t>
      </w:r>
      <w:r w:rsidRPr="00096053">
        <w:rPr>
          <w:color w:val="000000"/>
        </w:rPr>
        <w:t>o. 07-</w:t>
      </w:r>
      <w:r>
        <w:rPr>
          <w:color w:val="000000"/>
        </w:rPr>
        <w:t>O</w:t>
      </w:r>
      <w:r w:rsidRPr="00096053">
        <w:rPr>
          <w:color w:val="000000"/>
        </w:rPr>
        <w:t>-13015.</w:t>
      </w:r>
    </w:p>
    <w:p w:rsidR="00186310" w:rsidRPr="00096053" w:rsidRDefault="00186310" w:rsidP="00186310">
      <w:pPr>
        <w:tabs>
          <w:tab w:val="num" w:pos="720"/>
        </w:tabs>
        <w:spacing w:line="480" w:lineRule="auto"/>
      </w:pPr>
      <w:r>
        <w:rPr>
          <w:color w:val="000000"/>
        </w:rPr>
        <w:tab/>
      </w:r>
      <w:r w:rsidRPr="00096053">
        <w:rPr>
          <w:color w:val="000000"/>
        </w:rPr>
        <w:t>On or about April 18, 2008, the Hearing Department of the State Bar Court filed</w:t>
      </w:r>
    </w:p>
    <w:p w:rsidR="00186310" w:rsidRPr="00096053" w:rsidRDefault="00186310" w:rsidP="00186310">
      <w:pPr>
        <w:spacing w:line="480" w:lineRule="auto"/>
      </w:pPr>
      <w:proofErr w:type="gramStart"/>
      <w:r w:rsidRPr="00096053">
        <w:rPr>
          <w:color w:val="000000"/>
        </w:rPr>
        <w:t>an</w:t>
      </w:r>
      <w:proofErr w:type="gramEnd"/>
      <w:r w:rsidRPr="00096053">
        <w:rPr>
          <w:color w:val="000000"/>
        </w:rPr>
        <w:t xml:space="preserve"> Order </w:t>
      </w:r>
      <w:r w:rsidR="0079346D">
        <w:rPr>
          <w:color w:val="000000"/>
        </w:rPr>
        <w:t>A</w:t>
      </w:r>
      <w:r w:rsidRPr="00096053">
        <w:rPr>
          <w:color w:val="000000"/>
        </w:rPr>
        <w:t>pproving the Stipulation</w:t>
      </w:r>
      <w:r w:rsidR="00252037">
        <w:rPr>
          <w:color w:val="000000"/>
        </w:rPr>
        <w:t>,</w:t>
      </w:r>
      <w:r w:rsidRPr="00096053">
        <w:rPr>
          <w:color w:val="000000"/>
        </w:rPr>
        <w:t xml:space="preserve"> imposing upon </w:t>
      </w:r>
      <w:r w:rsidR="006044B7">
        <w:rPr>
          <w:color w:val="000000"/>
        </w:rPr>
        <w:t>respondent</w:t>
      </w:r>
      <w:r w:rsidRPr="00096053">
        <w:rPr>
          <w:color w:val="000000"/>
        </w:rPr>
        <w:t xml:space="preserve"> a private </w:t>
      </w:r>
      <w:proofErr w:type="spellStart"/>
      <w:r w:rsidRPr="00096053">
        <w:rPr>
          <w:color w:val="000000"/>
        </w:rPr>
        <w:t>reproval</w:t>
      </w:r>
      <w:proofErr w:type="spellEnd"/>
      <w:r w:rsidRPr="00096053">
        <w:rPr>
          <w:color w:val="000000"/>
        </w:rPr>
        <w:t xml:space="preserve"> with conditions (the </w:t>
      </w:r>
      <w:r>
        <w:rPr>
          <w:color w:val="000000"/>
        </w:rPr>
        <w:t>“</w:t>
      </w:r>
      <w:r w:rsidRPr="00096053">
        <w:rPr>
          <w:color w:val="000000"/>
        </w:rPr>
        <w:t>Order</w:t>
      </w:r>
      <w:r>
        <w:rPr>
          <w:color w:val="000000"/>
        </w:rPr>
        <w:t>”</w:t>
      </w:r>
      <w:r w:rsidRPr="00096053">
        <w:rPr>
          <w:color w:val="000000"/>
        </w:rPr>
        <w:t>).</w:t>
      </w:r>
    </w:p>
    <w:p w:rsidR="00186310" w:rsidRPr="00096053" w:rsidRDefault="00186310" w:rsidP="00186310">
      <w:pPr>
        <w:tabs>
          <w:tab w:val="num" w:pos="720"/>
        </w:tabs>
        <w:spacing w:line="480" w:lineRule="auto"/>
      </w:pPr>
      <w:r>
        <w:rPr>
          <w:color w:val="000000"/>
        </w:rPr>
        <w:tab/>
      </w:r>
      <w:r w:rsidRPr="00096053">
        <w:rPr>
          <w:color w:val="000000"/>
        </w:rPr>
        <w:t>On or about April 18, 2008, the Order was properly served by first-class mail</w:t>
      </w:r>
    </w:p>
    <w:p w:rsidR="00186310" w:rsidRPr="00096053" w:rsidRDefault="00186310" w:rsidP="00186310">
      <w:pPr>
        <w:spacing w:line="480" w:lineRule="auto"/>
      </w:pPr>
      <w:proofErr w:type="gramStart"/>
      <w:r w:rsidRPr="00096053">
        <w:rPr>
          <w:color w:val="000000"/>
        </w:rPr>
        <w:t>upon</w:t>
      </w:r>
      <w:proofErr w:type="gramEnd"/>
      <w:r w:rsidRPr="00096053">
        <w:rPr>
          <w:color w:val="000000"/>
        </w:rPr>
        <w:t xml:space="preserve"> </w:t>
      </w:r>
      <w:r w:rsidR="006044B7">
        <w:rPr>
          <w:color w:val="000000"/>
        </w:rPr>
        <w:t>respondent</w:t>
      </w:r>
      <w:r w:rsidRPr="00096053">
        <w:rPr>
          <w:color w:val="000000"/>
        </w:rPr>
        <w:t xml:space="preserve">. </w:t>
      </w:r>
      <w:r>
        <w:rPr>
          <w:color w:val="000000"/>
        </w:rPr>
        <w:t xml:space="preserve"> </w:t>
      </w:r>
      <w:r w:rsidRPr="00096053">
        <w:rPr>
          <w:color w:val="000000"/>
        </w:rPr>
        <w:t>Respondent received the Order</w:t>
      </w:r>
      <w:r w:rsidR="00252037">
        <w:rPr>
          <w:color w:val="000000"/>
        </w:rPr>
        <w:t xml:space="preserve"> and </w:t>
      </w:r>
      <w:r w:rsidRPr="00096053">
        <w:rPr>
          <w:color w:val="000000"/>
        </w:rPr>
        <w:t>had actual notice of the Order, the Stipulation and the contents of</w:t>
      </w:r>
      <w:r w:rsidR="00252037">
        <w:rPr>
          <w:color w:val="000000"/>
        </w:rPr>
        <w:t xml:space="preserve"> </w:t>
      </w:r>
      <w:r>
        <w:rPr>
          <w:color w:val="000000"/>
        </w:rPr>
        <w:t>both.</w:t>
      </w:r>
    </w:p>
    <w:p w:rsidR="00186310" w:rsidRPr="00096053" w:rsidRDefault="00186310" w:rsidP="00186310">
      <w:pPr>
        <w:tabs>
          <w:tab w:val="num" w:pos="720"/>
        </w:tabs>
        <w:spacing w:line="480" w:lineRule="auto"/>
      </w:pPr>
      <w:r>
        <w:rPr>
          <w:color w:val="000000"/>
        </w:rPr>
        <w:tab/>
      </w:r>
      <w:r w:rsidRPr="00096053">
        <w:rPr>
          <w:color w:val="000000"/>
        </w:rPr>
        <w:t xml:space="preserve">The Order and the private </w:t>
      </w:r>
      <w:proofErr w:type="spellStart"/>
      <w:r w:rsidRPr="00096053">
        <w:rPr>
          <w:color w:val="000000"/>
        </w:rPr>
        <w:t>reproval</w:t>
      </w:r>
      <w:proofErr w:type="spellEnd"/>
      <w:r w:rsidRPr="00096053">
        <w:rPr>
          <w:color w:val="000000"/>
        </w:rPr>
        <w:t xml:space="preserve"> became effective on May 9, 2008.</w:t>
      </w:r>
    </w:p>
    <w:p w:rsidR="00186310" w:rsidRPr="00096053" w:rsidRDefault="00186310" w:rsidP="00186310">
      <w:pPr>
        <w:tabs>
          <w:tab w:val="left" w:pos="720"/>
        </w:tabs>
        <w:spacing w:line="480" w:lineRule="auto"/>
      </w:pPr>
      <w:r>
        <w:rPr>
          <w:color w:val="000000"/>
        </w:rPr>
        <w:tab/>
      </w:r>
      <w:r w:rsidRPr="00096053">
        <w:rPr>
          <w:color w:val="000000"/>
        </w:rPr>
        <w:t xml:space="preserve">Pursuant to the Order, </w:t>
      </w:r>
      <w:r w:rsidR="006044B7">
        <w:rPr>
          <w:color w:val="000000"/>
        </w:rPr>
        <w:t>respondent</w:t>
      </w:r>
      <w:r w:rsidRPr="00096053">
        <w:rPr>
          <w:color w:val="000000"/>
        </w:rPr>
        <w:t xml:space="preserve"> was required to comply with certain terms and</w:t>
      </w:r>
    </w:p>
    <w:p w:rsidR="00186310" w:rsidRDefault="00186310" w:rsidP="00186310">
      <w:pPr>
        <w:spacing w:line="480" w:lineRule="auto"/>
      </w:pPr>
      <w:proofErr w:type="gramStart"/>
      <w:r w:rsidRPr="00096053">
        <w:rPr>
          <w:color w:val="000000"/>
        </w:rPr>
        <w:t>conditions</w:t>
      </w:r>
      <w:proofErr w:type="gramEnd"/>
      <w:r w:rsidRPr="00096053">
        <w:rPr>
          <w:color w:val="000000"/>
        </w:rPr>
        <w:t xml:space="preserve"> attached to the private </w:t>
      </w:r>
      <w:proofErr w:type="spellStart"/>
      <w:r w:rsidRPr="00096053">
        <w:rPr>
          <w:color w:val="000000"/>
        </w:rPr>
        <w:t>reproval</w:t>
      </w:r>
      <w:proofErr w:type="spellEnd"/>
      <w:r w:rsidRPr="00096053">
        <w:rPr>
          <w:color w:val="000000"/>
        </w:rPr>
        <w:t xml:space="preserve"> for one year, including but not limited to the following:</w:t>
      </w:r>
    </w:p>
    <w:p w:rsidR="00186310" w:rsidRPr="0079346D" w:rsidRDefault="0079346D" w:rsidP="00553592">
      <w:pPr>
        <w:pStyle w:val="ListParagraph"/>
        <w:numPr>
          <w:ilvl w:val="0"/>
          <w:numId w:val="7"/>
        </w:numPr>
        <w:tabs>
          <w:tab w:val="left" w:pos="1440"/>
        </w:tabs>
        <w:spacing w:line="480" w:lineRule="auto"/>
        <w:ind w:left="1440" w:hanging="450"/>
      </w:pPr>
      <w:r>
        <w:rPr>
          <w:color w:val="000000"/>
        </w:rPr>
        <w:t>C</w:t>
      </w:r>
      <w:r w:rsidR="00186310" w:rsidRPr="0079346D">
        <w:rPr>
          <w:color w:val="000000"/>
        </w:rPr>
        <w:t>omply with the State Bar Act and the Rules</w:t>
      </w:r>
      <w:r>
        <w:rPr>
          <w:color w:val="000000"/>
        </w:rPr>
        <w:t xml:space="preserve"> of Professional Conduct during </w:t>
      </w:r>
      <w:r w:rsidR="00186310" w:rsidRPr="0079346D">
        <w:rPr>
          <w:color w:val="000000"/>
        </w:rPr>
        <w:t xml:space="preserve">the </w:t>
      </w:r>
      <w:proofErr w:type="spellStart"/>
      <w:r w:rsidR="00186310" w:rsidRPr="0079346D">
        <w:rPr>
          <w:color w:val="000000"/>
        </w:rPr>
        <w:t>reproval</w:t>
      </w:r>
      <w:proofErr w:type="spellEnd"/>
      <w:r w:rsidR="00186310" w:rsidRPr="0079346D">
        <w:rPr>
          <w:color w:val="000000"/>
        </w:rPr>
        <w:t xml:space="preserve"> period;</w:t>
      </w:r>
      <w:r w:rsidR="00553592">
        <w:rPr>
          <w:color w:val="000000"/>
        </w:rPr>
        <w:t xml:space="preserve"> and</w:t>
      </w:r>
    </w:p>
    <w:p w:rsidR="00186310" w:rsidRPr="00096053" w:rsidRDefault="0079346D" w:rsidP="00553592">
      <w:pPr>
        <w:pStyle w:val="ListParagraph"/>
        <w:numPr>
          <w:ilvl w:val="0"/>
          <w:numId w:val="7"/>
        </w:numPr>
        <w:tabs>
          <w:tab w:val="left" w:pos="1440"/>
          <w:tab w:val="left" w:pos="1800"/>
        </w:tabs>
        <w:spacing w:line="480" w:lineRule="auto"/>
        <w:ind w:left="1440" w:hanging="450"/>
      </w:pPr>
      <w:r>
        <w:rPr>
          <w:color w:val="000000"/>
        </w:rPr>
        <w:t>S</w:t>
      </w:r>
      <w:r w:rsidR="00186310" w:rsidRPr="0079346D">
        <w:rPr>
          <w:color w:val="000000"/>
        </w:rPr>
        <w:t xml:space="preserve">ubmit </w:t>
      </w:r>
      <w:r w:rsidRPr="0079346D">
        <w:rPr>
          <w:color w:val="000000"/>
        </w:rPr>
        <w:t xml:space="preserve">quarterly reports </w:t>
      </w:r>
      <w:r w:rsidR="00186310" w:rsidRPr="0079346D">
        <w:rPr>
          <w:color w:val="000000"/>
        </w:rPr>
        <w:t>to</w:t>
      </w:r>
      <w:r w:rsidR="00553592">
        <w:rPr>
          <w:color w:val="000000"/>
        </w:rPr>
        <w:t xml:space="preserve"> the Office of Probation </w:t>
      </w:r>
      <w:r w:rsidR="00186310" w:rsidRPr="0079346D">
        <w:rPr>
          <w:color w:val="000000"/>
        </w:rPr>
        <w:t xml:space="preserve">on each January 10, April 10, July 10 and October 10 of the </w:t>
      </w:r>
      <w:proofErr w:type="spellStart"/>
      <w:r w:rsidR="00186310" w:rsidRPr="0079346D">
        <w:rPr>
          <w:color w:val="000000"/>
        </w:rPr>
        <w:t>reproval</w:t>
      </w:r>
      <w:proofErr w:type="spellEnd"/>
      <w:r w:rsidR="00186310" w:rsidRPr="0079346D">
        <w:rPr>
          <w:color w:val="000000"/>
        </w:rPr>
        <w:t xml:space="preserve"> period, certifying under penalty of perjury whether </w:t>
      </w:r>
      <w:r w:rsidR="006044B7" w:rsidRPr="0079346D">
        <w:rPr>
          <w:color w:val="000000"/>
        </w:rPr>
        <w:t>respondent</w:t>
      </w:r>
      <w:r w:rsidR="00186310" w:rsidRPr="0079346D">
        <w:rPr>
          <w:color w:val="000000"/>
        </w:rPr>
        <w:t xml:space="preserve"> has complied with the State Bar Act, the Rules of Professional Conduct, an</w:t>
      </w:r>
      <w:r>
        <w:rPr>
          <w:color w:val="000000"/>
        </w:rPr>
        <w:t>d</w:t>
      </w:r>
      <w:r w:rsidR="00186310" w:rsidRPr="0079346D">
        <w:rPr>
          <w:color w:val="000000"/>
        </w:rPr>
        <w:t xml:space="preserve"> all conditions of the </w:t>
      </w:r>
      <w:proofErr w:type="spellStart"/>
      <w:r w:rsidR="00186310" w:rsidRPr="0079346D">
        <w:rPr>
          <w:color w:val="000000"/>
        </w:rPr>
        <w:t>reproval</w:t>
      </w:r>
      <w:proofErr w:type="spellEnd"/>
      <w:r w:rsidR="00186310" w:rsidRPr="0079346D">
        <w:rPr>
          <w:color w:val="000000"/>
        </w:rPr>
        <w:t xml:space="preserve"> during the preceding calendar quarter.</w:t>
      </w:r>
    </w:p>
    <w:p w:rsidR="00BF0101" w:rsidRDefault="00186310" w:rsidP="00B4334B">
      <w:pPr>
        <w:spacing w:line="480" w:lineRule="auto"/>
        <w:rPr>
          <w:color w:val="000000"/>
        </w:rPr>
      </w:pPr>
      <w:r>
        <w:rPr>
          <w:color w:val="000000"/>
        </w:rPr>
        <w:lastRenderedPageBreak/>
        <w:tab/>
      </w:r>
      <w:r w:rsidR="0079346D">
        <w:rPr>
          <w:color w:val="000000"/>
        </w:rPr>
        <w:t>On July 10 and</w:t>
      </w:r>
      <w:r w:rsidRPr="00096053">
        <w:rPr>
          <w:color w:val="000000"/>
        </w:rPr>
        <w:t xml:space="preserve"> </w:t>
      </w:r>
      <w:r w:rsidR="0079346D" w:rsidRPr="00096053">
        <w:rPr>
          <w:color w:val="000000"/>
        </w:rPr>
        <w:t>October 10</w:t>
      </w:r>
      <w:r w:rsidR="0079346D">
        <w:rPr>
          <w:color w:val="000000"/>
        </w:rPr>
        <w:t xml:space="preserve">, </w:t>
      </w:r>
      <w:r w:rsidR="0079346D" w:rsidRPr="00096053">
        <w:rPr>
          <w:color w:val="000000"/>
        </w:rPr>
        <w:t xml:space="preserve">2008, </w:t>
      </w:r>
      <w:r w:rsidR="0079346D">
        <w:rPr>
          <w:color w:val="000000"/>
        </w:rPr>
        <w:t xml:space="preserve">and </w:t>
      </w:r>
      <w:r w:rsidR="0079346D" w:rsidRPr="00096053">
        <w:rPr>
          <w:color w:val="000000"/>
        </w:rPr>
        <w:t>January 10, 2009</w:t>
      </w:r>
      <w:r w:rsidR="0079346D">
        <w:rPr>
          <w:color w:val="000000"/>
        </w:rPr>
        <w:t xml:space="preserve">, </w:t>
      </w:r>
      <w:r w:rsidR="006044B7">
        <w:rPr>
          <w:color w:val="000000"/>
        </w:rPr>
        <w:t>respondent</w:t>
      </w:r>
      <w:r w:rsidRPr="00096053">
        <w:rPr>
          <w:color w:val="000000"/>
        </w:rPr>
        <w:t xml:space="preserve"> signed and submitted to </w:t>
      </w:r>
      <w:r w:rsidR="00553592">
        <w:rPr>
          <w:color w:val="000000"/>
        </w:rPr>
        <w:t xml:space="preserve">the Office of Probation </w:t>
      </w:r>
      <w:r w:rsidRPr="00096053">
        <w:rPr>
          <w:color w:val="000000"/>
        </w:rPr>
        <w:t>his quarterly report</w:t>
      </w:r>
      <w:r w:rsidR="0079346D">
        <w:rPr>
          <w:color w:val="000000"/>
        </w:rPr>
        <w:t>s</w:t>
      </w:r>
      <w:r w:rsidRPr="00096053">
        <w:rPr>
          <w:color w:val="000000"/>
        </w:rPr>
        <w:t xml:space="preserve"> stating that he complied with all provisions of the State Bar Act and Rules of Professional Conduct.</w:t>
      </w:r>
      <w:r w:rsidR="00B4334B">
        <w:rPr>
          <w:color w:val="000000"/>
        </w:rPr>
        <w:t xml:space="preserve">  </w:t>
      </w:r>
    </w:p>
    <w:p w:rsidR="00186310" w:rsidRPr="00096053" w:rsidRDefault="00BF0101" w:rsidP="00B4334B">
      <w:pPr>
        <w:spacing w:line="480" w:lineRule="auto"/>
      </w:pPr>
      <w:r>
        <w:rPr>
          <w:color w:val="000000"/>
        </w:rPr>
        <w:tab/>
      </w:r>
      <w:r w:rsidR="00B4334B">
        <w:rPr>
          <w:color w:val="000000"/>
        </w:rPr>
        <w:t xml:space="preserve">But, in fact, he </w:t>
      </w:r>
      <w:r w:rsidR="00186310" w:rsidRPr="00096053">
        <w:rPr>
          <w:color w:val="000000"/>
        </w:rPr>
        <w:t>was not in compliance with all provisions of the State Bar Act and Rules of Professional Conduct because he failed, upon termination of his employment, to take reasonable steps to avoid foreseeable prejudice to his client, Barbara Cole</w:t>
      </w:r>
      <w:r w:rsidR="00B4334B">
        <w:rPr>
          <w:color w:val="000000"/>
        </w:rPr>
        <w:t>, such as giving her due notice that he had moved</w:t>
      </w:r>
      <w:r w:rsidR="00186310" w:rsidRPr="00096053">
        <w:rPr>
          <w:color w:val="000000"/>
        </w:rPr>
        <w:t>.</w:t>
      </w:r>
    </w:p>
    <w:p w:rsidR="001931E9" w:rsidRPr="00096053" w:rsidRDefault="001931E9" w:rsidP="001931E9">
      <w:pPr>
        <w:tabs>
          <w:tab w:val="num" w:pos="720"/>
        </w:tabs>
        <w:spacing w:line="480" w:lineRule="auto"/>
      </w:pPr>
      <w:r>
        <w:rPr>
          <w:color w:val="000000"/>
        </w:rPr>
        <w:tab/>
      </w:r>
      <w:r w:rsidRPr="00096053">
        <w:rPr>
          <w:color w:val="000000"/>
        </w:rPr>
        <w:t>On or about May 12, 2009, the State Bar opened an investigation pursuant to a complaint filed by Cole.</w:t>
      </w:r>
    </w:p>
    <w:p w:rsidR="001931E9" w:rsidRPr="00096053" w:rsidRDefault="001931E9" w:rsidP="001931E9">
      <w:pPr>
        <w:spacing w:line="480" w:lineRule="auto"/>
      </w:pPr>
      <w:r>
        <w:rPr>
          <w:color w:val="000000"/>
        </w:rPr>
        <w:tab/>
        <w:t xml:space="preserve">On October 6, 2009, </w:t>
      </w:r>
      <w:r w:rsidR="00B4334B">
        <w:rPr>
          <w:color w:val="000000"/>
        </w:rPr>
        <w:t>a</w:t>
      </w:r>
      <w:r>
        <w:rPr>
          <w:color w:val="000000"/>
        </w:rPr>
        <w:t xml:space="preserve"> State Bar </w:t>
      </w:r>
      <w:r w:rsidR="00B4334B">
        <w:rPr>
          <w:color w:val="000000"/>
        </w:rPr>
        <w:t>i</w:t>
      </w:r>
      <w:r>
        <w:rPr>
          <w:color w:val="000000"/>
        </w:rPr>
        <w:t xml:space="preserve">nvestigator wrote </w:t>
      </w:r>
      <w:r w:rsidR="006044B7">
        <w:rPr>
          <w:color w:val="000000"/>
        </w:rPr>
        <w:t>respondent</w:t>
      </w:r>
      <w:r>
        <w:rPr>
          <w:color w:val="000000"/>
        </w:rPr>
        <w:t xml:space="preserve"> a letter requesting </w:t>
      </w:r>
      <w:r w:rsidR="00E84AA2">
        <w:rPr>
          <w:color w:val="000000"/>
        </w:rPr>
        <w:t>him to</w:t>
      </w:r>
      <w:r>
        <w:rPr>
          <w:color w:val="000000"/>
        </w:rPr>
        <w:t xml:space="preserve"> respond in writing to specified allegations of misconduct being investigated by the State Bar in the Cole </w:t>
      </w:r>
      <w:r w:rsidR="00B4334B">
        <w:rPr>
          <w:color w:val="000000"/>
        </w:rPr>
        <w:t>m</w:t>
      </w:r>
      <w:r>
        <w:rPr>
          <w:color w:val="000000"/>
        </w:rPr>
        <w:t xml:space="preserve">atter.  The response deadline was October 20, 2009.  Respondent received the letter but failed to respond. </w:t>
      </w:r>
    </w:p>
    <w:p w:rsidR="001931E9" w:rsidRPr="00096053" w:rsidRDefault="001931E9" w:rsidP="001931E9">
      <w:pPr>
        <w:tabs>
          <w:tab w:val="left" w:pos="720"/>
        </w:tabs>
        <w:spacing w:line="480" w:lineRule="auto"/>
      </w:pPr>
      <w:r>
        <w:rPr>
          <w:color w:val="000000"/>
        </w:rPr>
        <w:tab/>
      </w:r>
      <w:r w:rsidRPr="00096053">
        <w:rPr>
          <w:color w:val="000000"/>
        </w:rPr>
        <w:t>On</w:t>
      </w:r>
      <w:r w:rsidR="00B4334B">
        <w:rPr>
          <w:color w:val="000000"/>
        </w:rPr>
        <w:t xml:space="preserve"> October 23, 2009, a State Bar i</w:t>
      </w:r>
      <w:r w:rsidRPr="00096053">
        <w:rPr>
          <w:color w:val="000000"/>
        </w:rPr>
        <w:t xml:space="preserve">nvestigator </w:t>
      </w:r>
      <w:r w:rsidR="00B4334B">
        <w:rPr>
          <w:color w:val="000000"/>
        </w:rPr>
        <w:t xml:space="preserve">again </w:t>
      </w:r>
      <w:r w:rsidRPr="00096053">
        <w:rPr>
          <w:color w:val="000000"/>
        </w:rPr>
        <w:t xml:space="preserve">wrote </w:t>
      </w:r>
      <w:r w:rsidR="006044B7">
        <w:rPr>
          <w:color w:val="000000"/>
        </w:rPr>
        <w:t>respondent</w:t>
      </w:r>
      <w:r w:rsidRPr="00096053">
        <w:rPr>
          <w:color w:val="000000"/>
        </w:rPr>
        <w:t xml:space="preserve"> a letter requesting a response to the letter sent on October 6, 2009. </w:t>
      </w:r>
      <w:r>
        <w:rPr>
          <w:color w:val="000000"/>
        </w:rPr>
        <w:t xml:space="preserve"> </w:t>
      </w:r>
      <w:r w:rsidRPr="00096053">
        <w:rPr>
          <w:color w:val="000000"/>
        </w:rPr>
        <w:t>A copy of the October 6</w:t>
      </w:r>
      <w:r w:rsidR="00B4334B">
        <w:rPr>
          <w:color w:val="000000"/>
        </w:rPr>
        <w:t xml:space="preserve"> </w:t>
      </w:r>
      <w:r w:rsidRPr="00096053">
        <w:rPr>
          <w:color w:val="000000"/>
        </w:rPr>
        <w:t>letter was enclosed</w:t>
      </w:r>
      <w:r>
        <w:rPr>
          <w:color w:val="000000"/>
        </w:rPr>
        <w:t xml:space="preserve"> </w:t>
      </w:r>
      <w:r w:rsidRPr="00096053">
        <w:rPr>
          <w:color w:val="000000"/>
        </w:rPr>
        <w:t>with the October 23</w:t>
      </w:r>
      <w:r w:rsidR="00B4334B">
        <w:rPr>
          <w:color w:val="000000"/>
        </w:rPr>
        <w:t xml:space="preserve"> </w:t>
      </w:r>
      <w:r w:rsidRPr="00096053">
        <w:rPr>
          <w:color w:val="000000"/>
        </w:rPr>
        <w:t xml:space="preserve">letter. </w:t>
      </w:r>
      <w:r>
        <w:rPr>
          <w:color w:val="000000"/>
        </w:rPr>
        <w:t xml:space="preserve"> </w:t>
      </w:r>
      <w:r w:rsidRPr="00096053">
        <w:rPr>
          <w:color w:val="000000"/>
        </w:rPr>
        <w:t xml:space="preserve">The response deadline was November 6, 2009. </w:t>
      </w:r>
      <w:r>
        <w:rPr>
          <w:color w:val="000000"/>
        </w:rPr>
        <w:t xml:space="preserve"> </w:t>
      </w:r>
      <w:r w:rsidRPr="00096053">
        <w:rPr>
          <w:color w:val="000000"/>
        </w:rPr>
        <w:t>Respondent received the letter and enclosure but failed to respond.</w:t>
      </w:r>
    </w:p>
    <w:p w:rsidR="00B218C4" w:rsidRPr="003873FA" w:rsidRDefault="00B218C4" w:rsidP="00C04D90">
      <w:pPr>
        <w:spacing w:line="480" w:lineRule="auto"/>
        <w:rPr>
          <w:b/>
        </w:rPr>
      </w:pPr>
      <w:r w:rsidRPr="003873FA">
        <w:rPr>
          <w:b/>
        </w:rPr>
        <w:t>Conclusions of Law</w:t>
      </w:r>
    </w:p>
    <w:p w:rsidR="00AC5C2F" w:rsidRPr="003873FA" w:rsidRDefault="00AC5C2F" w:rsidP="00AC5C2F">
      <w:pPr>
        <w:spacing w:line="480" w:lineRule="auto"/>
      </w:pPr>
      <w:r w:rsidRPr="003873FA">
        <w:rPr>
          <w:b/>
          <w:bCs/>
          <w:i/>
          <w:iCs/>
        </w:rPr>
        <w:t xml:space="preserve">Count </w:t>
      </w:r>
      <w:r>
        <w:rPr>
          <w:b/>
          <w:bCs/>
          <w:i/>
          <w:iCs/>
        </w:rPr>
        <w:t>1</w:t>
      </w:r>
      <w:r w:rsidRPr="003873FA">
        <w:rPr>
          <w:b/>
          <w:bCs/>
          <w:i/>
          <w:iCs/>
        </w:rPr>
        <w:t xml:space="preserve">:  Improper Withdrawal </w:t>
      </w:r>
      <w:r>
        <w:rPr>
          <w:b/>
          <w:bCs/>
          <w:i/>
          <w:iCs/>
        </w:rPr>
        <w:t>f</w:t>
      </w:r>
      <w:r w:rsidRPr="003873FA">
        <w:rPr>
          <w:b/>
          <w:bCs/>
          <w:i/>
          <w:iCs/>
        </w:rPr>
        <w:t xml:space="preserve">rom Employment </w:t>
      </w:r>
      <w:r w:rsidR="006044B7">
        <w:rPr>
          <w:b/>
          <w:bCs/>
          <w:i/>
          <w:iCs/>
        </w:rPr>
        <w:t xml:space="preserve">(Rules Prof. Conduct, </w:t>
      </w:r>
      <w:r w:rsidRPr="003873FA">
        <w:rPr>
          <w:b/>
          <w:bCs/>
          <w:i/>
          <w:iCs/>
        </w:rPr>
        <w:t>Rule 3-700(A</w:t>
      </w:r>
      <w:proofErr w:type="gramStart"/>
      <w:r w:rsidRPr="003873FA">
        <w:rPr>
          <w:b/>
          <w:bCs/>
          <w:i/>
          <w:iCs/>
        </w:rPr>
        <w:t>)(</w:t>
      </w:r>
      <w:proofErr w:type="gramEnd"/>
      <w:r w:rsidRPr="003873FA">
        <w:rPr>
          <w:b/>
          <w:bCs/>
          <w:i/>
          <w:iCs/>
        </w:rPr>
        <w:t>2))</w:t>
      </w:r>
      <w:r w:rsidR="00C62AB0" w:rsidRPr="003873FA">
        <w:rPr>
          <w:rStyle w:val="FootnoteReference"/>
          <w:b/>
          <w:i/>
        </w:rPr>
        <w:t xml:space="preserve"> </w:t>
      </w:r>
      <w:r w:rsidR="00C62AB0" w:rsidRPr="003873FA">
        <w:rPr>
          <w:rStyle w:val="FootnoteReference"/>
          <w:b/>
          <w:i/>
        </w:rPr>
        <w:footnoteReference w:id="1"/>
      </w:r>
      <w:r w:rsidR="00C62AB0" w:rsidRPr="003873FA">
        <w:rPr>
          <w:b/>
          <w:i/>
        </w:rPr>
        <w:t xml:space="preserve">  </w:t>
      </w:r>
    </w:p>
    <w:p w:rsidR="00AC5C2F" w:rsidRDefault="00AC5C2F" w:rsidP="00AC5C2F">
      <w:pPr>
        <w:spacing w:line="480" w:lineRule="auto"/>
      </w:pPr>
      <w:r>
        <w:tab/>
      </w:r>
      <w:r w:rsidRPr="003873FA">
        <w:t xml:space="preserve">Rule 3-700(A)(2) states:  “A member shall not withdraw from employment until the member has taken reasonable steps to avoid reasonably foreseeable prejudice to the rights of the client, including giving due notice to the client, allowing time for employment of other counsel, complying with rule 3-700(D), and complying with applicable laws and rules.” </w:t>
      </w:r>
    </w:p>
    <w:p w:rsidR="00186310" w:rsidRPr="00096053" w:rsidRDefault="00186310" w:rsidP="00186310">
      <w:pPr>
        <w:spacing w:line="480" w:lineRule="auto"/>
      </w:pPr>
      <w:r>
        <w:rPr>
          <w:color w:val="000000"/>
        </w:rPr>
        <w:lastRenderedPageBreak/>
        <w:tab/>
      </w:r>
      <w:r w:rsidRPr="00096053">
        <w:rPr>
          <w:color w:val="000000"/>
        </w:rPr>
        <w:t xml:space="preserve">By failing to complete the services for which </w:t>
      </w:r>
      <w:r w:rsidR="006044B7">
        <w:rPr>
          <w:color w:val="000000"/>
        </w:rPr>
        <w:t>respondent</w:t>
      </w:r>
      <w:r w:rsidRPr="00096053">
        <w:rPr>
          <w:color w:val="000000"/>
        </w:rPr>
        <w:t xml:space="preserve"> was employed and failing to provide Cole with his valid telephone and address information, </w:t>
      </w:r>
      <w:r w:rsidR="006044B7">
        <w:rPr>
          <w:color w:val="000000"/>
        </w:rPr>
        <w:t>respondent</w:t>
      </w:r>
      <w:r w:rsidRPr="00096053">
        <w:rPr>
          <w:color w:val="000000"/>
        </w:rPr>
        <w:t xml:space="preserve"> willfully violated rule 3-700(A)(2) by failing, upon termination of employment, to take reasonable steps to avoid reasonably foreseeable prejudice to his client</w:t>
      </w:r>
      <w:r>
        <w:rPr>
          <w:color w:val="000000"/>
        </w:rPr>
        <w:t xml:space="preserve">.  </w:t>
      </w:r>
    </w:p>
    <w:p w:rsidR="00AD57DC" w:rsidRPr="003873FA" w:rsidRDefault="00AD57DC" w:rsidP="00AD57DC">
      <w:pPr>
        <w:spacing w:line="480" w:lineRule="auto"/>
        <w:rPr>
          <w:b/>
          <w:i/>
        </w:rPr>
      </w:pPr>
      <w:r w:rsidRPr="003873FA">
        <w:rPr>
          <w:b/>
          <w:i/>
        </w:rPr>
        <w:t xml:space="preserve">Count </w:t>
      </w:r>
      <w:r>
        <w:rPr>
          <w:b/>
          <w:i/>
        </w:rPr>
        <w:t>2</w:t>
      </w:r>
      <w:r w:rsidRPr="003873FA">
        <w:rPr>
          <w:b/>
          <w:i/>
        </w:rPr>
        <w:t xml:space="preserve">:  </w:t>
      </w:r>
      <w:r>
        <w:rPr>
          <w:b/>
          <w:i/>
        </w:rPr>
        <w:t xml:space="preserve">Dishonesty </w:t>
      </w:r>
      <w:r w:rsidRPr="00AD3752">
        <w:rPr>
          <w:b/>
          <w:i/>
        </w:rPr>
        <w:t>(Bus. &amp; Prof. Code, §</w:t>
      </w:r>
      <w:r w:rsidRPr="003873FA">
        <w:rPr>
          <w:b/>
          <w:i/>
        </w:rPr>
        <w:t xml:space="preserve"> 6106)</w:t>
      </w:r>
      <w:r w:rsidR="00FB19EF" w:rsidRPr="00DF5B84">
        <w:rPr>
          <w:rStyle w:val="FootnoteReference"/>
          <w:b/>
          <w:i/>
        </w:rPr>
        <w:t xml:space="preserve"> </w:t>
      </w:r>
      <w:r w:rsidR="00FB19EF" w:rsidRPr="003873FA">
        <w:rPr>
          <w:rStyle w:val="FootnoteReference"/>
          <w:b/>
          <w:i/>
        </w:rPr>
        <w:footnoteReference w:id="2"/>
      </w:r>
      <w:r w:rsidR="00FB19EF" w:rsidRPr="003873FA">
        <w:rPr>
          <w:rStyle w:val="FootnoteReference"/>
          <w:b/>
          <w:i/>
        </w:rPr>
        <w:t xml:space="preserve"> </w:t>
      </w:r>
      <w:r w:rsidRPr="003873FA">
        <w:rPr>
          <w:b/>
          <w:i/>
        </w:rPr>
        <w:t xml:space="preserve"> </w:t>
      </w:r>
    </w:p>
    <w:p w:rsidR="00AD57DC" w:rsidRDefault="00AD57DC" w:rsidP="00AD57DC">
      <w:pPr>
        <w:spacing w:line="480" w:lineRule="auto"/>
      </w:pPr>
      <w:r>
        <w:tab/>
      </w:r>
      <w:r w:rsidRPr="00F60CE2">
        <w:t xml:space="preserve">Section 6106 prohibits an attorney from engaging in conduct involving moral turpitude, dishonesty or corruption.  </w:t>
      </w:r>
    </w:p>
    <w:p w:rsidR="00397AD6" w:rsidRDefault="00186310" w:rsidP="00397AD6">
      <w:pPr>
        <w:spacing w:line="480" w:lineRule="auto"/>
      </w:pPr>
      <w:r>
        <w:rPr>
          <w:color w:val="000000"/>
        </w:rPr>
        <w:tab/>
      </w:r>
      <w:r w:rsidRPr="00096053">
        <w:rPr>
          <w:color w:val="000000"/>
        </w:rPr>
        <w:t xml:space="preserve">By preparing, signing and submitting quarterly reports to the State Bar </w:t>
      </w:r>
      <w:r w:rsidR="00397AD6">
        <w:rPr>
          <w:color w:val="000000"/>
        </w:rPr>
        <w:t>on July 10 and</w:t>
      </w:r>
      <w:r w:rsidR="00397AD6" w:rsidRPr="00096053">
        <w:rPr>
          <w:color w:val="000000"/>
        </w:rPr>
        <w:t xml:space="preserve"> October 10</w:t>
      </w:r>
      <w:r w:rsidR="00397AD6">
        <w:rPr>
          <w:color w:val="000000"/>
        </w:rPr>
        <w:t xml:space="preserve">, </w:t>
      </w:r>
      <w:r w:rsidR="00397AD6" w:rsidRPr="00096053">
        <w:rPr>
          <w:color w:val="000000"/>
        </w:rPr>
        <w:t xml:space="preserve">2008, </w:t>
      </w:r>
      <w:r w:rsidR="00397AD6">
        <w:rPr>
          <w:color w:val="000000"/>
        </w:rPr>
        <w:t xml:space="preserve">and </w:t>
      </w:r>
      <w:r w:rsidR="00397AD6" w:rsidRPr="00096053">
        <w:rPr>
          <w:color w:val="000000"/>
        </w:rPr>
        <w:t>January 10, 2009</w:t>
      </w:r>
      <w:r w:rsidR="00397AD6">
        <w:rPr>
          <w:color w:val="000000"/>
        </w:rPr>
        <w:t xml:space="preserve">, </w:t>
      </w:r>
      <w:r w:rsidRPr="00096053">
        <w:rPr>
          <w:color w:val="000000"/>
        </w:rPr>
        <w:t>stating that he was in compliance with all provisions of the State Bar Act and Rules of Professional Conduct</w:t>
      </w:r>
      <w:r w:rsidR="00397AD6">
        <w:rPr>
          <w:color w:val="000000"/>
        </w:rPr>
        <w:t xml:space="preserve"> when he </w:t>
      </w:r>
      <w:r w:rsidR="00E84AA2">
        <w:rPr>
          <w:color w:val="000000"/>
        </w:rPr>
        <w:t xml:space="preserve">was not and, in fact, </w:t>
      </w:r>
      <w:r w:rsidR="00EF48E4">
        <w:rPr>
          <w:color w:val="000000"/>
        </w:rPr>
        <w:t>had abandoned his client in December 2008</w:t>
      </w:r>
      <w:r w:rsidRPr="00096053">
        <w:rPr>
          <w:color w:val="000000"/>
        </w:rPr>
        <w:t xml:space="preserve">, </w:t>
      </w:r>
      <w:r w:rsidR="006044B7">
        <w:rPr>
          <w:color w:val="000000"/>
        </w:rPr>
        <w:t>respondent</w:t>
      </w:r>
      <w:r w:rsidRPr="00096053">
        <w:rPr>
          <w:color w:val="000000"/>
        </w:rPr>
        <w:t xml:space="preserve"> committed an act involving dishonesty </w:t>
      </w:r>
      <w:r w:rsidR="00397AD6" w:rsidRPr="00084552">
        <w:t>in wi</w:t>
      </w:r>
      <w:r w:rsidR="00397AD6">
        <w:t>l</w:t>
      </w:r>
      <w:r w:rsidR="00397AD6" w:rsidRPr="00084552">
        <w:t xml:space="preserve">lful violation of section 6106. </w:t>
      </w:r>
    </w:p>
    <w:p w:rsidR="00186310" w:rsidRPr="00E10B72" w:rsidRDefault="00E10B72" w:rsidP="005009E6">
      <w:pPr>
        <w:spacing w:line="480" w:lineRule="auto"/>
        <w:rPr>
          <w:b/>
          <w:bCs/>
          <w:i/>
          <w:iCs/>
        </w:rPr>
      </w:pPr>
      <w:r w:rsidRPr="00E10B72">
        <w:rPr>
          <w:b/>
          <w:bCs/>
          <w:i/>
          <w:iCs/>
        </w:rPr>
        <w:t xml:space="preserve">Count 3:  Failure to Comply with </w:t>
      </w:r>
      <w:proofErr w:type="spellStart"/>
      <w:r w:rsidRPr="00E10B72">
        <w:rPr>
          <w:b/>
          <w:bCs/>
          <w:i/>
          <w:iCs/>
        </w:rPr>
        <w:t>Reproval</w:t>
      </w:r>
      <w:proofErr w:type="spellEnd"/>
      <w:r w:rsidRPr="00E10B72">
        <w:rPr>
          <w:b/>
          <w:bCs/>
          <w:i/>
          <w:iCs/>
        </w:rPr>
        <w:t xml:space="preserve"> Conditions (Rules Prof. Conduct, </w:t>
      </w:r>
      <w:r w:rsidR="00FB19EF">
        <w:rPr>
          <w:b/>
          <w:bCs/>
          <w:i/>
          <w:iCs/>
        </w:rPr>
        <w:t>R</w:t>
      </w:r>
      <w:r w:rsidRPr="00E10B72">
        <w:rPr>
          <w:b/>
          <w:bCs/>
          <w:i/>
          <w:iCs/>
        </w:rPr>
        <w:t>ule 1-110)</w:t>
      </w:r>
    </w:p>
    <w:p w:rsidR="00EF48E4" w:rsidRDefault="00EF48E4" w:rsidP="001931E9">
      <w:pPr>
        <w:spacing w:line="480" w:lineRule="auto"/>
        <w:rPr>
          <w:color w:val="000000"/>
        </w:rPr>
      </w:pPr>
      <w:r>
        <w:rPr>
          <w:color w:val="000000"/>
        </w:rPr>
        <w:tab/>
        <w:t xml:space="preserve">Rule 1-110 provides that an attorney must comply with </w:t>
      </w:r>
      <w:r w:rsidR="00E84AA2">
        <w:rPr>
          <w:color w:val="000000"/>
        </w:rPr>
        <w:t xml:space="preserve">the </w:t>
      </w:r>
      <w:r>
        <w:rPr>
          <w:color w:val="000000"/>
        </w:rPr>
        <w:t xml:space="preserve">conditions attached to public or private </w:t>
      </w:r>
      <w:proofErr w:type="spellStart"/>
      <w:r>
        <w:rPr>
          <w:color w:val="000000"/>
        </w:rPr>
        <w:t>reprovals</w:t>
      </w:r>
      <w:proofErr w:type="spellEnd"/>
      <w:r w:rsidR="00E84AA2">
        <w:rPr>
          <w:color w:val="000000"/>
        </w:rPr>
        <w:t xml:space="preserve"> imposed by the State Bar Court</w:t>
      </w:r>
      <w:r>
        <w:rPr>
          <w:color w:val="000000"/>
        </w:rPr>
        <w:t>.</w:t>
      </w:r>
    </w:p>
    <w:p w:rsidR="00F154D0" w:rsidRDefault="001931E9" w:rsidP="005009E6">
      <w:pPr>
        <w:spacing w:line="480" w:lineRule="auto"/>
        <w:rPr>
          <w:b/>
          <w:bCs/>
          <w:i/>
          <w:iCs/>
        </w:rPr>
      </w:pPr>
      <w:r w:rsidRPr="001931E9">
        <w:rPr>
          <w:color w:val="000000"/>
        </w:rPr>
        <w:t xml:space="preserve"> </w:t>
      </w:r>
      <w:r>
        <w:rPr>
          <w:color w:val="000000"/>
        </w:rPr>
        <w:tab/>
      </w:r>
      <w:r w:rsidRPr="00096053">
        <w:rPr>
          <w:color w:val="000000"/>
        </w:rPr>
        <w:t xml:space="preserve">By failing to complete the services for which </w:t>
      </w:r>
      <w:r w:rsidR="006044B7">
        <w:rPr>
          <w:color w:val="000000"/>
        </w:rPr>
        <w:t>respondent</w:t>
      </w:r>
      <w:r w:rsidRPr="00096053">
        <w:rPr>
          <w:color w:val="000000"/>
        </w:rPr>
        <w:t xml:space="preserve"> was employed by his client, Barbara Cole, and failing, upon termination of employment, to take reasonable steps to avoid foreseeable prejudice to his client, </w:t>
      </w:r>
      <w:r w:rsidR="006044B7">
        <w:rPr>
          <w:color w:val="000000"/>
        </w:rPr>
        <w:t>respondent</w:t>
      </w:r>
      <w:r w:rsidRPr="00096053">
        <w:rPr>
          <w:color w:val="000000"/>
        </w:rPr>
        <w:t xml:space="preserve"> failed to comply with the State Bar Act and the Rules of Professional Conduct during the </w:t>
      </w:r>
      <w:proofErr w:type="spellStart"/>
      <w:r w:rsidRPr="00096053">
        <w:rPr>
          <w:color w:val="000000"/>
        </w:rPr>
        <w:t>reproval</w:t>
      </w:r>
      <w:proofErr w:type="spellEnd"/>
      <w:r w:rsidRPr="00096053">
        <w:rPr>
          <w:color w:val="000000"/>
        </w:rPr>
        <w:t xml:space="preserve"> period as required by the conditions attached to a private </w:t>
      </w:r>
      <w:proofErr w:type="spellStart"/>
      <w:r w:rsidRPr="00096053">
        <w:rPr>
          <w:color w:val="000000"/>
        </w:rPr>
        <w:t>reproval</w:t>
      </w:r>
      <w:proofErr w:type="spellEnd"/>
      <w:r w:rsidRPr="00096053">
        <w:rPr>
          <w:color w:val="000000"/>
        </w:rPr>
        <w:t xml:space="preserve"> administered by the State Bar</w:t>
      </w:r>
      <w:r w:rsidR="00EF48E4">
        <w:rPr>
          <w:color w:val="000000"/>
        </w:rPr>
        <w:t xml:space="preserve"> in willful violation of rule 1-110.</w:t>
      </w:r>
    </w:p>
    <w:p w:rsidR="005009E6" w:rsidRPr="003873FA" w:rsidRDefault="005009E6" w:rsidP="005009E6">
      <w:pPr>
        <w:spacing w:line="480" w:lineRule="auto"/>
        <w:rPr>
          <w:b/>
          <w:bCs/>
          <w:u w:val="single"/>
        </w:rPr>
      </w:pPr>
      <w:r w:rsidRPr="003873FA">
        <w:rPr>
          <w:b/>
          <w:bCs/>
          <w:i/>
          <w:iCs/>
        </w:rPr>
        <w:t xml:space="preserve">Count 4:  Failure to Cooperate With the State Bar </w:t>
      </w:r>
      <w:r w:rsidRPr="003873FA">
        <w:rPr>
          <w:b/>
          <w:i/>
        </w:rPr>
        <w:t xml:space="preserve">(Bus. </w:t>
      </w:r>
      <w:proofErr w:type="gramStart"/>
      <w:r w:rsidRPr="003873FA">
        <w:rPr>
          <w:b/>
          <w:i/>
        </w:rPr>
        <w:t xml:space="preserve">&amp; Prof. Code, § 6068, </w:t>
      </w:r>
      <w:proofErr w:type="spellStart"/>
      <w:r w:rsidRPr="003873FA">
        <w:rPr>
          <w:b/>
          <w:i/>
        </w:rPr>
        <w:t>Subd</w:t>
      </w:r>
      <w:proofErr w:type="spellEnd"/>
      <w:r w:rsidRPr="003873FA">
        <w:rPr>
          <w:b/>
          <w:i/>
        </w:rPr>
        <w:t>.</w:t>
      </w:r>
      <w:proofErr w:type="gramEnd"/>
      <w:r w:rsidRPr="003873FA">
        <w:rPr>
          <w:b/>
          <w:i/>
        </w:rPr>
        <w:t xml:space="preserve"> (</w:t>
      </w:r>
      <w:proofErr w:type="spellStart"/>
      <w:proofErr w:type="gramStart"/>
      <w:r>
        <w:rPr>
          <w:b/>
          <w:i/>
        </w:rPr>
        <w:t>i</w:t>
      </w:r>
      <w:proofErr w:type="spellEnd"/>
      <w:proofErr w:type="gramEnd"/>
      <w:r>
        <w:rPr>
          <w:b/>
          <w:i/>
        </w:rPr>
        <w:t>))</w:t>
      </w:r>
      <w:r w:rsidRPr="003873FA">
        <w:rPr>
          <w:rStyle w:val="FootnoteReference"/>
          <w:b/>
          <w:i/>
        </w:rPr>
        <w:t xml:space="preserve"> </w:t>
      </w:r>
    </w:p>
    <w:p w:rsidR="005009E6" w:rsidRPr="003873FA" w:rsidRDefault="005009E6" w:rsidP="005009E6">
      <w:pPr>
        <w:spacing w:line="480" w:lineRule="auto"/>
      </w:pPr>
      <w:r>
        <w:tab/>
      </w:r>
      <w:r w:rsidRPr="003873FA">
        <w:t>Section 6068, subdivision (</w:t>
      </w:r>
      <w:proofErr w:type="spellStart"/>
      <w:r w:rsidRPr="003873FA">
        <w:t>i</w:t>
      </w:r>
      <w:proofErr w:type="spellEnd"/>
      <w:r w:rsidRPr="003873FA">
        <w:t xml:space="preserve">), provides that an attorney must cooperate and participate in any disciplinary investigation or proceeding pending against the attorney.  </w:t>
      </w:r>
    </w:p>
    <w:p w:rsidR="005009E6" w:rsidRDefault="005009E6" w:rsidP="005009E6">
      <w:pPr>
        <w:spacing w:line="480" w:lineRule="auto"/>
        <w:ind w:firstLine="720"/>
        <w:rPr>
          <w:bCs/>
          <w:iCs/>
        </w:rPr>
      </w:pPr>
      <w:r w:rsidRPr="00BE0EDB">
        <w:rPr>
          <w:color w:val="000000"/>
        </w:rPr>
        <w:lastRenderedPageBreak/>
        <w:t>By failing to respond to the State Bar's</w:t>
      </w:r>
      <w:r w:rsidR="00FB19EF">
        <w:rPr>
          <w:color w:val="000000"/>
        </w:rPr>
        <w:t xml:space="preserve"> October 6 and 23, 2009 </w:t>
      </w:r>
      <w:r w:rsidRPr="00BE0EDB">
        <w:rPr>
          <w:color w:val="000000"/>
        </w:rPr>
        <w:t xml:space="preserve">letters and failing to cooperate in the State Bar's investigation of the </w:t>
      </w:r>
      <w:r w:rsidR="00FB19EF">
        <w:rPr>
          <w:color w:val="000000"/>
        </w:rPr>
        <w:t>Cole’s</w:t>
      </w:r>
      <w:r w:rsidRPr="00BE0EDB">
        <w:rPr>
          <w:color w:val="000000"/>
        </w:rPr>
        <w:t xml:space="preserve"> complaint, respondent wil</w:t>
      </w:r>
      <w:r>
        <w:rPr>
          <w:color w:val="000000"/>
        </w:rPr>
        <w:t>l</w:t>
      </w:r>
      <w:r w:rsidRPr="00BE0EDB">
        <w:rPr>
          <w:color w:val="000000"/>
        </w:rPr>
        <w:t xml:space="preserve">fully failed to cooperate and participate in </w:t>
      </w:r>
      <w:r>
        <w:rPr>
          <w:color w:val="000000"/>
        </w:rPr>
        <w:t>the</w:t>
      </w:r>
      <w:r w:rsidRPr="00BE0EDB">
        <w:rPr>
          <w:color w:val="000000"/>
        </w:rPr>
        <w:t xml:space="preserve"> disciplinary investigation, in wi</w:t>
      </w:r>
      <w:r>
        <w:rPr>
          <w:color w:val="000000"/>
        </w:rPr>
        <w:t>l</w:t>
      </w:r>
      <w:r w:rsidRPr="00BE0EDB">
        <w:rPr>
          <w:color w:val="000000"/>
        </w:rPr>
        <w:t xml:space="preserve">lful violation of </w:t>
      </w:r>
      <w:r w:rsidRPr="003873FA">
        <w:t>section 6068, subdivision (</w:t>
      </w:r>
      <w:proofErr w:type="spellStart"/>
      <w:r w:rsidRPr="003873FA">
        <w:t>i</w:t>
      </w:r>
      <w:proofErr w:type="spellEnd"/>
      <w:r w:rsidRPr="003873FA">
        <w:t>)</w:t>
      </w:r>
      <w:r w:rsidRPr="003873FA">
        <w:rPr>
          <w:bCs/>
          <w:iCs/>
        </w:rPr>
        <w:t>.</w:t>
      </w:r>
    </w:p>
    <w:p w:rsidR="00724120" w:rsidRPr="00CB4039" w:rsidRDefault="00724120" w:rsidP="00724120">
      <w:pPr>
        <w:spacing w:line="480" w:lineRule="auto"/>
        <w:rPr>
          <w:b/>
          <w:bCs/>
          <w:iCs/>
        </w:rPr>
      </w:pPr>
      <w:r w:rsidRPr="00CB4039">
        <w:rPr>
          <w:b/>
          <w:bCs/>
          <w:iCs/>
        </w:rPr>
        <w:t>B.</w:t>
      </w:r>
      <w:r w:rsidRPr="00CB4039">
        <w:rPr>
          <w:b/>
          <w:bCs/>
          <w:iCs/>
        </w:rPr>
        <w:tab/>
        <w:t>The</w:t>
      </w:r>
      <w:r>
        <w:rPr>
          <w:b/>
          <w:bCs/>
          <w:iCs/>
        </w:rPr>
        <w:t xml:space="preserve"> Ford </w:t>
      </w:r>
      <w:r w:rsidRPr="00CB4039">
        <w:rPr>
          <w:b/>
          <w:bCs/>
          <w:iCs/>
        </w:rPr>
        <w:t>Matter (Case No.</w:t>
      </w:r>
      <w:r>
        <w:rPr>
          <w:b/>
          <w:bCs/>
          <w:iCs/>
        </w:rPr>
        <w:t xml:space="preserve"> 09-O-14697</w:t>
      </w:r>
      <w:r w:rsidRPr="00CB4039">
        <w:rPr>
          <w:b/>
          <w:bCs/>
          <w:iCs/>
        </w:rPr>
        <w:t>)</w:t>
      </w:r>
    </w:p>
    <w:p w:rsidR="001931E9" w:rsidRPr="00096053" w:rsidRDefault="001931E9" w:rsidP="001931E9">
      <w:pPr>
        <w:spacing w:line="480" w:lineRule="auto"/>
      </w:pPr>
      <w:r>
        <w:rPr>
          <w:color w:val="000000"/>
        </w:rPr>
        <w:tab/>
      </w:r>
      <w:r w:rsidRPr="00096053">
        <w:rPr>
          <w:color w:val="000000"/>
        </w:rPr>
        <w:t>In or abo</w:t>
      </w:r>
      <w:r>
        <w:rPr>
          <w:color w:val="000000"/>
        </w:rPr>
        <w:t xml:space="preserve">ut December 2004, Melvin Ford </w:t>
      </w:r>
      <w:r w:rsidRPr="00096053">
        <w:rPr>
          <w:color w:val="000000"/>
        </w:rPr>
        <w:t xml:space="preserve">employed </w:t>
      </w:r>
      <w:r w:rsidR="006044B7">
        <w:rPr>
          <w:color w:val="000000"/>
        </w:rPr>
        <w:t>respondent</w:t>
      </w:r>
      <w:r w:rsidRPr="00096053">
        <w:rPr>
          <w:color w:val="000000"/>
        </w:rPr>
        <w:t xml:space="preserve"> to represent him in a lawsuit against the Dominican Sisters of Mission San Jose.</w:t>
      </w:r>
    </w:p>
    <w:p w:rsidR="001931E9" w:rsidRPr="00096053" w:rsidRDefault="001931E9" w:rsidP="001931E9">
      <w:pPr>
        <w:spacing w:line="480" w:lineRule="auto"/>
      </w:pPr>
      <w:r>
        <w:rPr>
          <w:color w:val="000000"/>
        </w:rPr>
        <w:tab/>
      </w:r>
      <w:r w:rsidRPr="00096053">
        <w:rPr>
          <w:color w:val="000000"/>
        </w:rPr>
        <w:t>Respondent subsequently failed to serve the complaint within three years of the commencement of the action pursuant to</w:t>
      </w:r>
      <w:r w:rsidR="00A71344">
        <w:rPr>
          <w:color w:val="000000"/>
        </w:rPr>
        <w:t xml:space="preserve"> Code of Civil Procedure </w:t>
      </w:r>
      <w:r w:rsidR="00FB19EF">
        <w:rPr>
          <w:color w:val="000000"/>
        </w:rPr>
        <w:t xml:space="preserve">section </w:t>
      </w:r>
      <w:r w:rsidRPr="00096053">
        <w:rPr>
          <w:color w:val="000000"/>
        </w:rPr>
        <w:t xml:space="preserve">583.210(a). </w:t>
      </w:r>
      <w:r w:rsidR="00E10B72">
        <w:rPr>
          <w:color w:val="000000"/>
        </w:rPr>
        <w:t xml:space="preserve"> </w:t>
      </w:r>
      <w:r w:rsidRPr="00096053">
        <w:rPr>
          <w:color w:val="000000"/>
        </w:rPr>
        <w:t xml:space="preserve">Accordingly, the suit was dismissed. </w:t>
      </w:r>
      <w:r>
        <w:rPr>
          <w:color w:val="000000"/>
        </w:rPr>
        <w:t xml:space="preserve"> </w:t>
      </w:r>
      <w:r w:rsidRPr="00096053">
        <w:rPr>
          <w:color w:val="000000"/>
        </w:rPr>
        <w:t xml:space="preserve">Respondent appealed the dismissal in the Court of Appeal of the State of California, First Appellate District, Division Five, </w:t>
      </w:r>
      <w:proofErr w:type="gramStart"/>
      <w:r w:rsidRPr="00096053">
        <w:rPr>
          <w:color w:val="000000"/>
        </w:rPr>
        <w:t>Mendocino</w:t>
      </w:r>
      <w:proofErr w:type="gramEnd"/>
      <w:r w:rsidRPr="00096053">
        <w:rPr>
          <w:color w:val="000000"/>
        </w:rPr>
        <w:t xml:space="preserve"> County Super</w:t>
      </w:r>
      <w:r w:rsidR="00E10B72">
        <w:rPr>
          <w:color w:val="000000"/>
        </w:rPr>
        <w:t>ior</w:t>
      </w:r>
      <w:r w:rsidRPr="00096053">
        <w:rPr>
          <w:color w:val="000000"/>
        </w:rPr>
        <w:t xml:space="preserve"> </w:t>
      </w:r>
      <w:r w:rsidR="00E10B72">
        <w:rPr>
          <w:color w:val="000000"/>
        </w:rPr>
        <w:t xml:space="preserve">Court case </w:t>
      </w:r>
      <w:r w:rsidRPr="00096053">
        <w:rPr>
          <w:color w:val="000000"/>
        </w:rPr>
        <w:t xml:space="preserve">No. </w:t>
      </w:r>
      <w:proofErr w:type="spellStart"/>
      <w:proofErr w:type="gramStart"/>
      <w:r w:rsidRPr="00096053">
        <w:rPr>
          <w:color w:val="000000"/>
        </w:rPr>
        <w:t>SCUK</w:t>
      </w:r>
      <w:r>
        <w:rPr>
          <w:color w:val="000000"/>
        </w:rPr>
        <w:t>-</w:t>
      </w:r>
      <w:r w:rsidRPr="00096053">
        <w:rPr>
          <w:color w:val="000000"/>
        </w:rPr>
        <w:t>CVPO</w:t>
      </w:r>
      <w:proofErr w:type="spellEnd"/>
      <w:r w:rsidRPr="00096053">
        <w:rPr>
          <w:color w:val="000000"/>
        </w:rPr>
        <w:t>-03-91571.</w:t>
      </w:r>
      <w:proofErr w:type="gramEnd"/>
      <w:r w:rsidRPr="00096053">
        <w:rPr>
          <w:color w:val="000000"/>
        </w:rPr>
        <w:t xml:space="preserve"> </w:t>
      </w:r>
      <w:r>
        <w:rPr>
          <w:color w:val="000000"/>
        </w:rPr>
        <w:t xml:space="preserve"> </w:t>
      </w:r>
      <w:r w:rsidRPr="00096053">
        <w:rPr>
          <w:color w:val="000000"/>
        </w:rPr>
        <w:t xml:space="preserve">The </w:t>
      </w:r>
      <w:r w:rsidR="00A71344">
        <w:rPr>
          <w:color w:val="000000"/>
        </w:rPr>
        <w:t xml:space="preserve">Court of Appeal </w:t>
      </w:r>
      <w:r w:rsidRPr="00096053">
        <w:rPr>
          <w:color w:val="000000"/>
        </w:rPr>
        <w:t>affirmed the dismissal of the case on January 23, 2008.</w:t>
      </w:r>
    </w:p>
    <w:p w:rsidR="00AC5C2F" w:rsidRPr="00096053" w:rsidRDefault="00AC5C2F" w:rsidP="00AC5C2F">
      <w:pPr>
        <w:spacing w:line="480" w:lineRule="auto"/>
      </w:pPr>
      <w:r>
        <w:rPr>
          <w:color w:val="000000"/>
        </w:rPr>
        <w:tab/>
      </w:r>
      <w:r w:rsidRPr="00096053">
        <w:rPr>
          <w:color w:val="000000"/>
        </w:rPr>
        <w:t>Respondent did not inform Ford at any point that his case against the Dominican Sisters of Mission San Jose was dismissed.</w:t>
      </w:r>
    </w:p>
    <w:p w:rsidR="00AC5C2F" w:rsidRPr="00096053" w:rsidRDefault="00AC5C2F" w:rsidP="00AC5C2F">
      <w:pPr>
        <w:tabs>
          <w:tab w:val="num" w:pos="720"/>
        </w:tabs>
        <w:spacing w:line="480" w:lineRule="auto"/>
      </w:pPr>
      <w:r>
        <w:rPr>
          <w:color w:val="000000"/>
        </w:rPr>
        <w:tab/>
      </w:r>
      <w:r w:rsidRPr="00096053">
        <w:rPr>
          <w:color w:val="000000"/>
        </w:rPr>
        <w:t>On or about June 24, 2009, the State Bar opened an investigation</w:t>
      </w:r>
      <w:r w:rsidR="00C62AB0">
        <w:rPr>
          <w:color w:val="000000"/>
        </w:rPr>
        <w:t xml:space="preserve"> </w:t>
      </w:r>
      <w:r w:rsidRPr="00096053">
        <w:rPr>
          <w:color w:val="000000"/>
        </w:rPr>
        <w:t>pursuant to a complaint filed by Ford.</w:t>
      </w:r>
    </w:p>
    <w:p w:rsidR="00AC5C2F" w:rsidRPr="00096053" w:rsidRDefault="00AC5C2F" w:rsidP="00AC5C2F">
      <w:pPr>
        <w:tabs>
          <w:tab w:val="num" w:pos="720"/>
        </w:tabs>
        <w:spacing w:line="480" w:lineRule="auto"/>
      </w:pPr>
      <w:r>
        <w:rPr>
          <w:color w:val="000000"/>
        </w:rPr>
        <w:tab/>
      </w:r>
      <w:r w:rsidRPr="00096053">
        <w:rPr>
          <w:color w:val="000000"/>
        </w:rPr>
        <w:t xml:space="preserve">On October 7, 2009, a State Bar </w:t>
      </w:r>
      <w:r w:rsidR="00A71344">
        <w:rPr>
          <w:color w:val="000000"/>
        </w:rPr>
        <w:t>i</w:t>
      </w:r>
      <w:r w:rsidRPr="00096053">
        <w:rPr>
          <w:color w:val="000000"/>
        </w:rPr>
        <w:t xml:space="preserve">nvestigator wrote </w:t>
      </w:r>
      <w:r w:rsidR="006044B7">
        <w:rPr>
          <w:color w:val="000000"/>
        </w:rPr>
        <w:t>respondent</w:t>
      </w:r>
      <w:r w:rsidRPr="00096053">
        <w:rPr>
          <w:color w:val="000000"/>
        </w:rPr>
        <w:t xml:space="preserve"> a letter requesting that </w:t>
      </w:r>
      <w:r w:rsidR="006044B7">
        <w:rPr>
          <w:color w:val="000000"/>
        </w:rPr>
        <w:t>respondent</w:t>
      </w:r>
      <w:r w:rsidRPr="00096053">
        <w:rPr>
          <w:color w:val="000000"/>
        </w:rPr>
        <w:t xml:space="preserve"> respond in writing to specified allegations of misconduct being investigated by the State Bar in the</w:t>
      </w:r>
      <w:r w:rsidR="00A71344">
        <w:rPr>
          <w:color w:val="000000"/>
        </w:rPr>
        <w:t xml:space="preserve"> Ford </w:t>
      </w:r>
      <w:r w:rsidRPr="00096053">
        <w:rPr>
          <w:color w:val="000000"/>
        </w:rPr>
        <w:t>matter.</w:t>
      </w:r>
      <w:r w:rsidR="00A71344">
        <w:rPr>
          <w:rStyle w:val="FootnoteReference"/>
          <w:color w:val="000000"/>
        </w:rPr>
        <w:footnoteReference w:id="3"/>
      </w:r>
      <w:r w:rsidRPr="00096053">
        <w:rPr>
          <w:color w:val="000000"/>
        </w:rPr>
        <w:t xml:space="preserve"> </w:t>
      </w:r>
      <w:r>
        <w:rPr>
          <w:color w:val="000000"/>
        </w:rPr>
        <w:t xml:space="preserve"> </w:t>
      </w:r>
      <w:r w:rsidRPr="00096053">
        <w:rPr>
          <w:color w:val="000000"/>
        </w:rPr>
        <w:t xml:space="preserve">The response deadline was October 21, 2009. </w:t>
      </w:r>
      <w:r>
        <w:rPr>
          <w:color w:val="000000"/>
        </w:rPr>
        <w:t xml:space="preserve"> </w:t>
      </w:r>
      <w:r w:rsidRPr="00096053">
        <w:rPr>
          <w:color w:val="000000"/>
        </w:rPr>
        <w:t>Respondent received the letter but failed to respond.</w:t>
      </w:r>
    </w:p>
    <w:p w:rsidR="00AC5C2F" w:rsidRPr="00096053" w:rsidRDefault="00AC5C2F" w:rsidP="00AC5C2F">
      <w:pPr>
        <w:tabs>
          <w:tab w:val="num" w:pos="720"/>
        </w:tabs>
        <w:spacing w:line="480" w:lineRule="auto"/>
      </w:pPr>
      <w:r>
        <w:rPr>
          <w:color w:val="000000"/>
        </w:rPr>
        <w:lastRenderedPageBreak/>
        <w:tab/>
      </w:r>
      <w:r w:rsidRPr="00096053">
        <w:rPr>
          <w:color w:val="000000"/>
        </w:rPr>
        <w:t xml:space="preserve">On October 23, 2009, a State Bar Investigator </w:t>
      </w:r>
      <w:r w:rsidR="002F05F6">
        <w:rPr>
          <w:color w:val="000000"/>
        </w:rPr>
        <w:t xml:space="preserve">again </w:t>
      </w:r>
      <w:r w:rsidRPr="00096053">
        <w:rPr>
          <w:color w:val="000000"/>
        </w:rPr>
        <w:t xml:space="preserve">wrote </w:t>
      </w:r>
      <w:r w:rsidR="006044B7">
        <w:rPr>
          <w:color w:val="000000"/>
        </w:rPr>
        <w:t>respondent</w:t>
      </w:r>
      <w:r w:rsidRPr="00096053">
        <w:rPr>
          <w:color w:val="000000"/>
        </w:rPr>
        <w:t xml:space="preserve"> a letter requesting a response to the letter sent on October 7. </w:t>
      </w:r>
      <w:r>
        <w:rPr>
          <w:color w:val="000000"/>
        </w:rPr>
        <w:t xml:space="preserve"> </w:t>
      </w:r>
      <w:r w:rsidRPr="00096053">
        <w:rPr>
          <w:color w:val="000000"/>
        </w:rPr>
        <w:t>A copy of the October 7</w:t>
      </w:r>
      <w:r w:rsidR="002F05F6">
        <w:rPr>
          <w:color w:val="000000"/>
        </w:rPr>
        <w:t xml:space="preserve"> </w:t>
      </w:r>
      <w:r w:rsidRPr="00096053">
        <w:rPr>
          <w:color w:val="000000"/>
        </w:rPr>
        <w:t>letter was enclosed with the October 23</w:t>
      </w:r>
      <w:r w:rsidR="002F05F6">
        <w:rPr>
          <w:color w:val="000000"/>
        </w:rPr>
        <w:t xml:space="preserve"> </w:t>
      </w:r>
      <w:r w:rsidRPr="00096053">
        <w:rPr>
          <w:color w:val="000000"/>
        </w:rPr>
        <w:t xml:space="preserve">letter. </w:t>
      </w:r>
      <w:r>
        <w:rPr>
          <w:color w:val="000000"/>
        </w:rPr>
        <w:t xml:space="preserve"> </w:t>
      </w:r>
      <w:r w:rsidRPr="00096053">
        <w:rPr>
          <w:color w:val="000000"/>
        </w:rPr>
        <w:t xml:space="preserve">The response deadline was November 6, 2009. </w:t>
      </w:r>
      <w:r>
        <w:rPr>
          <w:color w:val="000000"/>
        </w:rPr>
        <w:t xml:space="preserve"> </w:t>
      </w:r>
      <w:r w:rsidRPr="00096053">
        <w:rPr>
          <w:color w:val="000000"/>
        </w:rPr>
        <w:t>Respondent received the letter and enclosure but failed to respond.</w:t>
      </w:r>
    </w:p>
    <w:p w:rsidR="00FA3416" w:rsidRPr="003873FA" w:rsidRDefault="00FA3416" w:rsidP="003873FA">
      <w:pPr>
        <w:spacing w:line="480" w:lineRule="auto"/>
        <w:rPr>
          <w:b/>
          <w:i/>
        </w:rPr>
      </w:pPr>
      <w:r w:rsidRPr="003873FA">
        <w:rPr>
          <w:b/>
          <w:i/>
        </w:rPr>
        <w:t xml:space="preserve">Count </w:t>
      </w:r>
      <w:r w:rsidR="005009E6">
        <w:rPr>
          <w:b/>
          <w:i/>
        </w:rPr>
        <w:t>5</w:t>
      </w:r>
      <w:r w:rsidRPr="003873FA">
        <w:rPr>
          <w:b/>
          <w:i/>
        </w:rPr>
        <w:t xml:space="preserve">:  Failure to Perform Competently (Rules Prof. Conduct, Rule 3-110(A)) </w:t>
      </w:r>
    </w:p>
    <w:p w:rsidR="00FA3416" w:rsidRDefault="00FA3416" w:rsidP="003873FA">
      <w:pPr>
        <w:spacing w:line="480" w:lineRule="auto"/>
      </w:pPr>
      <w:r w:rsidRPr="003873FA">
        <w:rPr>
          <w:b/>
          <w:i/>
        </w:rPr>
        <w:tab/>
      </w:r>
      <w:r w:rsidRPr="003873FA">
        <w:t xml:space="preserve">Rule 3-110(A) provides that a member must not intentionally, recklessly or repeatedly fail to perform legal services with competence. </w:t>
      </w:r>
    </w:p>
    <w:p w:rsidR="00353035" w:rsidRDefault="001931E9" w:rsidP="00353035">
      <w:pPr>
        <w:spacing w:line="480" w:lineRule="auto"/>
      </w:pPr>
      <w:r>
        <w:rPr>
          <w:color w:val="000000"/>
        </w:rPr>
        <w:tab/>
      </w:r>
      <w:r w:rsidRPr="00096053">
        <w:rPr>
          <w:color w:val="000000"/>
        </w:rPr>
        <w:t xml:space="preserve">By failing to serve the complaint in </w:t>
      </w:r>
      <w:r w:rsidR="00353035">
        <w:rPr>
          <w:color w:val="000000"/>
        </w:rPr>
        <w:t xml:space="preserve">the </w:t>
      </w:r>
      <w:r w:rsidRPr="00096053">
        <w:rPr>
          <w:color w:val="000000"/>
        </w:rPr>
        <w:t xml:space="preserve">Ford matter within the time period required by the statute of limitations, </w:t>
      </w:r>
      <w:r w:rsidR="006044B7">
        <w:rPr>
          <w:color w:val="000000"/>
        </w:rPr>
        <w:t>respondent</w:t>
      </w:r>
      <w:r w:rsidRPr="00096053">
        <w:rPr>
          <w:color w:val="000000"/>
        </w:rPr>
        <w:t xml:space="preserve"> intentionally</w:t>
      </w:r>
      <w:r w:rsidR="006A6889">
        <w:rPr>
          <w:color w:val="000000"/>
        </w:rPr>
        <w:t xml:space="preserve"> or</w:t>
      </w:r>
      <w:r w:rsidRPr="00096053">
        <w:rPr>
          <w:color w:val="000000"/>
        </w:rPr>
        <w:t xml:space="preserve"> recklessly failed to perform legal services with competence</w:t>
      </w:r>
      <w:r w:rsidR="00353035" w:rsidRPr="00353035">
        <w:t xml:space="preserve"> </w:t>
      </w:r>
      <w:r w:rsidR="00353035" w:rsidRPr="003873FA">
        <w:t>in willful violation of rule 3-110(A).</w:t>
      </w:r>
    </w:p>
    <w:p w:rsidR="00C04D90" w:rsidRPr="003873FA" w:rsidRDefault="00C04D90" w:rsidP="00C04D90">
      <w:pPr>
        <w:spacing w:line="480" w:lineRule="auto"/>
        <w:rPr>
          <w:b/>
          <w:i/>
        </w:rPr>
      </w:pPr>
      <w:r w:rsidRPr="003873FA">
        <w:rPr>
          <w:b/>
          <w:i/>
        </w:rPr>
        <w:t xml:space="preserve">Count </w:t>
      </w:r>
      <w:r w:rsidR="005009E6">
        <w:rPr>
          <w:b/>
          <w:i/>
        </w:rPr>
        <w:t>6</w:t>
      </w:r>
      <w:r w:rsidRPr="003873FA">
        <w:rPr>
          <w:b/>
          <w:i/>
        </w:rPr>
        <w:t xml:space="preserve">:  Failure to Communicate (Bus. </w:t>
      </w:r>
      <w:proofErr w:type="gramStart"/>
      <w:r w:rsidRPr="003873FA">
        <w:rPr>
          <w:b/>
          <w:i/>
        </w:rPr>
        <w:t xml:space="preserve">&amp; Prof. Code, § 6068, </w:t>
      </w:r>
      <w:proofErr w:type="spellStart"/>
      <w:r w:rsidRPr="003873FA">
        <w:rPr>
          <w:b/>
          <w:i/>
        </w:rPr>
        <w:t>Subd</w:t>
      </w:r>
      <w:proofErr w:type="spellEnd"/>
      <w:r w:rsidRPr="003873FA">
        <w:rPr>
          <w:b/>
          <w:i/>
        </w:rPr>
        <w:t>.</w:t>
      </w:r>
      <w:proofErr w:type="gramEnd"/>
      <w:r w:rsidRPr="003873FA">
        <w:rPr>
          <w:b/>
          <w:i/>
        </w:rPr>
        <w:t xml:space="preserve"> (m)</w:t>
      </w:r>
      <w:r w:rsidR="00DF5B84">
        <w:rPr>
          <w:b/>
          <w:i/>
        </w:rPr>
        <w:t>)</w:t>
      </w:r>
      <w:r w:rsidRPr="003873FA">
        <w:rPr>
          <w:rStyle w:val="FootnoteReference"/>
          <w:b/>
          <w:i/>
        </w:rPr>
        <w:t xml:space="preserve"> </w:t>
      </w:r>
    </w:p>
    <w:p w:rsidR="00C04D90" w:rsidRPr="003873FA" w:rsidRDefault="00C04D90" w:rsidP="00C04D90">
      <w:pPr>
        <w:spacing w:line="480" w:lineRule="auto"/>
      </w:pPr>
      <w:r w:rsidRPr="003873FA">
        <w:tab/>
        <w:t>Section 6068, subdivision (m), provides that it is the duty of an attorney to respond promptly to reasonable status inquiries of clients and to keep clients reasonably informed of significant developments in matters with regard to which the attorney has agreed to provide legal services.</w:t>
      </w:r>
    </w:p>
    <w:p w:rsidR="001F33E9" w:rsidRDefault="00AC5C2F" w:rsidP="00CA4D36">
      <w:pPr>
        <w:spacing w:line="480" w:lineRule="auto"/>
        <w:ind w:firstLine="720"/>
        <w:rPr>
          <w:color w:val="000000"/>
          <w:spacing w:val="-3"/>
          <w:w w:val="105"/>
        </w:rPr>
      </w:pPr>
      <w:r w:rsidRPr="00096053">
        <w:rPr>
          <w:color w:val="000000"/>
        </w:rPr>
        <w:t xml:space="preserve">By failing to inform Ford that his case was dismissed, </w:t>
      </w:r>
      <w:r w:rsidR="006044B7">
        <w:rPr>
          <w:color w:val="000000"/>
        </w:rPr>
        <w:t>respondent</w:t>
      </w:r>
      <w:r w:rsidRPr="00096053">
        <w:rPr>
          <w:color w:val="000000"/>
        </w:rPr>
        <w:t xml:space="preserve"> failed to </w:t>
      </w:r>
      <w:r w:rsidR="00CA4D36" w:rsidRPr="001537BE">
        <w:rPr>
          <w:color w:val="000000"/>
        </w:rPr>
        <w:t xml:space="preserve">keep a client informed of significant developments in a matter in which </w:t>
      </w:r>
      <w:r w:rsidR="00CA4D36">
        <w:rPr>
          <w:color w:val="000000"/>
        </w:rPr>
        <w:t>r</w:t>
      </w:r>
      <w:r w:rsidR="00CA4D36" w:rsidRPr="001537BE">
        <w:rPr>
          <w:color w:val="000000"/>
        </w:rPr>
        <w:t>espondent had agreed to provide legal services, in wil</w:t>
      </w:r>
      <w:r w:rsidR="00CA4D36">
        <w:rPr>
          <w:color w:val="000000"/>
        </w:rPr>
        <w:t>l</w:t>
      </w:r>
      <w:r w:rsidR="00CA4D36" w:rsidRPr="001537BE">
        <w:rPr>
          <w:color w:val="000000"/>
        </w:rPr>
        <w:t>ful violation o</w:t>
      </w:r>
      <w:r w:rsidR="00CA4D36">
        <w:rPr>
          <w:color w:val="000000"/>
        </w:rPr>
        <w:t xml:space="preserve">f </w:t>
      </w:r>
      <w:r w:rsidR="00C04D90">
        <w:rPr>
          <w:color w:val="000000"/>
          <w:spacing w:val="-3"/>
          <w:w w:val="105"/>
        </w:rPr>
        <w:t xml:space="preserve">section 6068, subdivision (m).  </w:t>
      </w:r>
    </w:p>
    <w:p w:rsidR="00A36A11" w:rsidRPr="003873FA" w:rsidRDefault="00A36A11" w:rsidP="003873FA">
      <w:pPr>
        <w:spacing w:line="480" w:lineRule="auto"/>
        <w:rPr>
          <w:b/>
          <w:bCs/>
          <w:u w:val="single"/>
        </w:rPr>
      </w:pPr>
      <w:r w:rsidRPr="003873FA">
        <w:rPr>
          <w:b/>
          <w:bCs/>
          <w:i/>
          <w:iCs/>
        </w:rPr>
        <w:t xml:space="preserve">Count </w:t>
      </w:r>
      <w:r w:rsidR="00724120">
        <w:rPr>
          <w:b/>
          <w:bCs/>
          <w:i/>
          <w:iCs/>
        </w:rPr>
        <w:t>7</w:t>
      </w:r>
      <w:r w:rsidRPr="003873FA">
        <w:rPr>
          <w:b/>
          <w:bCs/>
          <w:i/>
          <w:iCs/>
        </w:rPr>
        <w:t xml:space="preserve">:  Failure to Cooperate With the State Bar </w:t>
      </w:r>
      <w:r w:rsidR="00972C73" w:rsidRPr="003873FA">
        <w:rPr>
          <w:b/>
          <w:i/>
        </w:rPr>
        <w:t xml:space="preserve">(Bus. </w:t>
      </w:r>
      <w:proofErr w:type="gramStart"/>
      <w:r w:rsidR="00972C73" w:rsidRPr="003873FA">
        <w:rPr>
          <w:b/>
          <w:i/>
        </w:rPr>
        <w:t xml:space="preserve">&amp; Prof. Code, § 6068, </w:t>
      </w:r>
      <w:proofErr w:type="spellStart"/>
      <w:r w:rsidR="00972C73" w:rsidRPr="003873FA">
        <w:rPr>
          <w:b/>
          <w:i/>
        </w:rPr>
        <w:t>Subd</w:t>
      </w:r>
      <w:proofErr w:type="spellEnd"/>
      <w:r w:rsidR="00972C73" w:rsidRPr="003873FA">
        <w:rPr>
          <w:b/>
          <w:i/>
        </w:rPr>
        <w:t>.</w:t>
      </w:r>
      <w:proofErr w:type="gramEnd"/>
      <w:r w:rsidR="00972C73" w:rsidRPr="003873FA">
        <w:rPr>
          <w:b/>
          <w:i/>
        </w:rPr>
        <w:t xml:space="preserve"> (</w:t>
      </w:r>
      <w:proofErr w:type="spellStart"/>
      <w:proofErr w:type="gramStart"/>
      <w:r w:rsidR="00972C73">
        <w:rPr>
          <w:b/>
          <w:i/>
        </w:rPr>
        <w:t>i</w:t>
      </w:r>
      <w:proofErr w:type="spellEnd"/>
      <w:proofErr w:type="gramEnd"/>
      <w:r w:rsidR="007D3407">
        <w:rPr>
          <w:b/>
          <w:i/>
        </w:rPr>
        <w:t>))</w:t>
      </w:r>
      <w:r w:rsidR="00972C73" w:rsidRPr="003873FA">
        <w:rPr>
          <w:rStyle w:val="FootnoteReference"/>
          <w:b/>
          <w:i/>
        </w:rPr>
        <w:t xml:space="preserve"> </w:t>
      </w:r>
    </w:p>
    <w:p w:rsidR="00F919F1" w:rsidRDefault="00F919F1" w:rsidP="00F919F1">
      <w:pPr>
        <w:spacing w:line="480" w:lineRule="auto"/>
        <w:ind w:firstLine="720"/>
        <w:rPr>
          <w:bCs/>
          <w:iCs/>
        </w:rPr>
      </w:pPr>
      <w:r w:rsidRPr="00BE0EDB">
        <w:rPr>
          <w:color w:val="000000"/>
        </w:rPr>
        <w:t>By failing to respond to the State Bar's</w:t>
      </w:r>
      <w:r>
        <w:rPr>
          <w:color w:val="000000"/>
        </w:rPr>
        <w:t xml:space="preserve"> October 7 and 23, 2009 </w:t>
      </w:r>
      <w:r w:rsidRPr="00BE0EDB">
        <w:rPr>
          <w:color w:val="000000"/>
        </w:rPr>
        <w:t>letters and failing to cooperate in the State Bar's investigation of the</w:t>
      </w:r>
      <w:r>
        <w:rPr>
          <w:color w:val="000000"/>
        </w:rPr>
        <w:t xml:space="preserve"> Ford matter</w:t>
      </w:r>
      <w:r w:rsidRPr="00BE0EDB">
        <w:rPr>
          <w:color w:val="000000"/>
        </w:rPr>
        <w:t>, respondent wil</w:t>
      </w:r>
      <w:r>
        <w:rPr>
          <w:color w:val="000000"/>
        </w:rPr>
        <w:t>l</w:t>
      </w:r>
      <w:r w:rsidRPr="00BE0EDB">
        <w:rPr>
          <w:color w:val="000000"/>
        </w:rPr>
        <w:t xml:space="preserve">fully failed to cooperate and participate in </w:t>
      </w:r>
      <w:r>
        <w:rPr>
          <w:color w:val="000000"/>
        </w:rPr>
        <w:t>the</w:t>
      </w:r>
      <w:r w:rsidRPr="00BE0EDB">
        <w:rPr>
          <w:color w:val="000000"/>
        </w:rPr>
        <w:t xml:space="preserve"> disciplinary investigation, in wi</w:t>
      </w:r>
      <w:r>
        <w:rPr>
          <w:color w:val="000000"/>
        </w:rPr>
        <w:t>l</w:t>
      </w:r>
      <w:r w:rsidRPr="00BE0EDB">
        <w:rPr>
          <w:color w:val="000000"/>
        </w:rPr>
        <w:t xml:space="preserve">lful violation of </w:t>
      </w:r>
      <w:r w:rsidRPr="003873FA">
        <w:t>section 6068, subdivision (</w:t>
      </w:r>
      <w:proofErr w:type="spellStart"/>
      <w:r w:rsidRPr="003873FA">
        <w:t>i</w:t>
      </w:r>
      <w:proofErr w:type="spellEnd"/>
      <w:r w:rsidRPr="003873FA">
        <w:t>)</w:t>
      </w:r>
      <w:r w:rsidRPr="003873FA">
        <w:rPr>
          <w:bCs/>
          <w:iCs/>
        </w:rPr>
        <w:t>.</w:t>
      </w:r>
    </w:p>
    <w:p w:rsidR="00653DCB" w:rsidRDefault="00653DCB" w:rsidP="00F919F1">
      <w:pPr>
        <w:spacing w:line="480" w:lineRule="auto"/>
        <w:ind w:firstLine="720"/>
        <w:rPr>
          <w:bCs/>
          <w:iCs/>
        </w:rPr>
      </w:pPr>
    </w:p>
    <w:p w:rsidR="005A7F5D" w:rsidRPr="003873FA" w:rsidRDefault="005A7F5D" w:rsidP="001D3132">
      <w:pPr>
        <w:spacing w:line="480" w:lineRule="auto"/>
        <w:jc w:val="center"/>
      </w:pPr>
      <w:r w:rsidRPr="003873FA">
        <w:rPr>
          <w:b/>
          <w:bCs/>
        </w:rPr>
        <w:lastRenderedPageBreak/>
        <w:t>IV</w:t>
      </w:r>
      <w:proofErr w:type="gramStart"/>
      <w:r w:rsidRPr="003873FA">
        <w:rPr>
          <w:b/>
          <w:bCs/>
        </w:rPr>
        <w:t>.  Mitigating</w:t>
      </w:r>
      <w:proofErr w:type="gramEnd"/>
      <w:r w:rsidRPr="003873FA">
        <w:rPr>
          <w:b/>
          <w:bCs/>
        </w:rPr>
        <w:t xml:space="preserve"> and Aggravating Circumstances</w:t>
      </w:r>
    </w:p>
    <w:p w:rsidR="005A7F5D" w:rsidRPr="003873FA" w:rsidRDefault="001D3132" w:rsidP="003873FA">
      <w:pPr>
        <w:spacing w:line="480" w:lineRule="auto"/>
        <w:rPr>
          <w:b/>
          <w:bCs/>
        </w:rPr>
      </w:pPr>
      <w:r>
        <w:tab/>
      </w:r>
      <w:r w:rsidR="005A7F5D" w:rsidRPr="003873FA">
        <w:t xml:space="preserve">The parties bear the burden of establishing mitigation and aggravation by clear and convincing evidence.  (Rules Proc. of State Bar, tit. IV, </w:t>
      </w:r>
      <w:proofErr w:type="spellStart"/>
      <w:r w:rsidR="005A7F5D" w:rsidRPr="003873FA">
        <w:t>Stds</w:t>
      </w:r>
      <w:proofErr w:type="spellEnd"/>
      <w:r w:rsidR="005A7F5D" w:rsidRPr="003873FA">
        <w:t>. for Atty. Sanctions for Prof. Misconduct,</w:t>
      </w:r>
      <w:r w:rsidR="005A7F5D" w:rsidRPr="003873FA">
        <w:rPr>
          <w:rStyle w:val="FootnoteReference"/>
        </w:rPr>
        <w:footnoteReference w:id="4"/>
      </w:r>
      <w:r w:rsidR="005A7F5D" w:rsidRPr="003873FA">
        <w:t xml:space="preserve"> </w:t>
      </w:r>
      <w:proofErr w:type="spellStart"/>
      <w:proofErr w:type="gramStart"/>
      <w:r w:rsidR="005A7F5D" w:rsidRPr="003873FA">
        <w:t>stds</w:t>
      </w:r>
      <w:proofErr w:type="spellEnd"/>
      <w:proofErr w:type="gramEnd"/>
      <w:r w:rsidR="005A7F5D" w:rsidRPr="003873FA">
        <w:t xml:space="preserve">. </w:t>
      </w:r>
      <w:proofErr w:type="gramStart"/>
      <w:r w:rsidR="005A7F5D" w:rsidRPr="003873FA">
        <w:t>1.2(e) and (b).)</w:t>
      </w:r>
      <w:proofErr w:type="gramEnd"/>
      <w:r w:rsidR="005A7F5D" w:rsidRPr="003873FA">
        <w:t xml:space="preserve">  </w:t>
      </w:r>
    </w:p>
    <w:p w:rsidR="00A45C39" w:rsidRPr="00941BB1" w:rsidRDefault="005A7F5D" w:rsidP="00941BB1">
      <w:pPr>
        <w:pStyle w:val="ListParagraph"/>
        <w:numPr>
          <w:ilvl w:val="0"/>
          <w:numId w:val="5"/>
        </w:numPr>
        <w:spacing w:line="480" w:lineRule="auto"/>
        <w:ind w:left="0" w:firstLine="0"/>
        <w:rPr>
          <w:b/>
          <w:bCs/>
        </w:rPr>
      </w:pPr>
      <w:r w:rsidRPr="00941BB1">
        <w:rPr>
          <w:b/>
          <w:bCs/>
        </w:rPr>
        <w:t>Mitigation</w:t>
      </w:r>
    </w:p>
    <w:p w:rsidR="00A92124" w:rsidRDefault="00941BB1" w:rsidP="00A92124">
      <w:pPr>
        <w:spacing w:line="480" w:lineRule="auto"/>
      </w:pPr>
      <w:r>
        <w:tab/>
      </w:r>
      <w:r w:rsidR="006C4BC7" w:rsidRPr="003873FA">
        <w:t>No mitigation was submitted into evidence.</w:t>
      </w:r>
      <w:r w:rsidR="0054360D">
        <w:t xml:space="preserve">  </w:t>
      </w:r>
      <w:proofErr w:type="gramStart"/>
      <w:r w:rsidR="0054360D">
        <w:t>(Std. 1.2(e).)</w:t>
      </w:r>
      <w:proofErr w:type="gramEnd"/>
      <w:r w:rsidR="006C4BC7" w:rsidRPr="003873FA">
        <w:t xml:space="preserve"> </w:t>
      </w:r>
      <w:r w:rsidR="002C5968">
        <w:t xml:space="preserve"> </w:t>
      </w:r>
    </w:p>
    <w:p w:rsidR="00A45C39" w:rsidRPr="00A92124" w:rsidRDefault="00A45C39" w:rsidP="00A92124">
      <w:pPr>
        <w:pStyle w:val="ListParagraph"/>
        <w:numPr>
          <w:ilvl w:val="0"/>
          <w:numId w:val="5"/>
        </w:numPr>
        <w:spacing w:line="480" w:lineRule="auto"/>
        <w:ind w:hanging="720"/>
        <w:rPr>
          <w:b/>
          <w:bCs/>
        </w:rPr>
      </w:pPr>
      <w:r w:rsidRPr="00A92124">
        <w:rPr>
          <w:b/>
          <w:bCs/>
        </w:rPr>
        <w:t>Aggravation</w:t>
      </w:r>
    </w:p>
    <w:p w:rsidR="00A45C39" w:rsidRPr="003873FA" w:rsidRDefault="00A45C39" w:rsidP="003873FA">
      <w:pPr>
        <w:spacing w:line="480" w:lineRule="auto"/>
        <w:rPr>
          <w:b/>
          <w:bCs/>
        </w:rPr>
      </w:pPr>
      <w:r w:rsidRPr="003873FA">
        <w:rPr>
          <w:b/>
          <w:bCs/>
        </w:rPr>
        <w:tab/>
      </w:r>
      <w:r w:rsidRPr="003873FA">
        <w:rPr>
          <w:bCs/>
          <w:iCs/>
        </w:rPr>
        <w:t xml:space="preserve">There are several aggravating factors.  </w:t>
      </w:r>
      <w:proofErr w:type="gramStart"/>
      <w:r w:rsidRPr="003873FA">
        <w:rPr>
          <w:bCs/>
          <w:iCs/>
        </w:rPr>
        <w:t>(Std. 1.2(b).)</w:t>
      </w:r>
      <w:proofErr w:type="gramEnd"/>
    </w:p>
    <w:p w:rsidR="00AD636D" w:rsidRDefault="00AC2A16" w:rsidP="00AD636D">
      <w:pPr>
        <w:spacing w:line="480" w:lineRule="auto"/>
        <w:rPr>
          <w:bCs/>
          <w:iCs/>
        </w:rPr>
      </w:pPr>
      <w:r>
        <w:rPr>
          <w:bCs/>
          <w:iCs/>
        </w:rPr>
        <w:tab/>
      </w:r>
      <w:r w:rsidR="00AD636D">
        <w:rPr>
          <w:bCs/>
          <w:iCs/>
        </w:rPr>
        <w:t xml:space="preserve">Respondent has two prior records of discipline.  </w:t>
      </w:r>
      <w:r w:rsidR="00AD636D" w:rsidRPr="003873FA">
        <w:rPr>
          <w:bCs/>
          <w:iCs/>
        </w:rPr>
        <w:t>(Std. 1.2(b</w:t>
      </w:r>
      <w:proofErr w:type="gramStart"/>
      <w:r w:rsidR="00AD636D" w:rsidRPr="003873FA">
        <w:rPr>
          <w:bCs/>
          <w:iCs/>
        </w:rPr>
        <w:t>)</w:t>
      </w:r>
      <w:r w:rsidR="00AD636D">
        <w:rPr>
          <w:bCs/>
          <w:iCs/>
        </w:rPr>
        <w:t>(</w:t>
      </w:r>
      <w:proofErr w:type="spellStart"/>
      <w:proofErr w:type="gramEnd"/>
      <w:r w:rsidR="00AD636D">
        <w:rPr>
          <w:bCs/>
          <w:iCs/>
        </w:rPr>
        <w:t>i</w:t>
      </w:r>
      <w:proofErr w:type="spellEnd"/>
      <w:r w:rsidR="00AD636D">
        <w:rPr>
          <w:bCs/>
          <w:iCs/>
        </w:rPr>
        <w:t>)</w:t>
      </w:r>
      <w:r w:rsidR="00AD636D" w:rsidRPr="003873FA">
        <w:rPr>
          <w:bCs/>
          <w:iCs/>
        </w:rPr>
        <w:t>.)</w:t>
      </w:r>
    </w:p>
    <w:p w:rsidR="00AD636D" w:rsidRPr="00C75184" w:rsidRDefault="00AD636D" w:rsidP="00AD636D">
      <w:pPr>
        <w:pStyle w:val="ListParagraph"/>
        <w:numPr>
          <w:ilvl w:val="3"/>
          <w:numId w:val="9"/>
        </w:numPr>
        <w:spacing w:line="480" w:lineRule="auto"/>
        <w:ind w:left="1440" w:hanging="720"/>
        <w:rPr>
          <w:bCs/>
          <w:iCs/>
        </w:rPr>
      </w:pPr>
      <w:r>
        <w:t xml:space="preserve">In 2008, respondent stipulated to a </w:t>
      </w:r>
      <w:r w:rsidRPr="00AD636D">
        <w:rPr>
          <w:vanish/>
        </w:rPr>
        <w:t>public</w:t>
      </w:r>
      <w:r>
        <w:t xml:space="preserve">private </w:t>
      </w:r>
      <w:proofErr w:type="spellStart"/>
      <w:r>
        <w:t>reproval</w:t>
      </w:r>
      <w:proofErr w:type="spellEnd"/>
      <w:r>
        <w:t xml:space="preserve"> for his failure to perform services in one client matter.  (State Bar Court case No. 07-O-13015, effective May 9, 2008.)</w:t>
      </w:r>
    </w:p>
    <w:p w:rsidR="00AD636D" w:rsidRPr="00C75184" w:rsidRDefault="00976404" w:rsidP="00AD636D">
      <w:pPr>
        <w:pStyle w:val="ListParagraph"/>
        <w:numPr>
          <w:ilvl w:val="3"/>
          <w:numId w:val="9"/>
        </w:numPr>
        <w:spacing w:line="480" w:lineRule="auto"/>
        <w:ind w:left="1440" w:hanging="720"/>
        <w:rPr>
          <w:bCs/>
          <w:iCs/>
        </w:rPr>
      </w:pPr>
      <w:r>
        <w:t xml:space="preserve">On November 4, 2010, </w:t>
      </w:r>
      <w:r w:rsidR="00AD636D">
        <w:t xml:space="preserve">respondent was suspended for two years, stayed, and actually suspended for 90 days and until the State Bar Court terminates his suspension for violating several of the conditions attached to his private </w:t>
      </w:r>
      <w:proofErr w:type="spellStart"/>
      <w:r w:rsidR="00AD636D">
        <w:t>reproval</w:t>
      </w:r>
      <w:proofErr w:type="spellEnd"/>
      <w:r w:rsidR="00AD636D">
        <w:t xml:space="preserve">.  (Supreme Court case </w:t>
      </w:r>
      <w:proofErr w:type="gramStart"/>
      <w:r w:rsidR="00AD636D">
        <w:t>No</w:t>
      </w:r>
      <w:proofErr w:type="gramEnd"/>
      <w:r w:rsidR="00AD636D">
        <w:t xml:space="preserve">. </w:t>
      </w:r>
      <w:proofErr w:type="spellStart"/>
      <w:r w:rsidR="00AD636D">
        <w:t>S184799</w:t>
      </w:r>
      <w:proofErr w:type="spellEnd"/>
      <w:r w:rsidR="00AD636D">
        <w:t>; State Bar Court case No. 09-H-15876.)</w:t>
      </w:r>
      <w:r>
        <w:rPr>
          <w:rStyle w:val="FootnoteReference"/>
        </w:rPr>
        <w:footnoteReference w:id="5"/>
      </w:r>
    </w:p>
    <w:p w:rsidR="00171153" w:rsidRDefault="00941BB1" w:rsidP="003873FA">
      <w:pPr>
        <w:spacing w:line="480" w:lineRule="auto"/>
      </w:pPr>
      <w:r>
        <w:tab/>
      </w:r>
      <w:r w:rsidR="00A45C39" w:rsidRPr="003873FA">
        <w:t>Respondent committed multiple acts of wrongdoing</w:t>
      </w:r>
      <w:r w:rsidR="00171153">
        <w:t xml:space="preserve"> </w:t>
      </w:r>
      <w:r w:rsidR="0028725A">
        <w:t xml:space="preserve">by abandoning the </w:t>
      </w:r>
      <w:r w:rsidR="005C288E">
        <w:t>Cole and Ford</w:t>
      </w:r>
      <w:r w:rsidR="0028725A">
        <w:t xml:space="preserve"> </w:t>
      </w:r>
      <w:r w:rsidR="00171153">
        <w:t>matter</w:t>
      </w:r>
      <w:r w:rsidR="005C288E">
        <w:t>s</w:t>
      </w:r>
      <w:r w:rsidR="00A45C39" w:rsidRPr="003873FA">
        <w:t>.  (Std. 1.2(b</w:t>
      </w:r>
      <w:proofErr w:type="gramStart"/>
      <w:r w:rsidR="00A45C39" w:rsidRPr="003873FA">
        <w:t>)(</w:t>
      </w:r>
      <w:proofErr w:type="gramEnd"/>
      <w:r w:rsidR="00A45C39" w:rsidRPr="003873FA">
        <w:t>ii).)</w:t>
      </w:r>
      <w:r w:rsidR="002F7FFD" w:rsidRPr="003873FA">
        <w:t xml:space="preserve">  </w:t>
      </w:r>
    </w:p>
    <w:p w:rsidR="00C8108C" w:rsidRPr="001146C2" w:rsidRDefault="00A45C39" w:rsidP="00C8108C">
      <w:pPr>
        <w:spacing w:line="480" w:lineRule="auto"/>
        <w:ind w:firstLine="720"/>
      </w:pPr>
      <w:r w:rsidRPr="003873FA">
        <w:t xml:space="preserve">Respondent’s misconduct </w:t>
      </w:r>
      <w:r w:rsidR="00D1553A" w:rsidRPr="003873FA">
        <w:t xml:space="preserve">significantly </w:t>
      </w:r>
      <w:r w:rsidRPr="003873FA">
        <w:t xml:space="preserve">harmed </w:t>
      </w:r>
      <w:r w:rsidR="005C288E">
        <w:t xml:space="preserve">Ford in that his case was dismissed due to respondent's failure to serve the complaint.  </w:t>
      </w:r>
      <w:r w:rsidRPr="003873FA">
        <w:t>(Std. 1.2(b</w:t>
      </w:r>
      <w:proofErr w:type="gramStart"/>
      <w:r w:rsidRPr="003873FA">
        <w:t>)(</w:t>
      </w:r>
      <w:proofErr w:type="gramEnd"/>
      <w:r w:rsidRPr="003873FA">
        <w:t>iv).)</w:t>
      </w:r>
      <w:r w:rsidR="00C8108C">
        <w:t xml:space="preserve">  </w:t>
      </w:r>
      <w:r w:rsidR="001979A5">
        <w:t>And Cole paid respondent $1,500</w:t>
      </w:r>
      <w:r w:rsidR="00330082">
        <w:t xml:space="preserve"> for services that respondent never completed. </w:t>
      </w:r>
    </w:p>
    <w:p w:rsidR="00DA4C5C" w:rsidRPr="003873FA" w:rsidRDefault="00EC5CD6" w:rsidP="003873FA">
      <w:pPr>
        <w:spacing w:line="480" w:lineRule="auto"/>
      </w:pPr>
      <w:r>
        <w:lastRenderedPageBreak/>
        <w:tab/>
      </w:r>
      <w:r w:rsidR="00DA4C5C" w:rsidRPr="003873FA">
        <w:t>Respondent’s failure to cooperate with the State Bar before the entry of h</w:t>
      </w:r>
      <w:r>
        <w:t>is</w:t>
      </w:r>
      <w:r w:rsidR="00DA4C5C" w:rsidRPr="003873FA">
        <w:t xml:space="preserve"> default, including filing an answer to the </w:t>
      </w:r>
      <w:proofErr w:type="spellStart"/>
      <w:r w:rsidR="00DA4C5C" w:rsidRPr="003873FA">
        <w:t>NDC</w:t>
      </w:r>
      <w:proofErr w:type="spellEnd"/>
      <w:r w:rsidR="00DA4C5C" w:rsidRPr="003873FA">
        <w:t>, is also a serious aggravating factor.  (Std. 1.2(b</w:t>
      </w:r>
      <w:proofErr w:type="gramStart"/>
      <w:r w:rsidR="00DA4C5C" w:rsidRPr="003873FA">
        <w:t>)(</w:t>
      </w:r>
      <w:proofErr w:type="gramEnd"/>
      <w:r w:rsidR="00DA4C5C" w:rsidRPr="003873FA">
        <w:t xml:space="preserve">vi).)  </w:t>
      </w:r>
    </w:p>
    <w:p w:rsidR="00A45C39" w:rsidRPr="003873FA" w:rsidRDefault="00A45C39" w:rsidP="00EC5CD6">
      <w:pPr>
        <w:spacing w:line="480" w:lineRule="auto"/>
        <w:jc w:val="center"/>
        <w:rPr>
          <w:b/>
          <w:bCs/>
        </w:rPr>
      </w:pPr>
      <w:r w:rsidRPr="003873FA">
        <w:rPr>
          <w:b/>
          <w:bCs/>
        </w:rPr>
        <w:t>V.  Discussion</w:t>
      </w:r>
    </w:p>
    <w:p w:rsidR="00B91056" w:rsidRPr="003873FA" w:rsidRDefault="00EC5CD6" w:rsidP="003873FA">
      <w:pPr>
        <w:spacing w:line="480" w:lineRule="auto"/>
      </w:pPr>
      <w:r>
        <w:tab/>
      </w:r>
      <w:r w:rsidR="00B91056" w:rsidRPr="003873FA">
        <w:t xml:space="preserve">The purpose of State Bar disciplinary proceedings is not to punish the attorney, but to protect the public, to preserve public confidence in the profession, and to maintain the highest possible professional standards for attorneys.  </w:t>
      </w:r>
      <w:proofErr w:type="gramStart"/>
      <w:r w:rsidR="00B91056" w:rsidRPr="003873FA">
        <w:t>(</w:t>
      </w:r>
      <w:r w:rsidR="00B91056" w:rsidRPr="003873FA">
        <w:rPr>
          <w:i/>
          <w:iCs/>
        </w:rPr>
        <w:t>Chadwick v. State Bar</w:t>
      </w:r>
      <w:r w:rsidR="00B91056" w:rsidRPr="003873FA">
        <w:t xml:space="preserve"> (1989) 49 </w:t>
      </w:r>
      <w:proofErr w:type="spellStart"/>
      <w:r w:rsidR="00B91056" w:rsidRPr="003873FA">
        <w:t>Cal.3d</w:t>
      </w:r>
      <w:proofErr w:type="spellEnd"/>
      <w:r w:rsidR="00B91056" w:rsidRPr="003873FA">
        <w:t xml:space="preserve"> 103, 111; </w:t>
      </w:r>
      <w:r w:rsidR="00B91056" w:rsidRPr="003873FA">
        <w:rPr>
          <w:i/>
          <w:iCs/>
        </w:rPr>
        <w:t>Cooper v. State Bar</w:t>
      </w:r>
      <w:r w:rsidR="00B91056" w:rsidRPr="003873FA">
        <w:t xml:space="preserve"> (1987) 43 </w:t>
      </w:r>
      <w:proofErr w:type="spellStart"/>
      <w:r w:rsidR="00B91056" w:rsidRPr="003873FA">
        <w:t>Cal.3d</w:t>
      </w:r>
      <w:proofErr w:type="spellEnd"/>
      <w:r w:rsidR="00B91056" w:rsidRPr="003873FA">
        <w:t xml:space="preserve"> 1016, 1025; std. 1.3.)</w:t>
      </w:r>
      <w:proofErr w:type="gramEnd"/>
      <w:r w:rsidR="00B91056" w:rsidRPr="003873FA">
        <w:t xml:space="preserve"> </w:t>
      </w:r>
    </w:p>
    <w:p w:rsidR="008A6DCF" w:rsidRDefault="00C52139" w:rsidP="003873FA">
      <w:pPr>
        <w:spacing w:line="480" w:lineRule="auto"/>
      </w:pPr>
      <w:r>
        <w:tab/>
      </w:r>
      <w:r w:rsidR="00B91056" w:rsidRPr="003873FA">
        <w:t>In determining the appropriate level of discipline, the court looks first to the standards for guidance.  (</w:t>
      </w:r>
      <w:proofErr w:type="spellStart"/>
      <w:r w:rsidR="00B91056" w:rsidRPr="003873FA">
        <w:rPr>
          <w:i/>
          <w:iCs/>
        </w:rPr>
        <w:t>Drociak</w:t>
      </w:r>
      <w:proofErr w:type="spellEnd"/>
      <w:r w:rsidR="00B91056" w:rsidRPr="003873FA">
        <w:rPr>
          <w:i/>
          <w:iCs/>
        </w:rPr>
        <w:t xml:space="preserve"> v. State Bar</w:t>
      </w:r>
      <w:r w:rsidR="00B91056" w:rsidRPr="003873FA">
        <w:t xml:space="preserve"> (1991) 52 </w:t>
      </w:r>
      <w:proofErr w:type="spellStart"/>
      <w:r w:rsidR="00B91056" w:rsidRPr="003873FA">
        <w:t>Cal.3d</w:t>
      </w:r>
      <w:proofErr w:type="spellEnd"/>
      <w:r w:rsidR="00B91056" w:rsidRPr="003873FA">
        <w:t xml:space="preserve"> 1095, 1090; </w:t>
      </w:r>
      <w:r w:rsidR="00B91056" w:rsidRPr="003873FA">
        <w:rPr>
          <w:i/>
          <w:iCs/>
        </w:rPr>
        <w:t>In the Matter of Koehler</w:t>
      </w:r>
      <w:r w:rsidR="00B91056" w:rsidRPr="003873FA">
        <w:t xml:space="preserve"> (Review Dept. 1991) 1 Cal. State Bar Ct. </w:t>
      </w:r>
      <w:proofErr w:type="spellStart"/>
      <w:r w:rsidR="00B91056" w:rsidRPr="003873FA">
        <w:t>Rptr</w:t>
      </w:r>
      <w:proofErr w:type="spellEnd"/>
      <w:r w:rsidR="00B91056" w:rsidRPr="003873FA">
        <w:t xml:space="preserve">. 615, 628.)  The standards provide a broad range of sanctions ranging from </w:t>
      </w:r>
      <w:proofErr w:type="spellStart"/>
      <w:r w:rsidR="00B91056" w:rsidRPr="003873FA">
        <w:t>reproval</w:t>
      </w:r>
      <w:proofErr w:type="spellEnd"/>
      <w:r w:rsidR="00B91056" w:rsidRPr="003873FA">
        <w:t xml:space="preserve"> to disbarment, depending upon the gravity of the offenses and the harm to the victim.  </w:t>
      </w:r>
      <w:r w:rsidR="008A6DCF" w:rsidRPr="003873FA">
        <w:t xml:space="preserve">Standards </w:t>
      </w:r>
      <w:r w:rsidR="00DC3D94">
        <w:t xml:space="preserve">2.3, </w:t>
      </w:r>
      <w:r w:rsidR="008A6DCF">
        <w:t xml:space="preserve">2.4, </w:t>
      </w:r>
      <w:r w:rsidR="008A6DCF" w:rsidRPr="003873FA">
        <w:t xml:space="preserve">2.6, </w:t>
      </w:r>
      <w:r w:rsidR="00DC3D94">
        <w:t xml:space="preserve">2.9 </w:t>
      </w:r>
      <w:r w:rsidR="008A6DCF" w:rsidRPr="003873FA">
        <w:t>and 2.10 apply in this matter.</w:t>
      </w:r>
    </w:p>
    <w:p w:rsidR="00B91056" w:rsidRPr="003873FA" w:rsidRDefault="00C52139" w:rsidP="003873FA">
      <w:pPr>
        <w:spacing w:line="480" w:lineRule="auto"/>
      </w:pPr>
      <w:r>
        <w:tab/>
      </w:r>
      <w:r w:rsidR="00B91056" w:rsidRPr="003873FA">
        <w:t xml:space="preserve">The Supreme Court gives the standards “great weight” and will reject a recommendation consistent with the standards only where the court entertains “grave doubts” as to its propriety.  </w:t>
      </w:r>
      <w:proofErr w:type="gramStart"/>
      <w:r w:rsidR="00B91056" w:rsidRPr="003873FA">
        <w:t>(</w:t>
      </w:r>
      <w:r w:rsidR="00B91056" w:rsidRPr="003873FA">
        <w:rPr>
          <w:i/>
          <w:iCs/>
        </w:rPr>
        <w:t>In re Silverton</w:t>
      </w:r>
      <w:r w:rsidR="00B91056" w:rsidRPr="003873FA">
        <w:t xml:space="preserve"> (2005) 36 </w:t>
      </w:r>
      <w:proofErr w:type="spellStart"/>
      <w:r w:rsidR="00B91056" w:rsidRPr="003873FA">
        <w:t>Cal.4th</w:t>
      </w:r>
      <w:proofErr w:type="spellEnd"/>
      <w:r w:rsidR="00B91056" w:rsidRPr="003873FA">
        <w:t xml:space="preserve"> 81, 91-92; </w:t>
      </w:r>
      <w:r w:rsidR="00B91056" w:rsidRPr="003873FA">
        <w:rPr>
          <w:i/>
          <w:iCs/>
        </w:rPr>
        <w:t xml:space="preserve">In re </w:t>
      </w:r>
      <w:proofErr w:type="spellStart"/>
      <w:r w:rsidR="00B91056" w:rsidRPr="003873FA">
        <w:rPr>
          <w:i/>
          <w:iCs/>
        </w:rPr>
        <w:t>Naney</w:t>
      </w:r>
      <w:proofErr w:type="spellEnd"/>
      <w:r w:rsidR="00B91056" w:rsidRPr="003873FA">
        <w:t xml:space="preserve"> (1990) 51 </w:t>
      </w:r>
      <w:proofErr w:type="spellStart"/>
      <w:r w:rsidR="00B91056" w:rsidRPr="003873FA">
        <w:t>Cal.3d</w:t>
      </w:r>
      <w:proofErr w:type="spellEnd"/>
      <w:r w:rsidR="00B91056" w:rsidRPr="003873FA">
        <w:t xml:space="preserve"> 186, 190.)</w:t>
      </w:r>
      <w:proofErr w:type="gramEnd"/>
      <w:r w:rsidR="00B91056" w:rsidRPr="003873FA">
        <w:t xml:space="preserve">  Although the standards are not mandatory, they may be deviated from when there is a compelling, well-defined reason to do so.  </w:t>
      </w:r>
      <w:proofErr w:type="gramStart"/>
      <w:r w:rsidR="00B91056" w:rsidRPr="003873FA">
        <w:t>(</w:t>
      </w:r>
      <w:r w:rsidR="00B91056" w:rsidRPr="003873FA">
        <w:rPr>
          <w:i/>
          <w:iCs/>
        </w:rPr>
        <w:t>Bates v. State Bar</w:t>
      </w:r>
      <w:r w:rsidR="00B91056" w:rsidRPr="003873FA">
        <w:t xml:space="preserve"> (1990) 51 </w:t>
      </w:r>
      <w:proofErr w:type="spellStart"/>
      <w:r w:rsidR="00B91056" w:rsidRPr="003873FA">
        <w:t>Cal.3d</w:t>
      </w:r>
      <w:proofErr w:type="spellEnd"/>
      <w:r w:rsidR="00B91056" w:rsidRPr="003873FA">
        <w:t xml:space="preserve"> 1056, 1061, fn. 2; </w:t>
      </w:r>
      <w:proofErr w:type="spellStart"/>
      <w:r w:rsidR="00B91056" w:rsidRPr="003873FA">
        <w:rPr>
          <w:i/>
          <w:iCs/>
        </w:rPr>
        <w:t>Aronin</w:t>
      </w:r>
      <w:proofErr w:type="spellEnd"/>
      <w:r w:rsidR="00B91056" w:rsidRPr="003873FA">
        <w:rPr>
          <w:i/>
          <w:iCs/>
        </w:rPr>
        <w:t xml:space="preserve"> v. State Bar</w:t>
      </w:r>
      <w:r w:rsidR="00B91056" w:rsidRPr="003873FA">
        <w:t xml:space="preserve"> (1990) 52 </w:t>
      </w:r>
      <w:proofErr w:type="spellStart"/>
      <w:r w:rsidR="00B91056" w:rsidRPr="003873FA">
        <w:t>Cal.3d</w:t>
      </w:r>
      <w:proofErr w:type="spellEnd"/>
      <w:r w:rsidR="00B91056" w:rsidRPr="003873FA">
        <w:t xml:space="preserve"> 276, 291.)</w:t>
      </w:r>
      <w:proofErr w:type="gramEnd"/>
    </w:p>
    <w:p w:rsidR="00B91056" w:rsidRDefault="00C52139" w:rsidP="003873FA">
      <w:pPr>
        <w:spacing w:line="480" w:lineRule="auto"/>
      </w:pPr>
      <w:r>
        <w:tab/>
      </w:r>
      <w:r w:rsidR="00B91056" w:rsidRPr="003873FA">
        <w:t xml:space="preserve">Standard 1.6(a) provides that, when two or more acts of misconduct are found in a single disciplinary proceeding and different sanctions are prescribed for those acts, the recommended sanction is to be the most severe of the different sanctions. </w:t>
      </w:r>
    </w:p>
    <w:p w:rsidR="00DC3D94" w:rsidRDefault="00DC3D94" w:rsidP="003873FA">
      <w:pPr>
        <w:spacing w:line="480" w:lineRule="auto"/>
      </w:pPr>
      <w:r>
        <w:tab/>
        <w:t>Standard 2.3</w:t>
      </w:r>
      <w:r w:rsidR="001041B9">
        <w:t xml:space="preserve"> provides that culpability of an act of moral turpitude, fraud or intentional dishonesty must result in actual suspension or disbarment.</w:t>
      </w:r>
    </w:p>
    <w:p w:rsidR="00C52139" w:rsidRDefault="00A36A82" w:rsidP="003873FA">
      <w:pPr>
        <w:spacing w:line="480" w:lineRule="auto"/>
      </w:pPr>
      <w:r>
        <w:lastRenderedPageBreak/>
        <w:tab/>
        <w:t xml:space="preserve">Standard 2.4 provides that culpability of a member’s willful failure to perform services and willful failure to communicate with a client must result in </w:t>
      </w:r>
      <w:proofErr w:type="spellStart"/>
      <w:r>
        <w:t>reproval</w:t>
      </w:r>
      <w:proofErr w:type="spellEnd"/>
      <w:r>
        <w:t xml:space="preserve"> or suspension, depending upon the extent of the misconduct and the degree of harm to the client.</w:t>
      </w:r>
    </w:p>
    <w:p w:rsidR="00B91056" w:rsidRPr="003873FA" w:rsidRDefault="00C52139" w:rsidP="003873FA">
      <w:pPr>
        <w:spacing w:line="480" w:lineRule="auto"/>
      </w:pPr>
      <w:r>
        <w:tab/>
      </w:r>
      <w:r w:rsidR="00B91056" w:rsidRPr="003873FA">
        <w:t>Standard 2.6 provides that culpability of certain provisions of the Business and Professions Code must result in disbarment or suspension depending on the gravity of the offense or the harm to the victim.</w:t>
      </w:r>
    </w:p>
    <w:p w:rsidR="00DC3D94" w:rsidRDefault="00DC3D94" w:rsidP="003873FA">
      <w:pPr>
        <w:spacing w:line="480" w:lineRule="auto"/>
      </w:pPr>
      <w:r>
        <w:tab/>
        <w:t xml:space="preserve">Standard 2.9 </w:t>
      </w:r>
      <w:r w:rsidR="001041B9">
        <w:t>provides that culpability of a violation of rule 1-110 must result in suspension.</w:t>
      </w:r>
    </w:p>
    <w:p w:rsidR="00B91056" w:rsidRPr="003873FA" w:rsidRDefault="00C52139" w:rsidP="003873FA">
      <w:pPr>
        <w:spacing w:line="480" w:lineRule="auto"/>
      </w:pPr>
      <w:r>
        <w:tab/>
      </w:r>
      <w:r w:rsidR="00B91056" w:rsidRPr="003873FA">
        <w:t xml:space="preserve">Standard 2.10 provides that culpability of other provisions of the Business and Professions Code or Rules of Professional Conduct not specified in these standards must result in </w:t>
      </w:r>
      <w:proofErr w:type="spellStart"/>
      <w:r w:rsidR="00B91056" w:rsidRPr="003873FA">
        <w:t>reproval</w:t>
      </w:r>
      <w:proofErr w:type="spellEnd"/>
      <w:r w:rsidR="00B91056" w:rsidRPr="003873FA">
        <w:t xml:space="preserve"> or suspension depending upon the extent of the misconduct and the degree of harm to the client.</w:t>
      </w:r>
    </w:p>
    <w:p w:rsidR="00614C9F" w:rsidRDefault="00A45C39" w:rsidP="003873FA">
      <w:pPr>
        <w:spacing w:line="480" w:lineRule="auto"/>
      </w:pPr>
      <w:r w:rsidRPr="003873FA">
        <w:tab/>
        <w:t xml:space="preserve">The State Bar urges </w:t>
      </w:r>
      <w:r w:rsidR="00330082">
        <w:t>two years</w:t>
      </w:r>
      <w:r w:rsidRPr="003873FA">
        <w:t xml:space="preserve"> of actual suspension</w:t>
      </w:r>
      <w:r w:rsidR="00614C9F">
        <w:t xml:space="preserve">, citing, among others, </w:t>
      </w:r>
      <w:r w:rsidR="00614C9F">
        <w:rPr>
          <w:i/>
        </w:rPr>
        <w:t>In the Matter of Bach</w:t>
      </w:r>
      <w:r w:rsidR="00614C9F">
        <w:t xml:space="preserve"> (Review Dept. 1991) 1 Cal. State Bar Ct. </w:t>
      </w:r>
      <w:proofErr w:type="spellStart"/>
      <w:r w:rsidR="00614C9F">
        <w:t>Rptr</w:t>
      </w:r>
      <w:proofErr w:type="spellEnd"/>
      <w:r w:rsidR="00614C9F">
        <w:t>. 631, in support of its recommendation.</w:t>
      </w:r>
    </w:p>
    <w:p w:rsidR="000671DB" w:rsidRDefault="00614C9F" w:rsidP="00614C9F">
      <w:pPr>
        <w:spacing w:line="480" w:lineRule="auto"/>
      </w:pPr>
      <w:r>
        <w:rPr>
          <w:i/>
          <w:iCs/>
        </w:rPr>
        <w:tab/>
      </w:r>
      <w:r>
        <w:t xml:space="preserve">The attorney in </w:t>
      </w:r>
      <w:proofErr w:type="spellStart"/>
      <w:r>
        <w:rPr>
          <w:i/>
          <w:iCs/>
        </w:rPr>
        <w:t>In</w:t>
      </w:r>
      <w:proofErr w:type="spellEnd"/>
      <w:r>
        <w:rPr>
          <w:i/>
          <w:iCs/>
        </w:rPr>
        <w:t xml:space="preserve"> the Matter of Bach</w:t>
      </w:r>
      <w:r>
        <w:t xml:space="preserve"> was actually suspended for nine months for his two client abandonments and was previously disciplined for a third abandonment occurring at roughly the same time.  </w:t>
      </w:r>
    </w:p>
    <w:p w:rsidR="001F33E9" w:rsidRPr="000671DB" w:rsidRDefault="001F33E9" w:rsidP="00614C9F">
      <w:pPr>
        <w:spacing w:line="480" w:lineRule="auto"/>
      </w:pPr>
      <w:r>
        <w:tab/>
        <w:t>Similarly, in this matter, respondent's misconduct involved two client abandonments</w:t>
      </w:r>
      <w:r w:rsidR="00A279EF">
        <w:t xml:space="preserve"> and one of which occurred at about the same time as the previously disciplined misconduct for failure to perform services (State Bar Court case No. 07-O-13015)</w:t>
      </w:r>
      <w:r>
        <w:t>.</w:t>
      </w:r>
      <w:r w:rsidR="000671DB">
        <w:t xml:space="preserve">  But unlike </w:t>
      </w:r>
      <w:r w:rsidR="000671DB">
        <w:rPr>
          <w:i/>
        </w:rPr>
        <w:t>Bach</w:t>
      </w:r>
      <w:r w:rsidR="000671DB">
        <w:t>, respondent has two prior records of discipline.</w:t>
      </w:r>
    </w:p>
    <w:p w:rsidR="00AC78AD" w:rsidRPr="003873FA" w:rsidRDefault="0059409D" w:rsidP="003873FA">
      <w:pPr>
        <w:spacing w:line="480" w:lineRule="auto"/>
      </w:pPr>
      <w:r w:rsidRPr="003873FA">
        <w:tab/>
      </w:r>
      <w:r w:rsidR="00AC78AD" w:rsidRPr="003873FA">
        <w:t xml:space="preserve">In recommending discipline, the “paramount concern is protection of the public, the courts and the integrity of the legal profession.”  </w:t>
      </w:r>
      <w:proofErr w:type="gramStart"/>
      <w:r w:rsidR="00AC78AD" w:rsidRPr="003873FA">
        <w:t>(</w:t>
      </w:r>
      <w:r w:rsidR="00AC78AD" w:rsidRPr="003873FA">
        <w:rPr>
          <w:i/>
          <w:iCs/>
        </w:rPr>
        <w:t>Snyder v. State Bar</w:t>
      </w:r>
      <w:r w:rsidR="00AC78AD" w:rsidRPr="003873FA">
        <w:t xml:space="preserve"> (1990) 49 </w:t>
      </w:r>
      <w:proofErr w:type="spellStart"/>
      <w:r w:rsidR="00AC78AD" w:rsidRPr="003873FA">
        <w:t>Cal.3d</w:t>
      </w:r>
      <w:proofErr w:type="spellEnd"/>
      <w:r w:rsidR="00AC78AD" w:rsidRPr="003873FA">
        <w:t xml:space="preserve"> 1302.)</w:t>
      </w:r>
      <w:proofErr w:type="gramEnd"/>
      <w:r w:rsidR="00AC78AD" w:rsidRPr="003873FA">
        <w:t xml:space="preserve"> </w:t>
      </w:r>
    </w:p>
    <w:p w:rsidR="00704B6C" w:rsidRDefault="00AC78AD" w:rsidP="003873FA">
      <w:pPr>
        <w:spacing w:line="480" w:lineRule="auto"/>
      </w:pPr>
      <w:r w:rsidRPr="003873FA">
        <w:lastRenderedPageBreak/>
        <w:t>Failing to appear and participate in the hearing shows that respondent comprehends neither the seriousness of the charges against h</w:t>
      </w:r>
      <w:r w:rsidR="002F195F">
        <w:t>im</w:t>
      </w:r>
      <w:r w:rsidRPr="003873FA">
        <w:t xml:space="preserve"> nor h</w:t>
      </w:r>
      <w:r w:rsidR="002F195F">
        <w:t>is</w:t>
      </w:r>
      <w:r w:rsidRPr="003873FA">
        <w:t xml:space="preserve"> duty as an officer of the court to participate in disciplinary proceedings.  </w:t>
      </w:r>
      <w:proofErr w:type="gramStart"/>
      <w:r w:rsidR="00763163" w:rsidRPr="003873FA">
        <w:t>(</w:t>
      </w:r>
      <w:r w:rsidR="00763163" w:rsidRPr="003873FA">
        <w:rPr>
          <w:i/>
        </w:rPr>
        <w:t>Conroy v. State Bar</w:t>
      </w:r>
      <w:r w:rsidR="00763163" w:rsidRPr="003873FA">
        <w:t xml:space="preserve"> (1991) 53 </w:t>
      </w:r>
      <w:proofErr w:type="spellStart"/>
      <w:r w:rsidR="00763163" w:rsidRPr="003873FA">
        <w:t>Cal.3d</w:t>
      </w:r>
      <w:proofErr w:type="spellEnd"/>
      <w:r w:rsidR="00763163" w:rsidRPr="003873FA">
        <w:t xml:space="preserve"> 495, </w:t>
      </w:r>
      <w:r w:rsidRPr="003873FA">
        <w:t>507-508.)</w:t>
      </w:r>
      <w:proofErr w:type="gramEnd"/>
      <w:r w:rsidR="009817DC">
        <w:t xml:space="preserve">  Respondent</w:t>
      </w:r>
      <w:r w:rsidR="00330082">
        <w:t>’s</w:t>
      </w:r>
      <w:r w:rsidR="009817DC">
        <w:t xml:space="preserve"> failure to participate in this proceeding leaves the court without information about the underlying cause of his misconduct or of any mitigating circumstances surrounding his misconduct.</w:t>
      </w:r>
    </w:p>
    <w:p w:rsidR="00D51D2C" w:rsidRPr="003873FA" w:rsidRDefault="00AC78AD" w:rsidP="003873FA">
      <w:pPr>
        <w:spacing w:line="480" w:lineRule="auto"/>
      </w:pPr>
      <w:r w:rsidRPr="003873FA">
        <w:t xml:space="preserve"> </w:t>
      </w:r>
      <w:r w:rsidR="00F74ACC" w:rsidRPr="003873FA">
        <w:tab/>
      </w:r>
      <w:r w:rsidR="009817DC">
        <w:t>Instead of cooperating with the State Bar or rectifying his misconduct, respondent defaulted in this disciplinary proceeding.  Therefore, b</w:t>
      </w:r>
      <w:r w:rsidRPr="003873FA">
        <w:t xml:space="preserve">alancing all relevant factors – respondent’s misconduct, the standards, the case </w:t>
      </w:r>
      <w:r w:rsidR="00330082">
        <w:t>law and</w:t>
      </w:r>
      <w:r w:rsidRPr="003873FA">
        <w:t xml:space="preserve"> </w:t>
      </w:r>
      <w:r w:rsidR="00D51D2C" w:rsidRPr="003873FA">
        <w:t>the aggravating evidence</w:t>
      </w:r>
      <w:r w:rsidR="00330082">
        <w:t xml:space="preserve">, </w:t>
      </w:r>
      <w:r w:rsidR="00D51D2C" w:rsidRPr="003873FA">
        <w:t>the court concludes that</w:t>
      </w:r>
      <w:r w:rsidR="0058005C">
        <w:t xml:space="preserve"> </w:t>
      </w:r>
      <w:r w:rsidR="00D51D2C" w:rsidRPr="003873FA">
        <w:t xml:space="preserve">placing respondent </w:t>
      </w:r>
      <w:r w:rsidR="009E7B98">
        <w:t>on a</w:t>
      </w:r>
      <w:r w:rsidR="009E7B98" w:rsidRPr="003873FA">
        <w:t xml:space="preserve"> suspen</w:t>
      </w:r>
      <w:r w:rsidR="009E7B98">
        <w:t xml:space="preserve">sion </w:t>
      </w:r>
      <w:r w:rsidR="009E7B98" w:rsidRPr="003873FA">
        <w:t xml:space="preserve">for </w:t>
      </w:r>
      <w:r w:rsidR="009E7B98">
        <w:t xml:space="preserve">a minimum of </w:t>
      </w:r>
      <w:r w:rsidR="00330082">
        <w:t>one year</w:t>
      </w:r>
      <w:r w:rsidR="009E7B98">
        <w:t xml:space="preserve"> </w:t>
      </w:r>
      <w:r w:rsidR="00D51D2C" w:rsidRPr="003873FA">
        <w:t>would be appropriate to protect the public and to preserve public confidence in the profession.</w:t>
      </w:r>
    </w:p>
    <w:p w:rsidR="00D64CB1" w:rsidRPr="003873FA" w:rsidRDefault="00AC78AD" w:rsidP="002F195F">
      <w:pPr>
        <w:spacing w:line="480" w:lineRule="auto"/>
        <w:jc w:val="center"/>
        <w:rPr>
          <w:b/>
          <w:bCs/>
        </w:rPr>
      </w:pPr>
      <w:r w:rsidRPr="003873FA">
        <w:rPr>
          <w:b/>
          <w:bCs/>
        </w:rPr>
        <w:t>VI</w:t>
      </w:r>
      <w:proofErr w:type="gramStart"/>
      <w:r w:rsidRPr="003873FA">
        <w:rPr>
          <w:b/>
          <w:bCs/>
        </w:rPr>
        <w:t>.  Recommend</w:t>
      </w:r>
      <w:r w:rsidR="008F3BD4">
        <w:rPr>
          <w:b/>
          <w:bCs/>
        </w:rPr>
        <w:t>ation</w:t>
      </w:r>
      <w:r w:rsidR="00F200AE">
        <w:rPr>
          <w:b/>
          <w:bCs/>
        </w:rPr>
        <w:t>s</w:t>
      </w:r>
      <w:proofErr w:type="gramEnd"/>
      <w:r w:rsidR="008F3BD4">
        <w:rPr>
          <w:b/>
          <w:bCs/>
        </w:rPr>
        <w:t xml:space="preserve"> </w:t>
      </w:r>
    </w:p>
    <w:p w:rsidR="008F3BD4" w:rsidRPr="008F3BD4" w:rsidRDefault="008F3BD4" w:rsidP="008F3BD4">
      <w:pPr>
        <w:pStyle w:val="ListParagraph"/>
        <w:numPr>
          <w:ilvl w:val="0"/>
          <w:numId w:val="6"/>
        </w:numPr>
        <w:spacing w:line="480" w:lineRule="auto"/>
        <w:ind w:left="0" w:firstLine="0"/>
        <w:rPr>
          <w:b/>
          <w:bCs/>
        </w:rPr>
      </w:pPr>
      <w:r w:rsidRPr="008F3BD4">
        <w:rPr>
          <w:b/>
          <w:bCs/>
        </w:rPr>
        <w:t>Discipline</w:t>
      </w:r>
    </w:p>
    <w:p w:rsidR="008F3BD4" w:rsidRDefault="00D64CB1" w:rsidP="003873FA">
      <w:pPr>
        <w:spacing w:line="480" w:lineRule="auto"/>
      </w:pPr>
      <w:r w:rsidRPr="003873FA">
        <w:rPr>
          <w:b/>
          <w:bCs/>
        </w:rPr>
        <w:tab/>
      </w:r>
      <w:r w:rsidR="00AC78AD" w:rsidRPr="003873FA">
        <w:t>Accordingly, the court hereby recommends that respondent</w:t>
      </w:r>
      <w:r w:rsidR="00A92124">
        <w:rPr>
          <w:b/>
          <w:bCs/>
        </w:rPr>
        <w:t xml:space="preserve"> Larry Scott Spears </w:t>
      </w:r>
      <w:r w:rsidR="00AC78AD" w:rsidRPr="003873FA">
        <w:t xml:space="preserve">be suspended from the practice of law </w:t>
      </w:r>
      <w:r w:rsidR="00A32AE5">
        <w:t xml:space="preserve">in California </w:t>
      </w:r>
      <w:r w:rsidR="00AC78AD" w:rsidRPr="003873FA">
        <w:t>for</w:t>
      </w:r>
      <w:r w:rsidR="00A92124">
        <w:t xml:space="preserve"> two years</w:t>
      </w:r>
      <w:r w:rsidR="00AC78AD" w:rsidRPr="003873FA">
        <w:t xml:space="preserve">, that said suspension </w:t>
      </w:r>
      <w:proofErr w:type="gramStart"/>
      <w:r w:rsidR="00AC78AD" w:rsidRPr="003873FA">
        <w:t>be</w:t>
      </w:r>
      <w:proofErr w:type="gramEnd"/>
      <w:r w:rsidR="00AC78AD" w:rsidRPr="003873FA">
        <w:t xml:space="preserve"> stayed, and that respondent be suspended from the practice of law for </w:t>
      </w:r>
      <w:r w:rsidR="00A32AE5">
        <w:t>a minimum of</w:t>
      </w:r>
      <w:r w:rsidR="00A92124">
        <w:t xml:space="preserve"> </w:t>
      </w:r>
      <w:r w:rsidR="00330082">
        <w:t>one year.</w:t>
      </w:r>
      <w:r w:rsidRPr="003873FA">
        <w:t xml:space="preserve">  </w:t>
      </w:r>
      <w:r w:rsidR="008F3BD4">
        <w:t>H</w:t>
      </w:r>
      <w:r w:rsidR="00E00598" w:rsidRPr="003873FA">
        <w:t>e is to remain suspended until he files and the State Bar Court grants a motion to terminate h</w:t>
      </w:r>
      <w:r w:rsidR="008F3BD4">
        <w:t>is</w:t>
      </w:r>
      <w:r w:rsidR="00E00598" w:rsidRPr="003873FA">
        <w:t xml:space="preserve"> suspension.  </w:t>
      </w:r>
      <w:proofErr w:type="gramStart"/>
      <w:r w:rsidR="00E00598" w:rsidRPr="003873FA">
        <w:t>(Rules Proc. of State Bar, rule 205.)</w:t>
      </w:r>
      <w:proofErr w:type="gramEnd"/>
      <w:r w:rsidR="00E00598" w:rsidRPr="003873FA">
        <w:t xml:space="preserve">  </w:t>
      </w:r>
    </w:p>
    <w:p w:rsidR="00AC78AD" w:rsidRPr="003873FA" w:rsidRDefault="008F3BD4" w:rsidP="003873FA">
      <w:pPr>
        <w:spacing w:line="480" w:lineRule="auto"/>
      </w:pPr>
      <w:r>
        <w:tab/>
      </w:r>
      <w:r w:rsidR="00AC78AD" w:rsidRPr="003873FA">
        <w:t>It is recommended that respondent be ordered to comply with any probation conditions imposed by the State Bar Court as a condition for terminating h</w:t>
      </w:r>
      <w:r>
        <w:t>is</w:t>
      </w:r>
      <w:r w:rsidR="00AC78AD" w:rsidRPr="003873FA">
        <w:t xml:space="preserve"> suspension.  </w:t>
      </w:r>
      <w:proofErr w:type="gramStart"/>
      <w:r w:rsidR="00AC78AD" w:rsidRPr="003873FA">
        <w:t>(Rules Proc. of State Bar, rule 205(g).)</w:t>
      </w:r>
      <w:proofErr w:type="gramEnd"/>
    </w:p>
    <w:p w:rsidR="00AC78AD" w:rsidRDefault="008F3BD4" w:rsidP="003873FA">
      <w:pPr>
        <w:spacing w:line="480" w:lineRule="auto"/>
      </w:pPr>
      <w:r>
        <w:tab/>
      </w:r>
      <w:r w:rsidR="00AC78AD" w:rsidRPr="003873FA">
        <w:t xml:space="preserve">It is also recommended that if respondent </w:t>
      </w:r>
      <w:r w:rsidR="00A32AE5">
        <w:t xml:space="preserve">remains </w:t>
      </w:r>
      <w:r w:rsidR="00AC78AD" w:rsidRPr="003873FA">
        <w:t xml:space="preserve">suspended for </w:t>
      </w:r>
      <w:r w:rsidR="00483AD0">
        <w:t xml:space="preserve">two </w:t>
      </w:r>
      <w:r w:rsidR="00AC78AD" w:rsidRPr="003873FA">
        <w:t>year</w:t>
      </w:r>
      <w:r w:rsidR="00483AD0">
        <w:t>s</w:t>
      </w:r>
      <w:r w:rsidR="00A32AE5" w:rsidRPr="00A32AE5">
        <w:t xml:space="preserve"> </w:t>
      </w:r>
      <w:r w:rsidR="00A32AE5">
        <w:t xml:space="preserve">or </w:t>
      </w:r>
      <w:r w:rsidR="00A32AE5" w:rsidRPr="003873FA">
        <w:t>more</w:t>
      </w:r>
      <w:r w:rsidR="00A32AE5">
        <w:t xml:space="preserve"> as a result of not satisfying the preceding conditions, </w:t>
      </w:r>
      <w:r w:rsidR="00AC78AD" w:rsidRPr="003873FA">
        <w:t xml:space="preserve">he will remain suspended until he has shown proof </w:t>
      </w:r>
      <w:r w:rsidR="00D35EFE" w:rsidRPr="003873FA">
        <w:t>to the State Bar Court of h</w:t>
      </w:r>
      <w:r w:rsidR="00A32AE5">
        <w:t>is</w:t>
      </w:r>
      <w:r w:rsidR="00AC78AD" w:rsidRPr="003873FA">
        <w:t xml:space="preserve"> rehabilitation, fitness to practice, and learning and ability in the general law</w:t>
      </w:r>
      <w:r w:rsidR="002A2822">
        <w:t>.  (S</w:t>
      </w:r>
      <w:r w:rsidR="00AC78AD" w:rsidRPr="003873FA">
        <w:t>tandard 1.4(c</w:t>
      </w:r>
      <w:proofErr w:type="gramStart"/>
      <w:r w:rsidR="00AC78AD" w:rsidRPr="003873FA">
        <w:t>)(</w:t>
      </w:r>
      <w:proofErr w:type="gramEnd"/>
      <w:r w:rsidR="00AC78AD" w:rsidRPr="003873FA">
        <w:t>ii)</w:t>
      </w:r>
      <w:r w:rsidR="002A2822">
        <w:t xml:space="preserve"> and </w:t>
      </w:r>
      <w:r w:rsidR="00AC78AD" w:rsidRPr="003873FA">
        <w:t>Rules Proc. of State Bar, rule 205.)</w:t>
      </w:r>
    </w:p>
    <w:p w:rsidR="008F3BD4" w:rsidRPr="008F3BD4" w:rsidRDefault="008F3BD4" w:rsidP="008F3BD4">
      <w:pPr>
        <w:pStyle w:val="ListParagraph"/>
        <w:numPr>
          <w:ilvl w:val="0"/>
          <w:numId w:val="6"/>
        </w:numPr>
        <w:spacing w:line="480" w:lineRule="auto"/>
        <w:ind w:left="0" w:firstLine="0"/>
        <w:rPr>
          <w:b/>
        </w:rPr>
      </w:pPr>
      <w:r>
        <w:rPr>
          <w:b/>
        </w:rPr>
        <w:lastRenderedPageBreak/>
        <w:t xml:space="preserve">Multistate Professional Responsibility Exam </w:t>
      </w:r>
    </w:p>
    <w:p w:rsidR="00A32AE5" w:rsidRDefault="008F3BD4" w:rsidP="00A32AE5">
      <w:pPr>
        <w:spacing w:line="480" w:lineRule="auto"/>
      </w:pPr>
      <w:r>
        <w:tab/>
      </w:r>
      <w:r w:rsidR="00AC78AD" w:rsidRPr="003873FA">
        <w:t xml:space="preserve">It is </w:t>
      </w:r>
      <w:r w:rsidR="001D3ED8">
        <w:t xml:space="preserve">not </w:t>
      </w:r>
      <w:r w:rsidR="00AC78AD" w:rsidRPr="003873FA">
        <w:t xml:space="preserve">recommended that respondent take and </w:t>
      </w:r>
      <w:proofErr w:type="gramStart"/>
      <w:r w:rsidR="00AC78AD" w:rsidRPr="003873FA">
        <w:t>pass</w:t>
      </w:r>
      <w:proofErr w:type="gramEnd"/>
      <w:r w:rsidR="00AC78AD" w:rsidRPr="003873FA">
        <w:t xml:space="preserve"> the Multistate Professional Responsibility </w:t>
      </w:r>
      <w:r w:rsidR="00AC78AD" w:rsidRPr="006F3D3A">
        <w:t xml:space="preserve">Examination </w:t>
      </w:r>
      <w:r w:rsidR="001D3ED8">
        <w:t xml:space="preserve">since he was previously ordered to do so in </w:t>
      </w:r>
      <w:proofErr w:type="spellStart"/>
      <w:r w:rsidR="001D3ED8">
        <w:t>S184799</w:t>
      </w:r>
      <w:proofErr w:type="spellEnd"/>
      <w:r w:rsidR="001D3ED8">
        <w:t>.</w:t>
      </w:r>
    </w:p>
    <w:p w:rsidR="008F3BD4" w:rsidRPr="00A32AE5" w:rsidRDefault="00A32AE5" w:rsidP="00A32AE5">
      <w:pPr>
        <w:pStyle w:val="ListParagraph"/>
        <w:numPr>
          <w:ilvl w:val="0"/>
          <w:numId w:val="6"/>
        </w:numPr>
        <w:spacing w:line="480" w:lineRule="auto"/>
        <w:ind w:left="0" w:firstLine="0"/>
        <w:rPr>
          <w:b/>
        </w:rPr>
      </w:pPr>
      <w:r w:rsidRPr="00A32AE5">
        <w:rPr>
          <w:b/>
        </w:rPr>
        <w:t xml:space="preserve"> </w:t>
      </w:r>
      <w:r w:rsidR="008F3BD4" w:rsidRPr="00A32AE5">
        <w:rPr>
          <w:b/>
        </w:rPr>
        <w:t>California Rules of Court, Rule 9.20</w:t>
      </w:r>
    </w:p>
    <w:p w:rsidR="001D3ED8" w:rsidRDefault="001D3ED8" w:rsidP="001D3ED8">
      <w:pPr>
        <w:spacing w:line="480" w:lineRule="auto"/>
        <w:ind w:firstLine="720"/>
      </w:pPr>
      <w:r>
        <w:t>It is also recommended that the Supreme Court order respondent to comply with California Rules of Court, rule 9.20, paragraphs (a) and (c), within 30 and 40 days, respectively, of the effective date of its order imposing discipline in this matter.</w:t>
      </w:r>
      <w:r>
        <w:rPr>
          <w:rStyle w:val="FootnoteReference"/>
        </w:rPr>
        <w:footnoteReference w:id="6"/>
      </w:r>
    </w:p>
    <w:p w:rsidR="00AC78AD" w:rsidRPr="008F3BD4" w:rsidRDefault="0055042C" w:rsidP="0055042C">
      <w:pPr>
        <w:spacing w:line="480" w:lineRule="auto"/>
        <w:rPr>
          <w:b/>
        </w:rPr>
      </w:pPr>
      <w:r w:rsidRPr="0055042C">
        <w:rPr>
          <w:b/>
        </w:rPr>
        <w:t>D.</w:t>
      </w:r>
      <w:r w:rsidR="008F3BD4" w:rsidRPr="0055042C">
        <w:rPr>
          <w:b/>
        </w:rPr>
        <w:tab/>
      </w:r>
      <w:r w:rsidR="00AC78AD" w:rsidRPr="008F3BD4">
        <w:rPr>
          <w:b/>
          <w:bCs/>
        </w:rPr>
        <w:t>Costs</w:t>
      </w:r>
    </w:p>
    <w:p w:rsidR="00DF4597" w:rsidRDefault="008F3BD4" w:rsidP="003873FA">
      <w:pPr>
        <w:spacing w:line="480" w:lineRule="auto"/>
      </w:pPr>
      <w:r>
        <w:tab/>
      </w:r>
      <w:r w:rsidR="00AC78AD" w:rsidRPr="003873FA">
        <w:t xml:space="preserve">It is further recommended that costs be awarded to the State Bar in accordance with Business and Professions Code section 6086.10 and are enforceable both as provided in Business and Professions Code section 6140.7 </w:t>
      </w:r>
      <w:r w:rsidR="00913F7D">
        <w:t>and as a</w:t>
      </w:r>
      <w:r w:rsidR="00AC78AD" w:rsidRPr="003873FA">
        <w:t xml:space="preserve"> money judgment.</w:t>
      </w:r>
    </w:p>
    <w:p w:rsidR="00812781" w:rsidRPr="003873FA" w:rsidRDefault="00812781" w:rsidP="003873FA">
      <w:pPr>
        <w:spacing w:line="480" w:lineRule="auto"/>
      </w:pPr>
    </w:p>
    <w:p w:rsidR="003D3B12" w:rsidRPr="00812781" w:rsidRDefault="003D3B12" w:rsidP="00812781"/>
    <w:p w:rsidR="00763163" w:rsidRPr="00812781" w:rsidRDefault="00763163" w:rsidP="00812781"/>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tblPr>
      <w:tblGrid>
        <w:gridCol w:w="4795"/>
        <w:gridCol w:w="4560"/>
      </w:tblGrid>
      <w:tr w:rsidR="003D3B12" w:rsidRPr="00812781">
        <w:tc>
          <w:tcPr>
            <w:tcW w:w="4800" w:type="dxa"/>
            <w:tcBorders>
              <w:left w:val="nil"/>
              <w:bottom w:val="nil"/>
            </w:tcBorders>
          </w:tcPr>
          <w:p w:rsidR="003D3B12" w:rsidRPr="00812781" w:rsidRDefault="003D3B12" w:rsidP="00812781">
            <w:r w:rsidRPr="00812781">
              <w:t xml:space="preserve">Dated:  </w:t>
            </w:r>
            <w:fldSimple w:instr=" DATE \@ &quot;MMMM _____, yyyy&quot; \* MERGEFORMAT ">
              <w:r w:rsidR="00130D01">
                <w:rPr>
                  <w:noProof/>
                </w:rPr>
                <w:t>November ___</w:t>
              </w:r>
              <w:r w:rsidR="00130D01">
                <w:rPr>
                  <w:noProof/>
                </w:rPr>
                <w:t>24</w:t>
              </w:r>
              <w:r w:rsidR="00130D01">
                <w:rPr>
                  <w:noProof/>
                </w:rPr>
                <w:t>__, 2010</w:t>
              </w:r>
            </w:fldSimple>
          </w:p>
        </w:tc>
        <w:tc>
          <w:tcPr>
            <w:tcW w:w="4565" w:type="dxa"/>
            <w:tcBorders>
              <w:top w:val="single" w:sz="4" w:space="0" w:color="auto"/>
              <w:bottom w:val="nil"/>
              <w:right w:val="nil"/>
            </w:tcBorders>
          </w:tcPr>
          <w:p w:rsidR="003D3B12" w:rsidRPr="00812781" w:rsidRDefault="009F5B3D" w:rsidP="00812781">
            <w:pPr>
              <w:rPr>
                <w:b/>
              </w:rPr>
            </w:pPr>
            <w:bookmarkStart w:id="5" w:name="judge"/>
            <w:bookmarkEnd w:id="5"/>
            <w:r>
              <w:rPr>
                <w:b/>
              </w:rPr>
              <w:t xml:space="preserve">RICHARD A. HONN </w:t>
            </w:r>
            <w:r w:rsidR="003873FA" w:rsidRPr="00812781">
              <w:rPr>
                <w:b/>
              </w:rPr>
              <w:t xml:space="preserve"> </w:t>
            </w:r>
          </w:p>
        </w:tc>
      </w:tr>
      <w:tr w:rsidR="003D3B12" w:rsidRPr="00812781">
        <w:tc>
          <w:tcPr>
            <w:tcW w:w="4800" w:type="dxa"/>
            <w:tcBorders>
              <w:left w:val="nil"/>
              <w:bottom w:val="nil"/>
            </w:tcBorders>
          </w:tcPr>
          <w:p w:rsidR="003D3B12" w:rsidRPr="00812781" w:rsidRDefault="003D3B12" w:rsidP="00812781"/>
        </w:tc>
        <w:tc>
          <w:tcPr>
            <w:tcW w:w="4565" w:type="dxa"/>
            <w:tcBorders>
              <w:bottom w:val="nil"/>
              <w:right w:val="nil"/>
            </w:tcBorders>
          </w:tcPr>
          <w:p w:rsidR="003D3B12" w:rsidRPr="00812781" w:rsidRDefault="003D3B12" w:rsidP="00812781">
            <w:r w:rsidRPr="00812781">
              <w:t>Judge of the State Bar Court</w:t>
            </w:r>
          </w:p>
        </w:tc>
      </w:tr>
    </w:tbl>
    <w:p w:rsidR="003D3B12" w:rsidRPr="00812781" w:rsidRDefault="003D3B12" w:rsidP="00812781"/>
    <w:sectPr w:rsidR="003D3B12" w:rsidRPr="00812781" w:rsidSect="003B44D5">
      <w:footerReference w:type="even" r:id="rId8"/>
      <w:footerReference w:type="default" r:id="rId9"/>
      <w:footerReference w:type="first" r:id="rId10"/>
      <w:pgSz w:w="12240" w:h="15840" w:code="1"/>
      <w:pgMar w:top="1440" w:right="1440" w:bottom="360" w:left="1440" w:header="720" w:footer="720" w:gutter="0"/>
      <w:pgNumType w:fmt="numberInDash"/>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7AEE" w:rsidRDefault="00117AEE">
      <w:r>
        <w:separator/>
      </w:r>
    </w:p>
  </w:endnote>
  <w:endnote w:type="continuationSeparator" w:id="0">
    <w:p w:rsidR="00117AEE" w:rsidRDefault="00117A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AEE" w:rsidRDefault="00CB17AA" w:rsidP="003B44D5">
    <w:pPr>
      <w:pStyle w:val="Footer"/>
      <w:framePr w:wrap="around" w:vAnchor="text" w:hAnchor="margin" w:xAlign="center" w:y="1"/>
      <w:rPr>
        <w:rStyle w:val="PageNumber"/>
      </w:rPr>
    </w:pPr>
    <w:r>
      <w:rPr>
        <w:rStyle w:val="PageNumber"/>
      </w:rPr>
      <w:fldChar w:fldCharType="begin"/>
    </w:r>
    <w:r w:rsidR="00117AEE">
      <w:rPr>
        <w:rStyle w:val="PageNumber"/>
      </w:rPr>
      <w:instrText xml:space="preserve">PAGE  </w:instrText>
    </w:r>
    <w:r>
      <w:rPr>
        <w:rStyle w:val="PageNumber"/>
      </w:rPr>
      <w:fldChar w:fldCharType="end"/>
    </w:r>
  </w:p>
  <w:p w:rsidR="00117AEE" w:rsidRDefault="00117AE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AEE" w:rsidRDefault="00CB17AA" w:rsidP="00200B09">
    <w:pPr>
      <w:pStyle w:val="Footer"/>
      <w:framePr w:wrap="around" w:vAnchor="text" w:hAnchor="margin" w:xAlign="center" w:y="1"/>
      <w:rPr>
        <w:rStyle w:val="PageNumber"/>
      </w:rPr>
    </w:pPr>
    <w:r>
      <w:rPr>
        <w:rStyle w:val="PageNumber"/>
      </w:rPr>
      <w:fldChar w:fldCharType="begin"/>
    </w:r>
    <w:r w:rsidR="00117AEE">
      <w:rPr>
        <w:rStyle w:val="PageNumber"/>
      </w:rPr>
      <w:instrText xml:space="preserve">PAGE  </w:instrText>
    </w:r>
    <w:r>
      <w:rPr>
        <w:rStyle w:val="PageNumber"/>
      </w:rPr>
      <w:fldChar w:fldCharType="separate"/>
    </w:r>
    <w:r w:rsidR="003040ED">
      <w:rPr>
        <w:rStyle w:val="PageNumber"/>
        <w:noProof/>
      </w:rPr>
      <w:t>- 12 -</w:t>
    </w:r>
    <w:r>
      <w:rPr>
        <w:rStyle w:val="PageNumber"/>
      </w:rPr>
      <w:fldChar w:fldCharType="end"/>
    </w:r>
  </w:p>
  <w:p w:rsidR="00117AEE" w:rsidRDefault="00117AEE">
    <w:pPr>
      <w:pStyle w:val="Footer"/>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AEE" w:rsidRDefault="00117AEE">
    <w:pPr>
      <w:pStyle w:val="Footer"/>
      <w:framePr w:wrap="around" w:vAnchor="text" w:hAnchor="margin" w:xAlign="center" w:y="1"/>
      <w:rPr>
        <w:rStyle w:val="PageNumber"/>
      </w:rPr>
    </w:pPr>
  </w:p>
  <w:p w:rsidR="00117AEE" w:rsidRDefault="00117A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7AEE" w:rsidRDefault="00117AEE">
      <w:r>
        <w:separator/>
      </w:r>
    </w:p>
  </w:footnote>
  <w:footnote w:type="continuationSeparator" w:id="0">
    <w:p w:rsidR="00117AEE" w:rsidRDefault="00117AEE">
      <w:r>
        <w:continuationSeparator/>
      </w:r>
    </w:p>
  </w:footnote>
  <w:footnote w:id="1">
    <w:p w:rsidR="00117AEE" w:rsidRDefault="00117AEE" w:rsidP="00C62AB0">
      <w:pPr>
        <w:spacing w:after="240"/>
        <w:ind w:right="-90" w:firstLine="720"/>
      </w:pPr>
      <w:r>
        <w:rPr>
          <w:rStyle w:val="FootnoteReference"/>
        </w:rPr>
        <w:footnoteRef/>
      </w:r>
      <w:r>
        <w:t xml:space="preserve"> References to rules are to the Rules of Professional Conduct, unless otherwise indicated. </w:t>
      </w:r>
    </w:p>
  </w:footnote>
  <w:footnote w:id="2">
    <w:p w:rsidR="00117AEE" w:rsidRDefault="00117AEE" w:rsidP="00FB19EF">
      <w:pPr>
        <w:pStyle w:val="FootnoteText"/>
      </w:pPr>
      <w:r>
        <w:rPr>
          <w:rStyle w:val="FootnoteReference"/>
        </w:rPr>
        <w:footnoteRef/>
      </w:r>
      <w:r>
        <w:t xml:space="preserve"> References to sections are to the provisions of the Business and Professions Code.</w:t>
      </w:r>
    </w:p>
    <w:p w:rsidR="00117AEE" w:rsidRDefault="00117AEE" w:rsidP="00FB19EF">
      <w:pPr>
        <w:pStyle w:val="FootnoteText"/>
      </w:pPr>
    </w:p>
  </w:footnote>
  <w:footnote w:id="3">
    <w:p w:rsidR="00117AEE" w:rsidRDefault="00117AEE" w:rsidP="00F55FD7">
      <w:r>
        <w:tab/>
      </w:r>
      <w:r>
        <w:rPr>
          <w:rStyle w:val="FootnoteReference"/>
        </w:rPr>
        <w:footnoteRef/>
      </w:r>
      <w:r>
        <w:t xml:space="preserve"> The </w:t>
      </w:r>
      <w:proofErr w:type="spellStart"/>
      <w:r>
        <w:t>NDC</w:t>
      </w:r>
      <w:proofErr w:type="spellEnd"/>
      <w:r>
        <w:t xml:space="preserve"> incorrectly alleged that respondent did not respond to the State Bar's letters regarding the Cole matter in count 7.</w:t>
      </w:r>
      <w:r w:rsidRPr="00F55FD7">
        <w:t xml:space="preserve"> </w:t>
      </w:r>
      <w:r>
        <w:t xml:space="preserve"> The correct matter should have been the Ford matter, not the Cole matter.  </w:t>
      </w:r>
      <w:r w:rsidRPr="003873FA">
        <w:t>(Rules Proc. of State Bar, rule 200(d</w:t>
      </w:r>
      <w:proofErr w:type="gramStart"/>
      <w:r w:rsidRPr="003873FA">
        <w:t>)(</w:t>
      </w:r>
      <w:proofErr w:type="gramEnd"/>
      <w:r w:rsidRPr="003873FA">
        <w:t xml:space="preserve">1)(A).)  </w:t>
      </w:r>
    </w:p>
    <w:p w:rsidR="00117AEE" w:rsidRDefault="00117AEE">
      <w:pPr>
        <w:pStyle w:val="FootnoteText"/>
      </w:pPr>
    </w:p>
  </w:footnote>
  <w:footnote w:id="4">
    <w:p w:rsidR="00117AEE" w:rsidRDefault="00117AEE" w:rsidP="00976404">
      <w:pPr>
        <w:spacing w:after="240"/>
        <w:ind w:left="90" w:firstLine="630"/>
      </w:pPr>
      <w:r>
        <w:rPr>
          <w:rStyle w:val="FootnoteReference"/>
        </w:rPr>
        <w:footnoteRef/>
      </w:r>
      <w:r>
        <w:t xml:space="preserve"> Future references to standard(s) or std. are to this source.</w:t>
      </w:r>
    </w:p>
  </w:footnote>
  <w:footnote w:id="5">
    <w:p w:rsidR="00117AEE" w:rsidRDefault="00117AEE">
      <w:pPr>
        <w:pStyle w:val="FootnoteText"/>
      </w:pPr>
      <w:r>
        <w:rPr>
          <w:rStyle w:val="FootnoteReference"/>
        </w:rPr>
        <w:footnoteRef/>
      </w:r>
      <w:r>
        <w:t xml:space="preserve"> The court takes judicial notice that respondent's second prior record of discipline, Supreme Court case </w:t>
      </w:r>
      <w:proofErr w:type="gramStart"/>
      <w:r>
        <w:t>No</w:t>
      </w:r>
      <w:proofErr w:type="gramEnd"/>
      <w:r>
        <w:t xml:space="preserve">. </w:t>
      </w:r>
      <w:proofErr w:type="spellStart"/>
      <w:r>
        <w:t>S184799</w:t>
      </w:r>
      <w:proofErr w:type="spellEnd"/>
      <w:r>
        <w:t xml:space="preserve"> (State Bar Court case No. 09-H-15876), was filed October 5, 2010 and became effective November 4, 2010, after this instant matter was submitted.</w:t>
      </w:r>
    </w:p>
  </w:footnote>
  <w:footnote w:id="6">
    <w:p w:rsidR="00117AEE" w:rsidRDefault="00117AEE" w:rsidP="001D3ED8">
      <w:pPr>
        <w:spacing w:after="240"/>
        <w:ind w:firstLine="720"/>
      </w:pPr>
      <w:r>
        <w:rPr>
          <w:rStyle w:val="FootnoteReference"/>
        </w:rPr>
        <w:footnoteRef/>
      </w:r>
      <w:r>
        <w:t xml:space="preserve"> Respondent is required to file a rule 9.20(c) affidavit even if he has no clients to notify.  </w:t>
      </w:r>
      <w:proofErr w:type="gramStart"/>
      <w:r>
        <w:t>(</w:t>
      </w:r>
      <w:r>
        <w:rPr>
          <w:i/>
          <w:iCs/>
        </w:rPr>
        <w:t>Powers v. State Bar</w:t>
      </w:r>
      <w:r>
        <w:t xml:space="preserve"> (1988) 44 </w:t>
      </w:r>
      <w:proofErr w:type="spellStart"/>
      <w:r>
        <w:t>Cal.3d</w:t>
      </w:r>
      <w:proofErr w:type="spellEnd"/>
      <w:r>
        <w:t xml:space="preserve"> 337, 341.)</w:t>
      </w:r>
      <w:proofErr w:type="gram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06B1C"/>
    <w:multiLevelType w:val="hybridMultilevel"/>
    <w:tmpl w:val="36B2C76C"/>
    <w:lvl w:ilvl="0" w:tplc="F27E5332">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E81FB7"/>
    <w:multiLevelType w:val="hybridMultilevel"/>
    <w:tmpl w:val="862E0054"/>
    <w:lvl w:ilvl="0" w:tplc="0409000F">
      <w:start w:val="1"/>
      <w:numFmt w:val="decimal"/>
      <w:lvlText w:val="%1."/>
      <w:lvlJc w:val="left"/>
      <w:pPr>
        <w:ind w:left="1447" w:hanging="360"/>
      </w:pPr>
    </w:lvl>
    <w:lvl w:ilvl="1" w:tplc="04090019" w:tentative="1">
      <w:start w:val="1"/>
      <w:numFmt w:val="lowerLetter"/>
      <w:lvlText w:val="%2."/>
      <w:lvlJc w:val="left"/>
      <w:pPr>
        <w:ind w:left="2167" w:hanging="360"/>
      </w:pPr>
    </w:lvl>
    <w:lvl w:ilvl="2" w:tplc="0409001B" w:tentative="1">
      <w:start w:val="1"/>
      <w:numFmt w:val="lowerRoman"/>
      <w:lvlText w:val="%3."/>
      <w:lvlJc w:val="right"/>
      <w:pPr>
        <w:ind w:left="2887" w:hanging="180"/>
      </w:pPr>
    </w:lvl>
    <w:lvl w:ilvl="3" w:tplc="0409000F" w:tentative="1">
      <w:start w:val="1"/>
      <w:numFmt w:val="decimal"/>
      <w:lvlText w:val="%4."/>
      <w:lvlJc w:val="left"/>
      <w:pPr>
        <w:ind w:left="3607" w:hanging="360"/>
      </w:pPr>
    </w:lvl>
    <w:lvl w:ilvl="4" w:tplc="04090019" w:tentative="1">
      <w:start w:val="1"/>
      <w:numFmt w:val="lowerLetter"/>
      <w:lvlText w:val="%5."/>
      <w:lvlJc w:val="left"/>
      <w:pPr>
        <w:ind w:left="4327" w:hanging="360"/>
      </w:pPr>
    </w:lvl>
    <w:lvl w:ilvl="5" w:tplc="0409001B" w:tentative="1">
      <w:start w:val="1"/>
      <w:numFmt w:val="lowerRoman"/>
      <w:lvlText w:val="%6."/>
      <w:lvlJc w:val="right"/>
      <w:pPr>
        <w:ind w:left="5047" w:hanging="180"/>
      </w:pPr>
    </w:lvl>
    <w:lvl w:ilvl="6" w:tplc="0409000F" w:tentative="1">
      <w:start w:val="1"/>
      <w:numFmt w:val="decimal"/>
      <w:lvlText w:val="%7."/>
      <w:lvlJc w:val="left"/>
      <w:pPr>
        <w:ind w:left="5767" w:hanging="360"/>
      </w:pPr>
    </w:lvl>
    <w:lvl w:ilvl="7" w:tplc="04090019" w:tentative="1">
      <w:start w:val="1"/>
      <w:numFmt w:val="lowerLetter"/>
      <w:lvlText w:val="%8."/>
      <w:lvlJc w:val="left"/>
      <w:pPr>
        <w:ind w:left="6487" w:hanging="360"/>
      </w:pPr>
    </w:lvl>
    <w:lvl w:ilvl="8" w:tplc="0409001B" w:tentative="1">
      <w:start w:val="1"/>
      <w:numFmt w:val="lowerRoman"/>
      <w:lvlText w:val="%9."/>
      <w:lvlJc w:val="right"/>
      <w:pPr>
        <w:ind w:left="7207" w:hanging="180"/>
      </w:pPr>
    </w:lvl>
  </w:abstractNum>
  <w:abstractNum w:abstractNumId="2">
    <w:nsid w:val="080A29D4"/>
    <w:multiLevelType w:val="hybridMultilevel"/>
    <w:tmpl w:val="CFBACCDC"/>
    <w:lvl w:ilvl="0" w:tplc="04090001">
      <w:start w:val="1"/>
      <w:numFmt w:val="bullet"/>
      <w:lvlText w:val=""/>
      <w:lvlJc w:val="left"/>
      <w:pPr>
        <w:ind w:left="1797" w:hanging="360"/>
      </w:pPr>
      <w:rPr>
        <w:rFonts w:ascii="Symbol" w:hAnsi="Symbol" w:hint="default"/>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3">
    <w:nsid w:val="288F35B9"/>
    <w:multiLevelType w:val="hybridMultilevel"/>
    <w:tmpl w:val="8C54DE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846EC4"/>
    <w:multiLevelType w:val="multilevel"/>
    <w:tmpl w:val="A83A5FAE"/>
    <w:lvl w:ilvl="0">
      <w:start w:val="1"/>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5">
    <w:nsid w:val="5D820015"/>
    <w:multiLevelType w:val="hybridMultilevel"/>
    <w:tmpl w:val="6AACC082"/>
    <w:lvl w:ilvl="0" w:tplc="87D0ADBA">
      <w:start w:val="1"/>
      <w:numFmt w:val="lowerRoman"/>
      <w:lvlText w:val="%1."/>
      <w:lvlJc w:val="left"/>
      <w:pPr>
        <w:ind w:left="1800" w:hanging="720"/>
      </w:pPr>
      <w:rPr>
        <w:rFonts w:hint="default"/>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76417A89"/>
    <w:multiLevelType w:val="hybridMultilevel"/>
    <w:tmpl w:val="1F207B1C"/>
    <w:lvl w:ilvl="0" w:tplc="04090015">
      <w:start w:val="1"/>
      <w:numFmt w:val="upp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93C46A9"/>
    <w:multiLevelType w:val="hybridMultilevel"/>
    <w:tmpl w:val="E0B88A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A5029F1"/>
    <w:multiLevelType w:val="hybridMultilevel"/>
    <w:tmpl w:val="1910DE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8"/>
  </w:num>
  <w:num w:numId="6">
    <w:abstractNumId w:val="6"/>
  </w:num>
  <w:num w:numId="7">
    <w:abstractNumId w:val="2"/>
  </w:num>
  <w:num w:numId="8">
    <w:abstractNumId w:val="5"/>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defaultTabStop w:val="720"/>
  <w:drawingGridHorizontalSpacing w:val="120"/>
  <w:displayHorizontalDrawingGridEvery w:val="2"/>
  <w:displayVerticalDrawingGridEvery w:val="2"/>
  <w:noPunctuationKerning/>
  <w:characterSpacingControl w:val="doNotCompress"/>
  <w:hdrShapeDefaults>
    <o:shapedefaults v:ext="edit" spidmax="56321"/>
  </w:hdrShapeDefaults>
  <w:footnotePr>
    <w:footnote w:id="-1"/>
    <w:footnote w:id="0"/>
  </w:footnotePr>
  <w:endnotePr>
    <w:endnote w:id="-1"/>
    <w:endnote w:id="0"/>
  </w:endnotePr>
  <w:compat/>
  <w:docVars>
    <w:docVar w:name="dgnword-docGUID" w:val="{4F60BB8A-0C69-4216-9FC0-BD430D3B0432}"/>
    <w:docVar w:name="dgnword-eventsink" w:val="58462504"/>
  </w:docVars>
  <w:rsids>
    <w:rsidRoot w:val="00790239"/>
    <w:rsid w:val="000204F7"/>
    <w:rsid w:val="00045F75"/>
    <w:rsid w:val="00051DA5"/>
    <w:rsid w:val="000553B9"/>
    <w:rsid w:val="000671DB"/>
    <w:rsid w:val="00076B35"/>
    <w:rsid w:val="00086E06"/>
    <w:rsid w:val="00096DBE"/>
    <w:rsid w:val="000A0C8E"/>
    <w:rsid w:val="000A3A2E"/>
    <w:rsid w:val="000A4B5C"/>
    <w:rsid w:val="000B1E56"/>
    <w:rsid w:val="000C002C"/>
    <w:rsid w:val="000C3A24"/>
    <w:rsid w:val="000C46A8"/>
    <w:rsid w:val="000C4B0A"/>
    <w:rsid w:val="000E0FC0"/>
    <w:rsid w:val="000F09D3"/>
    <w:rsid w:val="000F0E88"/>
    <w:rsid w:val="000F4D36"/>
    <w:rsid w:val="001041B9"/>
    <w:rsid w:val="001043B7"/>
    <w:rsid w:val="001122BA"/>
    <w:rsid w:val="001136DD"/>
    <w:rsid w:val="00116C87"/>
    <w:rsid w:val="00117AEE"/>
    <w:rsid w:val="001207E3"/>
    <w:rsid w:val="001214DA"/>
    <w:rsid w:val="0012361F"/>
    <w:rsid w:val="001262AE"/>
    <w:rsid w:val="00130D01"/>
    <w:rsid w:val="00147013"/>
    <w:rsid w:val="00155B32"/>
    <w:rsid w:val="00170507"/>
    <w:rsid w:val="00171153"/>
    <w:rsid w:val="0017687C"/>
    <w:rsid w:val="0017792D"/>
    <w:rsid w:val="001852EF"/>
    <w:rsid w:val="00186310"/>
    <w:rsid w:val="001931E9"/>
    <w:rsid w:val="00194792"/>
    <w:rsid w:val="001979A5"/>
    <w:rsid w:val="001A4DAC"/>
    <w:rsid w:val="001A7EB2"/>
    <w:rsid w:val="001B08FA"/>
    <w:rsid w:val="001D3132"/>
    <w:rsid w:val="001D3ED8"/>
    <w:rsid w:val="001E4640"/>
    <w:rsid w:val="001F0A78"/>
    <w:rsid w:val="001F33E9"/>
    <w:rsid w:val="001F3AD8"/>
    <w:rsid w:val="001F605D"/>
    <w:rsid w:val="00200B09"/>
    <w:rsid w:val="0020468B"/>
    <w:rsid w:val="00230DD1"/>
    <w:rsid w:val="0023267D"/>
    <w:rsid w:val="002358F9"/>
    <w:rsid w:val="00246970"/>
    <w:rsid w:val="0025181F"/>
    <w:rsid w:val="00252037"/>
    <w:rsid w:val="002707DA"/>
    <w:rsid w:val="0027794B"/>
    <w:rsid w:val="00282042"/>
    <w:rsid w:val="00282EAB"/>
    <w:rsid w:val="0028725A"/>
    <w:rsid w:val="002A23B8"/>
    <w:rsid w:val="002A2822"/>
    <w:rsid w:val="002A64C2"/>
    <w:rsid w:val="002C5968"/>
    <w:rsid w:val="002D531B"/>
    <w:rsid w:val="002F05F6"/>
    <w:rsid w:val="002F195F"/>
    <w:rsid w:val="002F7FFD"/>
    <w:rsid w:val="00301974"/>
    <w:rsid w:val="00302B47"/>
    <w:rsid w:val="003040ED"/>
    <w:rsid w:val="0030423F"/>
    <w:rsid w:val="00304727"/>
    <w:rsid w:val="00313C98"/>
    <w:rsid w:val="00330082"/>
    <w:rsid w:val="0033634E"/>
    <w:rsid w:val="00336B39"/>
    <w:rsid w:val="0034290F"/>
    <w:rsid w:val="00347079"/>
    <w:rsid w:val="00353035"/>
    <w:rsid w:val="003801CC"/>
    <w:rsid w:val="003873FA"/>
    <w:rsid w:val="00387ABC"/>
    <w:rsid w:val="00390F2C"/>
    <w:rsid w:val="00391650"/>
    <w:rsid w:val="00393DC3"/>
    <w:rsid w:val="00397AD6"/>
    <w:rsid w:val="00397D28"/>
    <w:rsid w:val="003A37E0"/>
    <w:rsid w:val="003A405C"/>
    <w:rsid w:val="003B44D5"/>
    <w:rsid w:val="003C182F"/>
    <w:rsid w:val="003C25BC"/>
    <w:rsid w:val="003C3537"/>
    <w:rsid w:val="003D1F3F"/>
    <w:rsid w:val="003D3B12"/>
    <w:rsid w:val="003D6FF7"/>
    <w:rsid w:val="003E0404"/>
    <w:rsid w:val="003E25EB"/>
    <w:rsid w:val="003E3266"/>
    <w:rsid w:val="003E6EB3"/>
    <w:rsid w:val="003E7E4C"/>
    <w:rsid w:val="003F222A"/>
    <w:rsid w:val="003F469D"/>
    <w:rsid w:val="003F5633"/>
    <w:rsid w:val="003F7905"/>
    <w:rsid w:val="00402FBC"/>
    <w:rsid w:val="004128E3"/>
    <w:rsid w:val="004227FE"/>
    <w:rsid w:val="004326BC"/>
    <w:rsid w:val="004406BE"/>
    <w:rsid w:val="0044543F"/>
    <w:rsid w:val="0046023C"/>
    <w:rsid w:val="00461B43"/>
    <w:rsid w:val="00475EA8"/>
    <w:rsid w:val="00483AD0"/>
    <w:rsid w:val="00485C38"/>
    <w:rsid w:val="00495941"/>
    <w:rsid w:val="004965B3"/>
    <w:rsid w:val="004A2687"/>
    <w:rsid w:val="004A2D0B"/>
    <w:rsid w:val="004A2F52"/>
    <w:rsid w:val="004A6467"/>
    <w:rsid w:val="004B510A"/>
    <w:rsid w:val="004C74A2"/>
    <w:rsid w:val="004D651E"/>
    <w:rsid w:val="004D7C09"/>
    <w:rsid w:val="004D7DC9"/>
    <w:rsid w:val="004E18EA"/>
    <w:rsid w:val="004E2E8D"/>
    <w:rsid w:val="004E740A"/>
    <w:rsid w:val="004F6114"/>
    <w:rsid w:val="005009E6"/>
    <w:rsid w:val="005076E1"/>
    <w:rsid w:val="005109D9"/>
    <w:rsid w:val="00517632"/>
    <w:rsid w:val="0052506B"/>
    <w:rsid w:val="00532AFD"/>
    <w:rsid w:val="0054360D"/>
    <w:rsid w:val="0055042C"/>
    <w:rsid w:val="00553592"/>
    <w:rsid w:val="0055503E"/>
    <w:rsid w:val="00557D9F"/>
    <w:rsid w:val="00561A1E"/>
    <w:rsid w:val="00571C7F"/>
    <w:rsid w:val="0057493F"/>
    <w:rsid w:val="0058005C"/>
    <w:rsid w:val="005818ED"/>
    <w:rsid w:val="00584DCA"/>
    <w:rsid w:val="0059409D"/>
    <w:rsid w:val="005A3A7F"/>
    <w:rsid w:val="005A7F5D"/>
    <w:rsid w:val="005B42F9"/>
    <w:rsid w:val="005C288E"/>
    <w:rsid w:val="005D5E04"/>
    <w:rsid w:val="005D7EF0"/>
    <w:rsid w:val="005E06B7"/>
    <w:rsid w:val="005E491D"/>
    <w:rsid w:val="005E4FA6"/>
    <w:rsid w:val="005F179E"/>
    <w:rsid w:val="005F3B7F"/>
    <w:rsid w:val="005F634E"/>
    <w:rsid w:val="006044B7"/>
    <w:rsid w:val="006100E1"/>
    <w:rsid w:val="00614C9F"/>
    <w:rsid w:val="006151B8"/>
    <w:rsid w:val="00616E81"/>
    <w:rsid w:val="00624E5B"/>
    <w:rsid w:val="00630DAB"/>
    <w:rsid w:val="0064063E"/>
    <w:rsid w:val="00652496"/>
    <w:rsid w:val="00653DCB"/>
    <w:rsid w:val="006550B6"/>
    <w:rsid w:val="00660A00"/>
    <w:rsid w:val="006621B4"/>
    <w:rsid w:val="00666FC9"/>
    <w:rsid w:val="0067189E"/>
    <w:rsid w:val="00671C2A"/>
    <w:rsid w:val="00692D79"/>
    <w:rsid w:val="006A6889"/>
    <w:rsid w:val="006B1E9D"/>
    <w:rsid w:val="006C4BC7"/>
    <w:rsid w:val="006C65F1"/>
    <w:rsid w:val="006D2758"/>
    <w:rsid w:val="006D57BD"/>
    <w:rsid w:val="006D7065"/>
    <w:rsid w:val="006E68A3"/>
    <w:rsid w:val="006F3D3A"/>
    <w:rsid w:val="0070043E"/>
    <w:rsid w:val="00704B6C"/>
    <w:rsid w:val="007067FD"/>
    <w:rsid w:val="00714DA2"/>
    <w:rsid w:val="0071659F"/>
    <w:rsid w:val="00724120"/>
    <w:rsid w:val="00724655"/>
    <w:rsid w:val="00737720"/>
    <w:rsid w:val="007469B0"/>
    <w:rsid w:val="00757B10"/>
    <w:rsid w:val="00763163"/>
    <w:rsid w:val="00781928"/>
    <w:rsid w:val="00790239"/>
    <w:rsid w:val="0079346D"/>
    <w:rsid w:val="007A18E2"/>
    <w:rsid w:val="007D3407"/>
    <w:rsid w:val="007D3C49"/>
    <w:rsid w:val="007E31B5"/>
    <w:rsid w:val="007E476D"/>
    <w:rsid w:val="007F0297"/>
    <w:rsid w:val="007F2927"/>
    <w:rsid w:val="007F3771"/>
    <w:rsid w:val="007F58DE"/>
    <w:rsid w:val="00801E90"/>
    <w:rsid w:val="00806325"/>
    <w:rsid w:val="00807372"/>
    <w:rsid w:val="00812781"/>
    <w:rsid w:val="008150A9"/>
    <w:rsid w:val="00823386"/>
    <w:rsid w:val="00831956"/>
    <w:rsid w:val="00831BC7"/>
    <w:rsid w:val="00841838"/>
    <w:rsid w:val="0084251C"/>
    <w:rsid w:val="00842D5A"/>
    <w:rsid w:val="00844033"/>
    <w:rsid w:val="008444B6"/>
    <w:rsid w:val="008521B0"/>
    <w:rsid w:val="0087505F"/>
    <w:rsid w:val="00883DDD"/>
    <w:rsid w:val="00887254"/>
    <w:rsid w:val="0089379F"/>
    <w:rsid w:val="008A2FE0"/>
    <w:rsid w:val="008A6DCF"/>
    <w:rsid w:val="008B5FC4"/>
    <w:rsid w:val="008D5FC7"/>
    <w:rsid w:val="008D7911"/>
    <w:rsid w:val="008E3982"/>
    <w:rsid w:val="008E6076"/>
    <w:rsid w:val="008E6423"/>
    <w:rsid w:val="008F3B19"/>
    <w:rsid w:val="008F3BD4"/>
    <w:rsid w:val="009135A7"/>
    <w:rsid w:val="00913F7D"/>
    <w:rsid w:val="00925B75"/>
    <w:rsid w:val="009328A0"/>
    <w:rsid w:val="009360A0"/>
    <w:rsid w:val="00941BB1"/>
    <w:rsid w:val="009451A1"/>
    <w:rsid w:val="00951020"/>
    <w:rsid w:val="009620F1"/>
    <w:rsid w:val="009728C5"/>
    <w:rsid w:val="00972C73"/>
    <w:rsid w:val="00976404"/>
    <w:rsid w:val="00981678"/>
    <w:rsid w:val="009817DC"/>
    <w:rsid w:val="009872E4"/>
    <w:rsid w:val="009A47FC"/>
    <w:rsid w:val="009C3BEF"/>
    <w:rsid w:val="009D66EF"/>
    <w:rsid w:val="009E7B98"/>
    <w:rsid w:val="009F0847"/>
    <w:rsid w:val="009F5B3D"/>
    <w:rsid w:val="00A03001"/>
    <w:rsid w:val="00A1403F"/>
    <w:rsid w:val="00A14663"/>
    <w:rsid w:val="00A279EF"/>
    <w:rsid w:val="00A32AE5"/>
    <w:rsid w:val="00A36A11"/>
    <w:rsid w:val="00A36A82"/>
    <w:rsid w:val="00A45C39"/>
    <w:rsid w:val="00A55363"/>
    <w:rsid w:val="00A55595"/>
    <w:rsid w:val="00A57A4B"/>
    <w:rsid w:val="00A640BF"/>
    <w:rsid w:val="00A66134"/>
    <w:rsid w:val="00A71344"/>
    <w:rsid w:val="00A71529"/>
    <w:rsid w:val="00A759F8"/>
    <w:rsid w:val="00A80594"/>
    <w:rsid w:val="00A92124"/>
    <w:rsid w:val="00A95881"/>
    <w:rsid w:val="00AA2613"/>
    <w:rsid w:val="00AA6AA4"/>
    <w:rsid w:val="00AC2A16"/>
    <w:rsid w:val="00AC5C2F"/>
    <w:rsid w:val="00AC78AD"/>
    <w:rsid w:val="00AD57DC"/>
    <w:rsid w:val="00AD636D"/>
    <w:rsid w:val="00AE195A"/>
    <w:rsid w:val="00AF617A"/>
    <w:rsid w:val="00B02184"/>
    <w:rsid w:val="00B0294D"/>
    <w:rsid w:val="00B217AB"/>
    <w:rsid w:val="00B218C4"/>
    <w:rsid w:val="00B31584"/>
    <w:rsid w:val="00B341A6"/>
    <w:rsid w:val="00B4334B"/>
    <w:rsid w:val="00B5390A"/>
    <w:rsid w:val="00B54C48"/>
    <w:rsid w:val="00B57416"/>
    <w:rsid w:val="00B6213B"/>
    <w:rsid w:val="00B64DEB"/>
    <w:rsid w:val="00B67833"/>
    <w:rsid w:val="00B90526"/>
    <w:rsid w:val="00B91056"/>
    <w:rsid w:val="00B92F4B"/>
    <w:rsid w:val="00B92F6A"/>
    <w:rsid w:val="00B96F00"/>
    <w:rsid w:val="00BA58E5"/>
    <w:rsid w:val="00BB019C"/>
    <w:rsid w:val="00BE1401"/>
    <w:rsid w:val="00BE2C5C"/>
    <w:rsid w:val="00BF0101"/>
    <w:rsid w:val="00BF1A28"/>
    <w:rsid w:val="00BF5C92"/>
    <w:rsid w:val="00C04D90"/>
    <w:rsid w:val="00C22CE2"/>
    <w:rsid w:val="00C33E06"/>
    <w:rsid w:val="00C52139"/>
    <w:rsid w:val="00C62AB0"/>
    <w:rsid w:val="00C70385"/>
    <w:rsid w:val="00C72C87"/>
    <w:rsid w:val="00C8108C"/>
    <w:rsid w:val="00CA4D36"/>
    <w:rsid w:val="00CB0260"/>
    <w:rsid w:val="00CB17AA"/>
    <w:rsid w:val="00CB2DE7"/>
    <w:rsid w:val="00CB4039"/>
    <w:rsid w:val="00CB6D06"/>
    <w:rsid w:val="00CB7D82"/>
    <w:rsid w:val="00CD5950"/>
    <w:rsid w:val="00CE1DE9"/>
    <w:rsid w:val="00D07E69"/>
    <w:rsid w:val="00D1553A"/>
    <w:rsid w:val="00D1702D"/>
    <w:rsid w:val="00D35EFE"/>
    <w:rsid w:val="00D51A25"/>
    <w:rsid w:val="00D51D2C"/>
    <w:rsid w:val="00D64CB1"/>
    <w:rsid w:val="00D666BA"/>
    <w:rsid w:val="00D775CD"/>
    <w:rsid w:val="00D95159"/>
    <w:rsid w:val="00DA48A5"/>
    <w:rsid w:val="00DA4C5C"/>
    <w:rsid w:val="00DA5DCB"/>
    <w:rsid w:val="00DB5CC0"/>
    <w:rsid w:val="00DB6200"/>
    <w:rsid w:val="00DC3D94"/>
    <w:rsid w:val="00DC7F00"/>
    <w:rsid w:val="00DD492B"/>
    <w:rsid w:val="00DF4597"/>
    <w:rsid w:val="00DF5B84"/>
    <w:rsid w:val="00E00598"/>
    <w:rsid w:val="00E10B72"/>
    <w:rsid w:val="00E14057"/>
    <w:rsid w:val="00E202D5"/>
    <w:rsid w:val="00E22BA6"/>
    <w:rsid w:val="00E32AEB"/>
    <w:rsid w:val="00E50ECC"/>
    <w:rsid w:val="00E64B1E"/>
    <w:rsid w:val="00E6699A"/>
    <w:rsid w:val="00E66FA9"/>
    <w:rsid w:val="00E67FCF"/>
    <w:rsid w:val="00E728EC"/>
    <w:rsid w:val="00E828DC"/>
    <w:rsid w:val="00E84AA2"/>
    <w:rsid w:val="00E91766"/>
    <w:rsid w:val="00E95F3E"/>
    <w:rsid w:val="00EA6974"/>
    <w:rsid w:val="00EB0352"/>
    <w:rsid w:val="00EC2658"/>
    <w:rsid w:val="00EC5CD6"/>
    <w:rsid w:val="00ED0593"/>
    <w:rsid w:val="00ED7DC6"/>
    <w:rsid w:val="00EE3AFC"/>
    <w:rsid w:val="00EF0C83"/>
    <w:rsid w:val="00EF48E4"/>
    <w:rsid w:val="00F04F30"/>
    <w:rsid w:val="00F154D0"/>
    <w:rsid w:val="00F200AE"/>
    <w:rsid w:val="00F4327E"/>
    <w:rsid w:val="00F50D2F"/>
    <w:rsid w:val="00F5487E"/>
    <w:rsid w:val="00F55FD7"/>
    <w:rsid w:val="00F56246"/>
    <w:rsid w:val="00F627EE"/>
    <w:rsid w:val="00F629A0"/>
    <w:rsid w:val="00F62EFA"/>
    <w:rsid w:val="00F71524"/>
    <w:rsid w:val="00F74ACC"/>
    <w:rsid w:val="00F919F1"/>
    <w:rsid w:val="00FA3416"/>
    <w:rsid w:val="00FA368E"/>
    <w:rsid w:val="00FA552F"/>
    <w:rsid w:val="00FB19EF"/>
    <w:rsid w:val="00FB71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771"/>
    <w:rPr>
      <w:sz w:val="24"/>
      <w:szCs w:val="24"/>
    </w:rPr>
  </w:style>
  <w:style w:type="paragraph" w:styleId="Heading1">
    <w:name w:val="heading 1"/>
    <w:basedOn w:val="Normal"/>
    <w:next w:val="Normal"/>
    <w:qFormat/>
    <w:rsid w:val="007F3771"/>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7F3771"/>
    <w:pPr>
      <w:spacing w:before="28"/>
      <w:ind w:right="90"/>
    </w:pPr>
    <w:rPr>
      <w:sz w:val="19"/>
      <w:szCs w:val="19"/>
    </w:rPr>
  </w:style>
  <w:style w:type="paragraph" w:styleId="Header">
    <w:name w:val="header"/>
    <w:basedOn w:val="Normal"/>
    <w:semiHidden/>
    <w:rsid w:val="007F3771"/>
    <w:pPr>
      <w:tabs>
        <w:tab w:val="center" w:pos="4320"/>
        <w:tab w:val="right" w:pos="8640"/>
      </w:tabs>
    </w:pPr>
  </w:style>
  <w:style w:type="paragraph" w:styleId="Footer">
    <w:name w:val="footer"/>
    <w:basedOn w:val="Normal"/>
    <w:link w:val="FooterChar"/>
    <w:uiPriority w:val="99"/>
    <w:rsid w:val="007F3771"/>
    <w:pPr>
      <w:tabs>
        <w:tab w:val="center" w:pos="4320"/>
        <w:tab w:val="right" w:pos="8640"/>
      </w:tabs>
    </w:pPr>
  </w:style>
  <w:style w:type="character" w:styleId="PageNumber">
    <w:name w:val="page number"/>
    <w:basedOn w:val="DefaultParagraphFont"/>
    <w:semiHidden/>
    <w:rsid w:val="007F3771"/>
  </w:style>
  <w:style w:type="paragraph" w:styleId="FootnoteText">
    <w:name w:val="footnote text"/>
    <w:basedOn w:val="Normal"/>
    <w:semiHidden/>
    <w:rsid w:val="007F3771"/>
    <w:pPr>
      <w:ind w:firstLine="720"/>
    </w:pPr>
    <w:rPr>
      <w:szCs w:val="20"/>
    </w:rPr>
  </w:style>
  <w:style w:type="character" w:styleId="FootnoteReference">
    <w:name w:val="footnote reference"/>
    <w:basedOn w:val="DefaultParagraphFont"/>
    <w:uiPriority w:val="99"/>
    <w:rsid w:val="007F3771"/>
    <w:rPr>
      <w:vertAlign w:val="superscript"/>
    </w:rPr>
  </w:style>
  <w:style w:type="paragraph" w:styleId="BalloonText">
    <w:name w:val="Balloon Text"/>
    <w:basedOn w:val="Normal"/>
    <w:link w:val="BalloonTextChar"/>
    <w:uiPriority w:val="99"/>
    <w:semiHidden/>
    <w:unhideWhenUsed/>
    <w:rsid w:val="00CE1DE9"/>
    <w:rPr>
      <w:rFonts w:ascii="Tahoma" w:hAnsi="Tahoma" w:cs="Tahoma"/>
      <w:sz w:val="16"/>
      <w:szCs w:val="16"/>
    </w:rPr>
  </w:style>
  <w:style w:type="character" w:customStyle="1" w:styleId="BalloonTextChar">
    <w:name w:val="Balloon Text Char"/>
    <w:basedOn w:val="DefaultParagraphFont"/>
    <w:link w:val="BalloonText"/>
    <w:uiPriority w:val="99"/>
    <w:semiHidden/>
    <w:rsid w:val="00CE1DE9"/>
    <w:rPr>
      <w:rFonts w:ascii="Tahoma" w:hAnsi="Tahoma" w:cs="Tahoma"/>
      <w:sz w:val="16"/>
      <w:szCs w:val="16"/>
    </w:rPr>
  </w:style>
  <w:style w:type="paragraph" w:styleId="ListParagraph">
    <w:name w:val="List Paragraph"/>
    <w:basedOn w:val="Normal"/>
    <w:uiPriority w:val="34"/>
    <w:qFormat/>
    <w:rsid w:val="006151B8"/>
    <w:pPr>
      <w:ind w:left="720"/>
      <w:contextualSpacing/>
    </w:pPr>
  </w:style>
  <w:style w:type="paragraph" w:customStyle="1" w:styleId="Level1">
    <w:name w:val="Level 1"/>
    <w:rsid w:val="00282EAB"/>
    <w:pPr>
      <w:autoSpaceDE w:val="0"/>
      <w:autoSpaceDN w:val="0"/>
      <w:adjustRightInd w:val="0"/>
      <w:ind w:left="720"/>
    </w:pPr>
    <w:rPr>
      <w:sz w:val="24"/>
      <w:szCs w:val="24"/>
    </w:rPr>
  </w:style>
  <w:style w:type="paragraph" w:styleId="NoSpacing">
    <w:name w:val="No Spacing"/>
    <w:uiPriority w:val="1"/>
    <w:qFormat/>
    <w:rsid w:val="005818ED"/>
    <w:rPr>
      <w:sz w:val="24"/>
      <w:szCs w:val="24"/>
    </w:rPr>
  </w:style>
  <w:style w:type="character" w:customStyle="1" w:styleId="FooterChar">
    <w:name w:val="Footer Char"/>
    <w:basedOn w:val="DefaultParagraphFont"/>
    <w:link w:val="Footer"/>
    <w:uiPriority w:val="99"/>
    <w:rsid w:val="001D3132"/>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V:\User%20Templates\CNSL_Wrkgp\Counsel-Judge%20Forms\No_line_plead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50D5A3-ADD8-4BE1-AC18-DF6051D1D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No_line_pleading.dot</Template>
  <TotalTime>0</TotalTime>
  <Pages>12</Pages>
  <Words>3010</Words>
  <Characters>16045</Characters>
  <Application>Microsoft Office Word</Application>
  <DocSecurity>0</DocSecurity>
  <Lines>133</Lines>
  <Paragraphs>38</Paragraphs>
  <ScaleCrop>false</ScaleCrop>
  <HeadingPairs>
    <vt:vector size="2" baseType="variant">
      <vt:variant>
        <vt:lpstr>Title</vt:lpstr>
      </vt:variant>
      <vt:variant>
        <vt:i4>1</vt:i4>
      </vt:variant>
    </vt:vector>
  </HeadingPairs>
  <TitlesOfParts>
    <vt:vector size="1" baseType="lpstr">
      <vt:lpstr>STATE BAR COURT OF CALIFORNIA</vt:lpstr>
    </vt:vector>
  </TitlesOfParts>
  <Company>State Bar of California</Company>
  <LinksUpToDate>false</LinksUpToDate>
  <CharactersWithSpaces>19017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BAR COURT OF CALIFORNIA</dc:title>
  <dc:subject/>
  <cp:keywords/>
  <dc:description/>
  <cp:lastModifiedBy>Cristina Potter</cp:lastModifiedBy>
  <cp:revision>2</cp:revision>
  <cp:lastPrinted>2010-11-04T17:22:00Z</cp:lastPrinted>
  <dcterms:created xsi:type="dcterms:W3CDTF">2010-11-24T21:39:00Z</dcterms:created>
  <dcterms:modified xsi:type="dcterms:W3CDTF">2010-11-24T21:39:00Z</dcterms:modified>
</cp:coreProperties>
</file>