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NOVEMBER 23, 2011</w:t>
      </w:r>
    </w:p>
    <w:p/>
    <w:p/>
    <w:p/>
    <w:p/>
    <w:p>
      <w:pPr>
        <w:pStyle w:val="Heading1"/>
      </w:pPr>
      <w:r>
        <w:t>STATE BAR COURT OF CALIFORNIA</w:t>
      </w:r>
    </w:p>
    <w:p>
      <w:pPr>
        <w:jc w:val="center"/>
        <w:rPr>
          <w:b/>
          <w:bCs/>
        </w:rPr>
      </w:pPr>
      <w:r>
        <w:rPr>
          <w:b/>
          <w:bCs/>
        </w:rPr>
        <w:t>HEARING DEPARTMENT – LOS ANGELES</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JOHNNY LEE WELCH,</w:t>
            </w:r>
          </w:p>
          <w:p>
            <w:pPr>
              <w:rPr>
                <w:bCs/>
              </w:rPr>
            </w:pPr>
          </w:p>
          <w:p>
            <w:pPr>
              <w:rPr>
                <w:bCs/>
              </w:rPr>
            </w:pPr>
            <w:r>
              <w:rPr>
                <w:bCs/>
              </w:rPr>
              <w:t>Member No. 181372,</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r>
              <w:t xml:space="preserve">Case No.  </w:t>
            </w:r>
          </w:p>
        </w:tc>
        <w:tc>
          <w:tcPr>
            <w:tcW w:w="3464" w:type="dxa"/>
          </w:tcPr>
          <w:p>
            <w:pPr>
              <w:rPr>
                <w:bCs/>
              </w:rPr>
            </w:pPr>
            <w:r>
              <w:rPr>
                <w:bCs/>
              </w:rPr>
              <w:t>09-O-16883</w:t>
            </w:r>
          </w:p>
          <w:p>
            <w:pPr>
              <w:rPr>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jc w:val="center"/>
      </w:pPr>
      <w:r>
        <w:rPr>
          <w:b/>
        </w:rPr>
        <w:t>INTRODUCTION</w:t>
      </w:r>
    </w:p>
    <w:p>
      <w:pPr>
        <w:spacing w:line="480" w:lineRule="auto"/>
        <w:ind w:firstLine="720"/>
      </w:pPr>
      <w:r>
        <w:t>Respondent Johnny Lee Welch was charged with two counts of misconduct in a single client matter.  Despite his actual knowledge of this case,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recommend the attorney’s disbarment.</w:t>
      </w:r>
      <w:r>
        <w:rPr>
          <w:rStyle w:val="FootnoteReference"/>
        </w:rPr>
        <w:footnoteReference w:id="2"/>
      </w:r>
      <w:r>
        <w:t xml:space="preserve">  </w:t>
      </w:r>
    </w:p>
    <w:p>
      <w:pPr>
        <w:spacing w:line="480" w:lineRule="auto"/>
        <w:ind w:firstLine="720"/>
      </w:pPr>
      <w:r>
        <w:t>In the instant case, the court concludes that the requirements of rule 5.85 have been satisfied, and therefore recommends that respondent be disbarred from the practice of law.</w:t>
      </w:r>
    </w:p>
    <w:p>
      <w:pPr>
        <w:spacing w:line="480" w:lineRule="auto"/>
        <w:jc w:val="center"/>
      </w:pPr>
      <w:r>
        <w:rPr>
          <w:b/>
        </w:rPr>
        <w:lastRenderedPageBreak/>
        <w:t>FINDINGS AND CONCLUSIONS</w:t>
      </w:r>
    </w:p>
    <w:p>
      <w:pPr>
        <w:spacing w:line="480" w:lineRule="auto"/>
        <w:rPr>
          <w:b/>
        </w:rPr>
      </w:pPr>
      <w:r>
        <w:rPr>
          <w:b/>
        </w:rPr>
        <w:t>A.</w:t>
      </w:r>
      <w:r>
        <w:rPr>
          <w:b/>
        </w:rPr>
        <w:tab/>
        <w:t>Procedural Requirements Have Been Satisfied</w:t>
      </w:r>
    </w:p>
    <w:p>
      <w:pPr>
        <w:spacing w:line="480" w:lineRule="auto"/>
        <w:ind w:firstLine="720"/>
      </w:pPr>
      <w:r>
        <w:t>Respondent was admitted to practice law in this state on December 22, 1995.  The State Bar filed the NDC on February 18, 2011, and properly served it on respondent at his membership records address.  The NDC notified respondent that his failure to participate in the proceeding would result in a disbarment recommendation.  (Rule 5.41.)</w:t>
      </w:r>
    </w:p>
    <w:p>
      <w:pPr>
        <w:spacing w:line="480" w:lineRule="auto"/>
        <w:ind w:firstLine="720"/>
      </w:pPr>
      <w:r>
        <w:t xml:space="preserve">The NDC was served by certified mail, return receipt requested.  The State Bar received a signed receipt showing that the NDC was received on February 23, 2011.  The State Bar also took additional efforts to ensure that respondent received the NDC and was aware of this discipline case.  On March 21, 2011, a status conference was held.  Respondent appeared by telephone at the conference.  The court provided respondent until March 25, 2011, to file his response to the NDC.  However, respondent stated that it was his intention to proceed by default in this matter.  Respondent did not file a response to the NDC. </w:t>
      </w:r>
    </w:p>
    <w:p>
      <w:pPr>
        <w:spacing w:line="480" w:lineRule="auto"/>
        <w:ind w:firstLine="720"/>
      </w:pPr>
      <w:r>
        <w:t>On April 4, 2011, the State Bar filed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again that his failure to participate in the proceeding would result in a disbarment recommendation.  (Rule 5.41.)  Respondent did not file a response to the motion.  His default was entered on April 15, 2011, and he was placed on involuntary inactive status and has remained inactive since that time.</w:t>
      </w:r>
    </w:p>
    <w:p>
      <w:pPr>
        <w:spacing w:line="480" w:lineRule="auto"/>
        <w:ind w:firstLine="720"/>
      </w:pPr>
      <w:r>
        <w:t xml:space="preserve">Respondent did not seek to have his default set aside or vacated.  (Rule 5.85(B)(1) [attorney has 180 days to file motion to set aside default].)  On October 20, 2011, the State Bar filed the petition for disbarment.  As required by rule 5.85(A), the State Bar reports in the petition that:  (1) it has had no contact with respondent since the default was entered; (2) there </w:t>
      </w:r>
      <w:r>
        <w:lastRenderedPageBreak/>
        <w:t>are four other disciplinary investigations pending against respondent; (3) respondent does not have a record of prior discipline; and (4) the Client Security Fund has not paid out any claims as a result of respondent’s misconduct.  Respondent has not responded to the petition or moved to set aside or vacate the default.</w:t>
      </w:r>
    </w:p>
    <w:p>
      <w:pPr>
        <w:spacing w:line="480" w:lineRule="auto"/>
        <w:ind w:firstLine="720"/>
      </w:pPr>
      <w:r>
        <w:t>The NDC, motion for entry of default, order entering default and petition for disbarment were served on respondent at his membership records address by certified mail, return receipt requested.  The NDC, motion for entry of default, and order entering default all contained notices informing respondent that if he failed to participate, the court would recommend his disbarment.  Accordingly, the court finds that the procedural requirements have been satisfied.</w:t>
      </w:r>
    </w:p>
    <w:p>
      <w:pPr>
        <w:spacing w:line="480" w:lineRule="auto"/>
        <w:rPr>
          <w:b/>
        </w:rPr>
      </w:pPr>
      <w:r>
        <w:rPr>
          <w:b/>
        </w:rPr>
        <w:t>B.</w:t>
      </w:r>
      <w:r>
        <w:rPr>
          <w:b/>
        </w:rPr>
        <w:tab/>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In this case, the facts show that respondent is culpable of two ethical violations in a single client matter.  </w:t>
      </w:r>
    </w:p>
    <w:p>
      <w:pPr>
        <w:spacing w:line="480" w:lineRule="auto"/>
      </w:pPr>
      <w:r>
        <w:tab/>
        <w:t xml:space="preserve">Count One – respondent violated rule 4-100(A) of the Rules of Professional Conduct (trust account violation) by failing to maintain $64,268.30 in his client trust account on behalf of his client and her husband in a marital dissolution matter.  </w:t>
      </w:r>
    </w:p>
    <w:p>
      <w:pPr>
        <w:spacing w:line="480" w:lineRule="auto"/>
      </w:pPr>
      <w:r>
        <w:tab/>
        <w:t>Count Two – respondent violated Business and Profession Code section 6106 (moral turpitude) by misappropriating the $64,268.30 belonging to his client and her husband.</w:t>
      </w:r>
    </w:p>
    <w:p>
      <w:pPr>
        <w:spacing w:line="480" w:lineRule="auto"/>
        <w:rPr>
          <w:b/>
        </w:rPr>
      </w:pPr>
      <w:r>
        <w:rPr>
          <w:b/>
        </w:rPr>
        <w:t>C.</w:t>
      </w:r>
      <w:r>
        <w:rPr>
          <w:b/>
        </w:rPr>
        <w:tab/>
        <w:t>Legal Conclusion</w:t>
      </w:r>
    </w:p>
    <w:p>
      <w:pPr>
        <w:spacing w:line="480" w:lineRule="auto"/>
      </w:pPr>
      <w:r>
        <w:tab/>
        <w:t xml:space="preserve">Based on the above, the court concludes that the requirements of rule 5.85(E) have been satisfied and respondent’s disbarment must be recommended.  In particular:  </w:t>
      </w:r>
    </w:p>
    <w:p>
      <w:pPr>
        <w:spacing w:line="480" w:lineRule="auto"/>
      </w:pPr>
      <w:r>
        <w:tab/>
        <w:t xml:space="preserve">(1) the NDC was properly served on respondent under rule 5.25; </w:t>
      </w:r>
    </w:p>
    <w:p>
      <w:pPr>
        <w:spacing w:line="480" w:lineRule="auto"/>
      </w:pPr>
      <w:r>
        <w:tab/>
        <w:t xml:space="preserve">(2) respondent had actual notice of the proceedings prior to the entry of his default; </w:t>
      </w:r>
    </w:p>
    <w:p>
      <w:pPr>
        <w:spacing w:line="480" w:lineRule="auto"/>
      </w:pPr>
      <w:r>
        <w:tab/>
        <w:t xml:space="preserve">(3) the default was properly entered under rule 5.80;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actual notice and opportunity, respondent failed to participate in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pPr>
      <w:r>
        <w:tab/>
        <w:t xml:space="preserve">The court recommends that respondent Johnny Lee Welch be disbarred from the practice of law in the State of California and that his name be stricken from the roll of attorneys.  </w:t>
      </w:r>
    </w:p>
    <w:p>
      <w:pPr>
        <w:spacing w:line="480" w:lineRule="auto"/>
        <w:jc w:val="center"/>
        <w:rPr>
          <w:b/>
        </w:rPr>
      </w:pPr>
      <w:r>
        <w:rPr>
          <w:b/>
        </w:rPr>
        <w:t>RESTITUTION</w:t>
      </w:r>
    </w:p>
    <w:p>
      <w:pPr>
        <w:spacing w:line="480" w:lineRule="auto"/>
      </w:pPr>
      <w:r>
        <w:tab/>
        <w:t xml:space="preserve">The court further recommends that respondent be required to make restitution to Pamela and Erick Knapp in the amount of $64,268.30, plus 10 percent interest per year from December 6, 2006 (or reimburse the Client Security Fund to the extent of any payment from the Fund to these victims, in accordance with Business and Professions Code section 6140.5). </w:t>
      </w:r>
    </w:p>
    <w:p>
      <w:pPr>
        <w:spacing w:line="480" w:lineRule="auto"/>
        <w:jc w:val="center"/>
        <w:rPr>
          <w:b/>
        </w:rPr>
      </w:pPr>
      <w:r>
        <w:rPr>
          <w:b/>
        </w:rPr>
        <w:t>RULE 9.20</w:t>
      </w:r>
    </w:p>
    <w:p>
      <w:pPr>
        <w:spacing w:line="480" w:lineRule="auto"/>
        <w:ind w:firstLine="720"/>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jc w:val="center"/>
        <w:rPr>
          <w:b/>
        </w:rPr>
      </w:pPr>
      <w:r>
        <w:rPr>
          <w:b/>
        </w:rPr>
        <w:t>COSTS</w:t>
      </w:r>
    </w:p>
    <w:p>
      <w:pPr>
        <w:spacing w:line="480" w:lineRule="auto"/>
        <w:ind w:firstLine="720"/>
      </w:pPr>
      <w:r>
        <w:t>The court further recommends that costs be awarded to the State Bar in accordance with section 6086.10, such costs being enforceable both as provided in section 6140.7 and as a money judgment.</w:t>
      </w:r>
    </w:p>
    <w:p>
      <w:pPr>
        <w:spacing w:line="480" w:lineRule="auto"/>
        <w:ind w:firstLine="720"/>
      </w:pPr>
    </w:p>
    <w:p>
      <w:pPr>
        <w:spacing w:line="480" w:lineRule="auto"/>
        <w:jc w:val="center"/>
        <w:rPr>
          <w:b/>
        </w:rPr>
      </w:pPr>
      <w:r>
        <w:rPr>
          <w:b/>
        </w:rPr>
        <w:t>ORDER OF INVOLUNTARY INACTIVE ENROLLMENT</w:t>
      </w:r>
    </w:p>
    <w:p>
      <w:pPr>
        <w:spacing w:line="480" w:lineRule="auto"/>
        <w:ind w:firstLine="720"/>
      </w:pPr>
      <w:r>
        <w:t xml:space="preserve">In accordance with section 6007, subdivision (c)(4), the court orders that Johnny Lee Welch, State Bar number </w:t>
      </w:r>
      <w:r>
        <w:rPr>
          <w:bCs/>
        </w:rPr>
        <w:t>181372,</w:t>
      </w:r>
      <w:r>
        <w:t xml:space="preserve"> be involuntarily enrolled as an inactive member of the State Bar of California, effective three calendar days after the service of this decision and order.  (Rules Proc. of State Bar, rule 5.111(D).)</w:t>
      </w:r>
      <w:r>
        <w:rPr>
          <w:rStyle w:val="FootnoteReference"/>
        </w:rPr>
        <w:t xml:space="preserve"> </w:t>
      </w:r>
    </w:p>
    <w:p>
      <w:pPr>
        <w:spacing w:line="480" w:lineRule="auto"/>
        <w:rPr>
          <w:b/>
          <w:u w:val="single"/>
        </w:rPr>
      </w:pP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November _____, 2011</w:t>
            </w:r>
          </w:p>
        </w:tc>
        <w:tc>
          <w:tcPr>
            <w:tcW w:w="4565" w:type="dxa"/>
            <w:tcBorders>
              <w:top w:val="single" w:sz="4" w:space="0" w:color="auto"/>
              <w:bottom w:val="nil"/>
              <w:right w:val="nil"/>
            </w:tcBorders>
          </w:tcPr>
          <w:p>
            <w:r>
              <w:t xml:space="preserve">LUCY ARMENDARIZ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vacate the default,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CAT31LPwqw5xtRikfixaTqh3NgY=" w:salt="/mc84HIRMT0Ne/okaNckdw=="/>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6102</Characters>
  <Application>Microsoft Office Word</Application>
  <DocSecurity>0</DocSecurity>
  <Lines>135</Lines>
  <Paragraphs>63</Paragraphs>
  <ScaleCrop>false</ScaleCrop>
  <Company>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2011-11-24T01:04:00Z</dcterms:created>
  <dcterms:modified xsi:type="dcterms:W3CDTF">2011-11-24T01:04:00Z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