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SEPTEMBER 7,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WYMAN PATRICK BERRYESSA,</w:t>
            </w:r>
          </w:p>
          <w:p>
            <w:pPr>
              <w:rPr>
                <w:b/>
                <w:bCs/>
              </w:rPr>
            </w:pPr>
          </w:p>
          <w:p>
            <w:pPr>
              <w:rPr>
                <w:b/>
                <w:bCs/>
              </w:rPr>
            </w:pPr>
            <w:r>
              <w:rPr>
                <w:b/>
                <w:bCs/>
              </w:rPr>
              <w:t>Member No.  196843,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09-O-17807-RAH (09-O-18618)</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INVOLUNTARY INACTIVE ENROLLMENT </w:t>
            </w:r>
          </w:p>
        </w:tc>
      </w:tr>
    </w:tbl>
    <w:p>
      <w:pPr>
        <w:spacing w:line="480" w:lineRule="auto"/>
      </w:pPr>
    </w:p>
    <w:p>
      <w:pPr>
        <w:spacing w:line="480" w:lineRule="auto"/>
      </w:pPr>
      <w:r>
        <w:tab/>
        <w:t>Respondent Wyman Patrick Berryessa was charged with several violations of the Business and Professions Code and the Rules of Professional Conduct in connection with two client matters.  He did not file a response to the notice of disciplinary charges (NDC),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November 24, 1998, and has been a member since then.</w:t>
      </w:r>
    </w:p>
    <w:p>
      <w:pPr>
        <w:spacing w:line="480" w:lineRule="auto"/>
        <w:rPr>
          <w:b/>
        </w:rPr>
      </w:pPr>
      <w:r>
        <w:rPr>
          <w:b/>
        </w:rPr>
        <w:t>Procedural Requirements Have Been Satisfied</w:t>
      </w:r>
    </w:p>
    <w:p>
      <w:pPr>
        <w:spacing w:line="480" w:lineRule="auto"/>
      </w:pPr>
      <w:r>
        <w:rPr>
          <w:b/>
        </w:rPr>
        <w:tab/>
      </w:r>
      <w:r>
        <w:t>On April 5, 2011, the State Bar filed and properly served the NDC on respondent by recorded delivery and by first-class email at his membership records address in Beirut, Lebanon, but the correspondence was returned as undeliverable.  On April 5 and 6, 2011, a copy of the NDC was also sent to respondent’s email address for State Bar purposes.</w:t>
      </w:r>
      <w:r>
        <w:rPr>
          <w:rStyle w:val="FootnoteReference"/>
        </w:rPr>
        <w:footnoteReference w:id="3"/>
      </w:r>
      <w:r>
        <w:t xml:space="preserve">  The NDC notified respondent that his failure to participate in the proceeding would result in a disbarment recommendation.  (Rule 5.41.)  </w:t>
      </w:r>
    </w:p>
    <w:p>
      <w:pPr>
        <w:spacing w:line="480" w:lineRule="auto"/>
      </w:pPr>
      <w:r>
        <w:tab/>
        <w:t>Respondent had actual notice of these proceedings as he communicated by email with the State Bar from April 24 through May 12, 2011.  Among other things, he addressed certain issues raised by the NDC.  In a July 4, 2011 email to the State Bar, respondent indicated that he had been unable to formally respond to the NDC.</w:t>
      </w:r>
    </w:p>
    <w:p>
      <w:pPr>
        <w:spacing w:line="480" w:lineRule="auto"/>
      </w:pPr>
      <w:r>
        <w:tab/>
        <w:t>Respondent also participated in a May 23, 2011, status conference, during which he was notified of the dates set for a settlement conference, a pretrial conference and trial.  He also was allowed until June 3, 2011, to file a response to the NDC.</w:t>
      </w:r>
    </w:p>
    <w:p>
      <w:pPr>
        <w:spacing w:line="480" w:lineRule="auto"/>
      </w:pPr>
      <w:r>
        <w:lastRenderedPageBreak/>
        <w:tab/>
        <w:t>Respondent did not file a response to the NDC.  On June 9, 2011, the State Bar filed and properly served a motion for entry of respondent’s default.</w:t>
      </w:r>
      <w:r>
        <w:rPr>
          <w:rStyle w:val="FootnoteReference"/>
        </w:rPr>
        <w:footnoteReference w:id="4"/>
      </w:r>
      <w:r>
        <w:t xml:space="preserve">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p>
    <w:p>
      <w:pPr>
        <w:spacing w:line="480" w:lineRule="auto"/>
      </w:pPr>
      <w:r>
        <w:tab/>
        <w:t>Respondent did not file a response to the motion, and his default was entered on July 12, 2011.  The order entering the default was served on respondent at his membership records address by recorded delivery and at a Tennessee address by regular mail.</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  </w:t>
      </w:r>
    </w:p>
    <w:p>
      <w:pPr>
        <w:spacing w:line="480" w:lineRule="auto"/>
      </w:pPr>
      <w:r>
        <w:rPr>
          <w:b/>
        </w:rPr>
        <w:tab/>
      </w:r>
      <w:r>
        <w:t xml:space="preserve">Respondent did not seek to have his default set aside or vacated.  (Rule 5.83(C)(1) [attorney has 180 days to file motion to set aside default].)  On May 17, 2012, the State Bar filed a petition for disbarment.  As required by rule 5.85(A), the State Bar reported in the petition that:  (1) the State Bar has not had contact with respondent since the default was entered; (2) there is one other disciplinary investigation matter pending against respondent; (3) respondent has no prior record of discipline; and (4) the Client Security Fund (CSF) has not made any payments resulting from respondent’s conduct.  Respondent did not respond to the petition for disbarment or move to set aside or vacate the default.  The case was submitted for decision on June 27, 2012. </w:t>
      </w:r>
    </w:p>
    <w:p>
      <w:pPr>
        <w:spacing w:line="480" w:lineRule="auto"/>
      </w:pPr>
      <w:r>
        <w:t>/ / /</w:t>
      </w:r>
    </w:p>
    <w:p>
      <w:pPr>
        <w:spacing w:line="480" w:lineRule="auto"/>
      </w:pPr>
      <w:r>
        <w:t>/ / /</w:t>
      </w:r>
    </w:p>
    <w:p>
      <w:pPr>
        <w:spacing w:line="480" w:lineRule="auto"/>
        <w:rPr>
          <w:b/>
        </w:rPr>
      </w:pPr>
      <w:r>
        <w:t xml:space="preserve">   </w:t>
      </w: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5.85(E)(1)(d).) </w:t>
      </w:r>
    </w:p>
    <w:p>
      <w:pPr>
        <w:spacing w:line="480" w:lineRule="auto"/>
        <w:rPr>
          <w:b/>
        </w:rPr>
      </w:pPr>
      <w:r>
        <w:tab/>
      </w:r>
      <w:r>
        <w:rPr>
          <w:b/>
        </w:rPr>
        <w:t>1.</w:t>
      </w:r>
      <w:r>
        <w:rPr>
          <w:b/>
        </w:rPr>
        <w:tab/>
        <w:t>Case Number 09-O-17807 (NSF Checks Matter)</w:t>
      </w:r>
    </w:p>
    <w:p>
      <w:pPr>
        <w:spacing w:line="480" w:lineRule="auto"/>
      </w:pPr>
      <w:r>
        <w:rPr>
          <w:b/>
        </w:rPr>
        <w:tab/>
      </w:r>
      <w:r>
        <w:t>Count One - respondent violated section 6106 of the Business and Professions Code</w:t>
      </w:r>
      <w:r>
        <w:rPr>
          <w:rStyle w:val="FootnoteReference"/>
        </w:rPr>
        <w:footnoteReference w:id="6"/>
      </w:r>
      <w:r>
        <w:t xml:space="preserve"> (moral turpitude) by repeatedly issuing checks drawn upon insufficient funds in his client trust account.</w:t>
      </w:r>
    </w:p>
    <w:p>
      <w:pPr>
        <w:spacing w:line="480" w:lineRule="auto"/>
      </w:pPr>
      <w:r>
        <w:tab/>
        <w:t xml:space="preserve">Count Two – respondent violated section 6068, subdivision (i) (failing to cooperate/ participate in a disciplinary investigation) by not responding to State Bar letters and by not otherwise responding to allegations as requested by the State Bar investigator.      </w:t>
      </w:r>
    </w:p>
    <w:p>
      <w:pPr>
        <w:spacing w:line="480" w:lineRule="auto"/>
        <w:rPr>
          <w:b/>
        </w:rPr>
      </w:pPr>
      <w:r>
        <w:tab/>
      </w:r>
      <w:r>
        <w:rPr>
          <w:b/>
        </w:rPr>
        <w:t>2.</w:t>
      </w:r>
      <w:r>
        <w:rPr>
          <w:b/>
        </w:rPr>
        <w:tab/>
        <w:t>Case Number 09-O-18618 (Sharp Matter)</w:t>
      </w:r>
    </w:p>
    <w:p>
      <w:pPr>
        <w:spacing w:line="480" w:lineRule="auto"/>
      </w:pPr>
      <w:r>
        <w:rPr>
          <w:b/>
        </w:rPr>
        <w:tab/>
      </w:r>
      <w:r>
        <w:t xml:space="preserve">Count Three – respondent willfully violated rule 1-300(B) of the Rules of Professional Conduct (unauthorized practice of law in another jurisdiction) by agreeing to represent and representing Artis Sharp as an attorney in seeking a modification of Sharp’s mortgage on property located in Tennessee when respondent was not entitled to practice law in Tennessee.  </w:t>
      </w:r>
    </w:p>
    <w:p>
      <w:pPr>
        <w:spacing w:line="480" w:lineRule="auto"/>
      </w:pPr>
      <w:r>
        <w:tab/>
        <w:t>Count Four – respondent willfully violated rule 4-200(A) of the Rules of Professional Conduct (illegal fee) by entering into an agreement for, charging and collecting $1,950 in fees for legal services from Sharp when he was not licensed to practice law in Tennessee.</w:t>
      </w:r>
    </w:p>
    <w:p>
      <w:pPr>
        <w:spacing w:line="480" w:lineRule="auto"/>
      </w:pPr>
      <w:r>
        <w:tab/>
        <w:t>Count Five – there is not clear and convincing evidence that respondent willfully violated section 6068, subdivision (j) (not maintaining address with State Bar) as the meaning of “refused unable to forward” is unclear regarding the State Bar’s February 25, 2010 letter to respondent.</w:t>
      </w:r>
    </w:p>
    <w:p>
      <w:pPr>
        <w:spacing w:line="480" w:lineRule="auto"/>
        <w:rPr>
          <w:b/>
        </w:rPr>
      </w:pPr>
      <w:r>
        <w:tab/>
      </w: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rPr>
          <w:b/>
        </w:rPr>
        <w:tab/>
      </w:r>
      <w:r>
        <w:t xml:space="preserve">(2) respondent had actual notice of the proceedings prior to the entry of his default, as he participated in a status conference and had email exchanges with the State Bar about this proceeding after the NDC was filed.  Respondent was also aware that a motion for entry of default had been filed;    </w:t>
      </w:r>
    </w:p>
    <w:p>
      <w:pPr>
        <w:spacing w:line="480" w:lineRule="auto"/>
      </w:pPr>
      <w:r>
        <w:tab/>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Wyman Patrick Berryessa be disbarred from the practice of law in the State of California and that his name be stricken from the roll of attorneys.</w:t>
      </w:r>
    </w:p>
    <w:p>
      <w:pPr>
        <w:rPr>
          <w:b/>
        </w:rPr>
      </w:pPr>
      <w:r>
        <w:rPr>
          <w:b/>
        </w:rPr>
        <w:br w:type="page"/>
      </w:r>
    </w:p>
    <w:p>
      <w:pPr>
        <w:spacing w:line="480" w:lineRule="auto"/>
        <w:rPr>
          <w:b/>
        </w:rPr>
      </w:pPr>
      <w:r>
        <w:rPr>
          <w:b/>
        </w:rPr>
        <w:t>Restitution</w:t>
      </w:r>
    </w:p>
    <w:p>
      <w:pPr>
        <w:spacing w:line="480" w:lineRule="auto"/>
        <w:rPr>
          <w:sz w:val="26"/>
          <w:szCs w:val="36"/>
        </w:rPr>
      </w:pPr>
      <w:r>
        <w:rPr>
          <w:b/>
        </w:rPr>
        <w:tab/>
      </w:r>
      <w:r>
        <w:t xml:space="preserve">The court also recommends that respondent be ordered to </w:t>
      </w:r>
      <w:r>
        <w:rPr>
          <w:sz w:val="26"/>
          <w:szCs w:val="36"/>
        </w:rPr>
        <w:t xml:space="preserve">make restitution to </w:t>
      </w:r>
    </w:p>
    <w:p>
      <w:r>
        <w:t xml:space="preserve">Artis Sharp in the amount of $1,950 plus 10 percent interest per year from July 1, 2009.  </w:t>
      </w:r>
    </w:p>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Wyman Patrick Berryessa, State Bar number 196843, be involuntarily enrolled </w:t>
      </w:r>
    </w:p>
    <w:p>
      <w:pPr>
        <w:spacing w:line="480" w:lineRule="auto"/>
      </w:pPr>
      <w:r>
        <w:t xml:space="preserve">as an inactive member of the State Bar of California, effective three calendar days after the </w:t>
      </w:r>
    </w:p>
    <w:p>
      <w:pPr>
        <w:spacing w:line="480" w:lineRule="auto"/>
      </w:pPr>
      <w:r>
        <w:t>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September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r>
        <w:br w:type="page"/>
      </w: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Since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Respondent was aware of the motion.  In the July 4, 2011 email to the State Bar noted earlier, he also stated that he was unable to respond to the motion.</w:t>
      </w:r>
    </w:p>
  </w:footnote>
  <w:footnote w:id="5">
    <w:p>
      <w:pPr>
        <w:pStyle w:val="FootnoteText"/>
      </w:pPr>
      <w:r>
        <w:rPr>
          <w:rStyle w:val="FootnoteReference"/>
        </w:rPr>
        <w:footnoteRef/>
      </w:r>
      <w:r>
        <w:t xml:space="preserve"> The Tennessee address was provided to the court by the State Bar.</w:t>
      </w:r>
    </w:p>
  </w:footnote>
  <w:footnote w:id="6">
    <w:p>
      <w:pPr>
        <w:pStyle w:val="FootnoteText"/>
      </w:pPr>
      <w:r>
        <w:rPr>
          <w:rStyle w:val="FootnoteReference"/>
        </w:rPr>
        <w:footnoteRef/>
      </w:r>
      <w:r>
        <w:t xml:space="preserve"> Unless otherwise indicated, all further references to statutes are to the Business and Professions Code.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QVLL6e+/aL1rr1UwoRjIlTO9JzA=" w:salt="QVtcfCIQF2pgo4KYDhFkMA=="/>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7638</Characters>
  <Application>Microsoft Office Word</Application>
  <DocSecurity>0</DocSecurity>
  <Lines>162</Lines>
  <Paragraphs>80</Paragraphs>
  <ScaleCrop>false</ScaleCrop>
  <Manager/>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2012-09-17T21:52:00Z</dcterms:created>
  <dcterms:modified xsi:type="dcterms:W3CDTF">2012-09-17T21:52:00Z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