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OCTOBER 18,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ANTHONY DENCIO AGPAOA,</w:t>
            </w:r>
          </w:p>
          <w:p>
            <w:pPr>
              <w:tabs>
                <w:tab w:val="center" w:pos="4320"/>
                <w:tab w:val="right" w:pos="8640"/>
              </w:tabs>
              <w:rPr>
                <w:b/>
              </w:rPr>
            </w:pPr>
          </w:p>
          <w:p>
            <w:pPr>
              <w:tabs>
                <w:tab w:val="center" w:pos="4320"/>
                <w:tab w:val="right" w:pos="8640"/>
              </w:tabs>
              <w:rPr>
                <w:b/>
              </w:rPr>
            </w:pPr>
            <w:r>
              <w:rPr>
                <w:b/>
              </w:rPr>
              <w:t>Member No.  189749,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09-O-18300-LMA</w:t>
            </w:r>
          </w:p>
          <w:p>
            <w:pPr>
              <w:rPr>
                <w:bCs/>
              </w:rPr>
            </w:pPr>
            <w:r>
              <w:rPr>
                <w:bCs/>
              </w:rPr>
              <w:t xml:space="preserve">(10-O-07868; 11-O-10439; </w:t>
            </w:r>
          </w:p>
          <w:p>
            <w:pPr>
              <w:rPr>
                <w:bCs/>
              </w:rPr>
            </w:pPr>
            <w:r>
              <w:rPr>
                <w:bCs/>
              </w:rPr>
              <w:t xml:space="preserve">11-O-11319; 11-O-11477; </w:t>
            </w:r>
          </w:p>
          <w:p>
            <w:pPr>
              <w:rPr>
                <w:bCs/>
              </w:rPr>
            </w:pPr>
            <w:r>
              <w:rPr>
                <w:bCs/>
              </w:rPr>
              <w:t>11-O-13134; 11-O-16178);</w:t>
            </w:r>
          </w:p>
          <w:p>
            <w:pPr>
              <w:rPr>
                <w:bCs/>
              </w:rPr>
            </w:pPr>
            <w:r>
              <w:rPr>
                <w:bCs/>
              </w:rPr>
              <w:t>11-O-15853 (11-O-18199;</w:t>
            </w:r>
          </w:p>
          <w:p>
            <w:pPr>
              <w:rPr>
                <w:bCs/>
              </w:rPr>
            </w:pPr>
            <w:r>
              <w:rPr>
                <w:bCs/>
              </w:rPr>
              <w:t>11-O-19326) (Cons.)</w:t>
            </w:r>
          </w:p>
          <w:p>
            <w:pPr>
              <w:rPr>
                <w:b/>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Anthony Dencio Agpaoa is charged with 24 acts of misconduct stemming from multiple client matters.  The charged misconduct includes failing to perform with competence, failing to refund unearned fees, failing to obey a court order, failing to release a client file, failing to account, commingling, failing to communicate, failing to report judicial sanctions, issuing checks against insufficient funds, failing to cooperate in disciplinary investigations, misrepresentation, and misappropriation of client funds.  The court finds, by clear and convincing evidence, that respondent is culpable on 21 of the 24 charges.  Based upon the serious nature and extent of culpability, as well as the applicable mitigating and </w:t>
      </w:r>
      <w:r>
        <w:lastRenderedPageBreak/>
        <w:t>aggravating circumstances, the court recommends that respondent be disbarred from the practice of law.</w:t>
      </w:r>
    </w:p>
    <w:p>
      <w:pPr>
        <w:spacing w:line="480" w:lineRule="auto"/>
        <w:jc w:val="center"/>
        <w:rPr>
          <w:u w:val="single"/>
        </w:rPr>
      </w:pPr>
      <w:r>
        <w:rPr>
          <w:b/>
          <w:u w:val="single"/>
        </w:rPr>
        <w:t>Significant Procedural History</w:t>
      </w:r>
    </w:p>
    <w:p>
      <w:pPr>
        <w:spacing w:line="480" w:lineRule="auto"/>
        <w:ind w:firstLine="720"/>
      </w:pPr>
      <w:r>
        <w:t>The Office of the Chief Trial Counsel of the State Bar of California (State Bar) initiated this proceeding by filing two notices of disciplinary charges on December 8, 2011 and March 6, 2012.  Respondent filed responses to the notices of disciplinary charges on January 17 and April 20, 2012, respectively.  The two matters were consolidated on April 18, 2012.</w:t>
      </w:r>
    </w:p>
    <w:p>
      <w:pPr>
        <w:spacing w:line="480" w:lineRule="auto"/>
        <w:ind w:firstLine="720"/>
      </w:pPr>
      <w:r>
        <w:t>A six-day trial was held on July 10, 11, 12, 13, and 16, and August 7, 2012.  The State Bar was represented by Deputy Trial Counsel Maria Oropeza.  Respondent represented himself.  Following closing briefs, the court took this matter under submission on August 23, 2012.</w:t>
      </w:r>
      <w:r>
        <w:rPr>
          <w:rStyle w:val="FootnoteReference"/>
        </w:rPr>
        <w:footnoteReference w:id="2"/>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September 3, 1997 and has been a member of the State Bar of California at all times since that date.  </w:t>
      </w:r>
    </w:p>
    <w:p>
      <w:pPr>
        <w:spacing w:line="480" w:lineRule="auto"/>
        <w:ind w:firstLine="720"/>
        <w:rPr>
          <w:highlight w:val="green"/>
        </w:rPr>
      </w:pPr>
      <w:r>
        <w:t>This court’s findings of fact are based on the responses to the notice of disciplinary charges and the evidence and testimony introduced at this proceeding.</w:t>
      </w:r>
    </w:p>
    <w:p>
      <w:pPr>
        <w:spacing w:line="480" w:lineRule="auto"/>
        <w:rPr>
          <w:b/>
        </w:rPr>
      </w:pPr>
      <w:r>
        <w:rPr>
          <w:b/>
        </w:rPr>
        <w:t>The Gizaw Matter – Case No. 09-O-18300</w:t>
      </w:r>
    </w:p>
    <w:p>
      <w:pPr>
        <w:spacing w:line="480" w:lineRule="auto"/>
        <w:ind w:firstLine="720"/>
        <w:rPr>
          <w:b/>
        </w:rPr>
      </w:pPr>
      <w:r>
        <w:rPr>
          <w:b/>
        </w:rPr>
        <w:t>Facts</w:t>
      </w:r>
    </w:p>
    <w:p>
      <w:pPr>
        <w:spacing w:line="480" w:lineRule="auto"/>
        <w:ind w:firstLine="720"/>
        <w:rPr>
          <w:b/>
        </w:rPr>
      </w:pPr>
      <w:r>
        <w:rPr>
          <w:spacing w:val="-6"/>
          <w:w w:val="105"/>
        </w:rPr>
        <w:t xml:space="preserve">On November 4, 2003, Corey Polster-Gizaw (Corey) and her husband </w:t>
      </w:r>
      <w:r>
        <w:rPr>
          <w:spacing w:val="-3"/>
          <w:w w:val="105"/>
        </w:rPr>
        <w:t xml:space="preserve">Wosen Gizaw (Wosen) hired respondent to represent them in an immigration matter.  </w:t>
      </w:r>
      <w:r>
        <w:rPr>
          <w:spacing w:val="-7"/>
          <w:w w:val="105"/>
        </w:rPr>
        <w:t xml:space="preserve">Corey and respondent signed a fee agreement on that date.  Wosen was a native and citizen of </w:t>
      </w:r>
      <w:r>
        <w:rPr>
          <w:spacing w:val="-4"/>
          <w:w w:val="105"/>
        </w:rPr>
        <w:t>Ethiopia seeking legal residence in the United States.</w:t>
      </w:r>
    </w:p>
    <w:p>
      <w:pPr>
        <w:pStyle w:val="Style16"/>
        <w:kinsoku w:val="0"/>
        <w:autoSpaceDE/>
        <w:autoSpaceDN/>
        <w:adjustRightInd/>
        <w:spacing w:line="412" w:lineRule="auto"/>
        <w:ind w:right="72" w:firstLine="720"/>
        <w:rPr>
          <w:spacing w:val="-4"/>
          <w:w w:val="105"/>
        </w:rPr>
      </w:pPr>
      <w:r>
        <w:rPr>
          <w:spacing w:val="-3"/>
          <w:w w:val="105"/>
        </w:rPr>
        <w:lastRenderedPageBreak/>
        <w:t xml:space="preserve">In or around 1996, Wosen filed an application for </w:t>
      </w:r>
      <w:r>
        <w:rPr>
          <w:spacing w:val="-5"/>
          <w:w w:val="105"/>
        </w:rPr>
        <w:t xml:space="preserve">asylum to remain in the United States.  On March 21, 1996, Wosen’s application for asylum was denied and he was ordered to be removed from the United States.  Wosen appealed </w:t>
      </w:r>
      <w:r>
        <w:rPr>
          <w:spacing w:val="-1"/>
          <w:w w:val="105"/>
        </w:rPr>
        <w:t xml:space="preserve">the decision.  On May 29, 1998, the United States Board of Immigration Appeals </w:t>
      </w:r>
      <w:r>
        <w:rPr>
          <w:spacing w:val="-4"/>
          <w:w w:val="105"/>
        </w:rPr>
        <w:t xml:space="preserve">(BIA) denied Wosen’s appeal.  </w:t>
      </w:r>
    </w:p>
    <w:p>
      <w:pPr>
        <w:pStyle w:val="Style16"/>
        <w:kinsoku w:val="0"/>
        <w:autoSpaceDE/>
        <w:autoSpaceDN/>
        <w:adjustRightInd/>
        <w:spacing w:line="412" w:lineRule="auto"/>
        <w:ind w:right="72" w:firstLine="720"/>
        <w:rPr>
          <w:spacing w:val="-4"/>
          <w:w w:val="105"/>
        </w:rPr>
      </w:pPr>
      <w:r>
        <w:rPr>
          <w:spacing w:val="-4"/>
          <w:w w:val="105"/>
        </w:rPr>
        <w:t xml:space="preserve">At the time the Gizaws hired respondent, they informed him that there had been a previous asylum petition filed, but that they didn’t know the status of the petition.  They explained to him that they were married on </w:t>
      </w:r>
      <w:r>
        <w:rPr>
          <w:w w:val="105"/>
        </w:rPr>
        <w:t>September 8, 2003, and they wanted to adjust Wosen’s immigration status.</w:t>
      </w:r>
    </w:p>
    <w:p>
      <w:pPr>
        <w:spacing w:line="480" w:lineRule="auto"/>
        <w:ind w:firstLine="720"/>
        <w:rPr>
          <w:spacing w:val="-4"/>
          <w:w w:val="105"/>
        </w:rPr>
      </w:pPr>
      <w:r>
        <w:rPr>
          <w:spacing w:val="-10"/>
          <w:w w:val="105"/>
        </w:rPr>
        <w:t xml:space="preserve">On or about April 14, 2006, respondent filed a motion to reopen the BIA matter on </w:t>
      </w:r>
      <w:r>
        <w:rPr>
          <w:spacing w:val="-4"/>
          <w:w w:val="105"/>
        </w:rPr>
        <w:t>Wosen’s behalf.  On July 11, 2006, the BIA denied the motion.</w:t>
      </w:r>
    </w:p>
    <w:p>
      <w:pPr>
        <w:pStyle w:val="Style18"/>
        <w:kinsoku w:val="0"/>
        <w:autoSpaceDE/>
        <w:autoSpaceDN/>
        <w:ind w:right="0"/>
        <w:rPr>
          <w:rStyle w:val="Style19"/>
          <w:spacing w:val="-4"/>
          <w:w w:val="105"/>
        </w:rPr>
      </w:pPr>
      <w:r>
        <w:rPr>
          <w:rStyle w:val="Style19"/>
          <w:spacing w:val="-7"/>
          <w:w w:val="105"/>
        </w:rPr>
        <w:t>On August 8, 2006, respondent filed a petition for review of the BIA’s</w:t>
      </w:r>
      <w:r>
        <w:rPr>
          <w:rStyle w:val="Style19"/>
          <w:spacing w:val="-5"/>
          <w:w w:val="105"/>
        </w:rPr>
        <w:t xml:space="preserve"> decision with the United States Court of Appeals for the Ninth Circuit, in a </w:t>
      </w:r>
      <w:r>
        <w:rPr>
          <w:rStyle w:val="Style19"/>
          <w:spacing w:val="-8"/>
          <w:w w:val="105"/>
        </w:rPr>
        <w:t xml:space="preserve">case entitled, </w:t>
      </w:r>
      <w:r>
        <w:rPr>
          <w:rStyle w:val="Style19"/>
          <w:i/>
          <w:iCs/>
          <w:spacing w:val="-8"/>
        </w:rPr>
        <w:t xml:space="preserve">Wosen D. Gizaw v. U.S. Attorney General, </w:t>
      </w:r>
      <w:r>
        <w:rPr>
          <w:rStyle w:val="Style19"/>
          <w:spacing w:val="-8"/>
          <w:w w:val="105"/>
        </w:rPr>
        <w:t>case no. 06-15326</w:t>
      </w:r>
      <w:r>
        <w:rPr>
          <w:rStyle w:val="Style19"/>
          <w:spacing w:val="-6"/>
          <w:w w:val="105"/>
        </w:rPr>
        <w:t xml:space="preserve">.  The Ninth Circuit transferred the appeal to the Eleventh Circuit, which was the proper </w:t>
      </w:r>
      <w:r>
        <w:rPr>
          <w:rStyle w:val="Style19"/>
          <w:spacing w:val="-2"/>
          <w:w w:val="105"/>
        </w:rPr>
        <w:t xml:space="preserve">venue.  On February 26, 2008, the Eleventh Circuit Court remanded the matter back to </w:t>
      </w:r>
      <w:r>
        <w:rPr>
          <w:rStyle w:val="Style19"/>
          <w:spacing w:val="-4"/>
          <w:w w:val="105"/>
        </w:rPr>
        <w:t>the BIA.</w:t>
      </w:r>
    </w:p>
    <w:p>
      <w:pPr>
        <w:widowControl w:val="0"/>
        <w:kinsoku w:val="0"/>
        <w:spacing w:line="424" w:lineRule="auto"/>
        <w:ind w:right="576" w:firstLine="720"/>
        <w:rPr>
          <w:rStyle w:val="Style19"/>
          <w:spacing w:val="-4"/>
          <w:w w:val="105"/>
        </w:rPr>
      </w:pPr>
      <w:r>
        <w:rPr>
          <w:spacing w:val="-10"/>
          <w:w w:val="105"/>
        </w:rPr>
        <w:t xml:space="preserve">On August 12, 2008, the BIA again denied Wosen’s motion to reopen </w:t>
      </w:r>
      <w:r>
        <w:rPr>
          <w:spacing w:val="-4"/>
          <w:w w:val="105"/>
        </w:rPr>
        <w:t xml:space="preserve">the BIA matter.  </w:t>
      </w:r>
      <w:r>
        <w:rPr>
          <w:rStyle w:val="Style19"/>
          <w:spacing w:val="-6"/>
          <w:w w:val="105"/>
        </w:rPr>
        <w:t xml:space="preserve">On September 8, 2008, Corey paid respondent $2,500 toward a $5,000 fee </w:t>
      </w:r>
      <w:r>
        <w:rPr>
          <w:rStyle w:val="Style19"/>
          <w:spacing w:val="-4"/>
          <w:w w:val="105"/>
        </w:rPr>
        <w:t>to file a Petition for Review.</w:t>
      </w:r>
    </w:p>
    <w:p>
      <w:pPr>
        <w:pStyle w:val="Style18"/>
        <w:kinsoku w:val="0"/>
        <w:autoSpaceDE/>
        <w:autoSpaceDN/>
        <w:spacing w:line="422" w:lineRule="auto"/>
        <w:ind w:right="0"/>
        <w:rPr>
          <w:spacing w:val="-4"/>
          <w:w w:val="105"/>
        </w:rPr>
      </w:pPr>
      <w:r>
        <w:rPr>
          <w:rStyle w:val="Style19"/>
          <w:spacing w:val="-9"/>
          <w:w w:val="105"/>
        </w:rPr>
        <w:t xml:space="preserve">On September 12, 2008, respondent filed a petition for review with the </w:t>
      </w:r>
      <w:r>
        <w:rPr>
          <w:rStyle w:val="Style19"/>
          <w:spacing w:val="-4"/>
          <w:w w:val="105"/>
        </w:rPr>
        <w:t xml:space="preserve">United States Court of Appeal for the Eleventh Circuit.  </w:t>
      </w:r>
      <w:r>
        <w:rPr>
          <w:rStyle w:val="Style19"/>
          <w:spacing w:val="-6"/>
          <w:w w:val="105"/>
        </w:rPr>
        <w:t xml:space="preserve">On October 2, 2008, the Court of Appeal for the Eleventh Circuit dismissed </w:t>
      </w:r>
      <w:r>
        <w:rPr>
          <w:rStyle w:val="Style19"/>
          <w:spacing w:val="-5"/>
          <w:w w:val="105"/>
        </w:rPr>
        <w:t xml:space="preserve">the appeal because the petition was filed late.  </w:t>
      </w:r>
      <w:r>
        <w:rPr>
          <w:spacing w:val="1"/>
          <w:w w:val="105"/>
        </w:rPr>
        <w:t>Respondent failed to inform his clients of the dismissal.</w:t>
      </w:r>
    </w:p>
    <w:p>
      <w:pPr>
        <w:pStyle w:val="Style18"/>
        <w:kinsoku w:val="0"/>
        <w:autoSpaceDE/>
        <w:autoSpaceDN/>
        <w:spacing w:line="424" w:lineRule="auto"/>
        <w:rPr>
          <w:rStyle w:val="Style19"/>
          <w:w w:val="105"/>
        </w:rPr>
      </w:pPr>
      <w:r>
        <w:rPr>
          <w:rStyle w:val="Style19"/>
          <w:spacing w:val="-10"/>
          <w:w w:val="105"/>
        </w:rPr>
        <w:t>On January 6, 2009, respondent filed a motion to reissue the BIA</w:t>
      </w:r>
      <w:r>
        <w:rPr>
          <w:rStyle w:val="Style19"/>
          <w:spacing w:val="-3"/>
          <w:w w:val="105"/>
        </w:rPr>
        <w:t xml:space="preserve">’s August 12, 2008 decision denying Wosen’s motion to reopen.  He filed </w:t>
      </w:r>
      <w:r>
        <w:rPr>
          <w:rStyle w:val="Style19"/>
          <w:spacing w:val="-5"/>
          <w:w w:val="105"/>
        </w:rPr>
        <w:t>the motion without getting permission or notifying his clients of the filing.</w:t>
      </w:r>
      <w:r>
        <w:rPr>
          <w:rStyle w:val="FootnoteReference"/>
          <w:spacing w:val="1"/>
          <w:w w:val="105"/>
        </w:rPr>
        <w:footnoteReference w:id="3"/>
      </w:r>
      <w:r>
        <w:rPr>
          <w:rStyle w:val="Style19"/>
          <w:spacing w:val="-5"/>
          <w:w w:val="105"/>
        </w:rPr>
        <w:t xml:space="preserve">  Respondent </w:t>
      </w:r>
      <w:r>
        <w:rPr>
          <w:rStyle w:val="Style19"/>
          <w:spacing w:val="-6"/>
          <w:w w:val="105"/>
        </w:rPr>
        <w:t>requested the reissuance so that he could have another opportunity to file a timely petition for r</w:t>
      </w:r>
      <w:r>
        <w:rPr>
          <w:rStyle w:val="Style19"/>
          <w:spacing w:val="-5"/>
          <w:w w:val="105"/>
        </w:rPr>
        <w:t xml:space="preserve">eview to the Eleventh Circuit Court of Appeals.  On March 11, 2009, the BIA denied </w:t>
      </w:r>
      <w:r>
        <w:rPr>
          <w:rStyle w:val="Style19"/>
          <w:w w:val="105"/>
        </w:rPr>
        <w:t>his motion.</w:t>
      </w:r>
    </w:p>
    <w:p>
      <w:pPr>
        <w:pStyle w:val="Style18"/>
        <w:kinsoku w:val="0"/>
        <w:autoSpaceDE/>
        <w:autoSpaceDN/>
        <w:spacing w:line="424" w:lineRule="auto"/>
        <w:rPr>
          <w:rStyle w:val="Style19"/>
          <w:w w:val="105"/>
        </w:rPr>
      </w:pPr>
    </w:p>
    <w:p>
      <w:pPr>
        <w:pStyle w:val="Style18"/>
        <w:kinsoku w:val="0"/>
        <w:autoSpaceDE/>
        <w:autoSpaceDN/>
        <w:spacing w:line="424" w:lineRule="auto"/>
        <w:rPr>
          <w:rStyle w:val="Style19"/>
          <w:w w:val="105"/>
        </w:rPr>
      </w:pPr>
      <w:r>
        <w:rPr>
          <w:rStyle w:val="Style19"/>
          <w:spacing w:val="-5"/>
          <w:w w:val="105"/>
        </w:rPr>
        <w:t xml:space="preserve">On May 19, 2009, respondent’s assistant and wife Miranda Agpaoa (Miranda) sent an email informing </w:t>
      </w:r>
      <w:r>
        <w:rPr>
          <w:rStyle w:val="Style19"/>
          <w:spacing w:val="-8"/>
          <w:w w:val="105"/>
        </w:rPr>
        <w:t xml:space="preserve">Corey and Wosen that they would need to provide respondent with a $340 check made out to the </w:t>
      </w:r>
      <w:r>
        <w:rPr>
          <w:rStyle w:val="Style19"/>
          <w:spacing w:val="-1"/>
          <w:w w:val="105"/>
        </w:rPr>
        <w:t xml:space="preserve">“U.S. Dept. of Homeland Security” to be used as a filing fee to file an application to adjust </w:t>
      </w:r>
      <w:r>
        <w:rPr>
          <w:rStyle w:val="Style19"/>
          <w:w w:val="105"/>
        </w:rPr>
        <w:t xml:space="preserve">status.  </w:t>
      </w:r>
      <w:r>
        <w:rPr>
          <w:rStyle w:val="Style19"/>
          <w:spacing w:val="-10"/>
          <w:w w:val="105"/>
        </w:rPr>
        <w:t>On May 26, 2009, Corey mailed a money order for $340 to respondent</w:t>
      </w:r>
      <w:r>
        <w:rPr>
          <w:rStyle w:val="Style19"/>
          <w:spacing w:val="-4"/>
          <w:w w:val="105"/>
        </w:rPr>
        <w:t>, payable to the “U.S. Dept. of Homeland Security.”</w:t>
      </w:r>
    </w:p>
    <w:p>
      <w:pPr>
        <w:pStyle w:val="Style18"/>
        <w:kinsoku w:val="0"/>
        <w:autoSpaceDE/>
        <w:autoSpaceDN/>
        <w:spacing w:line="415" w:lineRule="auto"/>
        <w:rPr>
          <w:rStyle w:val="Style19"/>
          <w:spacing w:val="-4"/>
          <w:w w:val="105"/>
        </w:rPr>
      </w:pPr>
      <w:r>
        <w:rPr>
          <w:rStyle w:val="Style19"/>
          <w:spacing w:val="-4"/>
          <w:w w:val="105"/>
        </w:rPr>
        <w:t xml:space="preserve">On June 5, 2009, respondent’s staff crossed out “U.S. Dept. </w:t>
      </w:r>
      <w:r>
        <w:rPr>
          <w:rStyle w:val="Style19"/>
          <w:spacing w:val="-3"/>
          <w:w w:val="105"/>
        </w:rPr>
        <w:t xml:space="preserve">of Homeland Security,” and wrote in on top, “Law Office of Anthony Agpaoa,” and </w:t>
      </w:r>
      <w:r>
        <w:rPr>
          <w:rStyle w:val="Style19"/>
          <w:spacing w:val="-8"/>
          <w:w w:val="105"/>
        </w:rPr>
        <w:t xml:space="preserve">deposited the funds into a bank account.  Respondent did not subsequently file an application for </w:t>
      </w:r>
      <w:r>
        <w:rPr>
          <w:rStyle w:val="Style19"/>
          <w:spacing w:val="-4"/>
          <w:w w:val="105"/>
        </w:rPr>
        <w:t>adjustment of status.</w:t>
      </w:r>
    </w:p>
    <w:p>
      <w:pPr>
        <w:pStyle w:val="Style18"/>
        <w:kinsoku w:val="0"/>
        <w:autoSpaceDE/>
        <w:autoSpaceDN/>
        <w:spacing w:line="415" w:lineRule="auto"/>
        <w:ind w:right="144"/>
        <w:rPr>
          <w:rStyle w:val="Style19"/>
          <w:spacing w:val="-4"/>
          <w:w w:val="105"/>
        </w:rPr>
      </w:pPr>
      <w:r>
        <w:rPr>
          <w:rStyle w:val="Style19"/>
          <w:spacing w:val="-4"/>
          <w:w w:val="105"/>
        </w:rPr>
        <w:t xml:space="preserve">On July 28, 2009, Corey mailed two money orders to respondent in the amounts of </w:t>
      </w:r>
      <w:r>
        <w:rPr>
          <w:rStyle w:val="Style19"/>
          <w:spacing w:val="-7"/>
          <w:w w:val="105"/>
        </w:rPr>
        <w:t xml:space="preserve">$400 (no. 1125468) and $70, respectively, both payable to the “Department of State.”  Corey sent the </w:t>
      </w:r>
      <w:r>
        <w:rPr>
          <w:rStyle w:val="Style19"/>
          <w:spacing w:val="-9"/>
          <w:w w:val="105"/>
        </w:rPr>
        <w:t xml:space="preserve">money orders to pay an immigrant visa application processing fee, and an affidavit of support </w:t>
      </w:r>
      <w:r>
        <w:rPr>
          <w:rStyle w:val="Style19"/>
          <w:spacing w:val="-4"/>
          <w:w w:val="105"/>
        </w:rPr>
        <w:t>processing fee.</w:t>
      </w:r>
    </w:p>
    <w:p>
      <w:pPr>
        <w:pStyle w:val="Style18"/>
        <w:kinsoku w:val="0"/>
        <w:autoSpaceDE/>
        <w:autoSpaceDN/>
        <w:spacing w:line="424" w:lineRule="auto"/>
        <w:rPr>
          <w:rStyle w:val="Style19"/>
          <w:w w:val="105"/>
        </w:rPr>
      </w:pPr>
      <w:r>
        <w:rPr>
          <w:rStyle w:val="Style19"/>
          <w:spacing w:val="-5"/>
          <w:w w:val="105"/>
        </w:rPr>
        <w:t>On August 12, 2009, respondent crossed out the listed payee, “Department of State,” and wrote in “Anthony D. Agpaoa, Esq.”  Respondent endorsed the back of the money</w:t>
      </w:r>
      <w:r>
        <w:rPr>
          <w:spacing w:val="-8"/>
          <w:w w:val="105"/>
        </w:rPr>
        <w:t xml:space="preserve"> orders and cashed them.  Respondent did not pay either the immigrant visa application or </w:t>
      </w:r>
      <w:r>
        <w:rPr>
          <w:spacing w:val="-5"/>
          <w:w w:val="105"/>
        </w:rPr>
        <w:t>affidavit of support processing fees.</w:t>
      </w:r>
    </w:p>
    <w:p>
      <w:pPr>
        <w:pStyle w:val="Style18"/>
        <w:kinsoku w:val="0"/>
        <w:autoSpaceDE/>
        <w:autoSpaceDN/>
        <w:spacing w:line="417" w:lineRule="auto"/>
        <w:ind w:right="360"/>
        <w:rPr>
          <w:spacing w:val="-4"/>
          <w:w w:val="105"/>
        </w:rPr>
      </w:pPr>
      <w:r>
        <w:rPr>
          <w:rStyle w:val="Style19"/>
          <w:spacing w:val="-11"/>
          <w:w w:val="105"/>
        </w:rPr>
        <w:t xml:space="preserve">In September, 2009, Corey and Wosen terminated respondent and hired </w:t>
      </w:r>
      <w:r>
        <w:rPr>
          <w:rStyle w:val="Style19"/>
          <w:spacing w:val="-4"/>
          <w:w w:val="105"/>
        </w:rPr>
        <w:t xml:space="preserve">attorney Erich Straub (Straub) to handle the immigration matter.  </w:t>
      </w:r>
      <w:r>
        <w:rPr>
          <w:spacing w:val="-6"/>
          <w:w w:val="105"/>
        </w:rPr>
        <w:t xml:space="preserve">On September 16, 2009, Corey wrote an email to </w:t>
      </w:r>
      <w:r>
        <w:rPr>
          <w:spacing w:val="-5"/>
          <w:w w:val="105"/>
        </w:rPr>
        <w:t xml:space="preserve">Miranda requesting that respondent forward the entire file to Corey </w:t>
      </w:r>
      <w:r>
        <w:rPr>
          <w:spacing w:val="-4"/>
          <w:w w:val="105"/>
        </w:rPr>
        <w:t>by that end of the week.</w:t>
      </w:r>
    </w:p>
    <w:p>
      <w:pPr>
        <w:pStyle w:val="Style18"/>
        <w:kinsoku w:val="0"/>
        <w:autoSpaceDE/>
        <w:autoSpaceDN/>
        <w:spacing w:line="480" w:lineRule="auto"/>
        <w:ind w:right="360"/>
        <w:rPr>
          <w:rStyle w:val="Style19"/>
          <w:spacing w:val="-4"/>
          <w:w w:val="105"/>
        </w:rPr>
      </w:pPr>
      <w:r>
        <w:rPr>
          <w:rStyle w:val="Style19"/>
          <w:spacing w:val="-5"/>
          <w:w w:val="105"/>
        </w:rPr>
        <w:t xml:space="preserve">On October 8, 2009, Straub faxed and mailed a letter to respondent requesting Wosen’s case file from respondent.  Respondent received the letter, but did not reply or </w:t>
      </w:r>
      <w:r>
        <w:rPr>
          <w:rStyle w:val="Style19"/>
          <w:spacing w:val="-4"/>
          <w:w w:val="105"/>
        </w:rPr>
        <w:t>turn over the file.</w:t>
      </w:r>
    </w:p>
    <w:p>
      <w:pPr>
        <w:pStyle w:val="Style18"/>
        <w:kinsoku w:val="0"/>
        <w:autoSpaceDE/>
        <w:autoSpaceDN/>
        <w:spacing w:line="480" w:lineRule="auto"/>
        <w:ind w:right="0"/>
        <w:rPr>
          <w:rStyle w:val="Style19"/>
          <w:w w:val="105"/>
        </w:rPr>
      </w:pPr>
      <w:r>
        <w:rPr>
          <w:rStyle w:val="Style19"/>
          <w:spacing w:val="-3"/>
          <w:w w:val="105"/>
        </w:rPr>
        <w:t xml:space="preserve">On October 20, 2009, Straub emailed respondent, requesting the case file.  </w:t>
      </w:r>
      <w:r>
        <w:rPr>
          <w:rStyle w:val="Style19"/>
          <w:w w:val="105"/>
        </w:rPr>
        <w:t>On October 21, 2009, Straub faxed, emailed, and mailed a letter to respondent</w:t>
      </w:r>
      <w:r>
        <w:rPr>
          <w:rStyle w:val="Style19"/>
          <w:spacing w:val="-5"/>
          <w:w w:val="105"/>
        </w:rPr>
        <w:t xml:space="preserve"> requesting the case file.  Respondent received the letter, but did not reply or turn over the case </w:t>
      </w:r>
      <w:r>
        <w:rPr>
          <w:rStyle w:val="Style19"/>
          <w:w w:val="105"/>
        </w:rPr>
        <w:t>file.</w:t>
      </w:r>
    </w:p>
    <w:p>
      <w:pPr>
        <w:pStyle w:val="Style18"/>
        <w:kinsoku w:val="0"/>
        <w:autoSpaceDE/>
        <w:autoSpaceDN/>
        <w:spacing w:line="480" w:lineRule="auto"/>
        <w:ind w:right="0"/>
        <w:rPr>
          <w:rStyle w:val="Style19"/>
          <w:spacing w:val="-3"/>
          <w:w w:val="105"/>
        </w:rPr>
      </w:pPr>
    </w:p>
    <w:p>
      <w:pPr>
        <w:pStyle w:val="Style18"/>
        <w:kinsoku w:val="0"/>
        <w:autoSpaceDE/>
        <w:autoSpaceDN/>
        <w:spacing w:line="480" w:lineRule="auto"/>
        <w:ind w:right="0"/>
        <w:rPr>
          <w:spacing w:val="-3"/>
          <w:w w:val="105"/>
        </w:rPr>
      </w:pPr>
      <w:r>
        <w:rPr>
          <w:spacing w:val="-9"/>
          <w:w w:val="105"/>
        </w:rPr>
        <w:t xml:space="preserve">Subsequent to October 8, 2009, Davorin Odrcic, an attorney working with Straub, </w:t>
      </w:r>
      <w:r>
        <w:rPr>
          <w:spacing w:val="-8"/>
          <w:w w:val="105"/>
        </w:rPr>
        <w:t>repeatedly telephoned respondent to request the file.  Respondent did not respond to Straub’s telephone calls</w:t>
      </w:r>
      <w:r>
        <w:rPr>
          <w:spacing w:val="-4"/>
          <w:w w:val="105"/>
        </w:rPr>
        <w:t>.  Time was of the essence since Wosen had been detained by the U.S. Immigration and Customs Enforcement (ICE) since September 2009.</w:t>
      </w:r>
      <w:r>
        <w:rPr>
          <w:spacing w:val="-3"/>
          <w:w w:val="105"/>
        </w:rPr>
        <w:t xml:space="preserve">  </w:t>
      </w:r>
      <w:r>
        <w:rPr>
          <w:spacing w:val="-5"/>
          <w:w w:val="105"/>
        </w:rPr>
        <w:t>Respondent, however, never did turn over the client file.</w:t>
      </w:r>
    </w:p>
    <w:p>
      <w:pPr>
        <w:spacing w:line="480" w:lineRule="auto"/>
        <w:ind w:firstLine="720"/>
        <w:rPr>
          <w:b/>
        </w:rPr>
      </w:pPr>
      <w:r>
        <w:rPr>
          <w:b/>
        </w:rPr>
        <w:t>Conclusions</w:t>
      </w:r>
    </w:p>
    <w:p>
      <w:pPr>
        <w:spacing w:line="480" w:lineRule="auto"/>
        <w:ind w:firstLine="720"/>
      </w:pPr>
      <w:r>
        <w:rPr>
          <w:b/>
          <w:i/>
        </w:rPr>
        <w:t>Count One – Rule 3-110(A) [Failure to Perform Legal Services with Competence]</w:t>
      </w:r>
    </w:p>
    <w:p>
      <w:pPr>
        <w:spacing w:line="480" w:lineRule="auto"/>
        <w:ind w:firstLine="720"/>
        <w:contextualSpacing/>
      </w:pPr>
      <w:r>
        <w:t xml:space="preserve">Rule 3-110(A) provides that an attorney must not intentionally, recklessly, or repeatedly fail to perform legal services with competence.  By failing to timely file Wosen’s petition for review with the Eleventh Circuit Court of Appeals, and by filing a motion to reissue the BIA’s </w:t>
      </w:r>
      <w:r>
        <w:rPr>
          <w:rStyle w:val="Style19"/>
          <w:spacing w:val="-3"/>
          <w:w w:val="105"/>
        </w:rPr>
        <w:t>August 12, 2008 decision</w:t>
      </w:r>
      <w:r>
        <w:t xml:space="preserve"> without notifying his clients or getting their permission, respondent intentionally, recklessly, or repeatedly failed to perform legal services with competence, in willful violation of rule 3-110(A).</w:t>
      </w:r>
    </w:p>
    <w:p>
      <w:pPr>
        <w:spacing w:line="480" w:lineRule="auto"/>
        <w:ind w:firstLine="720"/>
        <w:contextualSpacing/>
        <w:rPr>
          <w:b/>
        </w:rPr>
      </w:pPr>
      <w:r>
        <w:rPr>
          <w:b/>
          <w:i/>
        </w:rPr>
        <w:t>Count Two – Rule 3-700(D)(1) [Failure to Return Client Papers/Property]</w:t>
      </w:r>
    </w:p>
    <w:p>
      <w:pPr>
        <w:spacing w:line="480" w:lineRule="auto"/>
        <w:ind w:firstLine="720"/>
      </w:pPr>
      <w:r>
        <w:t xml:space="preserve">Rule 3-700(D)(1) requires an attorney, upon termination of employment, to promptly release to the client, at the client’s request, all client papers and property, subject to any protective order or non-disclosure agreement.  By failing to promptly turn over Wosen’s case file, respondent, failed to promptly release all client papers and property at the request of the client upon termination of employment, in willful violation of rule 3-700(D)(1).  </w:t>
      </w:r>
    </w:p>
    <w:p>
      <w:pPr>
        <w:pStyle w:val="ListParagraph"/>
        <w:tabs>
          <w:tab w:val="left" w:pos="720"/>
        </w:tabs>
        <w:spacing w:line="480" w:lineRule="auto"/>
      </w:pPr>
      <w:r>
        <w:rPr>
          <w:b/>
          <w:i/>
        </w:rPr>
        <w:t>Count Three – Section 6106 [Moral Turpitude]</w:t>
      </w:r>
    </w:p>
    <w:p>
      <w:pPr>
        <w:spacing w:line="480" w:lineRule="auto"/>
        <w:ind w:firstLine="720"/>
      </w:pPr>
      <w:r>
        <w:t>Section 6106 prohibits an attorney from engaging in conduct involving moral turpitude, dishonesty, or corruption.  “‘There is no doubt that the wilful misappropriation of a client’s funds involves moral turpitude.  [Citations.]’  [Citations omitted.]”  (</w:t>
      </w:r>
      <w:r>
        <w:rPr>
          <w:i/>
        </w:rPr>
        <w:t>McKnight v. State Bar</w:t>
      </w:r>
      <w:r>
        <w:t xml:space="preserve"> (1991) 53 Cal.3d 1025, 1033-1034.)  By altering three of his client’s money orders (totaling $810), making them payable to himself, cashing them, and failing to use the funds for the intended purpose, respondent committed acts involving moral turpitude, dishonesty, or corruption, in willful violation of section 6106. </w:t>
      </w:r>
    </w:p>
    <w:p>
      <w:pPr>
        <w:spacing w:line="480" w:lineRule="auto"/>
        <w:contextualSpacing/>
        <w:rPr>
          <w:b/>
        </w:rPr>
      </w:pPr>
      <w:r>
        <w:rPr>
          <w:b/>
        </w:rPr>
        <w:t>The Creason Matter – Case No. 10-O-07868</w:t>
      </w:r>
    </w:p>
    <w:p>
      <w:pPr>
        <w:spacing w:line="480" w:lineRule="auto"/>
        <w:ind w:firstLine="720"/>
        <w:rPr>
          <w:b/>
        </w:rPr>
      </w:pPr>
      <w:r>
        <w:rPr>
          <w:b/>
        </w:rPr>
        <w:t>Facts</w:t>
      </w:r>
    </w:p>
    <w:p>
      <w:pPr>
        <w:widowControl w:val="0"/>
        <w:kinsoku w:val="0"/>
        <w:spacing w:line="403" w:lineRule="auto"/>
        <w:ind w:right="288" w:firstLine="720"/>
        <w:rPr>
          <w:spacing w:val="-5"/>
          <w:w w:val="105"/>
        </w:rPr>
      </w:pPr>
      <w:r>
        <w:rPr>
          <w:spacing w:val="-10"/>
          <w:w w:val="105"/>
        </w:rPr>
        <w:t xml:space="preserve">On May 30, 2008, Yvonne Creason (Creason) employed respondent to </w:t>
      </w:r>
      <w:r>
        <w:rPr>
          <w:spacing w:val="-2"/>
          <w:w w:val="105"/>
        </w:rPr>
        <w:t xml:space="preserve">handle a marriage dissolution matter in the </w:t>
      </w:r>
      <w:r>
        <w:rPr>
          <w:spacing w:val="-5"/>
          <w:w w:val="105"/>
        </w:rPr>
        <w:t>San Mateo</w:t>
      </w:r>
      <w:r>
        <w:rPr>
          <w:spacing w:val="-2"/>
          <w:w w:val="105"/>
        </w:rPr>
        <w:t xml:space="preserve"> </w:t>
      </w:r>
      <w:r>
        <w:rPr>
          <w:spacing w:val="-5"/>
          <w:w w:val="105"/>
        </w:rPr>
        <w:t>Superior Court</w:t>
      </w:r>
      <w:r>
        <w:rPr>
          <w:spacing w:val="-2"/>
          <w:w w:val="105"/>
        </w:rPr>
        <w:t xml:space="preserve"> entitled, </w:t>
      </w:r>
      <w:r>
        <w:rPr>
          <w:i/>
          <w:iCs/>
          <w:spacing w:val="-2"/>
          <w:sz w:val="25"/>
          <w:szCs w:val="25"/>
        </w:rPr>
        <w:t xml:space="preserve">Yvonne Marie Creason v. Richard Michael </w:t>
      </w:r>
      <w:r>
        <w:rPr>
          <w:i/>
          <w:iCs/>
          <w:spacing w:val="-5"/>
          <w:sz w:val="25"/>
          <w:szCs w:val="25"/>
        </w:rPr>
        <w:t>Balison</w:t>
      </w:r>
      <w:r>
        <w:rPr>
          <w:iCs/>
          <w:spacing w:val="-5"/>
          <w:sz w:val="25"/>
          <w:szCs w:val="25"/>
        </w:rPr>
        <w:t xml:space="preserve">, </w:t>
      </w:r>
      <w:r>
        <w:rPr>
          <w:spacing w:val="-5"/>
          <w:w w:val="105"/>
        </w:rPr>
        <w:t>case no. FAM-05-8805.</w:t>
      </w:r>
    </w:p>
    <w:p>
      <w:pPr>
        <w:pStyle w:val="Style18"/>
        <w:kinsoku w:val="0"/>
        <w:autoSpaceDE/>
        <w:autoSpaceDN/>
        <w:spacing w:line="415" w:lineRule="auto"/>
        <w:ind w:right="216"/>
        <w:rPr>
          <w:rStyle w:val="Style19"/>
          <w:spacing w:val="-4"/>
          <w:w w:val="105"/>
        </w:rPr>
      </w:pPr>
      <w:r>
        <w:rPr>
          <w:rStyle w:val="Style19"/>
          <w:spacing w:val="-4"/>
          <w:w w:val="105"/>
        </w:rPr>
        <w:t xml:space="preserve">On April 20, 2009, respondent sent Creason a billing statement, covering a period from May 30, 2008 through April 20, 2009.  </w:t>
      </w:r>
      <w:r>
        <w:rPr>
          <w:rStyle w:val="Style19"/>
          <w:spacing w:val="-11"/>
          <w:w w:val="105"/>
        </w:rPr>
        <w:t xml:space="preserve">On April 22, 2009, respondent made a $6,243.68 charge to </w:t>
      </w:r>
      <w:r>
        <w:rPr>
          <w:rStyle w:val="Style19"/>
          <w:spacing w:val="-4"/>
          <w:w w:val="105"/>
        </w:rPr>
        <w:t>Creason’s credit card.</w:t>
      </w:r>
    </w:p>
    <w:p>
      <w:pPr>
        <w:pStyle w:val="Style18"/>
        <w:kinsoku w:val="0"/>
        <w:autoSpaceDE/>
        <w:autoSpaceDN/>
        <w:spacing w:line="415" w:lineRule="auto"/>
        <w:ind w:right="288"/>
        <w:rPr>
          <w:rStyle w:val="Style19"/>
          <w:spacing w:val="-4"/>
          <w:w w:val="105"/>
        </w:rPr>
      </w:pPr>
      <w:r>
        <w:rPr>
          <w:rStyle w:val="Style19"/>
          <w:spacing w:val="-11"/>
          <w:w w:val="105"/>
        </w:rPr>
        <w:t xml:space="preserve">On May 26, 2009, respondent made a $5,000 charge to </w:t>
      </w:r>
      <w:r>
        <w:rPr>
          <w:rStyle w:val="Style19"/>
          <w:spacing w:val="-4"/>
          <w:w w:val="105"/>
        </w:rPr>
        <w:t>Creason’s credit card.  Subsequently, Creason requested that respondent provide a billing statement to account for his fees.</w:t>
      </w:r>
    </w:p>
    <w:p>
      <w:pPr>
        <w:pStyle w:val="Style18"/>
        <w:kinsoku w:val="0"/>
        <w:autoSpaceDE/>
        <w:autoSpaceDN/>
        <w:ind w:right="288"/>
        <w:rPr>
          <w:spacing w:val="-4"/>
          <w:w w:val="105"/>
        </w:rPr>
      </w:pPr>
      <w:r>
        <w:rPr>
          <w:rStyle w:val="Style19"/>
          <w:spacing w:val="-11"/>
          <w:w w:val="105"/>
        </w:rPr>
        <w:t xml:space="preserve">On June 13, 2009, respondent made a $3,500 charge to </w:t>
      </w:r>
      <w:r>
        <w:rPr>
          <w:rStyle w:val="Style19"/>
          <w:spacing w:val="-4"/>
          <w:w w:val="105"/>
        </w:rPr>
        <w:t>Creason’s credit card.  On June 18, 2009, Creason emailed respondent and told him she had not authorized the $3,500 credit card charge on June 13, 2009.  On June 20, 2009, Creason emailed respondent and requested a billing statement.  Respondent never provided another billing statement</w:t>
      </w:r>
      <w:r>
        <w:rPr>
          <w:rStyle w:val="FootnoteReference"/>
          <w:spacing w:val="-4"/>
          <w:w w:val="105"/>
        </w:rPr>
        <w:footnoteReference w:id="4"/>
      </w:r>
      <w:r>
        <w:rPr>
          <w:rStyle w:val="Style19"/>
          <w:spacing w:val="-4"/>
          <w:w w:val="105"/>
        </w:rPr>
        <w:t xml:space="preserve"> or fully </w:t>
      </w:r>
      <w:r>
        <w:rPr>
          <w:spacing w:val="-11"/>
          <w:w w:val="105"/>
        </w:rPr>
        <w:t xml:space="preserve">accounted for all of the charges he made on </w:t>
      </w:r>
      <w:r>
        <w:rPr>
          <w:spacing w:val="-4"/>
          <w:w w:val="105"/>
        </w:rPr>
        <w:t>Creason’s credit card.</w:t>
      </w:r>
      <w:r>
        <w:rPr>
          <w:rStyle w:val="FootnoteReference"/>
          <w:spacing w:val="-4"/>
          <w:w w:val="105"/>
        </w:rPr>
        <w:footnoteReference w:id="5"/>
      </w:r>
      <w:r>
        <w:rPr>
          <w:spacing w:val="-4"/>
          <w:w w:val="105"/>
        </w:rPr>
        <w:t xml:space="preserve">  </w:t>
      </w:r>
    </w:p>
    <w:p>
      <w:pPr>
        <w:pStyle w:val="Style18"/>
        <w:kinsoku w:val="0"/>
        <w:autoSpaceDE/>
        <w:autoSpaceDN/>
        <w:rPr>
          <w:rStyle w:val="Style19"/>
          <w:spacing w:val="-5"/>
          <w:w w:val="105"/>
        </w:rPr>
      </w:pPr>
      <w:r>
        <w:rPr>
          <w:rStyle w:val="Style19"/>
          <w:spacing w:val="-5"/>
          <w:w w:val="105"/>
        </w:rPr>
        <w:t>On July 14, 2009, respondent filed, on Creason’s behalf, a motion seeking a q</w:t>
      </w:r>
      <w:r>
        <w:rPr>
          <w:rStyle w:val="Style19"/>
          <w:spacing w:val="-3"/>
          <w:w w:val="105"/>
        </w:rPr>
        <w:t xml:space="preserve">ualified domestic relations order and a determination as to the date </w:t>
      </w:r>
      <w:r>
        <w:rPr>
          <w:rStyle w:val="Style19"/>
          <w:spacing w:val="-5"/>
          <w:w w:val="105"/>
        </w:rPr>
        <w:t xml:space="preserve">of separation between Creason and her husband.  In the motion, respondent contended that the </w:t>
      </w:r>
      <w:r>
        <w:rPr>
          <w:rStyle w:val="Style19"/>
          <w:spacing w:val="-7"/>
          <w:w w:val="105"/>
        </w:rPr>
        <w:t xml:space="preserve">date of separation between Creason and her husband was March 30, </w:t>
      </w:r>
      <w:r>
        <w:rPr>
          <w:rStyle w:val="Style19"/>
          <w:spacing w:val="-4"/>
          <w:w w:val="105"/>
        </w:rPr>
        <w:t>2008.</w:t>
      </w:r>
      <w:r>
        <w:rPr>
          <w:rStyle w:val="FootnoteReference"/>
          <w:spacing w:val="-4"/>
          <w:w w:val="105"/>
        </w:rPr>
        <w:footnoteReference w:id="6"/>
      </w:r>
      <w:r>
        <w:rPr>
          <w:rStyle w:val="Style19"/>
          <w:spacing w:val="-4"/>
          <w:w w:val="105"/>
        </w:rPr>
        <w:t xml:space="preserve">  The court </w:t>
      </w:r>
      <w:r>
        <w:rPr>
          <w:rStyle w:val="Style19"/>
          <w:spacing w:val="-5"/>
          <w:w w:val="105"/>
        </w:rPr>
        <w:t xml:space="preserve">set a hearing in this motion for August 6, 2009.  </w:t>
      </w:r>
      <w:r>
        <w:rPr>
          <w:rStyle w:val="Style19"/>
          <w:spacing w:val="-1"/>
          <w:w w:val="105"/>
        </w:rPr>
        <w:t xml:space="preserve">On August 6, 2009, the court, upon the parties’ request, continued the </w:t>
      </w:r>
      <w:r>
        <w:rPr>
          <w:rStyle w:val="Style19"/>
          <w:spacing w:val="-9"/>
          <w:w w:val="105"/>
        </w:rPr>
        <w:t xml:space="preserve">qualified domestic relations </w:t>
      </w:r>
      <w:r>
        <w:rPr>
          <w:rStyle w:val="Style19"/>
          <w:spacing w:val="-4"/>
          <w:w w:val="105"/>
        </w:rPr>
        <w:t>hearing</w:t>
      </w:r>
      <w:r>
        <w:rPr>
          <w:rStyle w:val="Style19"/>
          <w:spacing w:val="-1"/>
          <w:w w:val="105"/>
        </w:rPr>
        <w:t xml:space="preserve"> to October 26, 2009.</w:t>
      </w:r>
    </w:p>
    <w:p>
      <w:pPr>
        <w:pStyle w:val="Style18"/>
        <w:kinsoku w:val="0"/>
        <w:autoSpaceDE/>
        <w:autoSpaceDN/>
        <w:ind w:right="0"/>
        <w:rPr>
          <w:rStyle w:val="Style19"/>
          <w:spacing w:val="-5"/>
          <w:w w:val="105"/>
        </w:rPr>
      </w:pPr>
      <w:r>
        <w:rPr>
          <w:rStyle w:val="Style19"/>
          <w:spacing w:val="-5"/>
          <w:w w:val="105"/>
        </w:rPr>
        <w:t xml:space="preserve">On September 24, 2009, respondent and Creason were present </w:t>
      </w:r>
      <w:r>
        <w:rPr>
          <w:rStyle w:val="Style19"/>
          <w:spacing w:val="-9"/>
          <w:w w:val="105"/>
        </w:rPr>
        <w:t xml:space="preserve">for an order to show cause regarding modification of child custody </w:t>
      </w:r>
      <w:r>
        <w:rPr>
          <w:rStyle w:val="Style19"/>
          <w:w w:val="105"/>
        </w:rPr>
        <w:t xml:space="preserve">(the custody matter) </w:t>
      </w:r>
      <w:r>
        <w:rPr>
          <w:rStyle w:val="Style19"/>
          <w:spacing w:val="-5"/>
          <w:w w:val="105"/>
        </w:rPr>
        <w:t xml:space="preserve">in </w:t>
      </w:r>
      <w:r>
        <w:rPr>
          <w:rStyle w:val="Style19"/>
          <w:spacing w:val="-8"/>
          <w:w w:val="105"/>
        </w:rPr>
        <w:t xml:space="preserve">the San Mateo County Superior Court, before </w:t>
      </w:r>
      <w:r>
        <w:rPr>
          <w:rStyle w:val="Style19"/>
          <w:spacing w:val="-9"/>
          <w:w w:val="105"/>
        </w:rPr>
        <w:t>Commissioner</w:t>
      </w:r>
      <w:r>
        <w:rPr>
          <w:rStyle w:val="Style19"/>
          <w:spacing w:val="-8"/>
          <w:w w:val="105"/>
        </w:rPr>
        <w:t xml:space="preserve"> Kathleen </w:t>
      </w:r>
      <w:r>
        <w:rPr>
          <w:rStyle w:val="Style19"/>
          <w:spacing w:val="-9"/>
          <w:w w:val="105"/>
        </w:rPr>
        <w:t>McKenna</w:t>
      </w:r>
      <w:r>
        <w:rPr>
          <w:rStyle w:val="Style19"/>
          <w:w w:val="105"/>
        </w:rPr>
        <w:t xml:space="preserve">.  On that date, the court informed the parties that the next </w:t>
      </w:r>
      <w:r>
        <w:rPr>
          <w:rStyle w:val="Style19"/>
          <w:spacing w:val="-5"/>
          <w:w w:val="105"/>
        </w:rPr>
        <w:t>hearing in the custody matter would be December 14, 2009.</w:t>
      </w:r>
    </w:p>
    <w:p>
      <w:pPr>
        <w:pStyle w:val="Style18"/>
        <w:kinsoku w:val="0"/>
        <w:autoSpaceDE/>
        <w:autoSpaceDN/>
        <w:rPr>
          <w:rStyle w:val="Style19"/>
          <w:spacing w:val="-4"/>
          <w:w w:val="105"/>
        </w:rPr>
      </w:pPr>
      <w:r>
        <w:rPr>
          <w:rStyle w:val="Style19"/>
          <w:spacing w:val="-7"/>
          <w:w w:val="105"/>
        </w:rPr>
        <w:t xml:space="preserve">On October 21, 2009, respondent and </w:t>
      </w:r>
      <w:r>
        <w:rPr>
          <w:spacing w:val="-9"/>
          <w:w w:val="105"/>
        </w:rPr>
        <w:t>opposing counsel,</w:t>
      </w:r>
      <w:r>
        <w:rPr>
          <w:rStyle w:val="Style19"/>
          <w:spacing w:val="-7"/>
          <w:w w:val="105"/>
        </w:rPr>
        <w:t xml:space="preserve"> </w:t>
      </w:r>
      <w:r>
        <w:rPr>
          <w:spacing w:val="-9"/>
          <w:w w:val="105"/>
        </w:rPr>
        <w:t xml:space="preserve">Patricia Burke (Burke), </w:t>
      </w:r>
      <w:r>
        <w:rPr>
          <w:rStyle w:val="Style19"/>
          <w:spacing w:val="-7"/>
          <w:w w:val="105"/>
        </w:rPr>
        <w:t xml:space="preserve">again stipulated to continue </w:t>
      </w:r>
      <w:r>
        <w:rPr>
          <w:rStyle w:val="Style19"/>
          <w:spacing w:val="-4"/>
          <w:w w:val="105"/>
        </w:rPr>
        <w:t xml:space="preserve">the </w:t>
      </w:r>
      <w:r>
        <w:rPr>
          <w:rStyle w:val="Style19"/>
          <w:spacing w:val="-9"/>
          <w:w w:val="105"/>
        </w:rPr>
        <w:t xml:space="preserve">qualified domestic relations </w:t>
      </w:r>
      <w:r>
        <w:rPr>
          <w:rStyle w:val="Style19"/>
          <w:spacing w:val="-4"/>
          <w:w w:val="105"/>
        </w:rPr>
        <w:t xml:space="preserve">hearing until December 21, 2009.  </w:t>
      </w:r>
      <w:r>
        <w:rPr>
          <w:rStyle w:val="Style19"/>
          <w:spacing w:val="-8"/>
          <w:w w:val="105"/>
        </w:rPr>
        <w:t>On October 26, 2009, the court granted the continuance</w:t>
      </w:r>
      <w:r>
        <w:rPr>
          <w:rStyle w:val="Style19"/>
          <w:w w:val="105"/>
        </w:rPr>
        <w:t>.</w:t>
      </w:r>
    </w:p>
    <w:p>
      <w:pPr>
        <w:widowControl w:val="0"/>
        <w:kinsoku w:val="0"/>
        <w:spacing w:line="412" w:lineRule="auto"/>
        <w:ind w:firstLine="720"/>
        <w:rPr>
          <w:rStyle w:val="Style19"/>
          <w:spacing w:val="-10"/>
          <w:w w:val="105"/>
        </w:rPr>
      </w:pPr>
      <w:r>
        <w:rPr>
          <w:spacing w:val="-9"/>
          <w:w w:val="105"/>
        </w:rPr>
        <w:t>On December 8, 2009, Burke</w:t>
      </w:r>
      <w:r>
        <w:rPr>
          <w:spacing w:val="-6"/>
          <w:w w:val="105"/>
        </w:rPr>
        <w:t xml:space="preserve"> contacted respondent via email and requested a continuance of the December </w:t>
      </w:r>
      <w:r>
        <w:rPr>
          <w:spacing w:val="-10"/>
          <w:w w:val="105"/>
        </w:rPr>
        <w:t xml:space="preserve">14 hearing in the custody matter.  </w:t>
      </w:r>
      <w:r>
        <w:rPr>
          <w:rStyle w:val="Style19"/>
          <w:spacing w:val="-6"/>
          <w:w w:val="105"/>
        </w:rPr>
        <w:t xml:space="preserve">On December 8, 2009, respondent replied to Burke, via email, </w:t>
      </w:r>
      <w:r>
        <w:rPr>
          <w:rStyle w:val="Style19"/>
          <w:spacing w:val="-3"/>
          <w:w w:val="105"/>
        </w:rPr>
        <w:t xml:space="preserve">stating, “What is the purpose of this hearing.  Let’s continue this.  </w:t>
      </w:r>
      <w:r>
        <w:rPr>
          <w:rStyle w:val="Style19"/>
          <w:spacing w:val="-5"/>
          <w:w w:val="105"/>
        </w:rPr>
        <w:t xml:space="preserve">[Creason] </w:t>
      </w:r>
      <w:r>
        <w:rPr>
          <w:rStyle w:val="Style19"/>
          <w:spacing w:val="-3"/>
          <w:w w:val="105"/>
        </w:rPr>
        <w:t>is in the vicinity.”</w:t>
      </w:r>
    </w:p>
    <w:p>
      <w:pPr>
        <w:pStyle w:val="Style18"/>
        <w:kinsoku w:val="0"/>
        <w:autoSpaceDE/>
        <w:autoSpaceDN/>
        <w:ind w:right="144"/>
        <w:rPr>
          <w:rStyle w:val="Style19"/>
          <w:spacing w:val="-3"/>
          <w:w w:val="105"/>
        </w:rPr>
      </w:pPr>
      <w:r>
        <w:rPr>
          <w:rStyle w:val="Style19"/>
          <w:spacing w:val="-9"/>
          <w:w w:val="105"/>
        </w:rPr>
        <w:t xml:space="preserve">On December 9, 2009, respondent emailed Burke, stating, in relevant part, </w:t>
      </w:r>
      <w:r>
        <w:rPr>
          <w:rStyle w:val="Style19"/>
          <w:spacing w:val="-5"/>
          <w:w w:val="105"/>
        </w:rPr>
        <w:t xml:space="preserve">“[Creason] is in the area but I don’t want her appearance on Monday.  But she will fight to have </w:t>
      </w:r>
      <w:r>
        <w:rPr>
          <w:rStyle w:val="Style19"/>
          <w:spacing w:val="-3"/>
          <w:w w:val="105"/>
        </w:rPr>
        <w:t>this appearance since she feels that she has no home and hasn’t seen the kids . . . .”</w:t>
      </w:r>
    </w:p>
    <w:p>
      <w:pPr>
        <w:pStyle w:val="Style18"/>
        <w:kinsoku w:val="0"/>
        <w:autoSpaceDE/>
        <w:autoSpaceDN/>
        <w:ind w:right="0"/>
        <w:rPr>
          <w:rStyle w:val="Style19"/>
        </w:rPr>
      </w:pPr>
      <w:r>
        <w:rPr>
          <w:rStyle w:val="Style19"/>
          <w:spacing w:val="-4"/>
          <w:w w:val="105"/>
        </w:rPr>
        <w:t xml:space="preserve">On December 11, 2009, respondent contacted Burke and told her that </w:t>
      </w:r>
      <w:r>
        <w:rPr>
          <w:rStyle w:val="Style19"/>
          <w:spacing w:val="-3"/>
          <w:w w:val="105"/>
        </w:rPr>
        <w:t xml:space="preserve">Creason was ill and could not attend the December 14, 2009 hearing in the custody matter.  Respondent had </w:t>
      </w:r>
      <w:r>
        <w:rPr>
          <w:rStyle w:val="Style19"/>
          <w:spacing w:val="-9"/>
          <w:w w:val="105"/>
        </w:rPr>
        <w:t xml:space="preserve">Burke co-sign a letter to the court stating that Creason was ill, and requesting a continuance from </w:t>
      </w:r>
      <w:r>
        <w:rPr>
          <w:rStyle w:val="Style19"/>
          <w:spacing w:val="-2"/>
          <w:w w:val="105"/>
        </w:rPr>
        <w:t xml:space="preserve">December 14, 2009 to January 21, 2010.  Respondent faxed the letter to the court.  </w:t>
      </w:r>
    </w:p>
    <w:p>
      <w:pPr>
        <w:pStyle w:val="Style18"/>
        <w:tabs>
          <w:tab w:val="num" w:pos="1152"/>
        </w:tabs>
        <w:kinsoku w:val="0"/>
        <w:autoSpaceDE/>
        <w:autoSpaceDN/>
        <w:spacing w:line="415" w:lineRule="auto"/>
        <w:ind w:right="0"/>
        <w:rPr>
          <w:rStyle w:val="Style19"/>
          <w:spacing w:val="-4"/>
          <w:w w:val="105"/>
        </w:rPr>
      </w:pPr>
      <w:r>
        <w:rPr>
          <w:rStyle w:val="Style19"/>
          <w:spacing w:val="-9"/>
          <w:w w:val="105"/>
        </w:rPr>
        <w:t xml:space="preserve">Prior to December 14, 2009, Creason flew to California from Michigan to attend the custody matter </w:t>
      </w:r>
      <w:r>
        <w:rPr>
          <w:rStyle w:val="Style19"/>
          <w:spacing w:val="-4"/>
          <w:w w:val="105"/>
        </w:rPr>
        <w:t xml:space="preserve">hearing.  </w:t>
      </w:r>
      <w:r>
        <w:rPr>
          <w:rStyle w:val="Style19"/>
          <w:spacing w:val="-10"/>
          <w:w w:val="105"/>
        </w:rPr>
        <w:t xml:space="preserve">On December 14, 2009, Burke faxed a correspondence to Commissioner McKenna in </w:t>
      </w:r>
      <w:r>
        <w:rPr>
          <w:rStyle w:val="Style19"/>
          <w:spacing w:val="-4"/>
          <w:w w:val="105"/>
        </w:rPr>
        <w:t xml:space="preserve">which she stated that the parties stipulated to a continuance of the hearing in the custody matter, and requested the court grant a continuance.  </w:t>
      </w:r>
      <w:r>
        <w:rPr>
          <w:rStyle w:val="Style19"/>
          <w:spacing w:val="-7"/>
          <w:w w:val="105"/>
        </w:rPr>
        <w:t xml:space="preserve">On December 14, 2009, Commissioner McKenna continued the custody matter hearing to January </w:t>
      </w:r>
      <w:r>
        <w:rPr>
          <w:rStyle w:val="Style19"/>
          <w:w w:val="105"/>
        </w:rPr>
        <w:t>21, 2010.</w:t>
      </w:r>
    </w:p>
    <w:p>
      <w:pPr>
        <w:pStyle w:val="Style18"/>
        <w:tabs>
          <w:tab w:val="num" w:pos="1152"/>
        </w:tabs>
        <w:kinsoku w:val="0"/>
        <w:autoSpaceDE/>
        <w:autoSpaceDN/>
        <w:spacing w:line="420" w:lineRule="auto"/>
        <w:ind w:right="0"/>
        <w:rPr>
          <w:rStyle w:val="Style19"/>
          <w:spacing w:val="-5"/>
          <w:w w:val="105"/>
        </w:rPr>
      </w:pPr>
      <w:r>
        <w:rPr>
          <w:rStyle w:val="Style19"/>
          <w:spacing w:val="-4"/>
          <w:w w:val="105"/>
        </w:rPr>
        <w:t xml:space="preserve">On December 21, 2009, the court continued the hearing regarding the qualified domestic relations order until January 21, 2010, the </w:t>
      </w:r>
      <w:r>
        <w:rPr>
          <w:rStyle w:val="Style19"/>
          <w:spacing w:val="-7"/>
          <w:w w:val="105"/>
        </w:rPr>
        <w:t>same date as the custody matter hearing</w:t>
      </w:r>
      <w:r>
        <w:rPr>
          <w:rStyle w:val="Style19"/>
          <w:spacing w:val="-5"/>
          <w:w w:val="105"/>
        </w:rPr>
        <w:t>.</w:t>
      </w:r>
    </w:p>
    <w:p>
      <w:pPr>
        <w:pStyle w:val="Style18"/>
        <w:tabs>
          <w:tab w:val="num" w:pos="1152"/>
        </w:tabs>
        <w:kinsoku w:val="0"/>
        <w:autoSpaceDE/>
        <w:autoSpaceDN/>
        <w:spacing w:line="420" w:lineRule="auto"/>
        <w:ind w:right="0"/>
        <w:rPr>
          <w:spacing w:val="-4"/>
          <w:w w:val="105"/>
        </w:rPr>
      </w:pPr>
      <w:r>
        <w:rPr>
          <w:rStyle w:val="Style19"/>
          <w:spacing w:val="-3"/>
          <w:w w:val="105"/>
        </w:rPr>
        <w:t xml:space="preserve">On January 21, 2010, respondent failed to appear in court on behalf of </w:t>
      </w:r>
      <w:r>
        <w:rPr>
          <w:spacing w:val="-8"/>
          <w:w w:val="105"/>
        </w:rPr>
        <w:t xml:space="preserve">Creason.  Without respondent’s appearance, the court </w:t>
      </w:r>
      <w:r>
        <w:rPr>
          <w:spacing w:val="-4"/>
          <w:w w:val="105"/>
        </w:rPr>
        <w:t>established the date of separation as February 2, 2000, nearly eight years earlier than respondent had requested in his moving papers.</w:t>
      </w:r>
    </w:p>
    <w:p>
      <w:pPr>
        <w:pStyle w:val="Style18"/>
        <w:tabs>
          <w:tab w:val="num" w:pos="1152"/>
        </w:tabs>
        <w:kinsoku w:val="0"/>
        <w:autoSpaceDE/>
        <w:autoSpaceDN/>
        <w:spacing w:line="420" w:lineRule="auto"/>
        <w:ind w:right="0"/>
        <w:rPr>
          <w:spacing w:val="-4"/>
          <w:w w:val="105"/>
        </w:rPr>
      </w:pPr>
      <w:r>
        <w:rPr>
          <w:rStyle w:val="Style19"/>
          <w:spacing w:val="-1"/>
          <w:w w:val="105"/>
        </w:rPr>
        <w:t xml:space="preserve">On January 22, 2010, respondent emailed Creason and wrote, “I am </w:t>
      </w:r>
      <w:r>
        <w:rPr>
          <w:spacing w:val="-4"/>
          <w:w w:val="105"/>
        </w:rPr>
        <w:t xml:space="preserve">preparing a motion for reconsideration now.”  </w:t>
      </w:r>
      <w:r>
        <w:rPr>
          <w:spacing w:val="-7"/>
          <w:w w:val="105"/>
        </w:rPr>
        <w:t xml:space="preserve">On January 25, 2010, respondent emailed Creason in response to an email </w:t>
      </w:r>
      <w:r>
        <w:rPr>
          <w:spacing w:val="-4"/>
          <w:w w:val="105"/>
        </w:rPr>
        <w:t xml:space="preserve">she wrote him entitled, “Motion Filed?”  Respondent wrote, “No.  I have to file a motion for a </w:t>
      </w:r>
      <w:r>
        <w:rPr>
          <w:spacing w:val="-3"/>
          <w:w w:val="105"/>
        </w:rPr>
        <w:t>new trial not a reconsideration.  I will finish is (sic) it as soon as I can.”</w:t>
      </w:r>
    </w:p>
    <w:p>
      <w:pPr>
        <w:pStyle w:val="Style18"/>
        <w:kinsoku w:val="0"/>
        <w:autoSpaceDE/>
        <w:autoSpaceDN/>
        <w:spacing w:line="415" w:lineRule="auto"/>
        <w:ind w:right="0"/>
        <w:rPr>
          <w:rStyle w:val="Style19"/>
          <w:spacing w:val="-5"/>
          <w:w w:val="105"/>
        </w:rPr>
      </w:pPr>
      <w:r>
        <w:rPr>
          <w:rStyle w:val="Style19"/>
          <w:spacing w:val="-8"/>
          <w:w w:val="105"/>
        </w:rPr>
        <w:t xml:space="preserve">On January 25, 2010, Creason wrote an email to respondent stating, in part, </w:t>
      </w:r>
      <w:r>
        <w:rPr>
          <w:rStyle w:val="Style19"/>
          <w:spacing w:val="-3"/>
          <w:w w:val="105"/>
        </w:rPr>
        <w:t xml:space="preserve">“Why now do you say a new trial is what you want to do for case #FAM058805?  No more </w:t>
      </w:r>
      <w:r>
        <w:rPr>
          <w:rStyle w:val="Style19"/>
          <w:spacing w:val="-4"/>
          <w:w w:val="105"/>
        </w:rPr>
        <w:t xml:space="preserve">jokes, Tony, what are you doing.  (sic)  You have $28,000 of my money.  What are you doing </w:t>
      </w:r>
      <w:r>
        <w:rPr>
          <w:rStyle w:val="Style19"/>
          <w:spacing w:val="-5"/>
          <w:w w:val="105"/>
        </w:rPr>
        <w:t xml:space="preserve">really?”  </w:t>
      </w:r>
    </w:p>
    <w:p>
      <w:pPr>
        <w:pStyle w:val="Style18"/>
        <w:kinsoku w:val="0"/>
        <w:autoSpaceDE/>
        <w:autoSpaceDN/>
        <w:spacing w:line="415" w:lineRule="auto"/>
        <w:ind w:right="0"/>
        <w:rPr>
          <w:rStyle w:val="Style19"/>
          <w:spacing w:val="-4"/>
          <w:w w:val="105"/>
        </w:rPr>
      </w:pPr>
      <w:r>
        <w:rPr>
          <w:rStyle w:val="Style19"/>
          <w:spacing w:val="-5"/>
          <w:w w:val="105"/>
        </w:rPr>
        <w:t xml:space="preserve">Immediately thereafter, respondent responded to Creason’s email, stating, “Oh please.  If you are unhappy you can replace me.  I will sign immediately.  Stop the antics.  I will send you substitution (sic) tomorrow.”  Later that day, Creason wrote an email to respondent stating, “Does this mean you have </w:t>
      </w:r>
      <w:r>
        <w:rPr>
          <w:rStyle w:val="Style19"/>
          <w:spacing w:val="-4"/>
          <w:w w:val="105"/>
        </w:rPr>
        <w:t>done nothing?”</w:t>
      </w:r>
    </w:p>
    <w:p>
      <w:pPr>
        <w:pStyle w:val="Style18"/>
        <w:kinsoku w:val="0"/>
        <w:autoSpaceDE/>
        <w:autoSpaceDN/>
        <w:spacing w:line="417" w:lineRule="auto"/>
        <w:ind w:right="0"/>
        <w:rPr>
          <w:rStyle w:val="Style19"/>
          <w:spacing w:val="-3"/>
          <w:w w:val="105"/>
        </w:rPr>
      </w:pPr>
      <w:r>
        <w:rPr>
          <w:rStyle w:val="Style19"/>
          <w:spacing w:val="-8"/>
          <w:w w:val="105"/>
        </w:rPr>
        <w:t xml:space="preserve">On January 26, 2010, Creason emailed respondent stating, in relevant </w:t>
      </w:r>
      <w:r>
        <w:rPr>
          <w:rStyle w:val="Style19"/>
          <w:spacing w:val="-4"/>
          <w:w w:val="105"/>
        </w:rPr>
        <w:t xml:space="preserve">part, “Tony, after research I have learned that we have ten days to file a motion for </w:t>
      </w:r>
      <w:r>
        <w:rPr>
          <w:rStyle w:val="Style19"/>
          <w:spacing w:val="-3"/>
          <w:w w:val="105"/>
        </w:rPr>
        <w:t xml:space="preserve">reconsideration. . . . Please do this.”  </w:t>
      </w:r>
      <w:r>
        <w:rPr>
          <w:spacing w:val="-9"/>
          <w:w w:val="105"/>
        </w:rPr>
        <w:t xml:space="preserve">That same day, respondent emailed Creason and wrote, in part, </w:t>
      </w:r>
      <w:r>
        <w:rPr>
          <w:spacing w:val="-3"/>
          <w:w w:val="105"/>
        </w:rPr>
        <w:t>“reconsideration is not proper under the circumstances.  But if you insist I will file one.”</w:t>
      </w:r>
    </w:p>
    <w:p>
      <w:pPr>
        <w:widowControl w:val="0"/>
        <w:kinsoku w:val="0"/>
        <w:spacing w:line="412" w:lineRule="auto"/>
        <w:ind w:firstLine="720"/>
        <w:jc w:val="both"/>
        <w:rPr>
          <w:spacing w:val="-3"/>
          <w:w w:val="105"/>
        </w:rPr>
      </w:pPr>
      <w:r>
        <w:rPr>
          <w:spacing w:val="-10"/>
          <w:w w:val="105"/>
        </w:rPr>
        <w:t xml:space="preserve">On February 5, 2010, Creason emailed respondent stating, in relevant part, </w:t>
      </w:r>
      <w:r>
        <w:rPr>
          <w:spacing w:val="-8"/>
          <w:w w:val="105"/>
        </w:rPr>
        <w:t xml:space="preserve">“Have you heard back from the judge regarding my case?  The date of separation is way </w:t>
      </w:r>
      <w:r>
        <w:rPr>
          <w:spacing w:val="-3"/>
          <w:w w:val="105"/>
        </w:rPr>
        <w:t>off . . . This is a time sensitive matter that bares (sic) a huge (sic) on the rest of my life.”</w:t>
      </w:r>
    </w:p>
    <w:p>
      <w:pPr>
        <w:pStyle w:val="Style18"/>
        <w:kinsoku w:val="0"/>
        <w:autoSpaceDE/>
        <w:autoSpaceDN/>
        <w:ind w:right="0"/>
        <w:rPr>
          <w:rStyle w:val="Style19"/>
          <w:spacing w:val="-3"/>
          <w:w w:val="105"/>
        </w:rPr>
      </w:pPr>
      <w:r>
        <w:rPr>
          <w:rStyle w:val="Style19"/>
          <w:spacing w:val="-3"/>
          <w:w w:val="105"/>
        </w:rPr>
        <w:t xml:space="preserve">On February 7, 2010, Creason’s parents, Mary and Bill Creason, sent an </w:t>
      </w:r>
      <w:r>
        <w:rPr>
          <w:rStyle w:val="Style19"/>
          <w:spacing w:val="-6"/>
          <w:w w:val="105"/>
        </w:rPr>
        <w:t xml:space="preserve">email to respondent stating, “Dear Tony, We just visited the San Mateo County Superior Court </w:t>
      </w:r>
      <w:r>
        <w:rPr>
          <w:rStyle w:val="Style19"/>
          <w:spacing w:val="-2"/>
          <w:w w:val="105"/>
        </w:rPr>
        <w:t>case site online, and we see no action on [</w:t>
      </w:r>
      <w:r>
        <w:rPr>
          <w:rStyle w:val="Style19"/>
          <w:spacing w:val="-3"/>
          <w:w w:val="105"/>
        </w:rPr>
        <w:t>Creason</w:t>
      </w:r>
      <w:r>
        <w:rPr>
          <w:rStyle w:val="Style19"/>
          <w:spacing w:val="-2"/>
          <w:w w:val="105"/>
        </w:rPr>
        <w:t xml:space="preserve">’s] behalf.  We are terribly disappointed.  We </w:t>
      </w:r>
      <w:r>
        <w:rPr>
          <w:rStyle w:val="Style19"/>
          <w:spacing w:val="-3"/>
          <w:w w:val="105"/>
        </w:rPr>
        <w:t>urge you to file your motion at once.”</w:t>
      </w:r>
    </w:p>
    <w:p>
      <w:pPr>
        <w:pStyle w:val="Style18"/>
        <w:kinsoku w:val="0"/>
        <w:autoSpaceDE/>
        <w:autoSpaceDN/>
        <w:ind w:right="0"/>
        <w:rPr>
          <w:rStyle w:val="Style19"/>
          <w:spacing w:val="-3"/>
          <w:w w:val="105"/>
        </w:rPr>
      </w:pPr>
    </w:p>
    <w:p>
      <w:pPr>
        <w:pStyle w:val="Style18"/>
        <w:kinsoku w:val="0"/>
        <w:autoSpaceDE/>
        <w:autoSpaceDN/>
        <w:ind w:right="0"/>
        <w:rPr>
          <w:rStyle w:val="Style19"/>
          <w:spacing w:val="-4"/>
          <w:w w:val="105"/>
        </w:rPr>
      </w:pPr>
      <w:r>
        <w:rPr>
          <w:rStyle w:val="Style19"/>
          <w:spacing w:val="-2"/>
          <w:w w:val="105"/>
        </w:rPr>
        <w:t xml:space="preserve">On February 8, 2010, respondent sent an email to Creason’s parents </w:t>
      </w:r>
      <w:r>
        <w:rPr>
          <w:rStyle w:val="Style19"/>
          <w:spacing w:val="-5"/>
          <w:w w:val="105"/>
        </w:rPr>
        <w:t xml:space="preserve">stating, in relevant part, “Please do not contact me or tell me what to do.  I am on doctor’s orders right now to stay put.  Not to work.”  Respondent added, “If I receive any </w:t>
      </w:r>
      <w:r>
        <w:rPr>
          <w:rStyle w:val="Style19"/>
          <w:spacing w:val="-4"/>
          <w:w w:val="105"/>
        </w:rPr>
        <w:t>more emails from you I will withdraw from this case.”</w:t>
      </w:r>
    </w:p>
    <w:p>
      <w:pPr>
        <w:pStyle w:val="Style18"/>
        <w:kinsoku w:val="0"/>
        <w:autoSpaceDE/>
        <w:autoSpaceDN/>
        <w:ind w:right="0"/>
        <w:rPr>
          <w:rStyle w:val="Style19"/>
          <w:spacing w:val="-2"/>
          <w:w w:val="105"/>
        </w:rPr>
      </w:pPr>
      <w:r>
        <w:rPr>
          <w:rStyle w:val="Style19"/>
          <w:spacing w:val="-9"/>
          <w:w w:val="105"/>
        </w:rPr>
        <w:t xml:space="preserve">On February 8, 2010, respondent emailed Creason, stating, in part, “I am on </w:t>
      </w:r>
      <w:r>
        <w:rPr>
          <w:rStyle w:val="Style19"/>
          <w:spacing w:val="-4"/>
          <w:w w:val="105"/>
        </w:rPr>
        <w:t xml:space="preserve">doctor’s order’s (sic) right now to stay put and not to work until he clears me. . . . I am having someone </w:t>
      </w:r>
      <w:r>
        <w:rPr>
          <w:rStyle w:val="Style19"/>
          <w:spacing w:val="-2"/>
          <w:w w:val="105"/>
        </w:rPr>
        <w:t>else help me on this motion . . .”  That same day</w:t>
      </w:r>
      <w:r>
        <w:rPr>
          <w:rStyle w:val="Style19"/>
          <w:spacing w:val="-5"/>
          <w:w w:val="105"/>
        </w:rPr>
        <w:t xml:space="preserve">, Creason replied to respondent’s email, writing, in </w:t>
      </w:r>
      <w:r>
        <w:rPr>
          <w:rStyle w:val="Style19"/>
          <w:spacing w:val="-6"/>
          <w:w w:val="105"/>
        </w:rPr>
        <w:t xml:space="preserve">relevant part, “Can you tell me the name of the attorney you are working with?  If you wish to </w:t>
      </w:r>
      <w:r>
        <w:rPr>
          <w:rStyle w:val="Style19"/>
          <w:spacing w:val="-4"/>
          <w:w w:val="105"/>
        </w:rPr>
        <w:t>excuse yourself could I be the first person you let know.  (sic)”</w:t>
      </w:r>
    </w:p>
    <w:p>
      <w:pPr>
        <w:pStyle w:val="Style18"/>
        <w:kinsoku w:val="0"/>
        <w:autoSpaceDE/>
        <w:autoSpaceDN/>
        <w:spacing w:line="480" w:lineRule="auto"/>
        <w:ind w:right="0"/>
        <w:rPr>
          <w:w w:val="105"/>
        </w:rPr>
      </w:pPr>
      <w:r>
        <w:rPr>
          <w:rStyle w:val="Style19"/>
          <w:w w:val="105"/>
        </w:rPr>
        <w:t>Respondent never filed a motion for reconsideration or a motion for new trial.  During his representation of Creason, respondent had a physical confrontation with her in which the police were called.</w:t>
      </w:r>
    </w:p>
    <w:p>
      <w:pPr>
        <w:spacing w:line="480" w:lineRule="auto"/>
        <w:ind w:firstLine="720"/>
        <w:contextualSpacing/>
        <w:rPr>
          <w:b/>
        </w:rPr>
      </w:pPr>
      <w:r>
        <w:rPr>
          <w:b/>
        </w:rPr>
        <w:t>Conclusions</w:t>
      </w:r>
    </w:p>
    <w:p>
      <w:pPr>
        <w:pStyle w:val="ListParagraph"/>
        <w:tabs>
          <w:tab w:val="left" w:pos="720"/>
        </w:tabs>
        <w:spacing w:line="480" w:lineRule="auto"/>
      </w:pPr>
      <w:r>
        <w:rPr>
          <w:b/>
          <w:i/>
        </w:rPr>
        <w:t xml:space="preserve">Count Four – Section 6106 [Moral Turpitude] </w:t>
      </w:r>
    </w:p>
    <w:p>
      <w:pPr>
        <w:spacing w:line="480" w:lineRule="auto"/>
        <w:ind w:firstLine="720"/>
        <w:contextualSpacing/>
      </w:pPr>
      <w:r>
        <w:t xml:space="preserve">The State Bar alleged that respondent made unauthorized charges to Creason’s credit card totaling at least $14,743.68.  The court finds that this allegation was not supported by clear and convincing evidence.  The tangible evidence before the court indicates that Creason only complained to respondent about one charge being unauthorized.  And after that single complaint, the record indicates that there were no subsequent emails or letters regarding unauthorized or improper charges.  Since respondent continued to represent Creason for more than seven months after the alleged unauthorized charges, the court would have expected to see emails or letters demanding a refund.  Instead, the communications between respondent and Creason appeared to be normal and generally amicable during this time period.  In addition, there is no indication in the record that Creason challenged any of these charges directly with her credit card company.  </w:t>
      </w:r>
    </w:p>
    <w:p>
      <w:pPr>
        <w:spacing w:line="480" w:lineRule="auto"/>
        <w:ind w:firstLine="720"/>
        <w:contextualSpacing/>
        <w:rPr>
          <w:highlight w:val="green"/>
        </w:rPr>
      </w:pPr>
      <w:r>
        <w:t>Based on the lack of clear and convincing evidence, Count Four is dismissed with prejudice.</w:t>
      </w:r>
    </w:p>
    <w:p>
      <w:pPr>
        <w:pStyle w:val="ListParagraph"/>
        <w:tabs>
          <w:tab w:val="left" w:pos="720"/>
        </w:tabs>
        <w:spacing w:line="480" w:lineRule="auto"/>
      </w:pPr>
      <w:r>
        <w:rPr>
          <w:b/>
          <w:i/>
        </w:rPr>
        <w:t>Count Five – Section 6106 [Moral Turpitude]</w:t>
      </w:r>
    </w:p>
    <w:p>
      <w:pPr>
        <w:spacing w:line="480" w:lineRule="auto"/>
        <w:ind w:firstLine="720"/>
        <w:contextualSpacing/>
      </w:pPr>
      <w:r>
        <w:t>The State Bar alleged that respondent knowingly made false statements to Commissioner McKenna and Burke when he informed them that Creason was ill.  The court finds that this allegation was not proven by clear and convincing evidence.  The evidence indicates that Creason was a severe alcoholic and that respondent referred to her as “ill,” rather than divulging her alcoholism.  Therefore, the court finds that respondent’s conduct does not rise to the level of moral turpitude.  Consequently, Count Five is dismissed with prejudice.</w:t>
      </w:r>
    </w:p>
    <w:p>
      <w:pPr>
        <w:pStyle w:val="ListParagraph"/>
        <w:tabs>
          <w:tab w:val="left" w:pos="720"/>
        </w:tabs>
        <w:spacing w:line="480" w:lineRule="auto"/>
      </w:pPr>
      <w:r>
        <w:rPr>
          <w:b/>
          <w:i/>
        </w:rPr>
        <w:t>Count Six – Rule 4-100(B)(3) [Failure to Account]</w:t>
      </w:r>
    </w:p>
    <w:p>
      <w:pPr>
        <w:spacing w:line="480" w:lineRule="auto"/>
        <w:ind w:firstLine="720"/>
        <w:contextualSpacing/>
      </w:pPr>
      <w:r>
        <w:t>Rule 4-100(B)(3) requires that an attorney maintain complete records and render appropriate accounts of all client funds in the attorney’s possession.  By failing to provide a full accounting of his fees to Creason despite her repeated requests, respondent failed to render appropriate accounts to a client regarding all funds of the client coming into respondent's possession, in willful violation of rule 4-100(B)(3).</w:t>
      </w:r>
    </w:p>
    <w:p>
      <w:pPr>
        <w:spacing w:line="480" w:lineRule="auto"/>
        <w:ind w:firstLine="720"/>
      </w:pPr>
      <w:r>
        <w:rPr>
          <w:b/>
          <w:i/>
        </w:rPr>
        <w:t>Count Seven – Rule 3-110(A) [Failure to Perform Legal Services with Competence]</w:t>
      </w:r>
    </w:p>
    <w:p>
      <w:pPr>
        <w:spacing w:line="480" w:lineRule="auto"/>
        <w:ind w:firstLine="720"/>
        <w:contextualSpacing/>
      </w:pPr>
      <w:r>
        <w:t>By failing to appear at the January 21, 2010 court date on behalf of Creason and failing to subsequently file a motion for reconsideration or for new trial, respondent intentionally, recklessly, or repeatedly failed to perform legal services with competence, in willful violation of rule 3-110(A).</w:t>
      </w:r>
    </w:p>
    <w:p>
      <w:pPr>
        <w:spacing w:line="480" w:lineRule="auto"/>
        <w:contextualSpacing/>
        <w:rPr>
          <w:b/>
        </w:rPr>
      </w:pPr>
      <w:r>
        <w:rPr>
          <w:b/>
        </w:rPr>
        <w:t>The Cuellar Matter – Case No. 11-O-10439</w:t>
      </w:r>
    </w:p>
    <w:p>
      <w:pPr>
        <w:spacing w:line="480" w:lineRule="auto"/>
        <w:ind w:firstLine="720"/>
        <w:rPr>
          <w:b/>
        </w:rPr>
      </w:pPr>
      <w:r>
        <w:rPr>
          <w:b/>
        </w:rPr>
        <w:t>Facts</w:t>
      </w:r>
    </w:p>
    <w:p>
      <w:pPr>
        <w:pStyle w:val="Style18"/>
        <w:kinsoku w:val="0"/>
        <w:autoSpaceDE/>
        <w:autoSpaceDN/>
        <w:rPr>
          <w:rStyle w:val="Style19"/>
          <w:spacing w:val="-4"/>
          <w:w w:val="105"/>
        </w:rPr>
      </w:pPr>
      <w:r>
        <w:rPr>
          <w:rStyle w:val="Style19"/>
          <w:spacing w:val="-5"/>
          <w:w w:val="105"/>
        </w:rPr>
        <w:t xml:space="preserve">On December 19, 2009, Jose Magana-Cuellar (Cuellar) and his wife, </w:t>
      </w:r>
      <w:r>
        <w:rPr>
          <w:rStyle w:val="Style19"/>
          <w:spacing w:val="-8"/>
          <w:w w:val="105"/>
        </w:rPr>
        <w:t xml:space="preserve">Maria Suarez (Suarez), hired respondent to handle an immigration matter.  Cuellar is a foreign </w:t>
      </w:r>
      <w:r>
        <w:rPr>
          <w:rStyle w:val="Style19"/>
          <w:spacing w:val="1"/>
          <w:w w:val="105"/>
        </w:rPr>
        <w:t xml:space="preserve">national who married Suarez, a United States Citizen.  They paid respondent a total of </w:t>
      </w:r>
      <w:r>
        <w:rPr>
          <w:rStyle w:val="Style19"/>
          <w:spacing w:val="-7"/>
          <w:w w:val="105"/>
        </w:rPr>
        <w:t xml:space="preserve">$3,500 to file and prosecute a petition for alien relative application with the Department of </w:t>
      </w:r>
      <w:r>
        <w:rPr>
          <w:rStyle w:val="Style19"/>
          <w:spacing w:val="-5"/>
          <w:w w:val="105"/>
        </w:rPr>
        <w:t xml:space="preserve">Homeland Security, United States Citizenship and Immigration Services Department (USCIS).  </w:t>
      </w:r>
      <w:r>
        <w:rPr>
          <w:rStyle w:val="Style19"/>
          <w:spacing w:val="-9"/>
          <w:w w:val="105"/>
        </w:rPr>
        <w:t xml:space="preserve">A 1-130 application is used to establish a relationship between an American citizen and an alien </w:t>
      </w:r>
      <w:r>
        <w:rPr>
          <w:rStyle w:val="Style19"/>
          <w:spacing w:val="-4"/>
          <w:w w:val="105"/>
        </w:rPr>
        <w:t xml:space="preserve">relative who wishes to immigrate to the United States.  </w:t>
      </w:r>
    </w:p>
    <w:p>
      <w:pPr>
        <w:pStyle w:val="Style18"/>
        <w:kinsoku w:val="0"/>
        <w:autoSpaceDE/>
        <w:autoSpaceDN/>
        <w:rPr>
          <w:rStyle w:val="Style19"/>
          <w:spacing w:val="-4"/>
          <w:w w:val="105"/>
        </w:rPr>
      </w:pPr>
      <w:r>
        <w:rPr>
          <w:rStyle w:val="Style19"/>
          <w:spacing w:val="-10"/>
          <w:w w:val="105"/>
        </w:rPr>
        <w:t xml:space="preserve">On January 5, 2010, Cuellar informed respondent, via </w:t>
      </w:r>
      <w:r>
        <w:rPr>
          <w:rStyle w:val="Style19"/>
          <w:w w:val="105"/>
        </w:rPr>
        <w:t>facsimile, that he moved into a new residence.  Respondent failed to submit the change of address form to USCIS.</w:t>
      </w:r>
    </w:p>
    <w:p>
      <w:pPr>
        <w:pStyle w:val="Style18"/>
        <w:kinsoku w:val="0"/>
        <w:autoSpaceDE/>
        <w:autoSpaceDN/>
        <w:rPr>
          <w:rStyle w:val="Style19"/>
          <w:spacing w:val="-4"/>
          <w:w w:val="105"/>
        </w:rPr>
      </w:pPr>
      <w:r>
        <w:rPr>
          <w:rStyle w:val="Style19"/>
          <w:spacing w:val="-9"/>
          <w:w w:val="105"/>
        </w:rPr>
        <w:t xml:space="preserve">On August 23, 2010, the USCIS mailed a notice to Cuellar’s prior </w:t>
      </w:r>
      <w:r>
        <w:rPr>
          <w:rStyle w:val="Style19"/>
          <w:spacing w:val="-2"/>
          <w:w w:val="105"/>
        </w:rPr>
        <w:t xml:space="preserve">address that the USCIS scheduled a mandatory interview of Cuellar and Suarez for </w:t>
      </w:r>
      <w:r>
        <w:rPr>
          <w:rStyle w:val="Style19"/>
          <w:spacing w:val="-3"/>
          <w:w w:val="105"/>
        </w:rPr>
        <w:t xml:space="preserve">October 4, 2010.  The notice stated on its face, “Failure to appear or respond will result in the denial of your application.”  The USCIS mailed a courtesy copy of the notice to respondent.  </w:t>
      </w:r>
      <w:r>
        <w:rPr>
          <w:rStyle w:val="Style19"/>
          <w:spacing w:val="-5"/>
          <w:w w:val="105"/>
        </w:rPr>
        <w:t>Cuellar and Suarez were unaware of the scheduled mandatory meeting.</w:t>
      </w:r>
    </w:p>
    <w:p>
      <w:pPr>
        <w:spacing w:line="422" w:lineRule="auto"/>
        <w:ind w:right="720" w:firstLine="720"/>
        <w:rPr>
          <w:rStyle w:val="Style19"/>
          <w:w w:val="105"/>
        </w:rPr>
      </w:pPr>
      <w:r>
        <w:rPr>
          <w:rStyle w:val="Style19"/>
          <w:spacing w:val="-10"/>
          <w:w w:val="105"/>
        </w:rPr>
        <w:t xml:space="preserve">Prior to October 4, 2010, Cuellar met with respondent.  </w:t>
      </w:r>
      <w:r>
        <w:rPr>
          <w:rStyle w:val="Style19"/>
          <w:spacing w:val="-3"/>
          <w:w w:val="105"/>
        </w:rPr>
        <w:t xml:space="preserve">Although the USCIS had mailed notice of the </w:t>
      </w:r>
      <w:r>
        <w:rPr>
          <w:rStyle w:val="Style19"/>
          <w:spacing w:val="-5"/>
          <w:w w:val="105"/>
        </w:rPr>
        <w:t xml:space="preserve">mandatory interview to respondent, he did not inform Cuellar of the interview.  Instead, respondent told </w:t>
      </w:r>
      <w:r>
        <w:rPr>
          <w:spacing w:val="-7"/>
          <w:w w:val="105"/>
        </w:rPr>
        <w:t xml:space="preserve">Cuellar that he would meet with Cuellar and Suarez after respondent received notice of the </w:t>
      </w:r>
      <w:r>
        <w:rPr>
          <w:spacing w:val="-9"/>
          <w:w w:val="105"/>
        </w:rPr>
        <w:t xml:space="preserve">mandatory </w:t>
      </w:r>
      <w:r>
        <w:rPr>
          <w:spacing w:val="-7"/>
          <w:w w:val="105"/>
        </w:rPr>
        <w:t xml:space="preserve">USCIS </w:t>
      </w:r>
      <w:r>
        <w:rPr>
          <w:spacing w:val="-9"/>
          <w:w w:val="105"/>
        </w:rPr>
        <w:t xml:space="preserve">interview.  Respondent did not inform Cuellar or Suarez of the scheduled October 4, 2010 </w:t>
      </w:r>
      <w:r>
        <w:rPr>
          <w:w w:val="105"/>
        </w:rPr>
        <w:t>interview,</w:t>
      </w:r>
      <w:r>
        <w:rPr>
          <w:rStyle w:val="Style19"/>
          <w:spacing w:val="-4"/>
          <w:w w:val="105"/>
        </w:rPr>
        <w:t xml:space="preserve"> so they did not attend it.</w:t>
      </w:r>
    </w:p>
    <w:p>
      <w:pPr>
        <w:widowControl w:val="0"/>
        <w:kinsoku w:val="0"/>
        <w:spacing w:line="415" w:lineRule="auto"/>
        <w:ind w:right="576" w:firstLine="720"/>
        <w:rPr>
          <w:rStyle w:val="Style19"/>
          <w:spacing w:val="-4"/>
          <w:w w:val="105"/>
        </w:rPr>
      </w:pPr>
      <w:r>
        <w:rPr>
          <w:spacing w:val="-9"/>
          <w:w w:val="105"/>
        </w:rPr>
        <w:t xml:space="preserve">On November 5, 2010, the USCIS mailed notice to respondent and to </w:t>
      </w:r>
      <w:r>
        <w:rPr>
          <w:spacing w:val="-6"/>
          <w:w w:val="105"/>
        </w:rPr>
        <w:t xml:space="preserve">Cuellar’s former address, in which USCIS informed Cuellar and Suarez that their petition for alien relative had been denied.  The notice stated that USCIS did not receive a change of </w:t>
      </w:r>
      <w:r>
        <w:rPr>
          <w:spacing w:val="-5"/>
          <w:w w:val="105"/>
        </w:rPr>
        <w:t>address from Cuellar.  The notice also stated Cuellar could either file a motion to reopen</w:t>
      </w:r>
      <w:r>
        <w:rPr>
          <w:spacing w:val="-4"/>
          <w:w w:val="105"/>
        </w:rPr>
        <w:t xml:space="preserve"> the matter or submit an entirely new application.  </w:t>
      </w:r>
      <w:r>
        <w:rPr>
          <w:rStyle w:val="Style19"/>
          <w:spacing w:val="-8"/>
          <w:w w:val="105"/>
        </w:rPr>
        <w:t xml:space="preserve">Respondent never informed Cuellar or Suarez of the USCIS denial of their petition for </w:t>
      </w:r>
      <w:r>
        <w:rPr>
          <w:rStyle w:val="Style19"/>
          <w:spacing w:val="-4"/>
          <w:w w:val="105"/>
        </w:rPr>
        <w:t>alien relative application.</w:t>
      </w:r>
    </w:p>
    <w:p>
      <w:pPr>
        <w:pStyle w:val="Style18"/>
        <w:kinsoku w:val="0"/>
        <w:autoSpaceDE/>
        <w:autoSpaceDN/>
        <w:spacing w:line="417" w:lineRule="auto"/>
        <w:rPr>
          <w:rStyle w:val="Style19"/>
          <w:w w:val="105"/>
        </w:rPr>
      </w:pPr>
      <w:r>
        <w:rPr>
          <w:rStyle w:val="Style19"/>
          <w:spacing w:val="-6"/>
          <w:w w:val="105"/>
        </w:rPr>
        <w:t xml:space="preserve">On November 10, 2010, respondent wrote a letter to the USCIS, stating that </w:t>
      </w:r>
      <w:r>
        <w:rPr>
          <w:rStyle w:val="Style19"/>
          <w:spacing w:val="-3"/>
          <w:w w:val="105"/>
        </w:rPr>
        <w:t xml:space="preserve">he would reschedule the meeting or file a motion to reopen the proceedings.  In the letter he </w:t>
      </w:r>
      <w:r>
        <w:rPr>
          <w:rStyle w:val="Style19"/>
          <w:spacing w:val="-7"/>
          <w:w w:val="105"/>
        </w:rPr>
        <w:t xml:space="preserve">explained that Cuellar was not at fault for missing the appointment, that Cuellar had </w:t>
      </w:r>
      <w:r>
        <w:rPr>
          <w:rStyle w:val="Style19"/>
          <w:spacing w:val="-3"/>
          <w:w w:val="105"/>
        </w:rPr>
        <w:t xml:space="preserve">previously informed respondent of his new address, and that respondent did not inform Cuellar of the October 4, 2010 mandatory interview because he “assumed that he already knew </w:t>
      </w:r>
      <w:r>
        <w:rPr>
          <w:rStyle w:val="Style19"/>
          <w:w w:val="105"/>
        </w:rPr>
        <w:t>about it.”</w:t>
      </w:r>
      <w:r>
        <w:rPr>
          <w:rStyle w:val="FootnoteReference"/>
          <w:spacing w:val="-4"/>
          <w:w w:val="105"/>
        </w:rPr>
        <w:footnoteReference w:id="7"/>
      </w:r>
    </w:p>
    <w:p>
      <w:pPr>
        <w:widowControl w:val="0"/>
        <w:kinsoku w:val="0"/>
        <w:spacing w:line="417" w:lineRule="auto"/>
        <w:ind w:right="216" w:firstLine="720"/>
        <w:rPr>
          <w:spacing w:val="-3"/>
          <w:w w:val="105"/>
        </w:rPr>
      </w:pPr>
      <w:r>
        <w:rPr>
          <w:spacing w:val="-6"/>
          <w:w w:val="105"/>
        </w:rPr>
        <w:t xml:space="preserve">On November 12, 2010, Suarez discovered that she and Cuellar had missed </w:t>
      </w:r>
      <w:r>
        <w:rPr>
          <w:spacing w:val="-7"/>
          <w:w w:val="105"/>
        </w:rPr>
        <w:t xml:space="preserve">the October 4, 2010 mandatory interview.  That same day, Suarez telephoned respondent’s office numerous </w:t>
      </w:r>
      <w:r>
        <w:rPr>
          <w:spacing w:val="-3"/>
          <w:w w:val="105"/>
        </w:rPr>
        <w:t>times.  Respondent did not return the calls.</w:t>
      </w:r>
    </w:p>
    <w:p>
      <w:pPr>
        <w:pStyle w:val="Style17"/>
        <w:kinsoku w:val="0"/>
        <w:autoSpaceDE/>
        <w:autoSpaceDN/>
        <w:adjustRightInd/>
        <w:spacing w:line="412" w:lineRule="auto"/>
        <w:ind w:right="144" w:firstLine="720"/>
        <w:rPr>
          <w:rStyle w:val="Style19"/>
          <w:spacing w:val="-4"/>
          <w:w w:val="105"/>
        </w:rPr>
      </w:pPr>
      <w:r>
        <w:rPr>
          <w:rStyle w:val="Style19"/>
          <w:spacing w:val="-6"/>
          <w:w w:val="105"/>
        </w:rPr>
        <w:t xml:space="preserve">On November 15, 2010, Cuellar went to respondent’s office, accompanied </w:t>
      </w:r>
      <w:r>
        <w:rPr>
          <w:rStyle w:val="Style19"/>
          <w:spacing w:val="-4"/>
          <w:w w:val="105"/>
        </w:rPr>
        <w:t xml:space="preserve">by attorney Lauren Nishimura (Nishimura).  Nishimura had been working with Cuellar, </w:t>
      </w:r>
      <w:r>
        <w:rPr>
          <w:rStyle w:val="Style19"/>
          <w:i/>
          <w:iCs/>
          <w:spacing w:val="-4"/>
          <w:sz w:val="25"/>
          <w:szCs w:val="25"/>
        </w:rPr>
        <w:t xml:space="preserve">pro bono, </w:t>
      </w:r>
      <w:r>
        <w:rPr>
          <w:rStyle w:val="Style19"/>
          <w:spacing w:val="-4"/>
          <w:w w:val="105"/>
        </w:rPr>
        <w:t>on an asylum claim.  They met with respondent</w:t>
      </w:r>
      <w:r>
        <w:rPr>
          <w:rStyle w:val="Style19"/>
          <w:spacing w:val="-3"/>
          <w:w w:val="105"/>
        </w:rPr>
        <w:t xml:space="preserve">.  </w:t>
      </w:r>
      <w:r>
        <w:rPr>
          <w:rStyle w:val="Style19"/>
          <w:spacing w:val="-4"/>
          <w:w w:val="105"/>
        </w:rPr>
        <w:t>Nishimura told</w:t>
      </w:r>
      <w:r>
        <w:rPr>
          <w:rStyle w:val="HeaderChar"/>
          <w:rFonts w:eastAsiaTheme="minorEastAsia"/>
          <w:spacing w:val="-4"/>
          <w:w w:val="105"/>
        </w:rPr>
        <w:t xml:space="preserve"> respondent</w:t>
      </w:r>
      <w:r>
        <w:rPr>
          <w:rStyle w:val="Style19"/>
          <w:spacing w:val="-4"/>
          <w:w w:val="105"/>
        </w:rPr>
        <w:t xml:space="preserve"> that if he had a copy of the change of address form purportedly filed, they could file </w:t>
      </w:r>
      <w:r>
        <w:rPr>
          <w:rStyle w:val="Style19"/>
          <w:spacing w:val="-3"/>
          <w:w w:val="105"/>
        </w:rPr>
        <w:t xml:space="preserve">a </w:t>
      </w:r>
      <w:r>
        <w:rPr>
          <w:spacing w:val="-5"/>
          <w:w w:val="105"/>
        </w:rPr>
        <w:t>motion to reopen</w:t>
      </w:r>
      <w:r>
        <w:rPr>
          <w:rStyle w:val="Style19"/>
          <w:spacing w:val="-3"/>
          <w:w w:val="105"/>
        </w:rPr>
        <w:t>.  Respondent told Cuellar to return to his office later that day.  Cuellar left and returned to respondent</w:t>
      </w:r>
      <w:r>
        <w:rPr>
          <w:rStyle w:val="Style19"/>
          <w:spacing w:val="-8"/>
          <w:w w:val="105"/>
        </w:rPr>
        <w:t xml:space="preserve">’s office, unaccompanied by Nishimura, approximately two hours later.  Respondent </w:t>
      </w:r>
      <w:r>
        <w:rPr>
          <w:rStyle w:val="Style19"/>
          <w:spacing w:val="-1"/>
          <w:w w:val="105"/>
        </w:rPr>
        <w:t xml:space="preserve">informed him that he could not find proof of the change of address filing.  Respondent had </w:t>
      </w:r>
      <w:r>
        <w:rPr>
          <w:rStyle w:val="Style19"/>
          <w:spacing w:val="-4"/>
          <w:w w:val="105"/>
        </w:rPr>
        <w:t>Cuellar sign a new change of address form.  Respondent backdated the change of address form to March 5, 2010.</w:t>
      </w:r>
    </w:p>
    <w:p>
      <w:pPr>
        <w:spacing w:line="480" w:lineRule="auto"/>
        <w:ind w:firstLine="720"/>
        <w:contextualSpacing/>
        <w:rPr>
          <w:b/>
        </w:rPr>
      </w:pPr>
      <w:r>
        <w:rPr>
          <w:rStyle w:val="Style19"/>
          <w:spacing w:val="-9"/>
          <w:w w:val="105"/>
        </w:rPr>
        <w:t xml:space="preserve">On November 17, 2010, Cuellar and Nishimura went to respondent’s office.  </w:t>
      </w:r>
      <w:r>
        <w:rPr>
          <w:rStyle w:val="Style19"/>
          <w:spacing w:val="-2"/>
          <w:w w:val="105"/>
        </w:rPr>
        <w:t xml:space="preserve">Nishimura told respondent that she understood from Cuellar that respondent could not find </w:t>
      </w:r>
      <w:r>
        <w:rPr>
          <w:rStyle w:val="Style19"/>
          <w:spacing w:val="-1"/>
          <w:w w:val="105"/>
        </w:rPr>
        <w:t xml:space="preserve">proof of the change of address form.  Respondent showed the backdated change of address form to Nishimura.  When Nishimura alleged that the backdated document constituted fraud, a physical altercation occurred between Cuellar, Nishimura, and respondent.  The police department was called.  </w:t>
      </w:r>
    </w:p>
    <w:p>
      <w:pPr>
        <w:spacing w:line="480" w:lineRule="auto"/>
        <w:ind w:firstLine="720"/>
        <w:contextualSpacing/>
        <w:rPr>
          <w:b/>
        </w:rPr>
      </w:pPr>
      <w:r>
        <w:rPr>
          <w:b/>
        </w:rPr>
        <w:t>Conclusions</w:t>
      </w:r>
    </w:p>
    <w:p>
      <w:pPr>
        <w:spacing w:line="480" w:lineRule="auto"/>
        <w:ind w:firstLine="720"/>
      </w:pPr>
      <w:r>
        <w:rPr>
          <w:b/>
          <w:i/>
        </w:rPr>
        <w:t>Count Eight – Rule 3-110(A) [Failure to Perform Legal Services with Competence]</w:t>
      </w:r>
    </w:p>
    <w:p>
      <w:pPr>
        <w:spacing w:line="480" w:lineRule="auto"/>
        <w:ind w:firstLine="720"/>
        <w:contextualSpacing/>
        <w:rPr>
          <w:rStyle w:val="Style19"/>
          <w:spacing w:val="-4"/>
          <w:w w:val="105"/>
        </w:rPr>
      </w:pPr>
      <w:r>
        <w:rPr>
          <w:rStyle w:val="Style19"/>
          <w:spacing w:val="-7"/>
          <w:w w:val="105"/>
        </w:rPr>
        <w:t>By failing to submit Cuellar’s change of address form and failing to inform Cuellar and Suarez of their mandatory USCIS interview in the immigration matter</w:t>
      </w:r>
      <w:r>
        <w:rPr>
          <w:rStyle w:val="Style19"/>
          <w:w w:val="105"/>
        </w:rPr>
        <w:t xml:space="preserve">, respondent intentionally, </w:t>
      </w:r>
      <w:r>
        <w:rPr>
          <w:rStyle w:val="Style19"/>
          <w:spacing w:val="-4"/>
          <w:w w:val="105"/>
        </w:rPr>
        <w:t>recklessly, or repeatedly failed to perform legal services with competence, in willful violation of rule 3-110(A).</w:t>
      </w:r>
    </w:p>
    <w:p>
      <w:pPr>
        <w:spacing w:line="480" w:lineRule="auto"/>
        <w:ind w:firstLine="720"/>
        <w:contextualSpacing/>
        <w:rPr>
          <w:rStyle w:val="Style19"/>
          <w:spacing w:val="-4"/>
          <w:w w:val="105"/>
        </w:rPr>
      </w:pPr>
    </w:p>
    <w:p>
      <w:pPr>
        <w:spacing w:line="480" w:lineRule="auto"/>
        <w:ind w:firstLine="720"/>
        <w:contextualSpacing/>
        <w:rPr>
          <w:rStyle w:val="Style19"/>
          <w:spacing w:val="-4"/>
          <w:w w:val="105"/>
        </w:rPr>
      </w:pPr>
    </w:p>
    <w:p>
      <w:pPr>
        <w:spacing w:line="480" w:lineRule="auto"/>
        <w:ind w:firstLine="720"/>
      </w:pPr>
      <w:r>
        <w:rPr>
          <w:b/>
          <w:i/>
        </w:rPr>
        <w:t xml:space="preserve">Count Nine – Section 6068, subd. (m) [Failure to Communicate] </w:t>
      </w:r>
    </w:p>
    <w:p>
      <w:pPr>
        <w:spacing w:line="480" w:lineRule="auto"/>
        <w:ind w:firstLine="720"/>
        <w:contextualSpacing/>
        <w:rPr>
          <w:rStyle w:val="Style19"/>
          <w:spacing w:val="-4"/>
          <w:w w:val="105"/>
        </w:rPr>
      </w:pPr>
      <w:r>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By failing to notify Cuellar of the October 4, 2010 USCIS mandatory interview, respondent failed to keep a client reasonably informed of significant developments in a matter in which respondent agreed to provide legal services, in willful violation of section 6068, subdivision (m).  However, since the conduct used to establish respondent’s culpability in Count Nine has already been used to establish culpability in Count Eight, the charges are duplicative and the court assigns no additional weight to Count Nine.</w:t>
      </w:r>
    </w:p>
    <w:p>
      <w:pPr>
        <w:spacing w:line="480" w:lineRule="auto"/>
        <w:ind w:firstLine="720"/>
      </w:pPr>
      <w:r>
        <w:rPr>
          <w:b/>
          <w:i/>
        </w:rPr>
        <w:t>Count Ten – Section 6106 [Moral Turpitude]</w:t>
      </w:r>
    </w:p>
    <w:p>
      <w:pPr>
        <w:spacing w:line="480" w:lineRule="auto"/>
        <w:ind w:firstLine="720"/>
        <w:contextualSpacing/>
        <w:rPr>
          <w:rStyle w:val="Style19"/>
          <w:spacing w:val="-5"/>
          <w:w w:val="105"/>
        </w:rPr>
      </w:pPr>
      <w:r>
        <w:rPr>
          <w:rStyle w:val="Style19"/>
          <w:spacing w:val="-3"/>
          <w:w w:val="105"/>
        </w:rPr>
        <w:t>By having Cuellar sign a change of address form on November 15, 2010, and back</w:t>
      </w:r>
      <w:r>
        <w:rPr>
          <w:rStyle w:val="Style19"/>
          <w:spacing w:val="-5"/>
          <w:w w:val="105"/>
        </w:rPr>
        <w:t>dating it to March 5, 2010, respondent committed an act involving moral turpitude, dishonesty and corruption, in willful violation of section 6106.</w:t>
      </w:r>
    </w:p>
    <w:p>
      <w:pPr>
        <w:spacing w:line="480" w:lineRule="auto"/>
        <w:contextualSpacing/>
        <w:rPr>
          <w:b/>
        </w:rPr>
      </w:pPr>
      <w:r>
        <w:rPr>
          <w:b/>
        </w:rPr>
        <w:t>The Sanctions Matter – Case No. 11-O-11319</w:t>
      </w:r>
    </w:p>
    <w:p>
      <w:pPr>
        <w:spacing w:line="480" w:lineRule="auto"/>
        <w:ind w:firstLine="720"/>
        <w:rPr>
          <w:b/>
        </w:rPr>
      </w:pPr>
      <w:r>
        <w:rPr>
          <w:b/>
        </w:rPr>
        <w:t>Facts</w:t>
      </w:r>
    </w:p>
    <w:p>
      <w:pPr>
        <w:spacing w:line="480" w:lineRule="auto"/>
        <w:ind w:firstLine="720"/>
        <w:contextualSpacing/>
        <w:rPr>
          <w:rStyle w:val="Style19"/>
          <w:w w:val="105"/>
        </w:rPr>
      </w:pPr>
      <w:r>
        <w:rPr>
          <w:rStyle w:val="Style19"/>
          <w:spacing w:val="-4"/>
          <w:w w:val="105"/>
        </w:rPr>
        <w:t xml:space="preserve">On April 30, 2007, the Honorable Barbara Jones, Presiding Justice </w:t>
      </w:r>
      <w:r>
        <w:rPr>
          <w:rStyle w:val="Style19"/>
          <w:spacing w:val="-2"/>
          <w:w w:val="105"/>
        </w:rPr>
        <w:t xml:space="preserve">of the First Appellate District, Division 5, entered an order sanctioning respondent and his </w:t>
      </w:r>
      <w:r>
        <w:rPr>
          <w:rStyle w:val="Style19"/>
          <w:spacing w:val="-7"/>
          <w:w w:val="105"/>
        </w:rPr>
        <w:t xml:space="preserve">client, jointly and severally, $6,500 for filing a frivolous appeal in the matter of </w:t>
      </w:r>
      <w:r>
        <w:rPr>
          <w:rStyle w:val="Style19"/>
          <w:i/>
          <w:iCs/>
          <w:spacing w:val="-7"/>
          <w:sz w:val="25"/>
          <w:szCs w:val="25"/>
        </w:rPr>
        <w:t xml:space="preserve">Estate of Francis </w:t>
      </w:r>
      <w:r>
        <w:rPr>
          <w:rStyle w:val="Style19"/>
          <w:i/>
          <w:iCs/>
          <w:spacing w:val="-5"/>
          <w:sz w:val="25"/>
          <w:szCs w:val="25"/>
        </w:rPr>
        <w:t xml:space="preserve">Cueny, Robert Schafer v. Georgia Fuller, </w:t>
      </w:r>
      <w:r>
        <w:rPr>
          <w:rStyle w:val="Style19"/>
          <w:spacing w:val="-5"/>
          <w:w w:val="105"/>
        </w:rPr>
        <w:t xml:space="preserve">case no. A114354, Court of Appeal of the State of California, First Appellate District, Division 5.  The sanction was payable to Robert Schafer, the plaintiff in the </w:t>
      </w:r>
      <w:r>
        <w:rPr>
          <w:rStyle w:val="Style19"/>
          <w:w w:val="105"/>
        </w:rPr>
        <w:t>action.</w:t>
      </w:r>
    </w:p>
    <w:p>
      <w:pPr>
        <w:spacing w:line="480" w:lineRule="auto"/>
        <w:ind w:firstLine="720"/>
        <w:contextualSpacing/>
        <w:rPr>
          <w:rStyle w:val="Style19"/>
          <w:b/>
        </w:rPr>
      </w:pPr>
      <w:r>
        <w:rPr>
          <w:rStyle w:val="Style19"/>
          <w:spacing w:val="-10"/>
          <w:w w:val="105"/>
        </w:rPr>
        <w:t>On or about July 10, 2007, Robert Schafer assigned his interest in the sanction</w:t>
      </w:r>
      <w:r>
        <w:rPr>
          <w:rStyle w:val="Style19"/>
          <w:spacing w:val="-5"/>
          <w:w w:val="105"/>
        </w:rPr>
        <w:t xml:space="preserve"> to his attorney, Mark Johnson.  </w:t>
      </w:r>
      <w:r>
        <w:rPr>
          <w:rStyle w:val="Style19"/>
          <w:spacing w:val="-10"/>
          <w:w w:val="105"/>
        </w:rPr>
        <w:t xml:space="preserve">On August 1, 2007, respondent wrote to Mark Johnson and stated that he </w:t>
      </w:r>
      <w:r>
        <w:rPr>
          <w:rStyle w:val="Style19"/>
          <w:spacing w:val="-2"/>
          <w:w w:val="105"/>
        </w:rPr>
        <w:t xml:space="preserve">would pay the full amount of the sanction “within a short period of time.”  Respondent, however, never </w:t>
      </w:r>
      <w:r>
        <w:rPr>
          <w:rStyle w:val="Style19"/>
          <w:spacing w:val="-4"/>
          <w:w w:val="105"/>
        </w:rPr>
        <w:t xml:space="preserve">paid the sanction and </w:t>
      </w:r>
      <w:r>
        <w:rPr>
          <w:rStyle w:val="Style19"/>
          <w:w w:val="105"/>
        </w:rPr>
        <w:t xml:space="preserve">failed to report it to the State Bar, in writing, within 30 days of </w:t>
      </w:r>
      <w:r>
        <w:rPr>
          <w:rStyle w:val="Style19"/>
          <w:spacing w:val="-3"/>
          <w:w w:val="105"/>
        </w:rPr>
        <w:t>respondent’s knowledge of its imposition</w:t>
      </w:r>
      <w:r>
        <w:rPr>
          <w:rStyle w:val="Style19"/>
          <w:spacing w:val="-4"/>
          <w:w w:val="105"/>
        </w:rPr>
        <w:t>.</w:t>
      </w:r>
    </w:p>
    <w:p>
      <w:pPr>
        <w:spacing w:line="480" w:lineRule="auto"/>
        <w:contextualSpacing/>
        <w:rPr>
          <w:b/>
        </w:rPr>
      </w:pPr>
      <w:r>
        <w:rPr>
          <w:b/>
        </w:rPr>
        <w:tab/>
        <w:t>Conclusions</w:t>
      </w:r>
    </w:p>
    <w:p>
      <w:pPr>
        <w:spacing w:line="480" w:lineRule="auto"/>
        <w:ind w:firstLine="720"/>
        <w:contextualSpacing/>
        <w:rPr>
          <w:rStyle w:val="HeaderChar"/>
          <w:spacing w:val="-6"/>
          <w:w w:val="105"/>
        </w:rPr>
      </w:pPr>
      <w:r>
        <w:rPr>
          <w:b/>
          <w:i/>
        </w:rPr>
        <w:t>Count Eleven – Section 6103 [Failure to Obey a Court Order]</w:t>
      </w:r>
    </w:p>
    <w:p>
      <w:pPr>
        <w:spacing w:line="480" w:lineRule="auto"/>
        <w:ind w:firstLine="720"/>
        <w:contextualSpacing/>
        <w:rPr>
          <w:rStyle w:val="Style19"/>
          <w:spacing w:val="-4"/>
          <w:w w:val="105"/>
        </w:rPr>
      </w:pPr>
      <w:r>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r>
        <w:rPr>
          <w:rStyle w:val="Style19"/>
          <w:spacing w:val="-6"/>
          <w:w w:val="105"/>
        </w:rPr>
        <w:t>By failing to pay the $6,500 sanction, in violation of the Court of Appeal’s April 30, 2007 order, r</w:t>
      </w:r>
      <w:r>
        <w:rPr>
          <w:rStyle w:val="Style19"/>
          <w:spacing w:val="-7"/>
          <w:w w:val="105"/>
        </w:rPr>
        <w:t xml:space="preserve">espondent disobeyed or violated an </w:t>
      </w:r>
      <w:r>
        <w:rPr>
          <w:rStyle w:val="Style19"/>
          <w:spacing w:val="-4"/>
          <w:w w:val="105"/>
        </w:rPr>
        <w:t>order of the court, in willful violation of section 6103.</w:t>
      </w:r>
    </w:p>
    <w:p>
      <w:pPr>
        <w:spacing w:line="480" w:lineRule="auto"/>
        <w:ind w:firstLine="720"/>
        <w:contextualSpacing/>
        <w:rPr>
          <w:rStyle w:val="HeaderChar"/>
          <w:spacing w:val="-2"/>
          <w:w w:val="105"/>
        </w:rPr>
      </w:pPr>
      <w:r>
        <w:rPr>
          <w:b/>
          <w:i/>
        </w:rPr>
        <w:t>Count Twelve – Section 6068, subd. (o)(3)</w:t>
      </w:r>
      <w:r>
        <w:rPr>
          <w:b/>
        </w:rPr>
        <w:t xml:space="preserve"> </w:t>
      </w:r>
      <w:r>
        <w:rPr>
          <w:b/>
          <w:i/>
        </w:rPr>
        <w:t>[Failure to Report Sanctions]</w:t>
      </w:r>
    </w:p>
    <w:p>
      <w:pPr>
        <w:spacing w:line="480" w:lineRule="auto"/>
        <w:ind w:firstLine="720"/>
        <w:contextualSpacing/>
        <w:rPr>
          <w:b/>
        </w:rPr>
      </w:pPr>
      <w:r>
        <w:t xml:space="preserve">Section 6068, subdivision (o)(3) provides that within 30 days of knowledge, an attorney has a duty to report, in writing to the State Bar, the imposition of judicial sanctions against the attorney of $1,000.00 or more which are not imposed for failure to make discovery.  </w:t>
      </w:r>
      <w:r>
        <w:rPr>
          <w:rStyle w:val="Style19"/>
          <w:spacing w:val="-2"/>
          <w:w w:val="105"/>
        </w:rPr>
        <w:t xml:space="preserve">Respondent’s failure to report the First Appellate Court’s April </w:t>
      </w:r>
      <w:r>
        <w:rPr>
          <w:rStyle w:val="Style19"/>
          <w:spacing w:val="-8"/>
          <w:w w:val="105"/>
        </w:rPr>
        <w:t xml:space="preserve">30, 2007 order imposing sanctions against respondent and his client, jointly and severally, in the </w:t>
      </w:r>
      <w:r>
        <w:rPr>
          <w:rStyle w:val="Style19"/>
          <w:spacing w:val="-3"/>
          <w:w w:val="105"/>
        </w:rPr>
        <w:t>amount of $6,500, to the State Bar, in writing, within 30 days of respondent’s knowledge of the imposition of judicial sanctions, demonstrates a</w:t>
      </w:r>
      <w:r>
        <w:rPr>
          <w:rStyle w:val="Style19"/>
          <w:spacing w:val="-4"/>
          <w:w w:val="105"/>
        </w:rPr>
        <w:t xml:space="preserve"> willful violation of section 6068, subdivision (o)(3).  </w:t>
      </w:r>
    </w:p>
    <w:p>
      <w:pPr>
        <w:spacing w:line="480" w:lineRule="auto"/>
        <w:contextualSpacing/>
        <w:rPr>
          <w:b/>
        </w:rPr>
      </w:pPr>
      <w:r>
        <w:rPr>
          <w:b/>
        </w:rPr>
        <w:t xml:space="preserve">The Client Trust Account Matter – Case No. 11-O-11477 </w:t>
      </w:r>
    </w:p>
    <w:p>
      <w:pPr>
        <w:spacing w:line="480" w:lineRule="auto"/>
        <w:ind w:firstLine="720"/>
        <w:rPr>
          <w:b/>
        </w:rPr>
      </w:pPr>
      <w:r>
        <w:rPr>
          <w:b/>
        </w:rPr>
        <w:t>Facts</w:t>
      </w:r>
    </w:p>
    <w:p>
      <w:pPr>
        <w:spacing w:line="480" w:lineRule="auto"/>
        <w:ind w:firstLine="720"/>
        <w:contextualSpacing/>
        <w:rPr>
          <w:spacing w:val="-5"/>
          <w:w w:val="105"/>
        </w:rPr>
      </w:pPr>
      <w:r>
        <w:rPr>
          <w:spacing w:val="-7"/>
          <w:w w:val="105"/>
        </w:rPr>
        <w:t xml:space="preserve">At all relevant times herein, respondent maintained a client trust account </w:t>
      </w:r>
      <w:r>
        <w:rPr>
          <w:spacing w:val="-5"/>
          <w:w w:val="105"/>
        </w:rPr>
        <w:t>at Far East National Bank</w:t>
      </w:r>
      <w:r>
        <w:rPr>
          <w:spacing w:val="-7"/>
          <w:w w:val="105"/>
        </w:rPr>
        <w:t xml:space="preserve"> </w:t>
      </w:r>
      <w:r>
        <w:rPr>
          <w:spacing w:val="-5"/>
          <w:w w:val="105"/>
        </w:rPr>
        <w:t xml:space="preserve">(CTA).  </w:t>
      </w:r>
      <w:r>
        <w:rPr>
          <w:spacing w:val="-10"/>
          <w:w w:val="105"/>
        </w:rPr>
        <w:t xml:space="preserve">Respondent repeatedly deposited non-client funds into his CTA, thereby </w:t>
      </w:r>
      <w:r>
        <w:rPr>
          <w:spacing w:val="-5"/>
          <w:w w:val="105"/>
        </w:rPr>
        <w:t>commingling these funds in his CTA, as follows:</w:t>
      </w:r>
    </w:p>
    <w:p>
      <w:pPr>
        <w:tabs>
          <w:tab w:val="left" w:pos="3060"/>
          <w:tab w:val="left" w:pos="5220"/>
        </w:tabs>
        <w:ind w:left="1620"/>
        <w:rPr>
          <w:b/>
        </w:rPr>
      </w:pPr>
      <w:r>
        <w:rPr>
          <w:b/>
          <w:u w:val="single"/>
        </w:rPr>
        <w:t>Date</w:t>
      </w:r>
      <w:r>
        <w:rPr>
          <w:b/>
        </w:rPr>
        <w:tab/>
      </w:r>
      <w:r>
        <w:rPr>
          <w:b/>
          <w:u w:val="single"/>
        </w:rPr>
        <w:t>Amount Deposited</w:t>
      </w:r>
      <w:r>
        <w:rPr>
          <w:b/>
        </w:rPr>
        <w:tab/>
      </w:r>
      <w:r>
        <w:rPr>
          <w:b/>
          <w:u w:val="single"/>
        </w:rPr>
        <w:t>Type of Deposit</w:t>
      </w:r>
    </w:p>
    <w:p>
      <w:pPr>
        <w:tabs>
          <w:tab w:val="right" w:pos="4320"/>
          <w:tab w:val="left" w:pos="5760"/>
        </w:tabs>
        <w:ind w:left="1440"/>
      </w:pPr>
      <w:r>
        <w:t xml:space="preserve">11/04/10 </w:t>
      </w:r>
      <w:r>
        <w:tab/>
        <w:t>$200</w:t>
      </w:r>
      <w:r>
        <w:tab/>
        <w:t>Cash</w:t>
      </w:r>
    </w:p>
    <w:p>
      <w:pPr>
        <w:tabs>
          <w:tab w:val="right" w:pos="4320"/>
          <w:tab w:val="left" w:pos="5760"/>
        </w:tabs>
        <w:ind w:left="1440"/>
      </w:pPr>
      <w:r>
        <w:t xml:space="preserve">11/12/10 </w:t>
      </w:r>
      <w:r>
        <w:tab/>
        <w:t>$3,500</w:t>
      </w:r>
      <w:r>
        <w:tab/>
        <w:t>Cash</w:t>
      </w:r>
    </w:p>
    <w:p>
      <w:pPr>
        <w:tabs>
          <w:tab w:val="right" w:pos="4320"/>
          <w:tab w:val="left" w:pos="5760"/>
        </w:tabs>
        <w:ind w:left="1440"/>
      </w:pPr>
      <w:r>
        <w:t xml:space="preserve">11/15/10 </w:t>
      </w:r>
      <w:r>
        <w:tab/>
        <w:t>$1,400</w:t>
      </w:r>
      <w:r>
        <w:tab/>
        <w:t>Cash</w:t>
      </w:r>
    </w:p>
    <w:p>
      <w:pPr>
        <w:tabs>
          <w:tab w:val="right" w:pos="4320"/>
          <w:tab w:val="left" w:pos="5760"/>
        </w:tabs>
        <w:ind w:left="1440"/>
      </w:pPr>
      <w:r>
        <w:t xml:space="preserve">11/30/10 </w:t>
      </w:r>
      <w:r>
        <w:tab/>
        <w:t>$200</w:t>
      </w:r>
      <w:r>
        <w:tab/>
        <w:t>Cash</w:t>
      </w:r>
    </w:p>
    <w:p>
      <w:pPr>
        <w:tabs>
          <w:tab w:val="right" w:pos="4320"/>
          <w:tab w:val="left" w:pos="5760"/>
        </w:tabs>
        <w:ind w:left="1440"/>
      </w:pPr>
      <w:r>
        <w:t xml:space="preserve">11/30/10 </w:t>
      </w:r>
      <w:r>
        <w:tab/>
        <w:t>$900</w:t>
      </w:r>
      <w:r>
        <w:tab/>
        <w:t>Cash</w:t>
      </w:r>
    </w:p>
    <w:p>
      <w:pPr>
        <w:tabs>
          <w:tab w:val="right" w:pos="4320"/>
          <w:tab w:val="left" w:pos="5760"/>
        </w:tabs>
        <w:ind w:left="1440"/>
      </w:pPr>
      <w:r>
        <w:t xml:space="preserve">11/30/10 </w:t>
      </w:r>
      <w:r>
        <w:tab/>
        <w:t>$300</w:t>
      </w:r>
      <w:r>
        <w:tab/>
        <w:t>Cash</w:t>
      </w:r>
    </w:p>
    <w:p>
      <w:pPr>
        <w:tabs>
          <w:tab w:val="right" w:pos="4320"/>
          <w:tab w:val="left" w:pos="5760"/>
        </w:tabs>
        <w:ind w:left="1440"/>
      </w:pPr>
      <w:r>
        <w:t xml:space="preserve">12/03/10 </w:t>
      </w:r>
      <w:r>
        <w:tab/>
        <w:t>$900</w:t>
      </w:r>
      <w:r>
        <w:tab/>
        <w:t>Cash</w:t>
      </w:r>
    </w:p>
    <w:p>
      <w:pPr>
        <w:tabs>
          <w:tab w:val="right" w:pos="4320"/>
          <w:tab w:val="left" w:pos="5760"/>
        </w:tabs>
        <w:ind w:left="1440"/>
      </w:pPr>
      <w:r>
        <w:t xml:space="preserve">12/08/10 </w:t>
      </w:r>
      <w:r>
        <w:tab/>
        <w:t>$800</w:t>
      </w:r>
      <w:r>
        <w:tab/>
        <w:t>Cash</w:t>
      </w:r>
    </w:p>
    <w:p>
      <w:pPr>
        <w:tabs>
          <w:tab w:val="right" w:pos="4320"/>
          <w:tab w:val="left" w:pos="5760"/>
        </w:tabs>
        <w:ind w:left="1440"/>
      </w:pPr>
      <w:r>
        <w:t xml:space="preserve">12/21/10 </w:t>
      </w:r>
      <w:r>
        <w:tab/>
        <w:t>$200</w:t>
      </w:r>
      <w:r>
        <w:tab/>
        <w:t>Cash</w:t>
      </w:r>
    </w:p>
    <w:p>
      <w:pPr>
        <w:tabs>
          <w:tab w:val="right" w:pos="4320"/>
          <w:tab w:val="left" w:pos="5760"/>
        </w:tabs>
        <w:ind w:left="1440"/>
      </w:pPr>
      <w:r>
        <w:t xml:space="preserve">12/23/10 </w:t>
      </w:r>
      <w:r>
        <w:tab/>
        <w:t>$240</w:t>
      </w:r>
      <w:r>
        <w:tab/>
        <w:t>Cash</w:t>
      </w:r>
    </w:p>
    <w:p>
      <w:pPr>
        <w:tabs>
          <w:tab w:val="right" w:pos="4320"/>
          <w:tab w:val="left" w:pos="5760"/>
        </w:tabs>
        <w:ind w:left="1440"/>
      </w:pPr>
      <w:r>
        <w:t xml:space="preserve">12/24/10 </w:t>
      </w:r>
      <w:r>
        <w:tab/>
        <w:t>$133</w:t>
      </w:r>
      <w:r>
        <w:tab/>
        <w:t>Cash</w:t>
      </w:r>
    </w:p>
    <w:p>
      <w:pPr>
        <w:tabs>
          <w:tab w:val="right" w:pos="4320"/>
          <w:tab w:val="left" w:pos="5760"/>
        </w:tabs>
        <w:ind w:left="1440"/>
      </w:pPr>
      <w:r>
        <w:t xml:space="preserve">01/04/11 </w:t>
      </w:r>
      <w:r>
        <w:tab/>
        <w:t>$300</w:t>
      </w:r>
      <w:r>
        <w:tab/>
        <w:t>Cash</w:t>
      </w:r>
    </w:p>
    <w:p>
      <w:pPr>
        <w:tabs>
          <w:tab w:val="right" w:pos="4320"/>
          <w:tab w:val="left" w:pos="5760"/>
        </w:tabs>
        <w:ind w:left="1440"/>
      </w:pPr>
      <w:r>
        <w:t xml:space="preserve">01/05/11 </w:t>
      </w:r>
      <w:r>
        <w:tab/>
        <w:t>$900</w:t>
      </w:r>
      <w:r>
        <w:tab/>
        <w:t>Cash</w:t>
      </w:r>
    </w:p>
    <w:p>
      <w:pPr>
        <w:tabs>
          <w:tab w:val="right" w:pos="4320"/>
          <w:tab w:val="left" w:pos="5760"/>
        </w:tabs>
        <w:ind w:left="1440"/>
      </w:pPr>
      <w:r>
        <w:t xml:space="preserve">01/10/11 </w:t>
      </w:r>
      <w:r>
        <w:tab/>
        <w:t>$300</w:t>
      </w:r>
      <w:r>
        <w:tab/>
        <w:t>Cash</w:t>
      </w:r>
    </w:p>
    <w:p>
      <w:pPr>
        <w:tabs>
          <w:tab w:val="right" w:pos="4320"/>
          <w:tab w:val="left" w:pos="5760"/>
        </w:tabs>
        <w:ind w:left="1440"/>
      </w:pPr>
      <w:r>
        <w:t xml:space="preserve">01/18/11 </w:t>
      </w:r>
      <w:r>
        <w:tab/>
        <w:t>$900</w:t>
      </w:r>
      <w:r>
        <w:tab/>
        <w:t>Cash</w:t>
      </w:r>
    </w:p>
    <w:p>
      <w:pPr>
        <w:tabs>
          <w:tab w:val="right" w:pos="4320"/>
          <w:tab w:val="left" w:pos="5760"/>
        </w:tabs>
        <w:ind w:left="1440"/>
      </w:pPr>
      <w:r>
        <w:t xml:space="preserve">01/20/11 </w:t>
      </w:r>
      <w:r>
        <w:tab/>
        <w:t>$1,900</w:t>
      </w:r>
      <w:r>
        <w:tab/>
        <w:t>Cash</w:t>
      </w:r>
    </w:p>
    <w:p>
      <w:pPr>
        <w:tabs>
          <w:tab w:val="right" w:pos="4320"/>
          <w:tab w:val="left" w:pos="5760"/>
        </w:tabs>
        <w:ind w:left="1440"/>
      </w:pPr>
      <w:r>
        <w:t xml:space="preserve">02/02/11 </w:t>
      </w:r>
      <w:r>
        <w:tab/>
        <w:t>$272</w:t>
      </w:r>
      <w:r>
        <w:tab/>
        <w:t>Cash</w:t>
      </w:r>
    </w:p>
    <w:p>
      <w:pPr>
        <w:tabs>
          <w:tab w:val="right" w:pos="4320"/>
          <w:tab w:val="left" w:pos="5760"/>
        </w:tabs>
        <w:ind w:left="1440"/>
      </w:pPr>
      <w:r>
        <w:t xml:space="preserve">02/02/11 </w:t>
      </w:r>
      <w:r>
        <w:tab/>
        <w:t>$900</w:t>
      </w:r>
      <w:r>
        <w:tab/>
        <w:t>Cash</w:t>
      </w:r>
    </w:p>
    <w:p>
      <w:pPr>
        <w:tabs>
          <w:tab w:val="right" w:pos="4320"/>
          <w:tab w:val="left" w:pos="5760"/>
        </w:tabs>
        <w:ind w:left="1440"/>
      </w:pPr>
      <w:r>
        <w:t xml:space="preserve">02/09/11 </w:t>
      </w:r>
      <w:r>
        <w:tab/>
        <w:t>$1,900</w:t>
      </w:r>
      <w:r>
        <w:tab/>
        <w:t>Cash</w:t>
      </w:r>
    </w:p>
    <w:p>
      <w:pPr>
        <w:tabs>
          <w:tab w:val="right" w:pos="4320"/>
          <w:tab w:val="left" w:pos="5760"/>
        </w:tabs>
        <w:ind w:left="1440"/>
      </w:pPr>
      <w:r>
        <w:t xml:space="preserve">02/14/11 </w:t>
      </w:r>
      <w:r>
        <w:tab/>
        <w:t>$300</w:t>
      </w:r>
      <w:r>
        <w:tab/>
        <w:t>Cash</w:t>
      </w:r>
    </w:p>
    <w:p>
      <w:pPr>
        <w:tabs>
          <w:tab w:val="right" w:pos="4320"/>
          <w:tab w:val="left" w:pos="5760"/>
        </w:tabs>
        <w:ind w:left="1440"/>
      </w:pPr>
      <w:r>
        <w:t xml:space="preserve">02/16/11 </w:t>
      </w:r>
      <w:r>
        <w:tab/>
        <w:t>$1,300</w:t>
      </w:r>
      <w:r>
        <w:tab/>
        <w:t>Cash</w:t>
      </w:r>
    </w:p>
    <w:p>
      <w:pPr>
        <w:tabs>
          <w:tab w:val="right" w:pos="4320"/>
          <w:tab w:val="left" w:pos="5760"/>
        </w:tabs>
        <w:ind w:left="1440"/>
      </w:pPr>
      <w:r>
        <w:t xml:space="preserve">02/25/11 </w:t>
      </w:r>
      <w:r>
        <w:tab/>
        <w:t>$2,500</w:t>
      </w:r>
      <w:r>
        <w:tab/>
        <w:t>Cash</w:t>
      </w:r>
    </w:p>
    <w:p>
      <w:pPr>
        <w:tabs>
          <w:tab w:val="right" w:pos="4320"/>
          <w:tab w:val="left" w:pos="5760"/>
        </w:tabs>
        <w:ind w:left="1440"/>
      </w:pPr>
      <w:r>
        <w:t xml:space="preserve">03/15/11 </w:t>
      </w:r>
      <w:r>
        <w:tab/>
        <w:t>$700</w:t>
      </w:r>
      <w:r>
        <w:tab/>
        <w:t>Cash</w:t>
      </w:r>
    </w:p>
    <w:p>
      <w:pPr>
        <w:tabs>
          <w:tab w:val="right" w:pos="4320"/>
          <w:tab w:val="left" w:pos="5760"/>
        </w:tabs>
        <w:ind w:left="1440"/>
      </w:pPr>
      <w:r>
        <w:t>04/26/11</w:t>
      </w:r>
      <w:r>
        <w:tab/>
        <w:t>$500</w:t>
      </w:r>
      <w:r>
        <w:tab/>
        <w:t>Cash</w:t>
      </w:r>
    </w:p>
    <w:p>
      <w:pPr>
        <w:tabs>
          <w:tab w:val="right" w:pos="4320"/>
          <w:tab w:val="left" w:pos="5760"/>
        </w:tabs>
        <w:ind w:left="1440"/>
      </w:pPr>
      <w:r>
        <w:t>05/17/11</w:t>
      </w:r>
      <w:r>
        <w:tab/>
        <w:t>$600</w:t>
      </w:r>
      <w:r>
        <w:tab/>
        <w:t>Cash</w:t>
      </w:r>
    </w:p>
    <w:p>
      <w:pPr>
        <w:tabs>
          <w:tab w:val="right" w:pos="4320"/>
          <w:tab w:val="left" w:pos="5760"/>
        </w:tabs>
        <w:ind w:left="1440"/>
      </w:pPr>
      <w:r>
        <w:t>05/17/11</w:t>
      </w:r>
      <w:r>
        <w:tab/>
        <w:t>$600</w:t>
      </w:r>
      <w:r>
        <w:tab/>
        <w:t>Cash</w:t>
      </w:r>
    </w:p>
    <w:p>
      <w:pPr>
        <w:tabs>
          <w:tab w:val="right" w:pos="4320"/>
          <w:tab w:val="left" w:pos="5760"/>
        </w:tabs>
        <w:ind w:left="1440"/>
      </w:pPr>
      <w:r>
        <w:t>06/09/11</w:t>
      </w:r>
      <w:r>
        <w:tab/>
        <w:t>$100</w:t>
      </w:r>
      <w:r>
        <w:tab/>
        <w:t>Cash</w:t>
      </w:r>
    </w:p>
    <w:p>
      <w:pPr>
        <w:tabs>
          <w:tab w:val="right" w:pos="4320"/>
          <w:tab w:val="left" w:pos="5760"/>
        </w:tabs>
        <w:ind w:left="1440"/>
      </w:pPr>
      <w:r>
        <w:t>08/01/11</w:t>
      </w:r>
      <w:r>
        <w:tab/>
        <w:t>$200</w:t>
      </w:r>
      <w:r>
        <w:tab/>
        <w:t>Cash</w:t>
      </w:r>
    </w:p>
    <w:p>
      <w:pPr>
        <w:tabs>
          <w:tab w:val="right" w:pos="4320"/>
          <w:tab w:val="left" w:pos="5760"/>
        </w:tabs>
        <w:ind w:left="1440"/>
      </w:pPr>
      <w:r>
        <w:t>08/31/11</w:t>
      </w:r>
      <w:r>
        <w:tab/>
        <w:t>$200</w:t>
      </w:r>
      <w:r>
        <w:tab/>
        <w:t>Cash</w:t>
      </w:r>
    </w:p>
    <w:p>
      <w:pPr>
        <w:tabs>
          <w:tab w:val="right" w:pos="4320"/>
          <w:tab w:val="left" w:pos="5760"/>
        </w:tabs>
        <w:ind w:left="1440"/>
      </w:pPr>
      <w:r>
        <w:t>09/01/11</w:t>
      </w:r>
      <w:r>
        <w:tab/>
        <w:t>$1,500</w:t>
      </w:r>
      <w:r>
        <w:tab/>
        <w:t>Cash</w:t>
      </w:r>
    </w:p>
    <w:p>
      <w:pPr>
        <w:tabs>
          <w:tab w:val="right" w:pos="4320"/>
          <w:tab w:val="left" w:pos="5760"/>
        </w:tabs>
        <w:ind w:left="1440"/>
      </w:pPr>
      <w:r>
        <w:t>09/08/11</w:t>
      </w:r>
      <w:r>
        <w:tab/>
        <w:t>$1,200</w:t>
      </w:r>
      <w:r>
        <w:tab/>
        <w:t>Cash</w:t>
      </w:r>
    </w:p>
    <w:p>
      <w:pPr>
        <w:tabs>
          <w:tab w:val="right" w:pos="4320"/>
          <w:tab w:val="left" w:pos="5760"/>
        </w:tabs>
        <w:ind w:left="1440"/>
      </w:pPr>
      <w:r>
        <w:t>09/21/11</w:t>
      </w:r>
      <w:r>
        <w:tab/>
        <w:t>$80</w:t>
      </w:r>
      <w:r>
        <w:tab/>
        <w:t>Cash</w:t>
      </w:r>
    </w:p>
    <w:p>
      <w:pPr>
        <w:tabs>
          <w:tab w:val="right" w:pos="4320"/>
          <w:tab w:val="left" w:pos="5760"/>
        </w:tabs>
        <w:ind w:left="1440"/>
      </w:pPr>
      <w:r>
        <w:t>10/05/11</w:t>
      </w:r>
      <w:r>
        <w:tab/>
        <w:t>$1,100</w:t>
      </w:r>
      <w:r>
        <w:tab/>
        <w:t>Cash</w:t>
      </w:r>
    </w:p>
    <w:p>
      <w:pPr>
        <w:tabs>
          <w:tab w:val="right" w:pos="4320"/>
          <w:tab w:val="left" w:pos="5760"/>
        </w:tabs>
        <w:ind w:left="1440"/>
      </w:pPr>
      <w:r>
        <w:t>10/06/11</w:t>
      </w:r>
      <w:r>
        <w:tab/>
        <w:t>$500</w:t>
      </w:r>
      <w:r>
        <w:tab/>
        <w:t>Cash</w:t>
      </w:r>
    </w:p>
    <w:p>
      <w:pPr>
        <w:tabs>
          <w:tab w:val="right" w:pos="4320"/>
          <w:tab w:val="left" w:pos="5760"/>
        </w:tabs>
        <w:ind w:left="1440"/>
      </w:pPr>
      <w:r>
        <w:t>10/11/11</w:t>
      </w:r>
      <w:r>
        <w:tab/>
        <w:t>$200</w:t>
      </w:r>
      <w:r>
        <w:tab/>
        <w:t>Cash</w:t>
      </w:r>
    </w:p>
    <w:p>
      <w:pPr>
        <w:widowControl w:val="0"/>
        <w:tabs>
          <w:tab w:val="num" w:pos="1512"/>
        </w:tabs>
        <w:kinsoku w:val="0"/>
        <w:spacing w:before="396" w:line="412" w:lineRule="auto"/>
        <w:ind w:right="360" w:firstLine="720"/>
        <w:rPr>
          <w:spacing w:val="-5"/>
          <w:w w:val="105"/>
        </w:rPr>
      </w:pPr>
      <w:r>
        <w:rPr>
          <w:spacing w:val="-10"/>
          <w:w w:val="105"/>
        </w:rPr>
        <w:t xml:space="preserve">Respondent repeatedly made payments for non-client purposes out of his CTA, </w:t>
      </w:r>
      <w:r>
        <w:rPr>
          <w:spacing w:val="-5"/>
          <w:w w:val="105"/>
        </w:rPr>
        <w:t>as follows:</w:t>
      </w:r>
    </w:p>
    <w:p>
      <w:pPr>
        <w:tabs>
          <w:tab w:val="left" w:pos="2160"/>
          <w:tab w:val="left" w:pos="3960"/>
          <w:tab w:val="left" w:pos="6480"/>
          <w:tab w:val="left" w:pos="9180"/>
        </w:tabs>
        <w:ind w:left="720"/>
        <w:rPr>
          <w:b/>
          <w:u w:val="single"/>
        </w:rPr>
      </w:pPr>
      <w:r>
        <w:rPr>
          <w:b/>
          <w:u w:val="single"/>
        </w:rPr>
        <w:t>Date</w:t>
      </w:r>
      <w:r>
        <w:rPr>
          <w:b/>
        </w:rPr>
        <w:tab/>
      </w:r>
      <w:r>
        <w:rPr>
          <w:b/>
          <w:u w:val="single"/>
        </w:rPr>
        <w:t>Check No.</w:t>
      </w:r>
      <w:r>
        <w:rPr>
          <w:b/>
        </w:rPr>
        <w:tab/>
      </w:r>
      <w:r>
        <w:rPr>
          <w:b/>
          <w:u w:val="single"/>
        </w:rPr>
        <w:t>Payee</w:t>
      </w:r>
      <w:r>
        <w:rPr>
          <w:b/>
        </w:rPr>
        <w:tab/>
      </w:r>
      <w:r>
        <w:rPr>
          <w:b/>
          <w:u w:val="single"/>
        </w:rPr>
        <w:t>Amount</w:t>
      </w:r>
    </w:p>
    <w:p>
      <w:pPr>
        <w:tabs>
          <w:tab w:val="left" w:pos="2160"/>
          <w:tab w:val="left" w:pos="3960"/>
          <w:tab w:val="right" w:pos="7380"/>
        </w:tabs>
        <w:ind w:left="720"/>
      </w:pPr>
      <w:r>
        <w:t>11/08/10</w:t>
      </w:r>
      <w:r>
        <w:tab/>
        <w:t>2020</w:t>
      </w:r>
      <w:r>
        <w:tab/>
        <w:t>Cash</w:t>
      </w:r>
      <w:r>
        <w:rPr>
          <w:rStyle w:val="FootnoteReference"/>
        </w:rPr>
        <w:footnoteReference w:id="8"/>
      </w:r>
      <w:r>
        <w:tab/>
        <w:t>$100.00</w:t>
      </w:r>
    </w:p>
    <w:p>
      <w:pPr>
        <w:tabs>
          <w:tab w:val="left" w:pos="2160"/>
          <w:tab w:val="left" w:pos="3960"/>
          <w:tab w:val="right" w:pos="7380"/>
        </w:tabs>
        <w:ind w:left="720"/>
      </w:pPr>
      <w:r>
        <w:t>11/16/10</w:t>
      </w:r>
      <w:r>
        <w:tab/>
        <w:t>2022</w:t>
      </w:r>
      <w:r>
        <w:tab/>
        <w:t>DP550, LLC (rent)</w:t>
      </w:r>
      <w:r>
        <w:tab/>
        <w:t>$4,700.00</w:t>
      </w:r>
    </w:p>
    <w:p>
      <w:pPr>
        <w:tabs>
          <w:tab w:val="left" w:pos="2160"/>
          <w:tab w:val="left" w:pos="3960"/>
          <w:tab w:val="right" w:pos="7380"/>
        </w:tabs>
        <w:ind w:left="720"/>
      </w:pPr>
      <w:r>
        <w:t>11/16/10</w:t>
      </w:r>
      <w:r>
        <w:tab/>
        <w:t>2262</w:t>
      </w:r>
      <w:r>
        <w:tab/>
        <w:t>Cash</w:t>
      </w:r>
      <w:r>
        <w:tab/>
        <w:t>$100.00</w:t>
      </w:r>
    </w:p>
    <w:p>
      <w:pPr>
        <w:tabs>
          <w:tab w:val="left" w:pos="2160"/>
          <w:tab w:val="left" w:pos="3960"/>
          <w:tab w:val="right" w:pos="7380"/>
        </w:tabs>
        <w:ind w:left="720"/>
      </w:pPr>
      <w:r>
        <w:t>11/18/10</w:t>
      </w:r>
      <w:r>
        <w:tab/>
        <w:t>2021</w:t>
      </w:r>
      <w:r>
        <w:tab/>
        <w:t>Cash</w:t>
      </w:r>
      <w:r>
        <w:tab/>
        <w:t>$100.00</w:t>
      </w:r>
    </w:p>
    <w:p>
      <w:pPr>
        <w:tabs>
          <w:tab w:val="left" w:pos="2160"/>
          <w:tab w:val="left" w:pos="3960"/>
          <w:tab w:val="right" w:pos="7380"/>
        </w:tabs>
        <w:ind w:left="720"/>
      </w:pPr>
      <w:r>
        <w:t>11/19/10</w:t>
      </w:r>
      <w:r>
        <w:tab/>
        <w:t>2265</w:t>
      </w:r>
      <w:r>
        <w:tab/>
        <w:t>Cash</w:t>
      </w:r>
      <w:r>
        <w:tab/>
        <w:t>$100.00</w:t>
      </w:r>
    </w:p>
    <w:p>
      <w:pPr>
        <w:tabs>
          <w:tab w:val="left" w:pos="2160"/>
          <w:tab w:val="left" w:pos="3960"/>
          <w:tab w:val="right" w:pos="7380"/>
        </w:tabs>
        <w:ind w:left="720"/>
      </w:pPr>
      <w:r>
        <w:t>11/19/10</w:t>
      </w:r>
      <w:r>
        <w:tab/>
        <w:t>2266</w:t>
      </w:r>
      <w:r>
        <w:tab/>
        <w:t>Cash</w:t>
      </w:r>
      <w:r>
        <w:tab/>
        <w:t>$200.00</w:t>
      </w:r>
    </w:p>
    <w:p>
      <w:pPr>
        <w:tabs>
          <w:tab w:val="left" w:pos="2160"/>
          <w:tab w:val="left" w:pos="3960"/>
          <w:tab w:val="right" w:pos="7380"/>
        </w:tabs>
        <w:ind w:left="720"/>
      </w:pPr>
      <w:r>
        <w:t>12/21/10</w:t>
      </w:r>
      <w:r>
        <w:tab/>
        <w:t>2035</w:t>
      </w:r>
      <w:r>
        <w:tab/>
        <w:t>DP550, LLP (rent)</w:t>
      </w:r>
      <w:r>
        <w:tab/>
        <w:t>$2,000.00</w:t>
      </w:r>
    </w:p>
    <w:p>
      <w:pPr>
        <w:tabs>
          <w:tab w:val="left" w:pos="2160"/>
          <w:tab w:val="left" w:pos="3960"/>
          <w:tab w:val="right" w:pos="7380"/>
        </w:tabs>
        <w:ind w:left="720"/>
      </w:pPr>
      <w:r>
        <w:t>11/22/10</w:t>
      </w:r>
      <w:r>
        <w:tab/>
        <w:t>2260</w:t>
      </w:r>
      <w:r>
        <w:tab/>
        <w:t>Cash</w:t>
      </w:r>
      <w:r>
        <w:tab/>
        <w:t>$250.00</w:t>
      </w:r>
    </w:p>
    <w:p>
      <w:pPr>
        <w:tabs>
          <w:tab w:val="left" w:pos="2160"/>
          <w:tab w:val="left" w:pos="3960"/>
          <w:tab w:val="right" w:pos="7380"/>
        </w:tabs>
        <w:ind w:left="720"/>
      </w:pPr>
      <w:r>
        <w:t>11/23/10</w:t>
      </w:r>
      <w:r>
        <w:tab/>
        <w:t>2274</w:t>
      </w:r>
      <w:r>
        <w:tab/>
        <w:t>Cash</w:t>
      </w:r>
      <w:r>
        <w:tab/>
        <w:t>$200.00</w:t>
      </w:r>
    </w:p>
    <w:p>
      <w:pPr>
        <w:tabs>
          <w:tab w:val="left" w:pos="2160"/>
          <w:tab w:val="left" w:pos="3960"/>
          <w:tab w:val="right" w:pos="7380"/>
        </w:tabs>
        <w:ind w:left="720"/>
      </w:pPr>
      <w:r>
        <w:t>11/24/10</w:t>
      </w:r>
      <w:r>
        <w:tab/>
        <w:t>2267</w:t>
      </w:r>
      <w:r>
        <w:tab/>
        <w:t>Staples</w:t>
      </w:r>
      <w:r>
        <w:tab/>
        <w:t>$99.63</w:t>
      </w:r>
    </w:p>
    <w:p>
      <w:pPr>
        <w:tabs>
          <w:tab w:val="left" w:pos="2160"/>
          <w:tab w:val="left" w:pos="3960"/>
          <w:tab w:val="right" w:pos="7380"/>
        </w:tabs>
        <w:ind w:left="720"/>
      </w:pPr>
      <w:r>
        <w:t>11/29/10</w:t>
      </w:r>
      <w:r>
        <w:tab/>
        <w:t>2261</w:t>
      </w:r>
      <w:r>
        <w:tab/>
        <w:t>Staples</w:t>
      </w:r>
      <w:r>
        <w:tab/>
        <w:t>$49.95</w:t>
      </w:r>
    </w:p>
    <w:p>
      <w:pPr>
        <w:tabs>
          <w:tab w:val="left" w:pos="2160"/>
          <w:tab w:val="left" w:pos="3960"/>
          <w:tab w:val="right" w:pos="7380"/>
        </w:tabs>
        <w:ind w:left="720"/>
      </w:pPr>
      <w:r>
        <w:t>12/01/10</w:t>
      </w:r>
      <w:r>
        <w:tab/>
        <w:t>2271</w:t>
      </w:r>
      <w:r>
        <w:tab/>
        <w:t>Staples</w:t>
      </w:r>
      <w:r>
        <w:tab/>
        <w:t>$424.07</w:t>
      </w:r>
    </w:p>
    <w:p>
      <w:pPr>
        <w:tabs>
          <w:tab w:val="left" w:pos="2160"/>
          <w:tab w:val="left" w:pos="3960"/>
          <w:tab w:val="right" w:pos="7380"/>
        </w:tabs>
        <w:ind w:left="720"/>
      </w:pPr>
      <w:r>
        <w:t>12/06/10</w:t>
      </w:r>
      <w:r>
        <w:tab/>
        <w:t>2014</w:t>
      </w:r>
      <w:r>
        <w:tab/>
        <w:t>Dr. Dan Kalshan</w:t>
      </w:r>
      <w:r>
        <w:tab/>
        <w:t>$226.00</w:t>
      </w:r>
    </w:p>
    <w:p>
      <w:pPr>
        <w:tabs>
          <w:tab w:val="left" w:pos="2160"/>
          <w:tab w:val="left" w:pos="3960"/>
          <w:tab w:val="right" w:pos="7380"/>
        </w:tabs>
        <w:ind w:left="720"/>
      </w:pPr>
      <w:r>
        <w:t>12/06/10</w:t>
      </w:r>
      <w:r>
        <w:tab/>
        <w:t>2034</w:t>
      </w:r>
      <w:r>
        <w:tab/>
        <w:t>Cash</w:t>
      </w:r>
      <w:r>
        <w:tab/>
        <w:t>$500.00</w:t>
      </w:r>
    </w:p>
    <w:p>
      <w:pPr>
        <w:tabs>
          <w:tab w:val="left" w:pos="2160"/>
          <w:tab w:val="left" w:pos="3960"/>
          <w:tab w:val="right" w:pos="7380"/>
        </w:tabs>
        <w:ind w:left="720"/>
      </w:pPr>
      <w:r>
        <w:t>12/09/10</w:t>
      </w:r>
      <w:r>
        <w:tab/>
        <w:t>2037</w:t>
      </w:r>
      <w:r>
        <w:tab/>
        <w:t>Cash</w:t>
      </w:r>
      <w:r>
        <w:tab/>
        <w:t>$100.00</w:t>
      </w:r>
    </w:p>
    <w:p>
      <w:pPr>
        <w:tabs>
          <w:tab w:val="left" w:pos="2160"/>
          <w:tab w:val="left" w:pos="3960"/>
          <w:tab w:val="right" w:pos="7380"/>
        </w:tabs>
        <w:ind w:left="720"/>
      </w:pPr>
      <w:r>
        <w:t>12/13/10</w:t>
      </w:r>
      <w:r>
        <w:tab/>
        <w:t>2040</w:t>
      </w:r>
      <w:r>
        <w:tab/>
        <w:t>Cash</w:t>
      </w:r>
      <w:r>
        <w:tab/>
        <w:t>$120.00</w:t>
      </w:r>
    </w:p>
    <w:p>
      <w:pPr>
        <w:tabs>
          <w:tab w:val="left" w:pos="2160"/>
          <w:tab w:val="left" w:pos="3960"/>
          <w:tab w:val="right" w:pos="7380"/>
        </w:tabs>
        <w:ind w:left="720"/>
      </w:pPr>
      <w:r>
        <w:t>12/13/10</w:t>
      </w:r>
      <w:r>
        <w:tab/>
        <w:t>2659</w:t>
      </w:r>
      <w:r>
        <w:tab/>
        <w:t>Cash</w:t>
      </w:r>
      <w:r>
        <w:tab/>
        <w:t>$250.00</w:t>
      </w:r>
    </w:p>
    <w:p>
      <w:pPr>
        <w:tabs>
          <w:tab w:val="left" w:pos="2160"/>
          <w:tab w:val="left" w:pos="3960"/>
          <w:tab w:val="right" w:pos="7380"/>
        </w:tabs>
        <w:ind w:left="720"/>
      </w:pPr>
      <w:r>
        <w:t>12/15/10</w:t>
      </w:r>
      <w:r>
        <w:tab/>
        <w:t>2270</w:t>
      </w:r>
      <w:r>
        <w:tab/>
        <w:t>Cash</w:t>
      </w:r>
      <w:r>
        <w:tab/>
        <w:t>$60.00</w:t>
      </w:r>
    </w:p>
    <w:p>
      <w:pPr>
        <w:tabs>
          <w:tab w:val="left" w:pos="2160"/>
          <w:tab w:val="left" w:pos="3960"/>
          <w:tab w:val="right" w:pos="7380"/>
        </w:tabs>
        <w:ind w:left="720"/>
      </w:pPr>
      <w:r>
        <w:t>12/16/10</w:t>
      </w:r>
      <w:r>
        <w:tab/>
        <w:t>2045</w:t>
      </w:r>
      <w:r>
        <w:tab/>
        <w:t>Cash</w:t>
      </w:r>
      <w:r>
        <w:tab/>
        <w:t>$100.00</w:t>
      </w:r>
    </w:p>
    <w:p>
      <w:pPr>
        <w:tabs>
          <w:tab w:val="left" w:pos="2160"/>
          <w:tab w:val="left" w:pos="3960"/>
          <w:tab w:val="right" w:pos="7380"/>
        </w:tabs>
        <w:ind w:left="720"/>
      </w:pPr>
      <w:r>
        <w:t>12/20/10</w:t>
      </w:r>
      <w:r>
        <w:tab/>
        <w:t>2042</w:t>
      </w:r>
      <w:r>
        <w:tab/>
        <w:t>Cash</w:t>
      </w:r>
      <w:r>
        <w:tab/>
        <w:t>$200.00</w:t>
      </w:r>
    </w:p>
    <w:p>
      <w:pPr>
        <w:tabs>
          <w:tab w:val="left" w:pos="2160"/>
          <w:tab w:val="left" w:pos="3960"/>
          <w:tab w:val="right" w:pos="7380"/>
        </w:tabs>
        <w:ind w:left="720"/>
      </w:pPr>
      <w:r>
        <w:t>12/21/10</w:t>
      </w:r>
      <w:r>
        <w:tab/>
        <w:t>2049</w:t>
      </w:r>
      <w:r>
        <w:tab/>
        <w:t>Cash</w:t>
      </w:r>
      <w:r>
        <w:tab/>
        <w:t>$100.00</w:t>
      </w:r>
    </w:p>
    <w:p>
      <w:pPr>
        <w:tabs>
          <w:tab w:val="left" w:pos="2160"/>
          <w:tab w:val="left" w:pos="3960"/>
          <w:tab w:val="right" w:pos="7380"/>
        </w:tabs>
        <w:ind w:left="720"/>
      </w:pPr>
      <w:r>
        <w:t>12/27/10</w:t>
      </w:r>
      <w:r>
        <w:tab/>
        <w:t>2047</w:t>
      </w:r>
      <w:r>
        <w:tab/>
        <w:t>Staples</w:t>
      </w:r>
      <w:r>
        <w:tab/>
        <w:t>$33.99</w:t>
      </w:r>
    </w:p>
    <w:p>
      <w:pPr>
        <w:tabs>
          <w:tab w:val="left" w:pos="2160"/>
          <w:tab w:val="left" w:pos="3960"/>
          <w:tab w:val="right" w:pos="7380"/>
        </w:tabs>
        <w:ind w:left="720"/>
      </w:pPr>
      <w:r>
        <w:t>12/27/10</w:t>
      </w:r>
      <w:r>
        <w:tab/>
        <w:t>2051</w:t>
      </w:r>
      <w:r>
        <w:tab/>
        <w:t>Cash</w:t>
      </w:r>
      <w:r>
        <w:tab/>
        <w:t>$40.00</w:t>
      </w:r>
    </w:p>
    <w:p>
      <w:pPr>
        <w:tabs>
          <w:tab w:val="left" w:pos="2160"/>
          <w:tab w:val="left" w:pos="3960"/>
          <w:tab w:val="right" w:pos="7380"/>
        </w:tabs>
        <w:ind w:left="720"/>
      </w:pPr>
      <w:r>
        <w:t>12/31/10</w:t>
      </w:r>
      <w:r>
        <w:tab/>
        <w:t>1727</w:t>
      </w:r>
      <w:r>
        <w:tab/>
        <w:t>Mom’s Pharmacy</w:t>
      </w:r>
      <w:r>
        <w:tab/>
        <w:t>$318.00</w:t>
      </w:r>
    </w:p>
    <w:p>
      <w:pPr>
        <w:tabs>
          <w:tab w:val="left" w:pos="2160"/>
          <w:tab w:val="left" w:pos="3960"/>
          <w:tab w:val="right" w:pos="7380"/>
        </w:tabs>
        <w:ind w:left="720"/>
      </w:pPr>
      <w:r>
        <w:t>01/04/11</w:t>
      </w:r>
      <w:r>
        <w:tab/>
        <w:t>2055</w:t>
      </w:r>
      <w:r>
        <w:tab/>
        <w:t>DP550, LLP (rent)</w:t>
      </w:r>
      <w:r>
        <w:tab/>
        <w:t>$800.00</w:t>
      </w:r>
    </w:p>
    <w:p>
      <w:pPr>
        <w:tabs>
          <w:tab w:val="left" w:pos="2160"/>
          <w:tab w:val="left" w:pos="3960"/>
          <w:tab w:val="right" w:pos="7380"/>
        </w:tabs>
        <w:ind w:left="720"/>
      </w:pPr>
      <w:r>
        <w:t>01/04/11</w:t>
      </w:r>
      <w:r>
        <w:tab/>
        <w:t>Debit</w:t>
      </w:r>
      <w:r>
        <w:tab/>
        <w:t>Best Buy</w:t>
      </w:r>
      <w:r>
        <w:tab/>
        <w:t>$133.03</w:t>
      </w:r>
    </w:p>
    <w:p>
      <w:pPr>
        <w:tabs>
          <w:tab w:val="left" w:pos="2160"/>
          <w:tab w:val="left" w:pos="3960"/>
          <w:tab w:val="right" w:pos="7380"/>
        </w:tabs>
        <w:ind w:left="720"/>
      </w:pPr>
      <w:r>
        <w:t>01/05/11</w:t>
      </w:r>
      <w:r>
        <w:tab/>
        <w:t>2062</w:t>
      </w:r>
      <w:r>
        <w:tab/>
        <w:t>Cash</w:t>
      </w:r>
      <w:r>
        <w:tab/>
        <w:t>$100.00</w:t>
      </w:r>
    </w:p>
    <w:p>
      <w:pPr>
        <w:tabs>
          <w:tab w:val="left" w:pos="2160"/>
          <w:tab w:val="left" w:pos="3960"/>
          <w:tab w:val="right" w:pos="7380"/>
        </w:tabs>
        <w:ind w:left="720"/>
      </w:pPr>
      <w:r>
        <w:t>01/14/11</w:t>
      </w:r>
      <w:r>
        <w:tab/>
        <w:t>2072</w:t>
      </w:r>
      <w:r>
        <w:tab/>
        <w:t>DP550, LLP (rent)</w:t>
      </w:r>
      <w:r>
        <w:tab/>
        <w:t>$2,800.00</w:t>
      </w:r>
    </w:p>
    <w:p>
      <w:pPr>
        <w:tabs>
          <w:tab w:val="left" w:pos="2160"/>
          <w:tab w:val="left" w:pos="3960"/>
          <w:tab w:val="right" w:pos="7380"/>
        </w:tabs>
        <w:ind w:left="720"/>
      </w:pPr>
      <w:r>
        <w:t>01/19/11</w:t>
      </w:r>
      <w:r>
        <w:tab/>
        <w:t>2272</w:t>
      </w:r>
      <w:r>
        <w:tab/>
        <w:t>Walgreens</w:t>
      </w:r>
      <w:r>
        <w:tab/>
        <w:t>$153.99</w:t>
      </w:r>
    </w:p>
    <w:p>
      <w:pPr>
        <w:tabs>
          <w:tab w:val="left" w:pos="2160"/>
          <w:tab w:val="left" w:pos="3960"/>
          <w:tab w:val="right" w:pos="7380"/>
        </w:tabs>
        <w:ind w:left="720"/>
      </w:pPr>
      <w:r>
        <w:t>01/20/11</w:t>
      </w:r>
      <w:r>
        <w:tab/>
        <w:t>2069</w:t>
      </w:r>
      <w:r>
        <w:tab/>
        <w:t>Cash</w:t>
      </w:r>
      <w:r>
        <w:tab/>
        <w:t>$100.00</w:t>
      </w:r>
    </w:p>
    <w:p>
      <w:pPr>
        <w:tabs>
          <w:tab w:val="left" w:pos="2160"/>
          <w:tab w:val="left" w:pos="3960"/>
          <w:tab w:val="right" w:pos="7380"/>
        </w:tabs>
        <w:ind w:left="720"/>
      </w:pPr>
      <w:r>
        <w:t>01/21/11</w:t>
      </w:r>
      <w:r>
        <w:tab/>
        <w:t>2074</w:t>
      </w:r>
      <w:r>
        <w:tab/>
        <w:t>Cash</w:t>
      </w:r>
      <w:r>
        <w:tab/>
        <w:t>$200.00</w:t>
      </w:r>
    </w:p>
    <w:p>
      <w:pPr>
        <w:tabs>
          <w:tab w:val="left" w:pos="2160"/>
          <w:tab w:val="left" w:pos="3960"/>
          <w:tab w:val="right" w:pos="7380"/>
        </w:tabs>
        <w:ind w:left="720"/>
      </w:pPr>
      <w:r>
        <w:t>01/25/11</w:t>
      </w:r>
      <w:r>
        <w:tab/>
        <w:t>2076</w:t>
      </w:r>
      <w:r>
        <w:tab/>
        <w:t>Cash</w:t>
      </w:r>
      <w:r>
        <w:tab/>
        <w:t>$100.00</w:t>
      </w:r>
    </w:p>
    <w:p>
      <w:pPr>
        <w:tabs>
          <w:tab w:val="left" w:pos="2160"/>
          <w:tab w:val="left" w:pos="3960"/>
          <w:tab w:val="right" w:pos="7380"/>
        </w:tabs>
        <w:ind w:left="720"/>
      </w:pPr>
      <w:r>
        <w:t>01/27/11</w:t>
      </w:r>
      <w:r>
        <w:tab/>
        <w:t>2052</w:t>
      </w:r>
      <w:r>
        <w:tab/>
        <w:t>Utrecht Art Supplies</w:t>
      </w:r>
      <w:r>
        <w:tab/>
        <w:t>$86.44</w:t>
      </w:r>
    </w:p>
    <w:p>
      <w:pPr>
        <w:tabs>
          <w:tab w:val="left" w:pos="2160"/>
          <w:tab w:val="left" w:pos="3960"/>
          <w:tab w:val="right" w:pos="7380"/>
        </w:tabs>
        <w:ind w:left="720"/>
      </w:pPr>
      <w:r>
        <w:t>01/28/11</w:t>
      </w:r>
      <w:r>
        <w:tab/>
        <w:t>2063</w:t>
      </w:r>
      <w:r>
        <w:tab/>
        <w:t>Dr. Dan Kalshan</w:t>
      </w:r>
      <w:r>
        <w:tab/>
        <w:t>$226.00</w:t>
      </w:r>
    </w:p>
    <w:p>
      <w:pPr>
        <w:tabs>
          <w:tab w:val="left" w:pos="2160"/>
          <w:tab w:val="left" w:pos="3960"/>
          <w:tab w:val="right" w:pos="7380"/>
        </w:tabs>
        <w:ind w:left="720"/>
      </w:pPr>
      <w:r>
        <w:t>01/31/11</w:t>
      </w:r>
      <w:r>
        <w:tab/>
        <w:t>2064</w:t>
      </w:r>
      <w:r>
        <w:tab/>
        <w:t>Walgreens</w:t>
      </w:r>
      <w:r>
        <w:tab/>
        <w:t>$119.33</w:t>
      </w:r>
    </w:p>
    <w:p>
      <w:pPr>
        <w:tabs>
          <w:tab w:val="left" w:pos="2160"/>
          <w:tab w:val="left" w:pos="3960"/>
          <w:tab w:val="right" w:pos="7380"/>
        </w:tabs>
        <w:ind w:left="720"/>
      </w:pPr>
      <w:r>
        <w:t>01/31/11</w:t>
      </w:r>
      <w:r>
        <w:tab/>
        <w:t>2082</w:t>
      </w:r>
      <w:r>
        <w:tab/>
        <w:t>Cash</w:t>
      </w:r>
      <w:r>
        <w:tab/>
        <w:t>$100.00</w:t>
      </w:r>
    </w:p>
    <w:p>
      <w:pPr>
        <w:tabs>
          <w:tab w:val="left" w:pos="2160"/>
          <w:tab w:val="left" w:pos="3960"/>
          <w:tab w:val="right" w:pos="7380"/>
        </w:tabs>
        <w:ind w:left="720"/>
      </w:pPr>
      <w:r>
        <w:t>02/01/11</w:t>
      </w:r>
      <w:r>
        <w:tab/>
        <w:t>2084</w:t>
      </w:r>
      <w:r>
        <w:tab/>
        <w:t>Cash</w:t>
      </w:r>
      <w:r>
        <w:tab/>
        <w:t>$100.00</w:t>
      </w:r>
    </w:p>
    <w:p>
      <w:pPr>
        <w:tabs>
          <w:tab w:val="left" w:pos="2160"/>
          <w:tab w:val="left" w:pos="3960"/>
          <w:tab w:val="right" w:pos="7380"/>
        </w:tabs>
        <w:ind w:left="720"/>
      </w:pPr>
      <w:r>
        <w:t>02/03/11</w:t>
      </w:r>
      <w:r>
        <w:tab/>
        <w:t>2083</w:t>
      </w:r>
      <w:r>
        <w:tab/>
        <w:t>Cash</w:t>
      </w:r>
      <w:r>
        <w:tab/>
        <w:t>$400.00</w:t>
      </w:r>
    </w:p>
    <w:p>
      <w:pPr>
        <w:tabs>
          <w:tab w:val="left" w:pos="2160"/>
          <w:tab w:val="left" w:pos="3960"/>
          <w:tab w:val="right" w:pos="7380"/>
        </w:tabs>
        <w:ind w:left="720"/>
      </w:pPr>
      <w:r>
        <w:t>02/10/11</w:t>
      </w:r>
      <w:r>
        <w:tab/>
        <w:t>2078</w:t>
      </w:r>
      <w:r>
        <w:tab/>
        <w:t>Walgreens</w:t>
      </w:r>
      <w:r>
        <w:tab/>
        <w:t>$169.99</w:t>
      </w:r>
    </w:p>
    <w:p>
      <w:pPr>
        <w:tabs>
          <w:tab w:val="left" w:pos="2160"/>
          <w:tab w:val="left" w:pos="3960"/>
          <w:tab w:val="right" w:pos="7380"/>
        </w:tabs>
        <w:ind w:left="720"/>
      </w:pPr>
      <w:r>
        <w:t>02/14/11</w:t>
      </w:r>
      <w:r>
        <w:tab/>
        <w:t>2086</w:t>
      </w:r>
      <w:r>
        <w:tab/>
        <w:t>Cash</w:t>
      </w:r>
      <w:r>
        <w:tab/>
        <w:t>$700.00</w:t>
      </w:r>
    </w:p>
    <w:p>
      <w:pPr>
        <w:tabs>
          <w:tab w:val="left" w:pos="2160"/>
          <w:tab w:val="left" w:pos="3960"/>
          <w:tab w:val="right" w:pos="7380"/>
        </w:tabs>
        <w:ind w:left="720"/>
      </w:pPr>
      <w:r>
        <w:t>02/24/11</w:t>
      </w:r>
      <w:r>
        <w:tab/>
        <w:t>2089</w:t>
      </w:r>
      <w:r>
        <w:tab/>
        <w:t>Cash</w:t>
      </w:r>
      <w:r>
        <w:tab/>
        <w:t>$500.00</w:t>
      </w:r>
    </w:p>
    <w:p>
      <w:pPr>
        <w:tabs>
          <w:tab w:val="left" w:pos="2160"/>
          <w:tab w:val="left" w:pos="3960"/>
          <w:tab w:val="right" w:pos="7380"/>
        </w:tabs>
        <w:ind w:left="720"/>
      </w:pPr>
      <w:r>
        <w:t>02/22/11</w:t>
      </w:r>
      <w:r>
        <w:tab/>
        <w:t>2090</w:t>
      </w:r>
      <w:r>
        <w:tab/>
        <w:t>Cash</w:t>
      </w:r>
      <w:r>
        <w:tab/>
        <w:t>$200.00</w:t>
      </w:r>
    </w:p>
    <w:p>
      <w:pPr>
        <w:tabs>
          <w:tab w:val="left" w:pos="2160"/>
          <w:tab w:val="left" w:pos="3960"/>
          <w:tab w:val="right" w:pos="7380"/>
        </w:tabs>
        <w:ind w:left="720"/>
      </w:pPr>
      <w:r>
        <w:t>02/25/11</w:t>
      </w:r>
      <w:r>
        <w:tab/>
        <w:t>2092</w:t>
      </w:r>
      <w:r>
        <w:tab/>
        <w:t>Cash</w:t>
      </w:r>
      <w:r>
        <w:tab/>
        <w:t>$300.00</w:t>
      </w:r>
    </w:p>
    <w:p>
      <w:pPr>
        <w:tabs>
          <w:tab w:val="left" w:pos="2160"/>
          <w:tab w:val="left" w:pos="3960"/>
          <w:tab w:val="right" w:pos="7380"/>
        </w:tabs>
        <w:ind w:left="720"/>
      </w:pPr>
      <w:r>
        <w:t>02/28/11</w:t>
      </w:r>
      <w:r>
        <w:tab/>
        <w:t>2091</w:t>
      </w:r>
      <w:r>
        <w:tab/>
        <w:t>DP550, LLP (rent)</w:t>
      </w:r>
      <w:r>
        <w:tab/>
        <w:t>$2,800.00</w:t>
      </w:r>
    </w:p>
    <w:p>
      <w:pPr>
        <w:tabs>
          <w:tab w:val="left" w:pos="2160"/>
          <w:tab w:val="left" w:pos="3960"/>
          <w:tab w:val="right" w:pos="7380"/>
        </w:tabs>
        <w:ind w:left="720"/>
      </w:pPr>
      <w:r>
        <w:t>02/28/11</w:t>
      </w:r>
      <w:r>
        <w:tab/>
        <w:t>2096</w:t>
      </w:r>
      <w:r>
        <w:tab/>
        <w:t>Cash</w:t>
      </w:r>
      <w:r>
        <w:tab/>
        <w:t>$100.00</w:t>
      </w:r>
    </w:p>
    <w:p>
      <w:pPr>
        <w:tabs>
          <w:tab w:val="left" w:pos="2160"/>
          <w:tab w:val="left" w:pos="3960"/>
          <w:tab w:val="right" w:pos="7380"/>
        </w:tabs>
        <w:ind w:left="720"/>
      </w:pPr>
      <w:r>
        <w:t>02/28/11</w:t>
      </w:r>
      <w:r>
        <w:tab/>
        <w:t>2096</w:t>
      </w:r>
      <w:r>
        <w:tab/>
        <w:t>Cash</w:t>
      </w:r>
      <w:r>
        <w:tab/>
        <w:t>$100.00</w:t>
      </w:r>
    </w:p>
    <w:p>
      <w:pPr>
        <w:tabs>
          <w:tab w:val="left" w:pos="2160"/>
          <w:tab w:val="left" w:pos="3960"/>
          <w:tab w:val="right" w:pos="7380"/>
        </w:tabs>
        <w:ind w:left="720"/>
      </w:pPr>
      <w:r>
        <w:t>03/02/11</w:t>
      </w:r>
      <w:r>
        <w:tab/>
        <w:t>2093</w:t>
      </w:r>
      <w:r>
        <w:tab/>
        <w:t>Staples</w:t>
      </w:r>
      <w:r>
        <w:tab/>
        <w:t>$131.38</w:t>
      </w:r>
    </w:p>
    <w:p>
      <w:pPr>
        <w:tabs>
          <w:tab w:val="left" w:pos="2160"/>
          <w:tab w:val="left" w:pos="3960"/>
          <w:tab w:val="right" w:pos="7380"/>
        </w:tabs>
        <w:ind w:left="720"/>
      </w:pPr>
      <w:r>
        <w:t>03/02/11</w:t>
      </w:r>
      <w:r>
        <w:tab/>
        <w:t>2102</w:t>
      </w:r>
      <w:r>
        <w:tab/>
        <w:t>Cash</w:t>
      </w:r>
      <w:r>
        <w:tab/>
        <w:t>$400.00</w:t>
      </w:r>
    </w:p>
    <w:p>
      <w:pPr>
        <w:tabs>
          <w:tab w:val="left" w:pos="2160"/>
          <w:tab w:val="left" w:pos="3960"/>
          <w:tab w:val="right" w:pos="7380"/>
        </w:tabs>
        <w:ind w:left="720"/>
      </w:pPr>
      <w:r>
        <w:t>03/07/11</w:t>
      </w:r>
      <w:r>
        <w:tab/>
        <w:t>2098</w:t>
      </w:r>
      <w:r>
        <w:tab/>
        <w:t>Astound</w:t>
      </w:r>
      <w:r>
        <w:tab/>
        <w:t>$20.58</w:t>
      </w:r>
    </w:p>
    <w:p>
      <w:pPr>
        <w:tabs>
          <w:tab w:val="left" w:pos="2160"/>
          <w:tab w:val="left" w:pos="3960"/>
          <w:tab w:val="right" w:pos="7380"/>
        </w:tabs>
        <w:ind w:left="720"/>
      </w:pPr>
      <w:r>
        <w:t>03/08/11</w:t>
      </w:r>
      <w:r>
        <w:tab/>
        <w:t>1099</w:t>
      </w:r>
      <w:r>
        <w:tab/>
        <w:t>Qwest</w:t>
      </w:r>
      <w:r>
        <w:tab/>
        <w:t>$46.50</w:t>
      </w:r>
    </w:p>
    <w:p>
      <w:pPr>
        <w:tabs>
          <w:tab w:val="left" w:pos="2160"/>
          <w:tab w:val="left" w:pos="3960"/>
          <w:tab w:val="right" w:pos="7380"/>
        </w:tabs>
        <w:ind w:left="720"/>
      </w:pPr>
      <w:r>
        <w:t>03/08/11</w:t>
      </w:r>
      <w:r>
        <w:tab/>
        <w:t>2104</w:t>
      </w:r>
      <w:r>
        <w:tab/>
        <w:t>Cash</w:t>
      </w:r>
      <w:r>
        <w:tab/>
        <w:t>$100.00</w:t>
      </w:r>
    </w:p>
    <w:p>
      <w:pPr>
        <w:tabs>
          <w:tab w:val="left" w:pos="2160"/>
          <w:tab w:val="left" w:pos="3960"/>
          <w:tab w:val="right" w:pos="7380"/>
        </w:tabs>
        <w:ind w:left="720"/>
      </w:pPr>
      <w:r>
        <w:t>03/23/11</w:t>
      </w:r>
      <w:r>
        <w:tab/>
        <w:t>2031</w:t>
      </w:r>
      <w:r>
        <w:tab/>
        <w:t>Miranda Agpaoa</w:t>
      </w:r>
      <w:r>
        <w:tab/>
        <w:t>$400.00</w:t>
      </w:r>
    </w:p>
    <w:p>
      <w:pPr>
        <w:tabs>
          <w:tab w:val="left" w:pos="2160"/>
          <w:tab w:val="left" w:pos="3960"/>
          <w:tab w:val="right" w:pos="7380"/>
        </w:tabs>
        <w:ind w:left="720"/>
      </w:pPr>
      <w:r>
        <w:t>03/29/11</w:t>
      </w:r>
      <w:r>
        <w:tab/>
        <w:t>2108</w:t>
      </w:r>
      <w:r>
        <w:tab/>
        <w:t>DP550, LLC (rent)</w:t>
      </w:r>
      <w:r>
        <w:tab/>
        <w:t>$2,800.00</w:t>
      </w:r>
    </w:p>
    <w:p>
      <w:pPr>
        <w:tabs>
          <w:tab w:val="left" w:pos="2160"/>
          <w:tab w:val="left" w:pos="3960"/>
          <w:tab w:val="right" w:pos="7380"/>
        </w:tabs>
        <w:ind w:left="720"/>
      </w:pPr>
      <w:r>
        <w:t>03/29/11</w:t>
      </w:r>
      <w:r>
        <w:tab/>
        <w:t>Debit</w:t>
      </w:r>
      <w:r>
        <w:tab/>
        <w:t>Best Buy</w:t>
      </w:r>
      <w:r>
        <w:tab/>
        <w:t>$122.12</w:t>
      </w:r>
    </w:p>
    <w:p>
      <w:pPr>
        <w:tabs>
          <w:tab w:val="left" w:pos="2160"/>
          <w:tab w:val="left" w:pos="3960"/>
          <w:tab w:val="right" w:pos="7380"/>
        </w:tabs>
        <w:ind w:left="720"/>
      </w:pPr>
      <w:r>
        <w:t>03/29/11</w:t>
      </w:r>
      <w:r>
        <w:tab/>
        <w:t>Debit</w:t>
      </w:r>
      <w:r>
        <w:tab/>
        <w:t>Best Buy</w:t>
      </w:r>
      <w:r>
        <w:tab/>
        <w:t>$73.00</w:t>
      </w:r>
    </w:p>
    <w:p>
      <w:pPr>
        <w:tabs>
          <w:tab w:val="left" w:pos="2160"/>
          <w:tab w:val="left" w:pos="3960"/>
          <w:tab w:val="right" w:pos="7380"/>
        </w:tabs>
        <w:ind w:left="720"/>
      </w:pPr>
      <w:r>
        <w:t>03/30/11</w:t>
      </w:r>
      <w:r>
        <w:tab/>
        <w:t>2117</w:t>
      </w:r>
      <w:r>
        <w:tab/>
        <w:t>Cash</w:t>
      </w:r>
      <w:r>
        <w:tab/>
        <w:t>$100.00</w:t>
      </w:r>
    </w:p>
    <w:p>
      <w:pPr>
        <w:tabs>
          <w:tab w:val="left" w:pos="2160"/>
          <w:tab w:val="left" w:pos="3960"/>
          <w:tab w:val="right" w:pos="7380"/>
        </w:tabs>
        <w:ind w:left="720"/>
      </w:pPr>
      <w:r>
        <w:t>03/31/11</w:t>
      </w:r>
      <w:r>
        <w:tab/>
        <w:t>3111</w:t>
      </w:r>
      <w:r>
        <w:tab/>
        <w:t>Dr. Dan Kalshan</w:t>
      </w:r>
      <w:r>
        <w:tab/>
        <w:t>$225.00</w:t>
      </w:r>
    </w:p>
    <w:p>
      <w:pPr>
        <w:tabs>
          <w:tab w:val="left" w:pos="2160"/>
          <w:tab w:val="left" w:pos="3960"/>
          <w:tab w:val="right" w:pos="7380"/>
        </w:tabs>
        <w:ind w:left="720"/>
      </w:pPr>
      <w:r>
        <w:t>04/01/11</w:t>
      </w:r>
      <w:r>
        <w:tab/>
        <w:t>2110</w:t>
      </w:r>
      <w:r>
        <w:tab/>
        <w:t>Magic Flute</w:t>
      </w:r>
      <w:r>
        <w:tab/>
        <w:t>$20.70</w:t>
      </w:r>
    </w:p>
    <w:p>
      <w:pPr>
        <w:tabs>
          <w:tab w:val="left" w:pos="2160"/>
          <w:tab w:val="left" w:pos="3960"/>
          <w:tab w:val="right" w:pos="7380"/>
        </w:tabs>
        <w:ind w:left="720"/>
      </w:pPr>
      <w:r>
        <w:t>04/05/11</w:t>
      </w:r>
      <w:r>
        <w:tab/>
        <w:t>2118</w:t>
      </w:r>
      <w:r>
        <w:tab/>
        <w:t>Cash</w:t>
      </w:r>
      <w:r>
        <w:tab/>
        <w:t>$200.00</w:t>
      </w:r>
    </w:p>
    <w:p>
      <w:pPr>
        <w:tabs>
          <w:tab w:val="left" w:pos="2160"/>
          <w:tab w:val="left" w:pos="3960"/>
          <w:tab w:val="right" w:pos="7380"/>
        </w:tabs>
        <w:ind w:left="720"/>
      </w:pPr>
      <w:r>
        <w:t>04/08/11</w:t>
      </w:r>
      <w:r>
        <w:tab/>
        <w:t>2127</w:t>
      </w:r>
      <w:r>
        <w:tab/>
        <w:t>Cash</w:t>
      </w:r>
      <w:r>
        <w:tab/>
        <w:t>$300.00</w:t>
      </w:r>
    </w:p>
    <w:p>
      <w:pPr>
        <w:tabs>
          <w:tab w:val="left" w:pos="2160"/>
          <w:tab w:val="left" w:pos="3960"/>
          <w:tab w:val="right" w:pos="7380"/>
        </w:tabs>
        <w:ind w:left="720"/>
      </w:pPr>
      <w:r>
        <w:t>04/11/11</w:t>
      </w:r>
      <w:r>
        <w:tab/>
        <w:t>2116</w:t>
      </w:r>
      <w:r>
        <w:tab/>
        <w:t>Walgreens</w:t>
      </w:r>
      <w:r>
        <w:tab/>
        <w:t>$83.95</w:t>
      </w:r>
    </w:p>
    <w:p>
      <w:pPr>
        <w:tabs>
          <w:tab w:val="left" w:pos="2160"/>
          <w:tab w:val="left" w:pos="3960"/>
          <w:tab w:val="right" w:pos="7380"/>
        </w:tabs>
        <w:ind w:left="720"/>
      </w:pPr>
      <w:r>
        <w:t>04/11/11</w:t>
      </w:r>
      <w:r>
        <w:tab/>
        <w:t>2120</w:t>
      </w:r>
      <w:r>
        <w:tab/>
        <w:t>Walgreens</w:t>
      </w:r>
      <w:r>
        <w:tab/>
        <w:t>$200.59</w:t>
      </w:r>
    </w:p>
    <w:p>
      <w:pPr>
        <w:tabs>
          <w:tab w:val="left" w:pos="2160"/>
          <w:tab w:val="left" w:pos="3960"/>
          <w:tab w:val="right" w:pos="7380"/>
        </w:tabs>
        <w:ind w:left="720"/>
      </w:pPr>
      <w:r>
        <w:t>04/11/11</w:t>
      </w:r>
      <w:r>
        <w:tab/>
        <w:t>2125</w:t>
      </w:r>
      <w:r>
        <w:tab/>
        <w:t>Cash</w:t>
      </w:r>
      <w:r>
        <w:tab/>
        <w:t>$100.00</w:t>
      </w:r>
    </w:p>
    <w:p>
      <w:pPr>
        <w:tabs>
          <w:tab w:val="left" w:pos="2160"/>
          <w:tab w:val="left" w:pos="3960"/>
          <w:tab w:val="right" w:pos="7380"/>
        </w:tabs>
        <w:ind w:left="720"/>
      </w:pPr>
      <w:r>
        <w:t>04/12/11</w:t>
      </w:r>
      <w:r>
        <w:tab/>
        <w:t>2120</w:t>
      </w:r>
      <w:r>
        <w:tab/>
        <w:t>Cash</w:t>
      </w:r>
      <w:r>
        <w:tab/>
        <w:t>$100.00</w:t>
      </w:r>
    </w:p>
    <w:p>
      <w:pPr>
        <w:tabs>
          <w:tab w:val="left" w:pos="2160"/>
          <w:tab w:val="left" w:pos="3960"/>
          <w:tab w:val="right" w:pos="7380"/>
        </w:tabs>
        <w:ind w:left="720"/>
      </w:pPr>
      <w:r>
        <w:t>04/13/11</w:t>
      </w:r>
      <w:r>
        <w:tab/>
        <w:t>2123</w:t>
      </w:r>
      <w:r>
        <w:tab/>
        <w:t>Rite Aide</w:t>
      </w:r>
      <w:r>
        <w:tab/>
        <w:t>$190.39</w:t>
      </w:r>
    </w:p>
    <w:p>
      <w:pPr>
        <w:tabs>
          <w:tab w:val="left" w:pos="2160"/>
          <w:tab w:val="left" w:pos="3960"/>
          <w:tab w:val="right" w:pos="7380"/>
        </w:tabs>
        <w:ind w:left="720"/>
      </w:pPr>
      <w:r>
        <w:t>04/18/11</w:t>
      </w:r>
      <w:r>
        <w:tab/>
        <w:t>2134</w:t>
      </w:r>
      <w:r>
        <w:tab/>
        <w:t>Cash</w:t>
      </w:r>
      <w:r>
        <w:tab/>
        <w:t>$200.00</w:t>
      </w:r>
    </w:p>
    <w:p>
      <w:pPr>
        <w:spacing w:line="480" w:lineRule="auto"/>
        <w:ind w:firstLine="720"/>
        <w:contextualSpacing/>
        <w:rPr>
          <w:spacing w:val="-5"/>
          <w:w w:val="105"/>
        </w:rPr>
      </w:pPr>
    </w:p>
    <w:p>
      <w:pPr>
        <w:pStyle w:val="ListParagraph"/>
        <w:widowControl w:val="0"/>
        <w:kinsoku w:val="0"/>
        <w:spacing w:line="480" w:lineRule="auto"/>
        <w:ind w:left="144" w:right="216" w:firstLine="576"/>
        <w:rPr>
          <w:spacing w:val="-5"/>
          <w:w w:val="105"/>
        </w:rPr>
      </w:pPr>
      <w:r>
        <w:rPr>
          <w:spacing w:val="-6"/>
          <w:w w:val="105"/>
        </w:rPr>
        <w:t xml:space="preserve">On January 18, 2011, respondent issued check number 2077 from his </w:t>
      </w:r>
      <w:r>
        <w:rPr>
          <w:spacing w:val="-3"/>
          <w:w w:val="105"/>
        </w:rPr>
        <w:t xml:space="preserve">CTA, in the amount of $19.  On January 22, 2011, respondent </w:t>
      </w:r>
      <w:r>
        <w:rPr>
          <w:spacing w:val="-7"/>
          <w:w w:val="105"/>
        </w:rPr>
        <w:t xml:space="preserve">issued check number 2067 from his CTA, in the amount of $383.25.  On February 1, 2011, respondent withdrew </w:t>
      </w:r>
      <w:r>
        <w:rPr>
          <w:spacing w:val="-6"/>
          <w:w w:val="105"/>
        </w:rPr>
        <w:t xml:space="preserve">$100 by writing a check (number 2084) from his CTA, made out </w:t>
      </w:r>
      <w:r>
        <w:rPr>
          <w:spacing w:val="-4"/>
          <w:w w:val="105"/>
        </w:rPr>
        <w:t xml:space="preserve">to “Cash.”  By the time these three transactions were presented for payment, on or about </w:t>
      </w:r>
      <w:r>
        <w:rPr>
          <w:spacing w:val="-2"/>
          <w:w w:val="105"/>
        </w:rPr>
        <w:t xml:space="preserve">February 1, 2011, there were insufficient funds in the CTA ($324.32) to honor the checks.  </w:t>
      </w:r>
      <w:r>
        <w:rPr>
          <w:spacing w:val="-3"/>
          <w:w w:val="105"/>
        </w:rPr>
        <w:t>The bank honored all the aforementioned transactions, resulting in a CTA balance of -</w:t>
      </w:r>
      <w:r>
        <w:rPr>
          <w:spacing w:val="-5"/>
          <w:w w:val="105"/>
        </w:rPr>
        <w:t xml:space="preserve">$177.93.  </w:t>
      </w:r>
      <w:r>
        <w:rPr>
          <w:spacing w:val="-9"/>
          <w:w w:val="105"/>
        </w:rPr>
        <w:t xml:space="preserve">Respondent knew or should have known that he had insufficient funds in his CTA to pay </w:t>
      </w:r>
      <w:r>
        <w:rPr>
          <w:spacing w:val="-6"/>
          <w:w w:val="105"/>
        </w:rPr>
        <w:t xml:space="preserve">all three checks.  </w:t>
      </w:r>
    </w:p>
    <w:p>
      <w:pPr>
        <w:widowControl w:val="0"/>
        <w:kinsoku w:val="0"/>
        <w:spacing w:line="480" w:lineRule="auto"/>
        <w:ind w:right="144" w:firstLine="720"/>
        <w:rPr>
          <w:spacing w:val="-6"/>
          <w:w w:val="105"/>
        </w:rPr>
      </w:pPr>
      <w:r>
        <w:rPr>
          <w:spacing w:val="-10"/>
          <w:w w:val="105"/>
        </w:rPr>
        <w:t>On April 21, 2011, respondent issued check number 2142 from his CTA</w:t>
      </w:r>
      <w:r>
        <w:rPr>
          <w:spacing w:val="-2"/>
          <w:w w:val="105"/>
        </w:rPr>
        <w:t xml:space="preserve">, in the amount of $1000.  On April 26, 2011, respondent issued check number 2145 </w:t>
      </w:r>
      <w:r>
        <w:rPr>
          <w:spacing w:val="-5"/>
          <w:w w:val="105"/>
        </w:rPr>
        <w:t xml:space="preserve">from his CTA, </w:t>
      </w:r>
      <w:r>
        <w:rPr>
          <w:spacing w:val="-2"/>
          <w:w w:val="105"/>
        </w:rPr>
        <w:t>in the amount of</w:t>
      </w:r>
      <w:r>
        <w:rPr>
          <w:spacing w:val="-5"/>
          <w:w w:val="105"/>
        </w:rPr>
        <w:t xml:space="preserve"> $1000.  By the time these checks were presented for </w:t>
      </w:r>
      <w:r>
        <w:rPr>
          <w:spacing w:val="-6"/>
          <w:w w:val="105"/>
        </w:rPr>
        <w:t xml:space="preserve">payment, on or about April 27, 2011, there were insufficient funds in the CTA ($1,504.79) to honor the checks.  Regardless, </w:t>
      </w:r>
      <w:r>
        <w:rPr>
          <w:spacing w:val="-10"/>
          <w:w w:val="105"/>
        </w:rPr>
        <w:t xml:space="preserve">respondent’s bank honored both checks, leaving a </w:t>
      </w:r>
      <w:r>
        <w:rPr>
          <w:spacing w:val="-6"/>
          <w:w w:val="105"/>
        </w:rPr>
        <w:t xml:space="preserve">balance of -$515.17.  </w:t>
      </w:r>
      <w:r>
        <w:rPr>
          <w:spacing w:val="-9"/>
          <w:w w:val="105"/>
        </w:rPr>
        <w:t xml:space="preserve">Respondent knew or should have known that he had insufficient funds in his CTA to pay </w:t>
      </w:r>
      <w:r>
        <w:rPr>
          <w:spacing w:val="-6"/>
          <w:w w:val="105"/>
        </w:rPr>
        <w:t xml:space="preserve">both checks.  </w:t>
      </w:r>
    </w:p>
    <w:p>
      <w:pPr>
        <w:widowControl w:val="0"/>
        <w:kinsoku w:val="0"/>
        <w:spacing w:line="480" w:lineRule="auto"/>
        <w:ind w:right="144" w:firstLine="720"/>
        <w:rPr>
          <w:spacing w:val="-6"/>
          <w:w w:val="105"/>
        </w:rPr>
      </w:pPr>
    </w:p>
    <w:p>
      <w:pPr>
        <w:spacing w:line="480" w:lineRule="auto"/>
        <w:contextualSpacing/>
        <w:rPr>
          <w:b/>
        </w:rPr>
      </w:pPr>
      <w:r>
        <w:rPr>
          <w:b/>
        </w:rPr>
        <w:tab/>
        <w:t>Conclusions</w:t>
      </w:r>
    </w:p>
    <w:p>
      <w:pPr>
        <w:pStyle w:val="ListParagraph"/>
        <w:tabs>
          <w:tab w:val="left" w:pos="720"/>
        </w:tabs>
        <w:spacing w:line="480" w:lineRule="auto"/>
        <w:rPr>
          <w:b/>
          <w:i/>
        </w:rPr>
      </w:pPr>
      <w:r>
        <w:rPr>
          <w:b/>
          <w:i/>
        </w:rPr>
        <w:t>Count Thirteen – Rule 4-100(A) [Commingling]</w:t>
      </w:r>
    </w:p>
    <w:p>
      <w:pPr>
        <w:pStyle w:val="ListParagraph"/>
        <w:spacing w:line="480" w:lineRule="auto"/>
        <w:ind w:left="0" w:firstLine="720"/>
      </w:pPr>
      <w:r>
        <w:t xml:space="preserve">Rule 4-100(A) provides that all funds received for the benefit of clients must be deposited in a client trust account and that no funds belonging to the attorney must be deposited therein or otherwise commingled therewith.  </w:t>
      </w:r>
      <w:r>
        <w:rPr>
          <w:szCs w:val="24"/>
        </w:rPr>
        <w:t>By depositing non-client funds into his CTA and making non-client payments from his CTA as noted above, respondent deposited or commingled personal funds in a bank account labeled “Trust Account,” “Client’s Funds Account,” or words of similar import, in willful violation of rule 4-100(A).</w:t>
      </w:r>
    </w:p>
    <w:p>
      <w:pPr>
        <w:spacing w:line="480" w:lineRule="auto"/>
        <w:contextualSpacing/>
        <w:rPr>
          <w:b/>
        </w:rPr>
      </w:pPr>
      <w:r>
        <w:rPr>
          <w:b/>
        </w:rPr>
        <w:t>The Carranza Matter – Case No. 11-O-13134</w:t>
      </w:r>
    </w:p>
    <w:p>
      <w:pPr>
        <w:spacing w:line="480" w:lineRule="auto"/>
        <w:ind w:firstLine="720"/>
        <w:rPr>
          <w:b/>
        </w:rPr>
      </w:pPr>
      <w:r>
        <w:rPr>
          <w:b/>
        </w:rPr>
        <w:t>Facts</w:t>
      </w:r>
    </w:p>
    <w:p>
      <w:pPr>
        <w:spacing w:line="480" w:lineRule="auto"/>
        <w:ind w:firstLine="720"/>
        <w:contextualSpacing/>
        <w:rPr>
          <w:rStyle w:val="Style19"/>
          <w:spacing w:val="-4"/>
          <w:w w:val="105"/>
        </w:rPr>
      </w:pPr>
      <w:r>
        <w:rPr>
          <w:rStyle w:val="Style19"/>
          <w:spacing w:val="-9"/>
          <w:w w:val="105"/>
        </w:rPr>
        <w:t xml:space="preserve">On July 30, 2009, Tiffany Vargas (Vargas) and Jose Vargas Carranza </w:t>
      </w:r>
      <w:r>
        <w:rPr>
          <w:rStyle w:val="Style19"/>
          <w:spacing w:val="-4"/>
          <w:w w:val="105"/>
        </w:rPr>
        <w:t xml:space="preserve">(Carranza), hired respondent to prepare and file with the Department of Homeland Security, </w:t>
      </w:r>
      <w:r>
        <w:rPr>
          <w:rStyle w:val="Style19"/>
          <w:spacing w:val="-5"/>
          <w:w w:val="105"/>
        </w:rPr>
        <w:t>USCIS</w:t>
      </w:r>
      <w:r>
        <w:rPr>
          <w:rStyle w:val="Style19"/>
          <w:spacing w:val="-7"/>
          <w:w w:val="105"/>
        </w:rPr>
        <w:t xml:space="preserve">, a 1-130 petition for alien relative, and a 1-485 </w:t>
      </w:r>
      <w:r>
        <w:rPr>
          <w:rStyle w:val="Style19"/>
          <w:spacing w:val="-3"/>
          <w:w w:val="105"/>
        </w:rPr>
        <w:t>application to register permanent residence or adjust status, on behalf of Carranza.  Respondent</w:t>
      </w:r>
      <w:r>
        <w:rPr>
          <w:rStyle w:val="Style19"/>
          <w:spacing w:val="-7"/>
          <w:w w:val="105"/>
        </w:rPr>
        <w:t xml:space="preserve"> informed Vargas and Carranza that his fee was $3,500, not including a $1,500 </w:t>
      </w:r>
      <w:r>
        <w:rPr>
          <w:rStyle w:val="Style19"/>
          <w:spacing w:val="-4"/>
          <w:w w:val="105"/>
        </w:rPr>
        <w:t>filing fee.  Carranza paid respondent $1,500 toward the filing fee.</w:t>
      </w:r>
    </w:p>
    <w:p>
      <w:pPr>
        <w:spacing w:line="480" w:lineRule="auto"/>
        <w:ind w:firstLine="720"/>
        <w:contextualSpacing/>
        <w:rPr>
          <w:rStyle w:val="Style19"/>
          <w:spacing w:val="-5"/>
          <w:w w:val="105"/>
        </w:rPr>
      </w:pPr>
      <w:r>
        <w:rPr>
          <w:rStyle w:val="Style19"/>
          <w:spacing w:val="-10"/>
          <w:w w:val="105"/>
        </w:rPr>
        <w:t xml:space="preserve">On September 14, 2009, Vargas sent a check payable to respondent for </w:t>
      </w:r>
      <w:r>
        <w:rPr>
          <w:rStyle w:val="Style19"/>
          <w:spacing w:val="-5"/>
          <w:w w:val="105"/>
        </w:rPr>
        <w:t xml:space="preserve">$300, as partial payment toward legal fees.  </w:t>
      </w:r>
      <w:r>
        <w:rPr>
          <w:rStyle w:val="Style19"/>
          <w:spacing w:val="5"/>
          <w:w w:val="105"/>
        </w:rPr>
        <w:t>Respondent, however, never performed the work for which he was hired.</w:t>
      </w:r>
    </w:p>
    <w:p>
      <w:pPr>
        <w:spacing w:line="480" w:lineRule="auto"/>
        <w:ind w:firstLine="720"/>
        <w:contextualSpacing/>
        <w:rPr>
          <w:rStyle w:val="Style19"/>
          <w:spacing w:val="-5"/>
          <w:w w:val="105"/>
        </w:rPr>
      </w:pPr>
      <w:r>
        <w:rPr>
          <w:rStyle w:val="Style19"/>
          <w:spacing w:val="1"/>
          <w:w w:val="105"/>
        </w:rPr>
        <w:t xml:space="preserve">Between October 12, 2009 and April 9, 2010, Vargas called and left </w:t>
      </w:r>
      <w:r>
        <w:rPr>
          <w:rStyle w:val="Style19"/>
          <w:spacing w:val="-6"/>
          <w:w w:val="105"/>
        </w:rPr>
        <w:t xml:space="preserve">telephone messages for respondent, requesting a return call and status update.  Specifically, Vargas called respondent and left messages on the following dates:  October 12, 22, and 27, 2009; November 2, 16, and 30, 2009; December 2, 7, and </w:t>
      </w:r>
      <w:r>
        <w:rPr>
          <w:rStyle w:val="Style19"/>
          <w:spacing w:val="-9"/>
          <w:w w:val="105"/>
        </w:rPr>
        <w:t xml:space="preserve">10, 2009; January 13 and 26, 2010; February 5, 11, and </w:t>
      </w:r>
      <w:r>
        <w:rPr>
          <w:rStyle w:val="Style19"/>
          <w:spacing w:val="-3"/>
          <w:w w:val="105"/>
        </w:rPr>
        <w:t xml:space="preserve">23, 2010; and April 9, 2010.  Respondent never returned Vargas’ calls or </w:t>
      </w:r>
      <w:r>
        <w:rPr>
          <w:rStyle w:val="Style19"/>
          <w:spacing w:val="-5"/>
          <w:w w:val="105"/>
        </w:rPr>
        <w:t xml:space="preserve">communicated with her or </w:t>
      </w:r>
      <w:r>
        <w:rPr>
          <w:rStyle w:val="Style19"/>
          <w:spacing w:val="-9"/>
          <w:w w:val="105"/>
        </w:rPr>
        <w:t>Carranza</w:t>
      </w:r>
      <w:r>
        <w:rPr>
          <w:rStyle w:val="Style19"/>
          <w:spacing w:val="-5"/>
          <w:w w:val="105"/>
        </w:rPr>
        <w:t xml:space="preserve"> in any way.</w:t>
      </w:r>
    </w:p>
    <w:p>
      <w:pPr>
        <w:pStyle w:val="Style18"/>
        <w:kinsoku w:val="0"/>
        <w:autoSpaceDE/>
        <w:autoSpaceDN/>
        <w:spacing w:line="415" w:lineRule="auto"/>
        <w:ind w:right="144"/>
        <w:rPr>
          <w:rStyle w:val="Style19"/>
          <w:spacing w:val="-4"/>
          <w:w w:val="105"/>
        </w:rPr>
      </w:pPr>
      <w:r>
        <w:rPr>
          <w:rStyle w:val="Style19"/>
          <w:spacing w:val="-10"/>
          <w:w w:val="105"/>
        </w:rPr>
        <w:t xml:space="preserve">On October 16, 2009, Vargas emailed respondent, requesting that he </w:t>
      </w:r>
      <w:r>
        <w:rPr>
          <w:rStyle w:val="Style19"/>
          <w:spacing w:val="-4"/>
          <w:w w:val="105"/>
        </w:rPr>
        <w:t>contact her.  Respondent did not respond to this email.</w:t>
      </w:r>
    </w:p>
    <w:p>
      <w:pPr>
        <w:spacing w:line="480" w:lineRule="auto"/>
        <w:ind w:firstLine="720"/>
        <w:contextualSpacing/>
        <w:rPr>
          <w:rStyle w:val="Style19"/>
          <w:spacing w:val="-5"/>
          <w:w w:val="105"/>
        </w:rPr>
      </w:pPr>
      <w:r>
        <w:rPr>
          <w:rStyle w:val="Style19"/>
          <w:spacing w:val="-10"/>
          <w:w w:val="105"/>
        </w:rPr>
        <w:t xml:space="preserve">On February 24 and July 28, 2010, Vargas and Carranza sent certified letters </w:t>
      </w:r>
      <w:r>
        <w:rPr>
          <w:rStyle w:val="Style19"/>
          <w:spacing w:val="-5"/>
          <w:w w:val="105"/>
        </w:rPr>
        <w:t>demanding the return of the unearned fee.  To date, respondent has not refunded any fees.</w:t>
      </w:r>
    </w:p>
    <w:p>
      <w:pPr>
        <w:spacing w:line="480" w:lineRule="auto"/>
        <w:ind w:firstLine="720"/>
        <w:contextualSpacing/>
        <w:rPr>
          <w:rStyle w:val="Style19"/>
          <w:spacing w:val="-5"/>
          <w:w w:val="105"/>
        </w:rPr>
      </w:pPr>
      <w:r>
        <w:rPr>
          <w:rStyle w:val="Style19"/>
          <w:spacing w:val="-5"/>
          <w:w w:val="105"/>
        </w:rPr>
        <w:t xml:space="preserve">On July 27, 2010, Carranza visited respondent’s office and requested a refund of the filing fee and the attorney’s fees from respondent.  Respondent and respondent’s staff called Carranza names and threatened to call the police.  </w:t>
      </w:r>
    </w:p>
    <w:p>
      <w:pPr>
        <w:spacing w:line="480" w:lineRule="auto"/>
        <w:ind w:firstLine="720"/>
        <w:contextualSpacing/>
        <w:rPr>
          <w:spacing w:val="-4"/>
          <w:w w:val="105"/>
        </w:rPr>
      </w:pPr>
      <w:r>
        <w:rPr>
          <w:spacing w:val="-4"/>
          <w:w w:val="105"/>
        </w:rPr>
        <w:t xml:space="preserve">On June 15, 2011, the State Bar sent a letter to respondent, through his attorney, Arthur Margolis, regarding the Carranza matter.  </w:t>
      </w:r>
      <w:r>
        <w:rPr>
          <w:spacing w:val="-8"/>
          <w:w w:val="105"/>
        </w:rPr>
        <w:t xml:space="preserve">The State Bar’s letter requested that respondent respond in writing to the specified </w:t>
      </w:r>
      <w:r>
        <w:rPr>
          <w:spacing w:val="-3"/>
          <w:w w:val="105"/>
        </w:rPr>
        <w:t xml:space="preserve">allegations of misconduct being investigated by the State Bar in the complaint.  Respondent received this letter, but </w:t>
      </w:r>
      <w:r>
        <w:rPr>
          <w:spacing w:val="-4"/>
          <w:w w:val="105"/>
        </w:rPr>
        <w:t>failed to provide a written response to the allegations of misconduct in the complaint.</w:t>
      </w:r>
      <w:r>
        <w:rPr>
          <w:rStyle w:val="FootnoteReference"/>
          <w:spacing w:val="-4"/>
          <w:w w:val="105"/>
        </w:rPr>
        <w:footnoteReference w:id="9"/>
      </w:r>
      <w:r>
        <w:rPr>
          <w:spacing w:val="-4"/>
          <w:w w:val="105"/>
        </w:rPr>
        <w:t xml:space="preserve">  </w:t>
      </w:r>
    </w:p>
    <w:p>
      <w:pPr>
        <w:spacing w:line="480" w:lineRule="auto"/>
        <w:contextualSpacing/>
        <w:rPr>
          <w:b/>
        </w:rPr>
      </w:pPr>
      <w:r>
        <w:rPr>
          <w:b/>
        </w:rPr>
        <w:tab/>
        <w:t>Conclusions</w:t>
      </w:r>
    </w:p>
    <w:p>
      <w:pPr>
        <w:spacing w:line="480" w:lineRule="auto"/>
        <w:ind w:firstLine="720"/>
      </w:pPr>
      <w:r>
        <w:rPr>
          <w:b/>
          <w:i/>
        </w:rPr>
        <w:t xml:space="preserve">Count Fourteen – Rule 3-110(A) [Failure to Perform Legal Services with Competence] </w:t>
      </w:r>
    </w:p>
    <w:p>
      <w:pPr>
        <w:spacing w:line="480" w:lineRule="auto"/>
        <w:ind w:firstLine="720"/>
        <w:contextualSpacing/>
        <w:rPr>
          <w:b/>
          <w:i/>
        </w:rPr>
      </w:pPr>
      <w:r>
        <w:t>By failing to perform any work on behalf of Carranza in the immigration matter, respondent intentionally, recklessly, or repeatedly failed to perform legal services with competence, in willful violation of rule 3-110(A).</w:t>
      </w:r>
    </w:p>
    <w:p>
      <w:pPr>
        <w:spacing w:line="480" w:lineRule="auto"/>
        <w:ind w:firstLine="720"/>
      </w:pPr>
      <w:r>
        <w:rPr>
          <w:b/>
          <w:i/>
        </w:rPr>
        <w:t xml:space="preserve">Count Fifteen – Section 6068, subd. (m) [Failure to Communicate]  </w:t>
      </w:r>
    </w:p>
    <w:p>
      <w:pPr>
        <w:spacing w:line="480" w:lineRule="auto"/>
        <w:ind w:firstLine="720"/>
        <w:contextualSpacing/>
      </w:pPr>
      <w:r>
        <w:t xml:space="preserve">By failing to respond to Vargas’ or Carranza’s email, certified letters, or numerous telephone calls, respondent failed to respond promptly to reasonable status inquiries of a client in a matter in which respondent agreed to provide legal services, in willful violation of section 6068, subdivision (m).  </w:t>
      </w:r>
    </w:p>
    <w:p>
      <w:pPr>
        <w:spacing w:line="480" w:lineRule="auto"/>
        <w:ind w:firstLine="720"/>
        <w:contextualSpacing/>
        <w:rPr>
          <w:rStyle w:val="Style19"/>
          <w:spacing w:val="-4"/>
          <w:w w:val="105"/>
        </w:rPr>
      </w:pPr>
    </w:p>
    <w:p>
      <w:pPr>
        <w:spacing w:line="480" w:lineRule="auto"/>
        <w:ind w:firstLine="720"/>
        <w:rPr>
          <w:b/>
          <w:i/>
        </w:rPr>
      </w:pPr>
      <w:r>
        <w:rPr>
          <w:b/>
          <w:i/>
        </w:rPr>
        <w:t>Count Sixteen – Rule 3-700(D)(2) [Failure to Refund Unearned Fees]</w:t>
      </w:r>
    </w:p>
    <w:p>
      <w:pPr>
        <w:spacing w:line="480" w:lineRule="auto"/>
        <w:ind w:firstLine="720"/>
      </w:pPr>
      <w:r>
        <w:t>Rule 3-700(D)(2) requires an attorney whose employment has been terminated to promptly refund any part of a fee paid in advance that has not been earned.  By not returning any portion of the $300 in unearned fees, respondent failed to refund promptly any part of a fee paid in advance which had not been earned, in willful violation of rule 3-700(D)(2).</w:t>
      </w:r>
      <w:r>
        <w:rPr>
          <w:b/>
          <w:i/>
        </w:rPr>
        <w:t xml:space="preserve"> </w:t>
      </w:r>
    </w:p>
    <w:p>
      <w:pPr>
        <w:pStyle w:val="ListParagraph"/>
        <w:tabs>
          <w:tab w:val="left" w:pos="720"/>
        </w:tabs>
        <w:spacing w:line="480" w:lineRule="auto"/>
      </w:pPr>
      <w:r>
        <w:rPr>
          <w:b/>
          <w:i/>
        </w:rPr>
        <w:t>Count Seventeen – Section 6106 [Moral Turpitude]</w:t>
      </w:r>
    </w:p>
    <w:p>
      <w:pPr>
        <w:spacing w:line="480" w:lineRule="auto"/>
        <w:ind w:firstLine="720"/>
      </w:pPr>
      <w:r>
        <w:t xml:space="preserve">By taking his clients’ $1,500 for filing fees, then failing to file any documents on their behalf, and failing to return the unused filing fee despite client demands, respondent misappropriated $1,500 of his clients’ money.  Said conduct involved moral turpitude, dishonesty, or corruption, and was in willful violation of section 6106. </w:t>
      </w:r>
    </w:p>
    <w:p>
      <w:pPr>
        <w:spacing w:line="480" w:lineRule="auto"/>
        <w:ind w:firstLine="720"/>
        <w:contextualSpacing/>
        <w:rPr>
          <w:b/>
        </w:rPr>
      </w:pPr>
      <w:r>
        <w:rPr>
          <w:b/>
          <w:i/>
        </w:rPr>
        <w:t>Count Eighteen – Section 6068, subd. (i) [Failure to Cooperate]</w:t>
      </w:r>
    </w:p>
    <w:p>
      <w:pPr>
        <w:spacing w:line="480" w:lineRule="auto"/>
        <w:ind w:firstLine="720"/>
        <w:contextualSpacing/>
        <w:rPr>
          <w:b/>
          <w:i/>
        </w:rPr>
      </w:pPr>
      <w:r>
        <w:t>Section 6068, subdivision (i) provides that an attorney has a duty to cooperate and participate in any disciplinary investigation or other regulatory or disciplinary proceeding pending against the attorney.  By failing to provide a written response to the State Bar investigator’s letter, respondent failed to cooperate in a disciplinary investigation pending against him, in willful violation of section 6068, subdivision (i).</w:t>
      </w:r>
    </w:p>
    <w:p>
      <w:pPr>
        <w:spacing w:line="480" w:lineRule="auto"/>
        <w:contextualSpacing/>
        <w:rPr>
          <w:b/>
        </w:rPr>
      </w:pPr>
      <w:r>
        <w:rPr>
          <w:b/>
        </w:rPr>
        <w:t xml:space="preserve">The Qalliu Matter – Case No. 11-O-16178 </w:t>
      </w:r>
    </w:p>
    <w:p>
      <w:pPr>
        <w:spacing w:line="480" w:lineRule="auto"/>
        <w:ind w:firstLine="720"/>
        <w:rPr>
          <w:b/>
        </w:rPr>
      </w:pPr>
      <w:r>
        <w:rPr>
          <w:b/>
        </w:rPr>
        <w:t>Facts</w:t>
      </w:r>
    </w:p>
    <w:p>
      <w:pPr>
        <w:pStyle w:val="Style18"/>
        <w:kinsoku w:val="0"/>
        <w:autoSpaceDE/>
        <w:autoSpaceDN/>
        <w:spacing w:line="417" w:lineRule="auto"/>
        <w:ind w:right="144"/>
        <w:rPr>
          <w:rStyle w:val="Style19"/>
          <w:spacing w:val="-6"/>
          <w:w w:val="105"/>
        </w:rPr>
      </w:pPr>
      <w:r>
        <w:rPr>
          <w:rStyle w:val="Style19"/>
          <w:spacing w:val="-7"/>
          <w:w w:val="105"/>
        </w:rPr>
        <w:t xml:space="preserve">On February 13, 2009, Rosemarie Qalliu (Qalliu) hired respondent </w:t>
      </w:r>
      <w:r>
        <w:rPr>
          <w:rStyle w:val="Style19"/>
          <w:spacing w:val="1"/>
          <w:w w:val="105"/>
        </w:rPr>
        <w:t xml:space="preserve">to represent her in an immigration matter.  On that same day, she paid him $2,500 in </w:t>
      </w:r>
      <w:r>
        <w:rPr>
          <w:rStyle w:val="Style19"/>
          <w:spacing w:val="-6"/>
          <w:w w:val="105"/>
        </w:rPr>
        <w:t xml:space="preserve">advanced fees.  Between February 13, 2009 and June 3, 2011, respondent performed work </w:t>
      </w:r>
      <w:r>
        <w:rPr>
          <w:rStyle w:val="Style19"/>
          <w:spacing w:val="-4"/>
          <w:w w:val="105"/>
        </w:rPr>
        <w:t>on behalf of Qalliu.</w:t>
      </w:r>
    </w:p>
    <w:p>
      <w:pPr>
        <w:spacing w:line="480" w:lineRule="auto"/>
        <w:ind w:firstLine="720"/>
        <w:contextualSpacing/>
        <w:rPr>
          <w:rStyle w:val="Style19"/>
          <w:w w:val="105"/>
        </w:rPr>
      </w:pPr>
      <w:r>
        <w:rPr>
          <w:rStyle w:val="Style19"/>
          <w:spacing w:val="-1"/>
          <w:w w:val="105"/>
        </w:rPr>
        <w:t xml:space="preserve">On June 3, 2011, Qalliu met with respondent regarding his filing an application </w:t>
      </w:r>
      <w:r>
        <w:rPr>
          <w:rStyle w:val="Style19"/>
          <w:spacing w:val="-4"/>
          <w:w w:val="105"/>
        </w:rPr>
        <w:t xml:space="preserve">on behalf of Qalliu to get permanent resident status.  Qalliu made a check payable to respondent </w:t>
      </w:r>
      <w:r>
        <w:rPr>
          <w:rStyle w:val="Style19"/>
          <w:spacing w:val="-2"/>
          <w:w w:val="105"/>
        </w:rPr>
        <w:t xml:space="preserve">for $1,070, which consisted of:  (1) a $985 filing fee to file a 1-485 application to register </w:t>
      </w:r>
      <w:r>
        <w:rPr>
          <w:rStyle w:val="Style19"/>
          <w:spacing w:val="-3"/>
          <w:w w:val="105"/>
        </w:rPr>
        <w:t xml:space="preserve">as a permanent resident (green card application); and (2) an </w:t>
      </w:r>
      <w:r>
        <w:rPr>
          <w:rStyle w:val="Style19"/>
          <w:spacing w:val="-1"/>
          <w:w w:val="105"/>
        </w:rPr>
        <w:t xml:space="preserve">$85 required biometrics fee.  The check </w:t>
      </w:r>
      <w:r>
        <w:rPr>
          <w:rStyle w:val="Style19"/>
          <w:w w:val="105"/>
        </w:rPr>
        <w:t>cleared</w:t>
      </w:r>
      <w:r>
        <w:rPr>
          <w:rStyle w:val="Style19"/>
          <w:spacing w:val="-1"/>
          <w:w w:val="105"/>
        </w:rPr>
        <w:t xml:space="preserve"> on or about June 4, 2011</w:t>
      </w:r>
      <w:r>
        <w:rPr>
          <w:rStyle w:val="Style19"/>
          <w:w w:val="105"/>
        </w:rPr>
        <w:t>, but r</w:t>
      </w:r>
      <w:r>
        <w:rPr>
          <w:rStyle w:val="Style19"/>
          <w:spacing w:val="-8"/>
          <w:w w:val="105"/>
        </w:rPr>
        <w:t xml:space="preserve">espondent never filed the green card application on Qalliu’s behalf, and never </w:t>
      </w:r>
      <w:r>
        <w:rPr>
          <w:rStyle w:val="Style19"/>
          <w:spacing w:val="-4"/>
          <w:w w:val="105"/>
        </w:rPr>
        <w:t>paid either the filing fee or biometrics fee.</w:t>
      </w:r>
    </w:p>
    <w:p>
      <w:pPr>
        <w:pStyle w:val="Style18"/>
        <w:kinsoku w:val="0"/>
        <w:autoSpaceDE/>
        <w:autoSpaceDN/>
        <w:spacing w:line="420" w:lineRule="auto"/>
        <w:ind w:right="288"/>
        <w:rPr>
          <w:rStyle w:val="Style19"/>
          <w:spacing w:val="-4"/>
          <w:w w:val="105"/>
        </w:rPr>
      </w:pPr>
      <w:r>
        <w:rPr>
          <w:rStyle w:val="Style19"/>
          <w:spacing w:val="-4"/>
          <w:w w:val="105"/>
        </w:rPr>
        <w:t>B</w:t>
      </w:r>
      <w:r>
        <w:rPr>
          <w:rStyle w:val="Style19"/>
          <w:spacing w:val="1"/>
          <w:w w:val="105"/>
        </w:rPr>
        <w:t>etween August 10 and August 18, 2011, Qalliu called respondent</w:t>
      </w:r>
      <w:r>
        <w:rPr>
          <w:rStyle w:val="Style19"/>
          <w:spacing w:val="-1"/>
          <w:w w:val="105"/>
        </w:rPr>
        <w:t>’s office several times seeking a status update on her green card application.  Respondent</w:t>
      </w:r>
      <w:r>
        <w:rPr>
          <w:rStyle w:val="Style19"/>
          <w:spacing w:val="-7"/>
          <w:w w:val="105"/>
        </w:rPr>
        <w:t xml:space="preserve"> never returned these telephone calls and never informed Qalliu that he did not file a </w:t>
      </w:r>
      <w:r>
        <w:rPr>
          <w:rStyle w:val="Style19"/>
          <w:spacing w:val="-4"/>
          <w:w w:val="105"/>
        </w:rPr>
        <w:t>green card application on her behalf.</w:t>
      </w:r>
    </w:p>
    <w:p>
      <w:pPr>
        <w:pStyle w:val="Style18"/>
        <w:kinsoku w:val="0"/>
        <w:autoSpaceDE/>
        <w:autoSpaceDN/>
        <w:spacing w:line="420" w:lineRule="auto"/>
        <w:ind w:right="288"/>
        <w:rPr>
          <w:spacing w:val="-5"/>
          <w:w w:val="105"/>
        </w:rPr>
      </w:pPr>
      <w:r>
        <w:rPr>
          <w:spacing w:val="-6"/>
          <w:w w:val="105"/>
        </w:rPr>
        <w:t xml:space="preserve">On August 18, 2011, Qalliu wrote a letter to respondent at his official </w:t>
      </w:r>
      <w:r>
        <w:rPr>
          <w:spacing w:val="-8"/>
          <w:w w:val="105"/>
        </w:rPr>
        <w:t>membership records address, requesting information about the green card application.  Respondent</w:t>
      </w:r>
      <w:r>
        <w:rPr>
          <w:spacing w:val="-5"/>
          <w:w w:val="105"/>
        </w:rPr>
        <w:t xml:space="preserve"> did not respond to the letter.  Qalliu contacted the State Bar; and, in October 2011, respondent refunded the $1,070 to Qalliu.</w:t>
      </w:r>
    </w:p>
    <w:p>
      <w:pPr>
        <w:spacing w:line="480" w:lineRule="auto"/>
        <w:ind w:firstLine="720"/>
        <w:contextualSpacing/>
        <w:rPr>
          <w:b/>
        </w:rPr>
      </w:pPr>
      <w:r>
        <w:rPr>
          <w:b/>
        </w:rPr>
        <w:t>Conclusions</w:t>
      </w:r>
    </w:p>
    <w:p>
      <w:pPr>
        <w:spacing w:line="480" w:lineRule="auto"/>
        <w:ind w:firstLine="720"/>
      </w:pPr>
      <w:r>
        <w:rPr>
          <w:b/>
          <w:i/>
        </w:rPr>
        <w:t>Count Nineteen – Rule 3-110(A) [Failure to Perform Legal Services with Competence]</w:t>
      </w:r>
    </w:p>
    <w:p>
      <w:pPr>
        <w:spacing w:line="480" w:lineRule="auto"/>
        <w:ind w:firstLine="720"/>
        <w:contextualSpacing/>
        <w:rPr>
          <w:b/>
          <w:i/>
        </w:rPr>
      </w:pPr>
      <w:r>
        <w:t xml:space="preserve">By failing to file a green card application on behalf of Qalliu, respondent intentionally, recklessly, or repeatedly failed to perform legal services with competence, in willful violation of rule 3-110(A).  </w:t>
      </w:r>
    </w:p>
    <w:p>
      <w:pPr>
        <w:spacing w:line="480" w:lineRule="auto"/>
        <w:ind w:firstLine="720"/>
        <w:contextualSpacing/>
        <w:rPr>
          <w:b/>
          <w:i/>
        </w:rPr>
      </w:pPr>
      <w:r>
        <w:rPr>
          <w:b/>
          <w:i/>
        </w:rPr>
        <w:t xml:space="preserve">Count Twenty – Section 6106 [Moral Turpitude] </w:t>
      </w:r>
    </w:p>
    <w:p>
      <w:pPr>
        <w:spacing w:line="480" w:lineRule="auto"/>
        <w:ind w:firstLine="720"/>
        <w:contextualSpacing/>
      </w:pPr>
      <w:r>
        <w:t xml:space="preserve">The State Bar alleged that respondent misappropriated Qalliu’s $1,070.  The evidence before the court, however, does not demonstrate misappropriation by clear and convincing evidence.  Consequently, Count Twenty is dismissed with prejudice.  </w:t>
      </w:r>
    </w:p>
    <w:p>
      <w:pPr>
        <w:spacing w:line="480" w:lineRule="auto"/>
        <w:ind w:firstLine="720"/>
        <w:contextualSpacing/>
        <w:rPr>
          <w:b/>
          <w:i/>
        </w:rPr>
      </w:pPr>
      <w:r>
        <w:rPr>
          <w:b/>
          <w:i/>
        </w:rPr>
        <w:t>Count Twenty-One – Section 6068, subd. (m) [Failure to Communicate]</w:t>
      </w:r>
    </w:p>
    <w:p>
      <w:pPr>
        <w:spacing w:line="480" w:lineRule="auto"/>
        <w:ind w:firstLine="720"/>
        <w:contextualSpacing/>
      </w:pPr>
      <w:r>
        <w:t xml:space="preserve">By failing to respond to Qalliu’s letter and telephone calls, respondent failed to respond promptly to reasonable status inquiries of a client in a matter in which respondent agreed to provide legal services, in willful violation of section 6068, subdivision (m).  </w:t>
      </w:r>
    </w:p>
    <w:p>
      <w:pPr>
        <w:spacing w:line="480" w:lineRule="auto"/>
        <w:ind w:firstLine="720"/>
        <w:contextualSpacing/>
      </w:pPr>
    </w:p>
    <w:p>
      <w:pPr>
        <w:spacing w:line="480" w:lineRule="auto"/>
        <w:ind w:firstLine="720"/>
        <w:contextualSpacing/>
        <w:rPr>
          <w:rStyle w:val="Style19"/>
          <w:spacing w:val="-4"/>
          <w:w w:val="105"/>
        </w:rPr>
      </w:pPr>
    </w:p>
    <w:p>
      <w:pPr>
        <w:spacing w:line="480" w:lineRule="auto"/>
        <w:contextualSpacing/>
        <w:rPr>
          <w:b/>
        </w:rPr>
      </w:pPr>
      <w:r>
        <w:rPr>
          <w:b/>
        </w:rPr>
        <w:t>The Second Client Trust Account Matter – Case Nos. 11-O-15853; 11-O-18199; 11-O-19326</w:t>
      </w:r>
    </w:p>
    <w:p>
      <w:pPr>
        <w:spacing w:line="480" w:lineRule="auto"/>
        <w:ind w:firstLine="720"/>
        <w:rPr>
          <w:b/>
        </w:rPr>
      </w:pPr>
      <w:r>
        <w:rPr>
          <w:b/>
        </w:rPr>
        <w:t>Facts</w:t>
      </w:r>
    </w:p>
    <w:p>
      <w:pPr>
        <w:spacing w:line="480" w:lineRule="auto"/>
        <w:ind w:firstLine="720"/>
        <w:contextualSpacing/>
        <w:rPr>
          <w:b/>
        </w:rPr>
      </w:pPr>
      <w:r>
        <w:rPr>
          <w:spacing w:val="-10"/>
          <w:w w:val="105"/>
          <w:sz w:val="25"/>
          <w:szCs w:val="25"/>
        </w:rPr>
        <w:t xml:space="preserve">On the dates mentioned below, respondent </w:t>
      </w:r>
      <w:r>
        <w:rPr>
          <w:spacing w:val="-7"/>
          <w:w w:val="105"/>
          <w:sz w:val="25"/>
          <w:szCs w:val="25"/>
        </w:rPr>
        <w:t xml:space="preserve">used his CTA account for </w:t>
      </w:r>
      <w:r>
        <w:rPr>
          <w:spacing w:val="-11"/>
          <w:w w:val="105"/>
          <w:sz w:val="25"/>
          <w:szCs w:val="25"/>
        </w:rPr>
        <w:t xml:space="preserve">personal purposes, specifically, to pay personal debts unrelated to client matters and to receive </w:t>
      </w:r>
      <w:r>
        <w:rPr>
          <w:spacing w:val="-9"/>
          <w:w w:val="105"/>
          <w:sz w:val="25"/>
          <w:szCs w:val="25"/>
        </w:rPr>
        <w:t xml:space="preserve">small cash withdrawals over an extended period of time.  Specifically, respondent made the following payments from the account for respondent’s personal expenses unrelated to client </w:t>
      </w:r>
      <w:r>
        <w:rPr>
          <w:spacing w:val="-8"/>
          <w:w w:val="105"/>
          <w:sz w:val="25"/>
          <w:szCs w:val="25"/>
        </w:rPr>
        <w:t>matters from the trust account:</w:t>
      </w:r>
    </w:p>
    <w:p>
      <w:pPr>
        <w:tabs>
          <w:tab w:val="left" w:pos="2340"/>
          <w:tab w:val="left" w:pos="3780"/>
          <w:tab w:val="left" w:pos="7200"/>
          <w:tab w:val="left" w:pos="9180"/>
        </w:tabs>
        <w:ind w:left="720" w:firstLine="270"/>
        <w:rPr>
          <w:b/>
        </w:rPr>
      </w:pPr>
      <w:r>
        <w:rPr>
          <w:b/>
          <w:u w:val="single"/>
        </w:rPr>
        <w:t>Date</w:t>
      </w:r>
      <w:r>
        <w:rPr>
          <w:b/>
        </w:rPr>
        <w:tab/>
      </w:r>
      <w:r>
        <w:rPr>
          <w:b/>
          <w:u w:val="single"/>
        </w:rPr>
        <w:t>Check No.</w:t>
      </w:r>
      <w:r>
        <w:rPr>
          <w:b/>
        </w:rPr>
        <w:tab/>
      </w:r>
      <w:r>
        <w:rPr>
          <w:b/>
          <w:u w:val="single"/>
        </w:rPr>
        <w:t>Payee</w:t>
      </w:r>
      <w:r>
        <w:rPr>
          <w:b/>
        </w:rPr>
        <w:tab/>
      </w:r>
      <w:r>
        <w:rPr>
          <w:b/>
          <w:u w:val="single"/>
        </w:rPr>
        <w:t>Amount of Payment</w:t>
      </w:r>
    </w:p>
    <w:p>
      <w:pPr>
        <w:tabs>
          <w:tab w:val="left" w:pos="2520"/>
          <w:tab w:val="left" w:pos="3780"/>
          <w:tab w:val="right" w:pos="8640"/>
          <w:tab w:val="left" w:pos="9180"/>
        </w:tabs>
        <w:ind w:left="720"/>
      </w:pPr>
      <w:r>
        <w:t>05/02/2011</w:t>
      </w:r>
      <w:r>
        <w:tab/>
        <w:t>2141</w:t>
      </w:r>
      <w:r>
        <w:tab/>
        <w:t>Staples</w:t>
      </w:r>
      <w:r>
        <w:tab/>
        <w:t>$65.68</w:t>
      </w:r>
    </w:p>
    <w:p>
      <w:pPr>
        <w:tabs>
          <w:tab w:val="left" w:pos="2520"/>
          <w:tab w:val="left" w:pos="3780"/>
          <w:tab w:val="right" w:pos="8640"/>
          <w:tab w:val="left" w:pos="9180"/>
        </w:tabs>
        <w:ind w:left="720"/>
      </w:pPr>
      <w:r>
        <w:t>05/02/2011</w:t>
      </w:r>
      <w:r>
        <w:tab/>
        <w:t>2144</w:t>
      </w:r>
      <w:r>
        <w:tab/>
        <w:t>Staples</w:t>
      </w:r>
      <w:r>
        <w:tab/>
        <w:t>$34.42</w:t>
      </w:r>
    </w:p>
    <w:p>
      <w:pPr>
        <w:tabs>
          <w:tab w:val="left" w:pos="2520"/>
          <w:tab w:val="left" w:pos="3780"/>
          <w:tab w:val="right" w:pos="8640"/>
          <w:tab w:val="left" w:pos="9180"/>
        </w:tabs>
        <w:ind w:left="720"/>
      </w:pPr>
      <w:r>
        <w:t>05/02/2011</w:t>
      </w:r>
      <w:r>
        <w:tab/>
        <w:t>2149</w:t>
      </w:r>
      <w:r>
        <w:tab/>
        <w:t>Cash</w:t>
      </w:r>
      <w:r>
        <w:tab/>
        <w:t>$200.00</w:t>
      </w:r>
    </w:p>
    <w:p>
      <w:pPr>
        <w:tabs>
          <w:tab w:val="left" w:pos="2520"/>
          <w:tab w:val="left" w:pos="3780"/>
          <w:tab w:val="right" w:pos="8640"/>
          <w:tab w:val="left" w:pos="9180"/>
        </w:tabs>
        <w:ind w:left="720"/>
      </w:pPr>
      <w:r>
        <w:t>05/03/2011</w:t>
      </w:r>
      <w:r>
        <w:tab/>
        <w:t>2136</w:t>
      </w:r>
      <w:r>
        <w:tab/>
        <w:t>Walgreens</w:t>
      </w:r>
      <w:r>
        <w:tab/>
        <w:t>$102.98</w:t>
      </w:r>
    </w:p>
    <w:p>
      <w:pPr>
        <w:tabs>
          <w:tab w:val="left" w:pos="2520"/>
          <w:tab w:val="left" w:pos="3780"/>
          <w:tab w:val="right" w:pos="8640"/>
          <w:tab w:val="left" w:pos="9180"/>
        </w:tabs>
        <w:ind w:left="720"/>
      </w:pPr>
      <w:r>
        <w:t>05/09/2011</w:t>
      </w:r>
      <w:r>
        <w:tab/>
        <w:t>2160</w:t>
      </w:r>
      <w:r>
        <w:tab/>
        <w:t>Cash</w:t>
      </w:r>
      <w:r>
        <w:tab/>
        <w:t>$200.00</w:t>
      </w:r>
    </w:p>
    <w:p>
      <w:pPr>
        <w:tabs>
          <w:tab w:val="left" w:pos="2520"/>
          <w:tab w:val="left" w:pos="3780"/>
          <w:tab w:val="right" w:pos="8640"/>
          <w:tab w:val="left" w:pos="9180"/>
        </w:tabs>
        <w:ind w:left="720"/>
      </w:pPr>
      <w:r>
        <w:t>05/20/2011</w:t>
      </w:r>
      <w:r>
        <w:tab/>
        <w:t>2174</w:t>
      </w:r>
      <w:r>
        <w:tab/>
        <w:t>Cash</w:t>
      </w:r>
      <w:r>
        <w:tab/>
        <w:t>$40.00</w:t>
      </w:r>
    </w:p>
    <w:p>
      <w:pPr>
        <w:tabs>
          <w:tab w:val="left" w:pos="2520"/>
          <w:tab w:val="left" w:pos="3780"/>
          <w:tab w:val="right" w:pos="8640"/>
          <w:tab w:val="left" w:pos="9180"/>
        </w:tabs>
        <w:ind w:left="720"/>
      </w:pPr>
      <w:r>
        <w:t>05/23/2011</w:t>
      </w:r>
      <w:r>
        <w:tab/>
        <w:t>2167</w:t>
      </w:r>
      <w:r>
        <w:tab/>
        <w:t>Staples</w:t>
      </w:r>
      <w:r>
        <w:tab/>
        <w:t>$498.73</w:t>
      </w:r>
    </w:p>
    <w:p>
      <w:pPr>
        <w:tabs>
          <w:tab w:val="left" w:pos="2520"/>
          <w:tab w:val="left" w:pos="3780"/>
          <w:tab w:val="right" w:pos="8640"/>
          <w:tab w:val="left" w:pos="9180"/>
        </w:tabs>
        <w:ind w:left="720"/>
      </w:pPr>
      <w:r>
        <w:t>06/27/2011</w:t>
      </w:r>
      <w:r>
        <w:tab/>
        <w:t>2182</w:t>
      </w:r>
      <w:r>
        <w:tab/>
        <w:t>Cash</w:t>
      </w:r>
      <w:r>
        <w:tab/>
        <w:t>$50.00</w:t>
      </w:r>
    </w:p>
    <w:p>
      <w:pPr>
        <w:tabs>
          <w:tab w:val="left" w:pos="2520"/>
          <w:tab w:val="left" w:pos="3780"/>
          <w:tab w:val="right" w:pos="8640"/>
          <w:tab w:val="left" w:pos="9180"/>
        </w:tabs>
        <w:ind w:left="720"/>
      </w:pPr>
      <w:r>
        <w:t>07/05/2011</w:t>
      </w:r>
      <w:r>
        <w:tab/>
        <w:t>2183</w:t>
      </w:r>
      <w:r>
        <w:tab/>
        <w:t>Mom’s Pharmacy</w:t>
      </w:r>
      <w:r>
        <w:tab/>
        <w:t>$175.00</w:t>
      </w:r>
    </w:p>
    <w:p>
      <w:pPr>
        <w:tabs>
          <w:tab w:val="left" w:pos="2520"/>
          <w:tab w:val="left" w:pos="3780"/>
          <w:tab w:val="right" w:pos="8640"/>
          <w:tab w:val="left" w:pos="9180"/>
        </w:tabs>
        <w:ind w:left="720"/>
      </w:pPr>
      <w:r>
        <w:t>07/05/2011</w:t>
      </w:r>
      <w:r>
        <w:tab/>
        <w:t>2189</w:t>
      </w:r>
      <w:r>
        <w:tab/>
        <w:t>Cash</w:t>
      </w:r>
      <w:r>
        <w:tab/>
        <w:t>$600.00</w:t>
      </w:r>
    </w:p>
    <w:p>
      <w:pPr>
        <w:tabs>
          <w:tab w:val="left" w:pos="2520"/>
          <w:tab w:val="left" w:pos="3780"/>
          <w:tab w:val="right" w:pos="8640"/>
          <w:tab w:val="left" w:pos="9180"/>
        </w:tabs>
        <w:ind w:left="720"/>
      </w:pPr>
      <w:r>
        <w:t>07/06/2011</w:t>
      </w:r>
      <w:r>
        <w:tab/>
        <w:t>2188</w:t>
      </w:r>
      <w:r>
        <w:tab/>
        <w:t>Cash</w:t>
      </w:r>
      <w:r>
        <w:tab/>
        <w:t>$150.00</w:t>
      </w:r>
    </w:p>
    <w:p>
      <w:pPr>
        <w:tabs>
          <w:tab w:val="left" w:pos="2520"/>
          <w:tab w:val="left" w:pos="3780"/>
          <w:tab w:val="right" w:pos="8640"/>
          <w:tab w:val="left" w:pos="9180"/>
        </w:tabs>
        <w:ind w:left="720"/>
      </w:pPr>
      <w:r>
        <w:t>07/25/2011</w:t>
      </w:r>
      <w:r>
        <w:tab/>
        <w:t>2722</w:t>
      </w:r>
      <w:r>
        <w:tab/>
        <w:t>Cash</w:t>
      </w:r>
      <w:r>
        <w:tab/>
        <w:t>$300.00</w:t>
      </w:r>
    </w:p>
    <w:p>
      <w:pPr>
        <w:tabs>
          <w:tab w:val="left" w:pos="2520"/>
          <w:tab w:val="left" w:pos="3780"/>
          <w:tab w:val="right" w:pos="8640"/>
          <w:tab w:val="left" w:pos="9180"/>
        </w:tabs>
        <w:ind w:left="720"/>
      </w:pPr>
      <w:r>
        <w:t>07/27/2011</w:t>
      </w:r>
      <w:r>
        <w:tab/>
        <w:t>2723</w:t>
      </w:r>
      <w:r>
        <w:tab/>
        <w:t>Cash</w:t>
      </w:r>
      <w:r>
        <w:tab/>
        <w:t>$1,500.00</w:t>
      </w:r>
    </w:p>
    <w:p>
      <w:pPr>
        <w:tabs>
          <w:tab w:val="left" w:pos="2520"/>
          <w:tab w:val="left" w:pos="3780"/>
          <w:tab w:val="right" w:pos="8640"/>
          <w:tab w:val="left" w:pos="9180"/>
        </w:tabs>
        <w:ind w:left="720"/>
      </w:pPr>
      <w:r>
        <w:t>08/04/2011</w:t>
      </w:r>
      <w:r>
        <w:tab/>
        <w:t>2196</w:t>
      </w:r>
      <w:r>
        <w:tab/>
        <w:t>Cash</w:t>
      </w:r>
      <w:r>
        <w:tab/>
        <w:t>$150.00</w:t>
      </w:r>
    </w:p>
    <w:p>
      <w:pPr>
        <w:tabs>
          <w:tab w:val="left" w:pos="2520"/>
          <w:tab w:val="left" w:pos="3780"/>
          <w:tab w:val="right" w:pos="8640"/>
          <w:tab w:val="left" w:pos="9180"/>
        </w:tabs>
        <w:ind w:left="720"/>
      </w:pPr>
      <w:r>
        <w:t>08/18/2011</w:t>
      </w:r>
      <w:r>
        <w:tab/>
        <w:t>2195</w:t>
      </w:r>
      <w:r>
        <w:tab/>
        <w:t>Walgreens</w:t>
      </w:r>
      <w:r>
        <w:tab/>
        <w:t>$167.99</w:t>
      </w:r>
    </w:p>
    <w:p>
      <w:pPr>
        <w:tabs>
          <w:tab w:val="left" w:pos="2520"/>
          <w:tab w:val="left" w:pos="3780"/>
          <w:tab w:val="right" w:pos="8640"/>
          <w:tab w:val="left" w:pos="9180"/>
        </w:tabs>
        <w:ind w:left="720"/>
      </w:pPr>
      <w:r>
        <w:t>09/08/2011</w:t>
      </w:r>
      <w:r>
        <w:tab/>
        <w:t>2201</w:t>
      </w:r>
      <w:r>
        <w:tab/>
        <w:t>David Cohen, Esq. (memo: rent)</w:t>
      </w:r>
      <w:r>
        <w:tab/>
        <w:t>$1,500.00</w:t>
      </w:r>
    </w:p>
    <w:p>
      <w:pPr>
        <w:tabs>
          <w:tab w:val="left" w:pos="2520"/>
          <w:tab w:val="left" w:pos="3780"/>
          <w:tab w:val="right" w:pos="8640"/>
          <w:tab w:val="left" w:pos="9180"/>
        </w:tabs>
        <w:ind w:left="720"/>
      </w:pPr>
      <w:r>
        <w:t>09/14/2011</w:t>
      </w:r>
      <w:r>
        <w:tab/>
        <w:t>2210</w:t>
      </w:r>
      <w:r>
        <w:tab/>
        <w:t>Robert’s Market</w:t>
      </w:r>
      <w:r>
        <w:tab/>
        <w:t>$38.96</w:t>
      </w:r>
    </w:p>
    <w:p>
      <w:pPr>
        <w:tabs>
          <w:tab w:val="left" w:pos="2520"/>
          <w:tab w:val="left" w:pos="3780"/>
          <w:tab w:val="right" w:pos="8640"/>
          <w:tab w:val="left" w:pos="9180"/>
        </w:tabs>
        <w:ind w:left="720"/>
      </w:pPr>
      <w:r>
        <w:t>09/16/2011</w:t>
      </w:r>
      <w:r>
        <w:tab/>
        <w:t>2209</w:t>
      </w:r>
      <w:r>
        <w:tab/>
        <w:t>St.(illegible) Chinese Bay School</w:t>
      </w:r>
      <w:r>
        <w:tab/>
        <w:t>$1,175.00</w:t>
      </w:r>
    </w:p>
    <w:p>
      <w:pPr>
        <w:tabs>
          <w:tab w:val="left" w:pos="2520"/>
          <w:tab w:val="left" w:pos="3780"/>
          <w:tab w:val="right" w:pos="8640"/>
          <w:tab w:val="left" w:pos="9180"/>
        </w:tabs>
        <w:ind w:left="720"/>
      </w:pPr>
      <w:r>
        <w:t>09/21/2011</w:t>
      </w:r>
      <w:r>
        <w:tab/>
        <w:t>2213</w:t>
      </w:r>
      <w:r>
        <w:tab/>
        <w:t>Staples</w:t>
      </w:r>
      <w:r>
        <w:tab/>
        <w:t>$352.60</w:t>
      </w:r>
    </w:p>
    <w:p>
      <w:pPr>
        <w:tabs>
          <w:tab w:val="left" w:pos="2520"/>
          <w:tab w:val="left" w:pos="3780"/>
          <w:tab w:val="right" w:pos="8640"/>
          <w:tab w:val="left" w:pos="9180"/>
        </w:tabs>
        <w:ind w:left="720"/>
      </w:pPr>
      <w:r>
        <w:t>10/05/2011</w:t>
      </w:r>
      <w:r>
        <w:tab/>
        <w:t>2177</w:t>
      </w:r>
      <w:r>
        <w:tab/>
        <w:t>Walgreens</w:t>
      </w:r>
      <w:r>
        <w:tab/>
        <w:t>$47.99</w:t>
      </w:r>
    </w:p>
    <w:p>
      <w:pPr>
        <w:tabs>
          <w:tab w:val="left" w:pos="2520"/>
          <w:tab w:val="left" w:pos="3780"/>
          <w:tab w:val="right" w:pos="8640"/>
          <w:tab w:val="left" w:pos="9180"/>
        </w:tabs>
        <w:ind w:left="720"/>
      </w:pPr>
      <w:r>
        <w:t>10/06/2011</w:t>
      </w:r>
      <w:r>
        <w:tab/>
        <w:t>2169</w:t>
      </w:r>
      <w:r>
        <w:tab/>
        <w:t>David Cohen, Esq.</w:t>
      </w:r>
      <w:r>
        <w:tab/>
        <w:t>$1,500.00</w:t>
      </w:r>
    </w:p>
    <w:p>
      <w:pPr>
        <w:tabs>
          <w:tab w:val="left" w:pos="2340"/>
          <w:tab w:val="left" w:pos="3780"/>
          <w:tab w:val="left" w:pos="7200"/>
          <w:tab w:val="left" w:pos="9180"/>
        </w:tabs>
        <w:ind w:left="720"/>
      </w:pPr>
    </w:p>
    <w:p>
      <w:pPr>
        <w:spacing w:line="480" w:lineRule="auto"/>
        <w:ind w:firstLine="720"/>
        <w:rPr>
          <w:spacing w:val="-4"/>
          <w:sz w:val="25"/>
          <w:szCs w:val="25"/>
        </w:rPr>
      </w:pPr>
      <w:r>
        <w:rPr>
          <w:spacing w:val="-5"/>
          <w:sz w:val="25"/>
          <w:szCs w:val="25"/>
        </w:rPr>
        <w:t>Respondent issued the following checks and electronic payments, drawn on his CTA</w:t>
      </w:r>
      <w:r>
        <w:rPr>
          <w:spacing w:val="-6"/>
          <w:sz w:val="25"/>
          <w:szCs w:val="25"/>
        </w:rPr>
        <w:t xml:space="preserve">, when he knew or should have known that that there were insufficient funds to </w:t>
      </w:r>
      <w:r>
        <w:rPr>
          <w:spacing w:val="-4"/>
          <w:sz w:val="25"/>
          <w:szCs w:val="25"/>
        </w:rPr>
        <w:t>satisfy the debits when they were presented for payment, as follows:</w:t>
      </w:r>
    </w:p>
    <w:p>
      <w:pPr>
        <w:tabs>
          <w:tab w:val="left" w:pos="2070"/>
          <w:tab w:val="left" w:pos="3780"/>
          <w:tab w:val="left" w:pos="5040"/>
          <w:tab w:val="left" w:pos="7380"/>
        </w:tabs>
        <w:rPr>
          <w:b/>
          <w:u w:val="single"/>
        </w:rPr>
      </w:pPr>
      <w:r>
        <w:rPr>
          <w:b/>
          <w:u w:val="single"/>
        </w:rPr>
        <w:t>Check No.</w:t>
      </w:r>
      <w:r>
        <w:rPr>
          <w:b/>
        </w:rPr>
        <w:tab/>
      </w:r>
      <w:r>
        <w:rPr>
          <w:b/>
          <w:u w:val="single"/>
        </w:rPr>
        <w:t>Payee</w:t>
      </w:r>
      <w:r>
        <w:rPr>
          <w:b/>
        </w:rPr>
        <w:tab/>
      </w:r>
      <w:r>
        <w:rPr>
          <w:b/>
          <w:u w:val="single"/>
        </w:rPr>
        <w:t>Amount</w:t>
      </w:r>
      <w:r>
        <w:rPr>
          <w:b/>
        </w:rPr>
        <w:tab/>
      </w:r>
      <w:r>
        <w:rPr>
          <w:b/>
          <w:u w:val="single"/>
        </w:rPr>
        <w:t>Date Presented</w:t>
      </w:r>
      <w:r>
        <w:rPr>
          <w:b/>
        </w:rPr>
        <w:tab/>
      </w:r>
      <w:r>
        <w:rPr>
          <w:b/>
          <w:u w:val="single"/>
        </w:rPr>
        <w:t>Result</w:t>
      </w:r>
    </w:p>
    <w:p>
      <w:pPr>
        <w:tabs>
          <w:tab w:val="left" w:pos="1440"/>
          <w:tab w:val="left" w:pos="3780"/>
          <w:tab w:val="left" w:pos="5220"/>
          <w:tab w:val="left" w:pos="7020"/>
        </w:tabs>
        <w:ind w:left="270"/>
      </w:pPr>
      <w:r>
        <w:t>2194</w:t>
      </w:r>
      <w:r>
        <w:tab/>
        <w:t>Anthony Agpaoa</w:t>
      </w:r>
      <w:r>
        <w:tab/>
        <w:t>$316.00</w:t>
      </w:r>
      <w:r>
        <w:tab/>
        <w:t>08/02/2011</w:t>
      </w:r>
      <w:r>
        <w:tab/>
        <w:t>Returned for</w:t>
      </w:r>
    </w:p>
    <w:p>
      <w:pPr>
        <w:tabs>
          <w:tab w:val="left" w:pos="1440"/>
          <w:tab w:val="left" w:pos="3780"/>
          <w:tab w:val="left" w:pos="5220"/>
          <w:tab w:val="left" w:pos="7020"/>
        </w:tabs>
        <w:ind w:left="270"/>
      </w:pPr>
      <w:r>
        <w:tab/>
      </w:r>
      <w:r>
        <w:tab/>
      </w:r>
      <w:r>
        <w:tab/>
      </w:r>
      <w:r>
        <w:tab/>
        <w:t xml:space="preserve">Insufficient Funds </w:t>
      </w:r>
    </w:p>
    <w:p>
      <w:pPr>
        <w:tabs>
          <w:tab w:val="left" w:pos="1440"/>
          <w:tab w:val="left" w:pos="3780"/>
          <w:tab w:val="left" w:pos="5220"/>
          <w:tab w:val="left" w:pos="6840"/>
        </w:tabs>
        <w:ind w:left="270"/>
      </w:pPr>
    </w:p>
    <w:p>
      <w:pPr>
        <w:tabs>
          <w:tab w:val="left" w:pos="1440"/>
          <w:tab w:val="left" w:pos="3780"/>
          <w:tab w:val="left" w:pos="5220"/>
          <w:tab w:val="left" w:pos="7020"/>
        </w:tabs>
        <w:ind w:left="270"/>
      </w:pPr>
      <w:r>
        <w:t>2170</w:t>
      </w:r>
      <w:r>
        <w:tab/>
        <w:t xml:space="preserve">U.S. Department of </w:t>
      </w:r>
      <w:r>
        <w:tab/>
        <w:t>$155.00</w:t>
      </w:r>
      <w:r>
        <w:tab/>
        <w:t>10/07/2011</w:t>
      </w:r>
      <w:r>
        <w:tab/>
        <w:t xml:space="preserve">Paid by bank against </w:t>
      </w:r>
    </w:p>
    <w:p>
      <w:pPr>
        <w:tabs>
          <w:tab w:val="left" w:pos="1440"/>
          <w:tab w:val="left" w:pos="3780"/>
          <w:tab w:val="left" w:pos="5220"/>
          <w:tab w:val="left" w:pos="7020"/>
        </w:tabs>
        <w:ind w:left="270"/>
      </w:pPr>
      <w:r>
        <w:tab/>
        <w:t>Homeland Security</w:t>
      </w:r>
      <w:r>
        <w:tab/>
      </w:r>
      <w:r>
        <w:tab/>
      </w:r>
      <w:r>
        <w:tab/>
        <w:t>Insufficient Funds</w:t>
      </w:r>
    </w:p>
    <w:p>
      <w:pPr>
        <w:tabs>
          <w:tab w:val="left" w:pos="1440"/>
          <w:tab w:val="left" w:pos="3780"/>
          <w:tab w:val="left" w:pos="5220"/>
          <w:tab w:val="left" w:pos="7020"/>
        </w:tabs>
        <w:ind w:left="270"/>
      </w:pPr>
    </w:p>
    <w:p>
      <w:pPr>
        <w:tabs>
          <w:tab w:val="left" w:pos="1440"/>
          <w:tab w:val="left" w:pos="3780"/>
          <w:tab w:val="left" w:pos="5220"/>
          <w:tab w:val="left" w:pos="7020"/>
        </w:tabs>
        <w:ind w:left="270"/>
      </w:pPr>
      <w:r>
        <w:t>2208</w:t>
      </w:r>
      <w:r>
        <w:tab/>
        <w:t>CVS Pharmacy</w:t>
      </w:r>
      <w:r>
        <w:tab/>
        <w:t>$184.99</w:t>
      </w:r>
      <w:r>
        <w:tab/>
        <w:t>10/25/2011</w:t>
      </w:r>
      <w:r>
        <w:tab/>
        <w:t xml:space="preserve">Returned for </w:t>
      </w:r>
    </w:p>
    <w:p>
      <w:pPr>
        <w:tabs>
          <w:tab w:val="left" w:pos="1440"/>
          <w:tab w:val="left" w:pos="3780"/>
          <w:tab w:val="left" w:pos="5040"/>
          <w:tab w:val="left" w:pos="7020"/>
        </w:tabs>
      </w:pPr>
      <w:r>
        <w:tab/>
      </w:r>
      <w:r>
        <w:tab/>
      </w:r>
      <w:r>
        <w:tab/>
      </w:r>
      <w:r>
        <w:tab/>
        <w:t>Insufficient Funds</w:t>
      </w:r>
    </w:p>
    <w:p>
      <w:pPr>
        <w:spacing w:line="480" w:lineRule="auto"/>
        <w:ind w:firstLine="720"/>
        <w:rPr>
          <w:rStyle w:val="Style21"/>
          <w:rFonts w:ascii="Times New Roman" w:hAnsi="Times New Roman"/>
          <w:b w:val="0"/>
          <w:spacing w:val="-4"/>
          <w:sz w:val="25"/>
          <w:szCs w:val="25"/>
        </w:rPr>
      </w:pPr>
    </w:p>
    <w:p>
      <w:pPr>
        <w:spacing w:line="480" w:lineRule="auto"/>
        <w:ind w:firstLine="720"/>
        <w:rPr>
          <w:bCs/>
        </w:rPr>
      </w:pPr>
      <w:r>
        <w:t xml:space="preserve">As to each of the </w:t>
      </w:r>
      <w:r>
        <w:rPr>
          <w:rStyle w:val="Style22"/>
          <w:rFonts w:ascii="Times New Roman" w:hAnsi="Times New Roman"/>
          <w:b w:val="0"/>
          <w:sz w:val="24"/>
          <w:u w:val="none"/>
        </w:rPr>
        <w:t xml:space="preserve">non-sufficient fund (NSF) check </w:t>
      </w:r>
      <w:r>
        <w:t xml:space="preserve">transactions noted above, the State Bar received notifications </w:t>
      </w:r>
      <w:r>
        <w:rPr>
          <w:bCs/>
        </w:rPr>
        <w:t xml:space="preserve">that respondent’s bank had received checks and debits drawn on the CTA against insufficient funds.  </w:t>
      </w:r>
      <w:r>
        <w:rPr>
          <w:rStyle w:val="Style22"/>
          <w:rFonts w:ascii="Times New Roman" w:hAnsi="Times New Roman"/>
          <w:b w:val="0"/>
          <w:sz w:val="24"/>
          <w:u w:val="none"/>
        </w:rPr>
        <w:t>On September 15, 2011, the State Bar sent respondent a letter requesting a written explanation for NSF check no. 2194.</w:t>
      </w:r>
      <w:r>
        <w:rPr>
          <w:rStyle w:val="Style22"/>
          <w:rFonts w:ascii="Times New Roman" w:hAnsi="Times New Roman"/>
          <w:b w:val="0"/>
          <w:bCs/>
          <w:sz w:val="24"/>
          <w:u w:val="none"/>
        </w:rPr>
        <w:t xml:space="preserve">  </w:t>
      </w:r>
      <w:r>
        <w:rPr>
          <w:bCs/>
        </w:rPr>
        <w:t xml:space="preserve">On October 27, 2011, the State Bar sent respondent’s counsel, on behalf of respondent, </w:t>
      </w:r>
      <w:r>
        <w:rPr>
          <w:rStyle w:val="Style22"/>
          <w:rFonts w:ascii="Times New Roman" w:hAnsi="Times New Roman"/>
          <w:b w:val="0"/>
          <w:sz w:val="24"/>
          <w:u w:val="none"/>
        </w:rPr>
        <w:t>a letter requesting a written explanation for that same check</w:t>
      </w:r>
      <w:r>
        <w:rPr>
          <w:bCs/>
        </w:rPr>
        <w:t>.</w:t>
      </w:r>
    </w:p>
    <w:p>
      <w:pPr>
        <w:spacing w:line="480" w:lineRule="auto"/>
        <w:ind w:firstLine="720"/>
        <w:rPr>
          <w:rStyle w:val="Style22"/>
          <w:rFonts w:ascii="Times New Roman" w:hAnsi="Times New Roman"/>
          <w:b w:val="0"/>
          <w:sz w:val="24"/>
          <w:u w:val="none"/>
        </w:rPr>
      </w:pPr>
      <w:r>
        <w:rPr>
          <w:rStyle w:val="Style22"/>
          <w:rFonts w:ascii="Times New Roman" w:hAnsi="Times New Roman"/>
          <w:b w:val="0"/>
          <w:sz w:val="24"/>
          <w:u w:val="none"/>
        </w:rPr>
        <w:t xml:space="preserve">On December 6, 2011, the State Bar sent respondent’s counsel, on behalf of respondent, a letter requesting a written explanation for NSF check no. 2170.  On January 26, 2012, the State Bar sent respondent’s counsel, on behalf of respondent, a letter requesting a written explanation for NSF check no. 2208.  </w:t>
      </w:r>
    </w:p>
    <w:p>
      <w:pPr>
        <w:spacing w:line="480" w:lineRule="auto"/>
        <w:ind w:firstLine="720"/>
        <w:rPr>
          <w:rStyle w:val="Style22"/>
          <w:rFonts w:ascii="Times New Roman" w:hAnsi="Times New Roman"/>
          <w:b w:val="0"/>
          <w:sz w:val="24"/>
          <w:u w:val="none"/>
        </w:rPr>
      </w:pPr>
      <w:r>
        <w:rPr>
          <w:rStyle w:val="Style22"/>
          <w:rFonts w:ascii="Times New Roman" w:hAnsi="Times New Roman"/>
          <w:b w:val="0"/>
          <w:sz w:val="24"/>
          <w:u w:val="none"/>
        </w:rPr>
        <w:t>Respondent’s counsel thereafter advised the State Bar that he was no longer representing respondent.  On February 2, 2012, the State Bar sent a letter to respondent, requesting a written explanation for the NSF check no. 2208.</w:t>
      </w:r>
    </w:p>
    <w:p>
      <w:pPr>
        <w:spacing w:line="480" w:lineRule="auto"/>
        <w:ind w:firstLine="720"/>
        <w:contextualSpacing/>
        <w:rPr>
          <w:bCs/>
        </w:rPr>
      </w:pPr>
      <w:r>
        <w:rPr>
          <w:bCs/>
        </w:rPr>
        <w:t xml:space="preserve">Respondent received each of these letters shortly after they were sent, but failed to respond or otherwise cooperate or participate in the State Bar’s investigation.  </w:t>
      </w:r>
    </w:p>
    <w:p>
      <w:pPr>
        <w:spacing w:line="480" w:lineRule="auto"/>
        <w:ind w:firstLine="720"/>
        <w:contextualSpacing/>
        <w:rPr>
          <w:b/>
        </w:rPr>
      </w:pPr>
      <w:r>
        <w:rPr>
          <w:b/>
        </w:rPr>
        <w:t>Conclusions</w:t>
      </w:r>
    </w:p>
    <w:p>
      <w:pPr>
        <w:pStyle w:val="ListParagraph"/>
        <w:tabs>
          <w:tab w:val="left" w:pos="720"/>
        </w:tabs>
        <w:spacing w:line="480" w:lineRule="auto"/>
        <w:rPr>
          <w:b/>
          <w:i/>
        </w:rPr>
      </w:pPr>
      <w:r>
        <w:rPr>
          <w:b/>
          <w:i/>
        </w:rPr>
        <w:t>Count One – Rule 4-100(A) [Commingling]</w:t>
      </w:r>
    </w:p>
    <w:p>
      <w:pPr>
        <w:pStyle w:val="ListParagraph"/>
        <w:spacing w:line="480" w:lineRule="auto"/>
        <w:ind w:left="0" w:firstLine="720"/>
        <w:rPr>
          <w:szCs w:val="24"/>
        </w:rPr>
      </w:pPr>
      <w:r>
        <w:rPr>
          <w:szCs w:val="24"/>
        </w:rPr>
        <w:t>By using his CTA for personal purposes and making non-client payments from his CTA between May 2 and October 6, 2011, respondent deposited or commingled personal funds in a bank account labeled “Trust Account,” “Client’s Funds Account,” or words of similar import, in willful violation of rule 4-100(A).</w:t>
      </w:r>
    </w:p>
    <w:p>
      <w:pPr>
        <w:pStyle w:val="ListParagraph"/>
        <w:spacing w:line="480" w:lineRule="auto"/>
        <w:ind w:left="0" w:firstLine="720"/>
      </w:pPr>
    </w:p>
    <w:p>
      <w:pPr>
        <w:pStyle w:val="ListParagraph"/>
        <w:tabs>
          <w:tab w:val="left" w:pos="720"/>
        </w:tabs>
        <w:spacing w:line="480" w:lineRule="auto"/>
        <w:rPr>
          <w:b/>
          <w:i/>
        </w:rPr>
      </w:pPr>
      <w:r>
        <w:rPr>
          <w:b/>
          <w:i/>
        </w:rPr>
        <w:t>Count Two – Section 6106 [Moral Turpitude]</w:t>
      </w:r>
    </w:p>
    <w:p>
      <w:pPr>
        <w:pStyle w:val="ListParagraph"/>
        <w:tabs>
          <w:tab w:val="left" w:pos="900"/>
        </w:tabs>
        <w:spacing w:line="480" w:lineRule="auto"/>
        <w:ind w:left="0" w:firstLine="720"/>
      </w:pPr>
      <w:r>
        <w:t>While moral turpitude generally requires a certain level of intent, guilty knowledge, or willfulness, the law is clear that where an attorney’s fiduciary obligations are involved, particularly trust account duties, a finding of gross negligence will support such a charge.  (</w:t>
      </w:r>
      <w:r>
        <w:rPr>
          <w:i/>
        </w:rPr>
        <w:t>In the Matter of Blum</w:t>
      </w:r>
      <w:r>
        <w:t xml:space="preserve"> (Review Dept. 2002) 4 Cal. State Bar Ct. Rptr. 403, 410.)  Respondent’s issuance of three NSF checks from his CTA at a time respondent knew or should have known there were insufficient funds to cover these checks, amounts to, at a minimum, conduct involving gross negligence.  Consequently, the State Bar has proven, by clear and convincing evidence, that respondent’s grossly negligent handling of his CTA constitutes a willful violation of section 6106.</w:t>
      </w:r>
    </w:p>
    <w:p>
      <w:pPr>
        <w:spacing w:line="480" w:lineRule="auto"/>
        <w:ind w:firstLine="720"/>
        <w:contextualSpacing/>
        <w:rPr>
          <w:b/>
        </w:rPr>
      </w:pPr>
      <w:r>
        <w:rPr>
          <w:b/>
          <w:i/>
        </w:rPr>
        <w:t>Count Three – Section 6068, subd. (i) [Failure to Cooperate]</w:t>
      </w:r>
    </w:p>
    <w:p>
      <w:pPr>
        <w:spacing w:line="480" w:lineRule="auto"/>
        <w:ind w:firstLine="720"/>
        <w:contextualSpacing/>
      </w:pPr>
      <w:r>
        <w:t>By failing to provide a written response to the State Bar investigator’s letters requesting information regarding the NSF checks, respondent failed to cooperate in a disciplinary investigation pending against him, in willful violation of section 6068, subdivision (i).</w:t>
      </w:r>
    </w:p>
    <w:p>
      <w:pPr>
        <w:spacing w:line="480" w:lineRule="auto"/>
        <w:contextualSpacing/>
      </w:pPr>
      <w:r>
        <w:rPr>
          <w:b/>
        </w:rPr>
        <w:t>Aggravation</w:t>
      </w:r>
      <w:r>
        <w:rPr>
          <w:rStyle w:val="FootnoteReference"/>
        </w:rPr>
        <w:footnoteReference w:id="10"/>
      </w:r>
    </w:p>
    <w:p>
      <w:pPr>
        <w:spacing w:line="480" w:lineRule="auto"/>
        <w:ind w:firstLine="720"/>
        <w:rPr>
          <w:b/>
        </w:rPr>
      </w:pPr>
      <w:r>
        <w:rPr>
          <w:b/>
        </w:rPr>
        <w:t xml:space="preserve">Indifference toward Rectification/Atonement </w:t>
      </w:r>
    </w:p>
    <w:p>
      <w:pPr>
        <w:spacing w:line="480" w:lineRule="auto"/>
        <w:ind w:firstLine="720"/>
        <w:rPr>
          <w:bCs/>
        </w:rPr>
      </w:pPr>
      <w:r>
        <w:rPr>
          <w:bCs/>
        </w:rPr>
        <w:t xml:space="preserve">The evidence before the court illustrates respondent’s indifference toward rectification of or atonement for the consequences of his misconduct.  </w:t>
      </w:r>
      <w:r>
        <w:t xml:space="preserve">(Std. 1.2(b)(v).)  </w:t>
      </w:r>
      <w:r>
        <w:rPr>
          <w:bCs/>
        </w:rPr>
        <w:t xml:space="preserve">Rather than acknowledging his misconduct and attempting to make amends, respondent engaged in verbal and physical confrontations with his clients.  </w:t>
      </w:r>
    </w:p>
    <w:p>
      <w:pPr>
        <w:spacing w:line="480" w:lineRule="auto"/>
        <w:ind w:firstLine="720"/>
        <w:rPr>
          <w:bCs/>
        </w:rPr>
      </w:pPr>
      <w:r>
        <w:rPr>
          <w:bCs/>
        </w:rPr>
        <w:t>The court further notes, in the Creason matter, that respondent twice threatened to withdraw when questioned regarding his failing to perform.</w:t>
      </w:r>
    </w:p>
    <w:p>
      <w:pPr>
        <w:spacing w:line="480" w:lineRule="auto"/>
        <w:ind w:left="720"/>
        <w:rPr>
          <w:b/>
        </w:rPr>
      </w:pPr>
      <w:r>
        <w:rPr>
          <w:b/>
        </w:rPr>
        <w:t xml:space="preserve">Multiple Acts/Pattern of Misconduct </w:t>
      </w:r>
    </w:p>
    <w:p>
      <w:pPr>
        <w:spacing w:line="480" w:lineRule="auto"/>
        <w:ind w:firstLine="720"/>
      </w:pPr>
      <w:r>
        <w:t>Respondent was found culpable of 21 acts of misconduct.  Multiple acts of misconduct are an aggravating factor.  (Std. 1.2(b)(ii).)</w:t>
      </w:r>
    </w:p>
    <w:p>
      <w:pPr>
        <w:spacing w:line="480" w:lineRule="auto"/>
        <w:ind w:left="720"/>
        <w:rPr>
          <w:b/>
        </w:rPr>
      </w:pPr>
      <w:r>
        <w:rPr>
          <w:b/>
        </w:rPr>
        <w:t xml:space="preserve">Harm to Client/Public/Administration of Justice </w:t>
      </w:r>
    </w:p>
    <w:p>
      <w:pPr>
        <w:spacing w:line="480" w:lineRule="auto"/>
        <w:ind w:firstLine="720"/>
      </w:pPr>
      <w:r>
        <w:t xml:space="preserve">Respondent’s misconduct resulted in significant financial harm to some of his clients and the denial of Cuellar’s </w:t>
      </w:r>
      <w:r>
        <w:rPr>
          <w:spacing w:val="-6"/>
          <w:w w:val="105"/>
        </w:rPr>
        <w:t>petition for alien relative</w:t>
      </w:r>
      <w:r>
        <w:t xml:space="preserve">.  (Std. 1.2(b)(iv).)  </w:t>
      </w:r>
    </w:p>
    <w:p>
      <w:pPr>
        <w:spacing w:line="480" w:lineRule="auto"/>
        <w:contextualSpacing/>
      </w:pPr>
      <w:r>
        <w:rPr>
          <w:b/>
        </w:rPr>
        <w:t>Mitigation</w:t>
      </w:r>
    </w:p>
    <w:p>
      <w:pPr>
        <w:spacing w:line="480" w:lineRule="auto"/>
        <w:ind w:firstLine="720"/>
        <w:rPr>
          <w:b/>
        </w:rPr>
      </w:pPr>
      <w:r>
        <w:rPr>
          <w:b/>
        </w:rPr>
        <w:t>No Prior Record of Discipline</w:t>
      </w:r>
    </w:p>
    <w:p>
      <w:pPr>
        <w:spacing w:line="480" w:lineRule="auto"/>
        <w:ind w:firstLine="720"/>
        <w:contextualSpacing/>
      </w:pPr>
      <w:r>
        <w:t xml:space="preserve">Respondent had practiced law in California for nine years prior to the commencement of the instant misconduct.  (Std. 1.2(e)(i).)  During that span, he had no prior record of discipline.  Respondent’s tenure of discipline-free practice is entitled to some weight in mitigation.  </w:t>
      </w:r>
    </w:p>
    <w:p>
      <w:pPr>
        <w:spacing w:line="480" w:lineRule="auto"/>
        <w:ind w:firstLine="720"/>
        <w:rPr>
          <w:b/>
        </w:rPr>
      </w:pPr>
      <w:r>
        <w:rPr>
          <w:b/>
        </w:rPr>
        <w:t>Extreme Emotional Difficulties</w:t>
      </w:r>
    </w:p>
    <w:p>
      <w:pPr>
        <w:spacing w:line="480" w:lineRule="auto"/>
        <w:ind w:firstLine="720"/>
      </w:pPr>
      <w:r>
        <w:t>At the time of his misconduct, respondent was suffering from the effects of alcoholism and substance abuse.  (</w:t>
      </w:r>
      <w:r>
        <w:rPr>
          <w:i/>
        </w:rPr>
        <w:t xml:space="preserve">Read v. State Bar </w:t>
      </w:r>
      <w:r>
        <w:t>(1991)</w:t>
      </w:r>
      <w:r>
        <w:rPr>
          <w:i/>
        </w:rPr>
        <w:t xml:space="preserve"> </w:t>
      </w:r>
      <w:r>
        <w:t>53 Cal.3d 394, 424-425 [Severe emotional problems which can be related to misconduct at issue can be considered to have a mitigating effect]; Std. 1.2(e)(iv).)  At trial, respondent testified that he has been sober since June 1, 2012.  While the court applauds respondent’s recent commitment to his sobriety, the lack of expert testimony on this subject warrants limited weight in mitigation.</w:t>
      </w:r>
    </w:p>
    <w:p>
      <w:pPr>
        <w:spacing w:line="480" w:lineRule="auto"/>
        <w:contextualSpacing/>
        <w:jc w:val="center"/>
      </w:pPr>
      <w:r>
        <w:rPr>
          <w:b/>
          <w:u w:val="single"/>
        </w:rPr>
        <w:t>Discussion</w:t>
      </w:r>
    </w:p>
    <w:p>
      <w:pPr>
        <w:spacing w:line="480" w:lineRule="auto"/>
        <w:ind w:firstLine="720"/>
        <w:rPr>
          <w:b/>
        </w:rPr>
      </w:pP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w:t>
      </w:r>
    </w:p>
    <w:p>
      <w:pPr>
        <w:spacing w:line="480" w:lineRule="auto"/>
        <w:ind w:firstLine="720"/>
        <w:rPr>
          <w:b/>
        </w:rPr>
      </w:pP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Second, the court looks to decisional law.  (</w:t>
      </w:r>
      <w:r>
        <w:rPr>
          <w:i/>
          <w:iCs/>
        </w:rPr>
        <w:t>Snyder v. State Bar</w:t>
      </w:r>
      <w:r>
        <w:t xml:space="preserve"> (1990) 49 Cal.3d 1302, 1310-1311; </w:t>
      </w:r>
      <w:r>
        <w:rPr>
          <w:i/>
        </w:rPr>
        <w:t xml:space="preserve">In the Matter of Taylor </w:t>
      </w:r>
      <w:r>
        <w:t xml:space="preserve">(Review Dept. 1991) 1 Cal. State Bar Ct. Rptr. 563, 580.)  </w:t>
      </w:r>
    </w:p>
    <w:p>
      <w:pPr>
        <w:spacing w:line="480" w:lineRule="auto"/>
        <w:ind w:firstLine="720"/>
        <w:rPr>
          <w:b/>
        </w:rPr>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spacing w:line="480" w:lineRule="auto"/>
        <w:ind w:firstLine="720"/>
        <w:rPr>
          <w:b/>
        </w:rPr>
      </w:pPr>
      <w:r>
        <w:t>Standards 2.2(a), 2.2(b), and 2.3, among others,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 year actual suspension.</w:t>
      </w:r>
    </w:p>
    <w:p>
      <w:pPr>
        <w:pStyle w:val="Header"/>
        <w:spacing w:line="480" w:lineRule="auto"/>
        <w:ind w:firstLine="720"/>
      </w:pPr>
      <w:r>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  </w:t>
      </w:r>
    </w:p>
    <w:p>
      <w:pPr>
        <w:widowControl w:val="0"/>
        <w:spacing w:line="480" w:lineRule="auto"/>
        <w:ind w:firstLine="720"/>
      </w:pPr>
      <w:r>
        <w:t xml:space="preserve">The State Bar recommends disbarment.  The Supreme Court has repeatedly held that disbarment is the usual discipline for the willful misappropriation of client funds.  (See </w:t>
      </w:r>
      <w:r>
        <w:rPr>
          <w:i/>
        </w:rPr>
        <w:t>Edwards v. State Bar</w:t>
      </w:r>
      <w:r>
        <w:t xml:space="preserve"> (1990) 52 Cal.3d 28, 37; and </w:t>
      </w:r>
      <w:r>
        <w:rPr>
          <w:i/>
        </w:rPr>
        <w:t xml:space="preserve">Howard v. State Bar </w:t>
      </w:r>
      <w:r>
        <w:t xml:space="preserve">(1990) 51 Cal.3d 215, 221.)  </w:t>
      </w:r>
    </w:p>
    <w:p>
      <w:pPr>
        <w:widowControl w:val="0"/>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Howard v. State Bar</w:t>
      </w:r>
      <w:r>
        <w:t xml:space="preserve">, </w:t>
      </w:r>
      <w:r>
        <w:rPr>
          <w:i/>
        </w:rPr>
        <w:t>supra</w:t>
      </w:r>
      <w:r>
        <w:t xml:space="preserve">, 51 Cal.3d 215, 221.)  </w:t>
      </w:r>
    </w:p>
    <w:p>
      <w:pPr>
        <w:widowControl w:val="0"/>
        <w:spacing w:line="480" w:lineRule="auto"/>
        <w:ind w:firstLine="720"/>
      </w:pPr>
      <w:r>
        <w:t xml:space="preserve">In addition to the standards, the court also looked to </w:t>
      </w:r>
      <w:r>
        <w:rPr>
          <w:i/>
        </w:rPr>
        <w:t xml:space="preserve">Chang v. State Bar </w:t>
      </w:r>
      <w:r>
        <w:t xml:space="preserve">(1989) 49 Cal.3d 114, and </w:t>
      </w:r>
      <w:r>
        <w:rPr>
          <w:i/>
        </w:rPr>
        <w:t>In the Matter of Brimberry</w:t>
      </w:r>
      <w:r>
        <w:t xml:space="preserve"> (Review Dept. 1995) 3 Cal. State Bar Ct. Rptr. 390, for guidance.  </w:t>
      </w:r>
    </w:p>
    <w:p>
      <w:pPr>
        <w:widowControl w:val="0"/>
        <w:spacing w:line="480" w:lineRule="auto"/>
        <w:ind w:firstLine="720"/>
      </w:pPr>
      <w:r>
        <w:t xml:space="preserve">In </w:t>
      </w:r>
      <w:r>
        <w:rPr>
          <w:i/>
        </w:rPr>
        <w:t>Chang</w:t>
      </w:r>
      <w:r>
        <w:t xml:space="preserve">, the attorney was found culpable, in a single-client matter, of misappropriating $7,900 in client funds, failing to provide his client with an accounting, and making misrepresentations both to his client and to the State Bar.  In aggravation, the attorney’s misconduct caused significant harm and he never acknowledged the impropriety of his actions.  No mitigating circumstances were found.  The Supreme Court ordered that the attorney be disbarred.  </w:t>
      </w:r>
    </w:p>
    <w:p>
      <w:pPr>
        <w:widowControl w:val="0"/>
        <w:spacing w:line="480" w:lineRule="auto"/>
        <w:ind w:firstLine="720"/>
      </w:pPr>
      <w:r>
        <w:t xml:space="preserve">The present case is more egregious than </w:t>
      </w:r>
      <w:r>
        <w:rPr>
          <w:i/>
        </w:rPr>
        <w:t>Chang</w:t>
      </w:r>
      <w:r>
        <w:t xml:space="preserve">.  While respondent misappropriated less money, he has been found culpable on 21 counts of misconduct, including two counts of misappropriation.  All together, respondent’s misconduct involved 5 client matters, a judicial sanctions matter, and extensive client trust accounting violations.  </w:t>
      </w:r>
    </w:p>
    <w:p>
      <w:pPr>
        <w:spacing w:line="480" w:lineRule="auto"/>
        <w:ind w:firstLine="720"/>
      </w:pPr>
      <w:r>
        <w:t xml:space="preserve">In </w:t>
      </w:r>
      <w:r>
        <w:rPr>
          <w:i/>
        </w:rPr>
        <w:t>Brimberry</w:t>
      </w:r>
      <w:r>
        <w:t>, the attorney committed serious misconduct in four separate matters.  In the first matter, the attorney signed her client’s signature without authorization, made a deliberate misrepresentation to the superior court, misappropriated $2,000 in excess of an agreed $500 fee, and was grossly negligent in her representation of a minor client.  In the second matter, the attorney offered a client an illegal finder’s fee.  In the third matter, the attorney knowingly filed false pleadings asserting that the case had settled, appeared in court without authorization, and made false representations to the court.  In the fourth matter, the attorney failed to refund unearned fees and failed to account.  In aggravation, the attorney committed multiple acts of misconduct, made dishonest representations to the State Bar Court, caused significant harm to her clients, demonstrated indifference to rectifying her misconduct, and displayed a lack of candor and cooperation.  In mitigation, the attorney presented four character witnesses; however, this finding was substantially discounted because the witnesses did not know the extent of the attorney’s wrongdoing.  In recommending disbarment, the Review Department noted, among other things, that the attorney had become an advocate against her client and that she threw aside the lawyer’s fundamental duty of honesty in pursuit of personal gain.</w:t>
      </w:r>
    </w:p>
    <w:p>
      <w:pPr>
        <w:spacing w:line="480" w:lineRule="auto"/>
        <w:ind w:firstLine="720"/>
      </w:pPr>
      <w:r>
        <w:t xml:space="preserve">The present case is roughly similar to </w:t>
      </w:r>
      <w:r>
        <w:rPr>
          <w:i/>
        </w:rPr>
        <w:t>Brimberry</w:t>
      </w:r>
      <w:r>
        <w:t xml:space="preserve">.  Like the attorney in </w:t>
      </w:r>
      <w:r>
        <w:rPr>
          <w:i/>
        </w:rPr>
        <w:t>Brimberry</w:t>
      </w:r>
      <w:r>
        <w:t xml:space="preserve">, respondent engaged in extensive misconduct involving multiple client matters.  While not involving the same level of deceit, the present case involves considerably more instances of failing to perform, failing to communicate, and the mishandling of respondent’s client trust account over an extended time period.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contextualSpacing/>
        <w:jc w:val="center"/>
      </w:pPr>
      <w:r>
        <w:rPr>
          <w:b/>
          <w:u w:val="single"/>
        </w:rPr>
        <w:t>Recommendations</w:t>
      </w:r>
    </w:p>
    <w:p>
      <w:pPr>
        <w:spacing w:line="480" w:lineRule="auto"/>
        <w:ind w:firstLine="720"/>
      </w:pPr>
      <w:r>
        <w:t xml:space="preserve">It is recommended that respondent Anthony Dencio Agpaoa, State Bar Number 189749, be disbarred from the practice of law in California and respondent’s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 following payees:</w:t>
      </w:r>
    </w:p>
    <w:p>
      <w:pPr>
        <w:ind w:left="1170" w:hanging="450"/>
      </w:pPr>
      <w:r>
        <w:t xml:space="preserve">(1)   </w:t>
      </w:r>
      <w:r>
        <w:rPr>
          <w:spacing w:val="-6"/>
          <w:w w:val="105"/>
        </w:rPr>
        <w:t xml:space="preserve">Corey Polster-Gizaw and </w:t>
      </w:r>
      <w:r>
        <w:rPr>
          <w:spacing w:val="-3"/>
          <w:w w:val="105"/>
        </w:rPr>
        <w:t xml:space="preserve">Wosen Gizaw </w:t>
      </w:r>
      <w:r>
        <w:t xml:space="preserve">in the amount of $340 plus 10 percent interest per year from June 5, 2009; </w:t>
      </w:r>
    </w:p>
    <w:p>
      <w:pPr>
        <w:ind w:left="1170" w:hanging="450"/>
        <w:rPr>
          <w:highlight w:val="green"/>
        </w:rPr>
      </w:pPr>
    </w:p>
    <w:p>
      <w:pPr>
        <w:ind w:left="1170" w:hanging="450"/>
      </w:pPr>
      <w:r>
        <w:t xml:space="preserve">(2)   </w:t>
      </w:r>
      <w:r>
        <w:rPr>
          <w:spacing w:val="-6"/>
          <w:w w:val="105"/>
        </w:rPr>
        <w:t xml:space="preserve">Corey Polster-Gizaw and </w:t>
      </w:r>
      <w:r>
        <w:rPr>
          <w:spacing w:val="-3"/>
          <w:w w:val="105"/>
        </w:rPr>
        <w:t>Wosen Gizaw</w:t>
      </w:r>
      <w:r>
        <w:t xml:space="preserve"> in the amount of $470 plus 10 percent interest per year from August 12, 2009; and </w:t>
      </w:r>
    </w:p>
    <w:p>
      <w:pPr>
        <w:ind w:left="1170" w:hanging="450"/>
        <w:rPr>
          <w:highlight w:val="green"/>
        </w:rPr>
      </w:pPr>
    </w:p>
    <w:p>
      <w:pPr>
        <w:ind w:left="1170" w:hanging="450"/>
      </w:pPr>
      <w:r>
        <w:t xml:space="preserve">(3)   </w:t>
      </w:r>
      <w:r>
        <w:rPr>
          <w:rStyle w:val="Style19"/>
          <w:spacing w:val="-9"/>
          <w:w w:val="105"/>
        </w:rPr>
        <w:t>Tiffany Vargas and Jose Vargas Carranza</w:t>
      </w:r>
      <w:r>
        <w:t xml:space="preserve"> in the amount of $1,800 plus 10 percent interest per year from February 24, 2010.  </w:t>
      </w:r>
    </w:p>
    <w:p>
      <w:pPr>
        <w:ind w:left="1170" w:hanging="450"/>
      </w:pPr>
    </w:p>
    <w:p>
      <w:pPr>
        <w:spacing w:line="480" w:lineRule="auto"/>
        <w:ind w:firstLine="720"/>
      </w:pPr>
      <w:r>
        <w:t>Any restitution owed to the Client Security Fund is enforceable as provided in Business and Professions Code section 6140.5, subdivisions (c) and (d).</w:t>
      </w:r>
    </w:p>
    <w:p>
      <w:pPr>
        <w:spacing w:line="480" w:lineRule="auto"/>
        <w:ind w:firstLine="720"/>
      </w:pPr>
      <w:r>
        <w:t>The court also recommends that respondent be ordered to pay the $</w:t>
      </w:r>
      <w:r>
        <w:rPr>
          <w:rStyle w:val="Style19"/>
          <w:spacing w:val="-3"/>
          <w:w w:val="105"/>
        </w:rPr>
        <w:t>6,500</w:t>
      </w:r>
      <w:r>
        <w:t xml:space="preserve"> sanction ordered by the </w:t>
      </w:r>
      <w:r>
        <w:rPr>
          <w:rStyle w:val="Style19"/>
          <w:spacing w:val="-5"/>
          <w:w w:val="105"/>
        </w:rPr>
        <w:t>Court of Appeal of the State of California, First Appellate District, Division 5</w:t>
      </w:r>
      <w:r>
        <w:t xml:space="preserve">, in the matter of </w:t>
      </w:r>
      <w:r>
        <w:rPr>
          <w:rStyle w:val="Style19"/>
          <w:i/>
          <w:iCs/>
          <w:spacing w:val="-7"/>
          <w:sz w:val="25"/>
          <w:szCs w:val="25"/>
        </w:rPr>
        <w:t xml:space="preserve">Estate of Francis </w:t>
      </w:r>
      <w:r>
        <w:rPr>
          <w:rStyle w:val="Style19"/>
          <w:i/>
          <w:iCs/>
          <w:spacing w:val="-5"/>
          <w:sz w:val="25"/>
          <w:szCs w:val="25"/>
        </w:rPr>
        <w:t xml:space="preserve">Cueny, Robert Schafer v. Georgia Fuller, </w:t>
      </w:r>
      <w:r>
        <w:rPr>
          <w:rStyle w:val="Style19"/>
          <w:spacing w:val="-5"/>
          <w:w w:val="105"/>
        </w:rPr>
        <w:t>case no. A114354</w:t>
      </w:r>
      <w:r>
        <w:t>.</w:t>
      </w:r>
    </w:p>
    <w:p>
      <w:pPr>
        <w:spacing w:line="480" w:lineRule="auto"/>
        <w:contextualSpacing/>
      </w:pPr>
      <w:r>
        <w:rPr>
          <w:b/>
        </w:rPr>
        <w:t>California Rules of Court, Rule 9.20</w:t>
      </w:r>
    </w:p>
    <w:p>
      <w:pPr>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1"/>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October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2"/>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2"/>
      </w:pPr>
      <w:r>
        <w:rPr>
          <w:rStyle w:val="FootnoteReference"/>
        </w:rPr>
        <w:footnoteRef/>
      </w:r>
      <w:r>
        <w:t xml:space="preserve"> On September 10, 2012, the State Bar filed a motion to strike portions of respondent’s closing brief.  Respondent did not file a timely response.  Good cause having been shown, the court </w:t>
      </w:r>
      <w:r>
        <w:rPr>
          <w:b/>
        </w:rPr>
        <w:t>STRIKES</w:t>
      </w:r>
      <w:r>
        <w:t xml:space="preserve"> all portions of respondent’s closing brief that refer to facts not in evidence or settlement negotiations.</w:t>
      </w:r>
    </w:p>
  </w:footnote>
  <w:footnote w:id="3">
    <w:p>
      <w:pPr>
        <w:pStyle w:val="Style2"/>
      </w:pPr>
      <w:r>
        <w:rPr>
          <w:rStyle w:val="FootnoteReference"/>
        </w:rPr>
        <w:footnoteRef/>
      </w:r>
      <w:r>
        <w:t xml:space="preserve"> Respondent testified that he informed the Gizaws that the appeal was dismissed and that he was filing a motion to reissue; however, in light of the credible evidence to the contrary, the court found respondent’s testimony on this subject implausible.  </w:t>
      </w:r>
    </w:p>
  </w:footnote>
  <w:footnote w:id="4">
    <w:p>
      <w:pPr>
        <w:pStyle w:val="Style2"/>
      </w:pPr>
      <w:r>
        <w:rPr>
          <w:rStyle w:val="FootnoteReference"/>
        </w:rPr>
        <w:footnoteRef/>
      </w:r>
      <w:r>
        <w:t xml:space="preserve"> Respondent’s testimony that he fully accounted for the credit charges was not credible.</w:t>
      </w:r>
    </w:p>
  </w:footnote>
  <w:footnote w:id="5">
    <w:p>
      <w:pPr>
        <w:pStyle w:val="Style2"/>
      </w:pPr>
      <w:r>
        <w:rPr>
          <w:rStyle w:val="FootnoteReference"/>
        </w:rPr>
        <w:footnoteRef/>
      </w:r>
      <w:r>
        <w:t xml:space="preserve"> Creason testified that respondent made multiple unauthorized credit card charges.  This testimony, however, is contradicted by some of Creason’s email communications with respondent.  The court also notes that, other than Creason’s June 18, 2009 email, there is little tangible evidence supporting her assertion that respondent’s credit card charges were unauthorized.  </w:t>
      </w:r>
    </w:p>
  </w:footnote>
  <w:footnote w:id="6">
    <w:p>
      <w:pPr>
        <w:pStyle w:val="Style2"/>
      </w:pPr>
      <w:r>
        <w:rPr>
          <w:rStyle w:val="FootnoteReference"/>
        </w:rPr>
        <w:footnoteRef/>
      </w:r>
      <w:r>
        <w:t xml:space="preserve"> In subsequent pleadings, respondent noted that </w:t>
      </w:r>
      <w:r>
        <w:rPr>
          <w:rStyle w:val="Style19"/>
          <w:spacing w:val="-4"/>
          <w:w w:val="105"/>
        </w:rPr>
        <w:t xml:space="preserve">the date of separation would affect the parties’ pension and annuity distribution.  </w:t>
      </w:r>
    </w:p>
  </w:footnote>
  <w:footnote w:id="7">
    <w:p>
      <w:pPr>
        <w:pStyle w:val="Style2"/>
      </w:pPr>
      <w:r>
        <w:rPr>
          <w:rStyle w:val="FootnoteReference"/>
        </w:rPr>
        <w:footnoteRef/>
      </w:r>
      <w:r>
        <w:t xml:space="preserve"> At trial, respondent testified that he informed Cuellar of the October 4, 2010 interview.  This testimony conflicted with respondent’s November 10, 2010 letter and was not credible.</w:t>
      </w:r>
    </w:p>
  </w:footnote>
  <w:footnote w:id="8">
    <w:p>
      <w:pPr>
        <w:pStyle w:val="Style2"/>
      </w:pPr>
      <w:r>
        <w:rPr>
          <w:rStyle w:val="FootnoteReference"/>
        </w:rPr>
        <w:footnoteRef/>
      </w:r>
      <w:r>
        <w:t xml:space="preserve"> Respondent’s testimony that checks made out to “cash” were for his clients was not credible.  </w:t>
      </w:r>
    </w:p>
  </w:footnote>
  <w:footnote w:id="9">
    <w:p>
      <w:pPr>
        <w:pStyle w:val="Style2"/>
      </w:pPr>
      <w:r>
        <w:rPr>
          <w:rStyle w:val="FootnoteReference"/>
        </w:rPr>
        <w:footnoteRef/>
      </w:r>
      <w:r>
        <w:t xml:space="preserve"> The court did not find credible respondent’s testimony that he gave the requested information to his prior counsel, who then failed to provide it to the State Bar.  </w:t>
      </w:r>
    </w:p>
  </w:footnote>
  <w:footnote w:id="10">
    <w:p>
      <w:pPr>
        <w:pStyle w:val="Style2"/>
      </w:pPr>
      <w:r>
        <w:rPr>
          <w:rStyle w:val="FootnoteReference"/>
        </w:rPr>
        <w:footnoteRef/>
      </w:r>
      <w:r>
        <w:t xml:space="preserve"> All references to standards (Std.) are to the Rules of Procedure of the State Bar, title IV, Standards for Attorney Sanctions for Professional Misconduct.</w:t>
      </w:r>
    </w:p>
  </w:footnote>
  <w:footnote w:id="11">
    <w:p>
      <w:pPr>
        <w:pStyle w:val="Style2"/>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A40C"/>
    <w:multiLevelType w:val="singleLevel"/>
    <w:tmpl w:val="1AC5C7B4"/>
    <w:lvl w:ilvl="0">
      <w:start w:val="72"/>
      <w:numFmt w:val="decimal"/>
      <w:lvlText w:val="%1."/>
      <w:lvlJc w:val="left"/>
      <w:pPr>
        <w:tabs>
          <w:tab w:val="num" w:pos="432"/>
        </w:tabs>
        <w:ind w:firstLine="720"/>
      </w:pPr>
      <w:rPr>
        <w:rFonts w:cs="Times New Roman"/>
        <w:snapToGrid/>
        <w:spacing w:val="-10"/>
        <w:w w:val="105"/>
        <w:sz w:val="24"/>
        <w:szCs w:val="24"/>
      </w:rPr>
    </w:lvl>
  </w:abstractNum>
  <w:abstractNum w:abstractNumId="1">
    <w:nsid w:val="0081E935"/>
    <w:multiLevelType w:val="singleLevel"/>
    <w:tmpl w:val="4E794978"/>
    <w:lvl w:ilvl="0">
      <w:start w:val="46"/>
      <w:numFmt w:val="decimal"/>
      <w:lvlText w:val="%1."/>
      <w:lvlJc w:val="left"/>
      <w:pPr>
        <w:tabs>
          <w:tab w:val="num" w:pos="432"/>
        </w:tabs>
        <w:ind w:firstLine="720"/>
      </w:pPr>
      <w:rPr>
        <w:rFonts w:cs="Times New Roman"/>
        <w:snapToGrid/>
        <w:spacing w:val="-9"/>
        <w:w w:val="105"/>
        <w:sz w:val="24"/>
        <w:szCs w:val="24"/>
      </w:rPr>
    </w:lvl>
  </w:abstractNum>
  <w:abstractNum w:abstractNumId="2">
    <w:nsid w:val="00869F81"/>
    <w:multiLevelType w:val="singleLevel"/>
    <w:tmpl w:val="68E4E00A"/>
    <w:lvl w:ilvl="0">
      <w:start w:val="152"/>
      <w:numFmt w:val="decimal"/>
      <w:lvlText w:val="%1."/>
      <w:lvlJc w:val="left"/>
      <w:pPr>
        <w:tabs>
          <w:tab w:val="num" w:pos="720"/>
        </w:tabs>
        <w:ind w:left="72" w:firstLine="792"/>
      </w:pPr>
      <w:rPr>
        <w:rFonts w:cs="Times New Roman"/>
        <w:snapToGrid/>
        <w:spacing w:val="-6"/>
        <w:w w:val="105"/>
        <w:sz w:val="24"/>
        <w:szCs w:val="24"/>
      </w:rPr>
    </w:lvl>
  </w:abstractNum>
  <w:abstractNum w:abstractNumId="3">
    <w:nsid w:val="008DB9FE"/>
    <w:multiLevelType w:val="singleLevel"/>
    <w:tmpl w:val="3A88CF04"/>
    <w:lvl w:ilvl="0">
      <w:start w:val="144"/>
      <w:numFmt w:val="decimal"/>
      <w:lvlText w:val="%1."/>
      <w:lvlJc w:val="left"/>
      <w:pPr>
        <w:tabs>
          <w:tab w:val="num" w:pos="792"/>
        </w:tabs>
        <w:ind w:left="144" w:firstLine="720"/>
      </w:pPr>
      <w:rPr>
        <w:rFonts w:cs="Times New Roman"/>
        <w:snapToGrid/>
        <w:spacing w:val="-8"/>
        <w:w w:val="105"/>
        <w:sz w:val="24"/>
        <w:szCs w:val="24"/>
      </w:rPr>
    </w:lvl>
  </w:abstractNum>
  <w:abstractNum w:abstractNumId="4">
    <w:nsid w:val="022DFE80"/>
    <w:multiLevelType w:val="singleLevel"/>
    <w:tmpl w:val="14110A9A"/>
    <w:lvl w:ilvl="0">
      <w:start w:val="63"/>
      <w:numFmt w:val="decimal"/>
      <w:lvlText w:val="%1."/>
      <w:lvlJc w:val="left"/>
      <w:pPr>
        <w:tabs>
          <w:tab w:val="num" w:pos="432"/>
        </w:tabs>
        <w:ind w:firstLine="720"/>
      </w:pPr>
      <w:rPr>
        <w:rFonts w:cs="Times New Roman"/>
        <w:snapToGrid/>
        <w:spacing w:val="-7"/>
        <w:w w:val="105"/>
        <w:sz w:val="24"/>
        <w:szCs w:val="24"/>
      </w:rPr>
    </w:lvl>
  </w:abstractNum>
  <w:abstractNum w:abstractNumId="5">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DAB31E"/>
    <w:multiLevelType w:val="singleLevel"/>
    <w:tmpl w:val="5EC27B12"/>
    <w:lvl w:ilvl="0">
      <w:start w:val="124"/>
      <w:numFmt w:val="decimal"/>
      <w:lvlText w:val="%1."/>
      <w:lvlJc w:val="left"/>
      <w:pPr>
        <w:tabs>
          <w:tab w:val="num" w:pos="792"/>
        </w:tabs>
        <w:ind w:left="288" w:firstLine="720"/>
      </w:pPr>
      <w:rPr>
        <w:rFonts w:cs="Times New Roman"/>
        <w:snapToGrid/>
        <w:spacing w:val="-10"/>
        <w:w w:val="105"/>
        <w:sz w:val="24"/>
        <w:szCs w:val="24"/>
      </w:rPr>
    </w:lvl>
  </w:abstractNum>
  <w:abstractNum w:abstractNumId="7">
    <w:nsid w:val="033B5455"/>
    <w:multiLevelType w:val="singleLevel"/>
    <w:tmpl w:val="0DC24AA6"/>
    <w:lvl w:ilvl="0">
      <w:start w:val="14"/>
      <w:numFmt w:val="decimal"/>
      <w:lvlText w:val="%1."/>
      <w:lvlJc w:val="left"/>
      <w:pPr>
        <w:tabs>
          <w:tab w:val="num" w:pos="432"/>
        </w:tabs>
        <w:ind w:left="72" w:firstLine="720"/>
      </w:pPr>
      <w:rPr>
        <w:rFonts w:cs="Times New Roman"/>
        <w:b/>
        <w:bCs/>
        <w:snapToGrid/>
        <w:spacing w:val="-13"/>
        <w:sz w:val="25"/>
        <w:szCs w:val="25"/>
      </w:rPr>
    </w:lvl>
  </w:abstractNum>
  <w:abstractNum w:abstractNumId="8">
    <w:nsid w:val="0449973E"/>
    <w:multiLevelType w:val="singleLevel"/>
    <w:tmpl w:val="29C1CA2C"/>
    <w:lvl w:ilvl="0">
      <w:start w:val="39"/>
      <w:numFmt w:val="decimal"/>
      <w:lvlText w:val="%1."/>
      <w:lvlJc w:val="left"/>
      <w:pPr>
        <w:tabs>
          <w:tab w:val="num" w:pos="432"/>
        </w:tabs>
        <w:ind w:firstLine="720"/>
      </w:pPr>
      <w:rPr>
        <w:rFonts w:cs="Times New Roman"/>
        <w:snapToGrid/>
        <w:spacing w:val="-10"/>
        <w:w w:val="105"/>
        <w:sz w:val="24"/>
        <w:szCs w:val="24"/>
      </w:rPr>
    </w:lvl>
  </w:abstractNum>
  <w:abstractNum w:abstractNumId="9">
    <w:nsid w:val="04C66417"/>
    <w:multiLevelType w:val="singleLevel"/>
    <w:tmpl w:val="7E02157A"/>
    <w:lvl w:ilvl="0">
      <w:start w:val="15"/>
      <w:numFmt w:val="decimal"/>
      <w:lvlText w:val="%1."/>
      <w:lvlJc w:val="left"/>
      <w:pPr>
        <w:tabs>
          <w:tab w:val="num" w:pos="432"/>
        </w:tabs>
        <w:ind w:left="72" w:firstLine="720"/>
      </w:pPr>
      <w:rPr>
        <w:rFonts w:cs="Times New Roman"/>
        <w:snapToGrid/>
        <w:spacing w:val="-4"/>
        <w:w w:val="105"/>
        <w:sz w:val="24"/>
        <w:szCs w:val="24"/>
      </w:rPr>
    </w:lvl>
  </w:abstractNum>
  <w:abstractNum w:abstractNumId="10">
    <w:nsid w:val="053BF293"/>
    <w:multiLevelType w:val="singleLevel"/>
    <w:tmpl w:val="10BEEEED"/>
    <w:lvl w:ilvl="0">
      <w:start w:val="114"/>
      <w:numFmt w:val="decimal"/>
      <w:lvlText w:val="%1."/>
      <w:lvlJc w:val="left"/>
      <w:pPr>
        <w:tabs>
          <w:tab w:val="num" w:pos="792"/>
        </w:tabs>
        <w:ind w:left="144" w:firstLine="720"/>
      </w:pPr>
      <w:rPr>
        <w:rFonts w:cs="Times New Roman"/>
        <w:snapToGrid/>
        <w:spacing w:val="-6"/>
        <w:w w:val="105"/>
        <w:sz w:val="24"/>
        <w:szCs w:val="24"/>
      </w:rPr>
    </w:lvl>
  </w:abstractNum>
  <w:abstractNum w:abstractNumId="11">
    <w:nsid w:val="0565DD00"/>
    <w:multiLevelType w:val="singleLevel"/>
    <w:tmpl w:val="7EF792F9"/>
    <w:lvl w:ilvl="0">
      <w:start w:val="87"/>
      <w:numFmt w:val="decimal"/>
      <w:lvlText w:val="%1."/>
      <w:lvlJc w:val="left"/>
      <w:pPr>
        <w:tabs>
          <w:tab w:val="num" w:pos="432"/>
        </w:tabs>
        <w:ind w:firstLine="720"/>
      </w:pPr>
      <w:rPr>
        <w:rFonts w:cs="Times New Roman"/>
        <w:snapToGrid/>
        <w:spacing w:val="-10"/>
        <w:w w:val="105"/>
        <w:sz w:val="24"/>
        <w:szCs w:val="24"/>
      </w:rPr>
    </w:lvl>
  </w:abstractNum>
  <w:abstractNum w:abstractNumId="12">
    <w:nsid w:val="05743E26"/>
    <w:multiLevelType w:val="singleLevel"/>
    <w:tmpl w:val="65D2FC6B"/>
    <w:lvl w:ilvl="0">
      <w:start w:val="55"/>
      <w:numFmt w:val="decimal"/>
      <w:lvlText w:val="%1."/>
      <w:lvlJc w:val="left"/>
      <w:pPr>
        <w:tabs>
          <w:tab w:val="num" w:pos="432"/>
        </w:tabs>
        <w:ind w:firstLine="720"/>
      </w:pPr>
      <w:rPr>
        <w:rFonts w:cs="Times New Roman"/>
        <w:snapToGrid/>
        <w:spacing w:val="-4"/>
        <w:w w:val="105"/>
        <w:sz w:val="24"/>
        <w:szCs w:val="24"/>
      </w:rPr>
    </w:lvl>
  </w:abstractNum>
  <w:abstractNum w:abstractNumId="13">
    <w:nsid w:val="057B0A22"/>
    <w:multiLevelType w:val="singleLevel"/>
    <w:tmpl w:val="56EAC986"/>
    <w:lvl w:ilvl="0">
      <w:start w:val="119"/>
      <w:numFmt w:val="decimal"/>
      <w:lvlText w:val="%1."/>
      <w:lvlJc w:val="left"/>
      <w:pPr>
        <w:tabs>
          <w:tab w:val="num" w:pos="792"/>
        </w:tabs>
        <w:ind w:left="144" w:firstLine="720"/>
      </w:pPr>
      <w:rPr>
        <w:rFonts w:cs="Times New Roman"/>
        <w:snapToGrid/>
        <w:spacing w:val="-10"/>
        <w:w w:val="105"/>
        <w:sz w:val="24"/>
        <w:szCs w:val="24"/>
      </w:rPr>
    </w:lvl>
  </w:abstractNum>
  <w:abstractNum w:abstractNumId="14">
    <w:nsid w:val="05B0C50D"/>
    <w:multiLevelType w:val="singleLevel"/>
    <w:tmpl w:val="22E9529F"/>
    <w:lvl w:ilvl="0">
      <w:start w:val="1"/>
      <w:numFmt w:val="decimal"/>
      <w:lvlText w:val="%1."/>
      <w:lvlJc w:val="left"/>
      <w:pPr>
        <w:tabs>
          <w:tab w:val="num" w:pos="432"/>
        </w:tabs>
        <w:ind w:left="72" w:firstLine="720"/>
      </w:pPr>
      <w:rPr>
        <w:rFonts w:cs="Times New Roman"/>
        <w:snapToGrid/>
        <w:spacing w:val="-7"/>
        <w:w w:val="105"/>
        <w:sz w:val="24"/>
        <w:szCs w:val="24"/>
      </w:rPr>
    </w:lvl>
  </w:abstractNum>
  <w:abstractNum w:abstractNumId="15">
    <w:nsid w:val="05CAB006"/>
    <w:multiLevelType w:val="singleLevel"/>
    <w:tmpl w:val="29CB255C"/>
    <w:lvl w:ilvl="0">
      <w:start w:val="79"/>
      <w:numFmt w:val="decimal"/>
      <w:lvlText w:val="%1."/>
      <w:lvlJc w:val="left"/>
      <w:pPr>
        <w:tabs>
          <w:tab w:val="num" w:pos="432"/>
        </w:tabs>
        <w:ind w:firstLine="720"/>
      </w:pPr>
      <w:rPr>
        <w:rFonts w:cs="Times New Roman"/>
        <w:snapToGrid/>
        <w:spacing w:val="-10"/>
        <w:w w:val="105"/>
        <w:sz w:val="24"/>
        <w:szCs w:val="24"/>
      </w:rPr>
    </w:lvl>
  </w:abstractNum>
  <w:abstractNum w:abstractNumId="16">
    <w:nsid w:val="061EF1C3"/>
    <w:multiLevelType w:val="singleLevel"/>
    <w:tmpl w:val="1EF5FD5B"/>
    <w:lvl w:ilvl="0">
      <w:start w:val="24"/>
      <w:numFmt w:val="decimal"/>
      <w:lvlText w:val="%1."/>
      <w:lvlJc w:val="left"/>
      <w:pPr>
        <w:tabs>
          <w:tab w:val="num" w:pos="432"/>
        </w:tabs>
        <w:ind w:firstLine="720"/>
      </w:pPr>
      <w:rPr>
        <w:rFonts w:cs="Times New Roman"/>
        <w:snapToGrid/>
        <w:spacing w:val="-7"/>
        <w:w w:val="105"/>
        <w:sz w:val="24"/>
        <w:szCs w:val="24"/>
      </w:rPr>
    </w:lvl>
  </w:abstractNum>
  <w:abstractNum w:abstractNumId="17">
    <w:nsid w:val="065E1AA4"/>
    <w:multiLevelType w:val="singleLevel"/>
    <w:tmpl w:val="CD688C78"/>
    <w:lvl w:ilvl="0">
      <w:start w:val="138"/>
      <w:numFmt w:val="decimal"/>
      <w:lvlText w:val="%1."/>
      <w:lvlJc w:val="left"/>
      <w:pPr>
        <w:tabs>
          <w:tab w:val="num" w:pos="792"/>
        </w:tabs>
        <w:ind w:left="144" w:firstLine="720"/>
      </w:pPr>
      <w:rPr>
        <w:rFonts w:cs="Times New Roman"/>
        <w:snapToGrid/>
        <w:spacing w:val="-4"/>
        <w:w w:val="105"/>
        <w:sz w:val="24"/>
        <w:szCs w:val="24"/>
      </w:rPr>
    </w:lvl>
  </w:abstractNum>
  <w:abstractNum w:abstractNumId="18">
    <w:nsid w:val="06C0B173"/>
    <w:multiLevelType w:val="singleLevel"/>
    <w:tmpl w:val="7168552D"/>
    <w:lvl w:ilvl="0">
      <w:start w:val="101"/>
      <w:numFmt w:val="decimal"/>
      <w:lvlText w:val="%1."/>
      <w:lvlJc w:val="left"/>
      <w:pPr>
        <w:tabs>
          <w:tab w:val="num" w:pos="720"/>
        </w:tabs>
        <w:ind w:left="72" w:firstLine="720"/>
      </w:pPr>
      <w:rPr>
        <w:rFonts w:cs="Times New Roman"/>
        <w:snapToGrid/>
        <w:spacing w:val="-7"/>
        <w:w w:val="105"/>
        <w:sz w:val="24"/>
        <w:szCs w:val="24"/>
      </w:rPr>
    </w:lvl>
  </w:abstractNum>
  <w:abstractNum w:abstractNumId="19">
    <w:nsid w:val="07300BA1"/>
    <w:multiLevelType w:val="singleLevel"/>
    <w:tmpl w:val="30BA098B"/>
    <w:lvl w:ilvl="0">
      <w:start w:val="112"/>
      <w:numFmt w:val="decimal"/>
      <w:lvlText w:val="%1."/>
      <w:lvlJc w:val="left"/>
      <w:pPr>
        <w:tabs>
          <w:tab w:val="num" w:pos="792"/>
        </w:tabs>
        <w:ind w:firstLine="720"/>
      </w:pPr>
      <w:rPr>
        <w:rFonts w:cs="Times New Roman"/>
        <w:snapToGrid/>
        <w:spacing w:val="-10"/>
        <w:w w:val="105"/>
        <w:sz w:val="24"/>
        <w:szCs w:val="24"/>
      </w:rPr>
    </w:lvl>
  </w:abstractNum>
  <w:abstractNum w:abstractNumId="20">
    <w:nsid w:val="07445409"/>
    <w:multiLevelType w:val="singleLevel"/>
    <w:tmpl w:val="5EE11875"/>
    <w:lvl w:ilvl="0">
      <w:start w:val="31"/>
      <w:numFmt w:val="decimal"/>
      <w:lvlText w:val="%1."/>
      <w:lvlJc w:val="left"/>
      <w:pPr>
        <w:tabs>
          <w:tab w:val="num" w:pos="432"/>
        </w:tabs>
        <w:ind w:firstLine="720"/>
      </w:pPr>
      <w:rPr>
        <w:rFonts w:cs="Times New Roman"/>
        <w:snapToGrid/>
        <w:spacing w:val="-5"/>
        <w:w w:val="105"/>
        <w:sz w:val="24"/>
        <w:szCs w:val="24"/>
      </w:rPr>
    </w:lvl>
  </w:abstractNum>
  <w:abstractNum w:abstractNumId="21">
    <w:nsid w:val="07588ACB"/>
    <w:multiLevelType w:val="singleLevel"/>
    <w:tmpl w:val="5D18525E"/>
    <w:lvl w:ilvl="0">
      <w:start w:val="7"/>
      <w:numFmt w:val="decimal"/>
      <w:lvlText w:val="%1."/>
      <w:lvlJc w:val="left"/>
      <w:pPr>
        <w:tabs>
          <w:tab w:val="num" w:pos="432"/>
        </w:tabs>
        <w:ind w:firstLine="720"/>
      </w:pPr>
      <w:rPr>
        <w:rFonts w:cs="Times New Roman"/>
        <w:snapToGrid/>
        <w:spacing w:val="-7"/>
        <w:w w:val="105"/>
        <w:sz w:val="24"/>
        <w:szCs w:val="24"/>
      </w:rPr>
    </w:lvl>
  </w:abstractNum>
  <w:abstractNum w:abstractNumId="22">
    <w:nsid w:val="07CBD575"/>
    <w:multiLevelType w:val="singleLevel"/>
    <w:tmpl w:val="0DD5885F"/>
    <w:lvl w:ilvl="0">
      <w:start w:val="107"/>
      <w:numFmt w:val="decimal"/>
      <w:lvlText w:val="%1."/>
      <w:lvlJc w:val="left"/>
      <w:pPr>
        <w:tabs>
          <w:tab w:val="num" w:pos="792"/>
        </w:tabs>
        <w:ind w:firstLine="720"/>
      </w:pPr>
      <w:rPr>
        <w:rFonts w:cs="Times New Roman"/>
        <w:snapToGrid/>
        <w:spacing w:val="-7"/>
        <w:w w:val="105"/>
        <w:sz w:val="24"/>
        <w:szCs w:val="24"/>
      </w:rPr>
    </w:lvl>
  </w:abstractNum>
  <w:abstractNum w:abstractNumId="23">
    <w:nsid w:val="0D7D234B"/>
    <w:multiLevelType w:val="multilevel"/>
    <w:tmpl w:val="4C3C1962"/>
    <w:lvl w:ilvl="0">
      <w:start w:val="4"/>
      <w:numFmt w:val="decimalZero"/>
      <w:lvlText w:val="%1"/>
      <w:lvlJc w:val="left"/>
      <w:pPr>
        <w:ind w:left="840" w:hanging="840"/>
      </w:pPr>
      <w:rPr>
        <w:rFonts w:hint="default"/>
      </w:rPr>
    </w:lvl>
    <w:lvl w:ilvl="1">
      <w:start w:val="18"/>
      <w:numFmt w:val="decimal"/>
      <w:lvlText w:val="%1-%2"/>
      <w:lvlJc w:val="left"/>
      <w:pPr>
        <w:ind w:left="1305" w:hanging="840"/>
      </w:pPr>
      <w:rPr>
        <w:rFonts w:hint="default"/>
      </w:rPr>
    </w:lvl>
    <w:lvl w:ilvl="2">
      <w:start w:val="11"/>
      <w:numFmt w:val="decimal"/>
      <w:lvlText w:val="%1-%2-%3"/>
      <w:lvlJc w:val="left"/>
      <w:pPr>
        <w:ind w:left="1770" w:hanging="840"/>
      </w:pPr>
      <w:rPr>
        <w:rFonts w:hint="default"/>
      </w:rPr>
    </w:lvl>
    <w:lvl w:ilvl="3">
      <w:start w:val="1"/>
      <w:numFmt w:val="decimal"/>
      <w:lvlText w:val="%1-%2-%3.%4"/>
      <w:lvlJc w:val="left"/>
      <w:pPr>
        <w:ind w:left="2235" w:hanging="84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4">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317180E"/>
    <w:multiLevelType w:val="multilevel"/>
    <w:tmpl w:val="217AA44C"/>
    <w:lvl w:ilvl="0">
      <w:start w:val="4"/>
      <w:numFmt w:val="decimalZero"/>
      <w:lvlText w:val="%1"/>
      <w:lvlJc w:val="left"/>
      <w:pPr>
        <w:ind w:left="915" w:hanging="915"/>
      </w:pPr>
      <w:rPr>
        <w:rFonts w:hint="default"/>
      </w:rPr>
    </w:lvl>
    <w:lvl w:ilvl="1">
      <w:start w:val="26"/>
      <w:numFmt w:val="decimal"/>
      <w:lvlText w:val="%1-%2"/>
      <w:lvlJc w:val="left"/>
      <w:pPr>
        <w:ind w:left="1491" w:hanging="915"/>
      </w:pPr>
      <w:rPr>
        <w:rFonts w:hint="default"/>
      </w:rPr>
    </w:lvl>
    <w:lvl w:ilvl="2">
      <w:start w:val="11"/>
      <w:numFmt w:val="decimal"/>
      <w:lvlText w:val="%1-%2-%3"/>
      <w:lvlJc w:val="left"/>
      <w:pPr>
        <w:ind w:left="2067" w:hanging="915"/>
      </w:pPr>
      <w:rPr>
        <w:rFonts w:hint="default"/>
      </w:rPr>
    </w:lvl>
    <w:lvl w:ilvl="3">
      <w:start w:val="1"/>
      <w:numFmt w:val="decimal"/>
      <w:lvlText w:val="%1-%2-%3.%4"/>
      <w:lvlJc w:val="left"/>
      <w:pPr>
        <w:ind w:left="2643" w:hanging="915"/>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nsid w:val="13763FF9"/>
    <w:multiLevelType w:val="singleLevel"/>
    <w:tmpl w:val="CD688C78"/>
    <w:lvl w:ilvl="0">
      <w:start w:val="138"/>
      <w:numFmt w:val="decimal"/>
      <w:lvlText w:val="%1."/>
      <w:lvlJc w:val="left"/>
      <w:pPr>
        <w:tabs>
          <w:tab w:val="num" w:pos="792"/>
        </w:tabs>
        <w:ind w:left="144" w:firstLine="720"/>
      </w:pPr>
      <w:rPr>
        <w:rFonts w:cs="Times New Roman"/>
        <w:snapToGrid/>
        <w:spacing w:val="-4"/>
        <w:w w:val="105"/>
        <w:sz w:val="24"/>
        <w:szCs w:val="24"/>
      </w:rPr>
    </w:lvl>
  </w:abstractNum>
  <w:abstractNum w:abstractNumId="27">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B76FC"/>
    <w:multiLevelType w:val="singleLevel"/>
    <w:tmpl w:val="3A88CF04"/>
    <w:lvl w:ilvl="0">
      <w:start w:val="144"/>
      <w:numFmt w:val="decimal"/>
      <w:lvlText w:val="%1."/>
      <w:lvlJc w:val="left"/>
      <w:pPr>
        <w:tabs>
          <w:tab w:val="num" w:pos="792"/>
        </w:tabs>
        <w:ind w:left="144" w:firstLine="720"/>
      </w:pPr>
      <w:rPr>
        <w:rFonts w:cs="Times New Roman"/>
        <w:snapToGrid/>
        <w:spacing w:val="-8"/>
        <w:w w:val="105"/>
        <w:sz w:val="24"/>
        <w:szCs w:val="24"/>
      </w:rPr>
    </w:lvl>
  </w:abstractNum>
  <w:abstractNum w:abstractNumId="31">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24"/>
  </w:num>
  <w:num w:numId="4">
    <w:abstractNumId w:val="34"/>
  </w:num>
  <w:num w:numId="5">
    <w:abstractNumId w:val="29"/>
  </w:num>
  <w:num w:numId="6">
    <w:abstractNumId w:val="27"/>
  </w:num>
  <w:num w:numId="7">
    <w:abstractNumId w:val="33"/>
  </w:num>
  <w:num w:numId="8">
    <w:abstractNumId w:val="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4"/>
  </w:num>
  <w:num w:numId="12">
    <w:abstractNumId w:val="14"/>
    <w:lvlOverride w:ilvl="0">
      <w:lvl w:ilvl="0">
        <w:numFmt w:val="decimal"/>
        <w:lvlText w:val="%1."/>
        <w:lvlJc w:val="left"/>
        <w:pPr>
          <w:tabs>
            <w:tab w:val="num" w:pos="360"/>
          </w:tabs>
          <w:ind w:left="864"/>
        </w:pPr>
        <w:rPr>
          <w:rFonts w:cs="Times New Roman"/>
          <w:snapToGrid/>
          <w:w w:val="105"/>
          <w:sz w:val="24"/>
          <w:szCs w:val="24"/>
        </w:rPr>
      </w:lvl>
    </w:lvlOverride>
  </w:num>
  <w:num w:numId="13">
    <w:abstractNumId w:val="21"/>
  </w:num>
  <w:num w:numId="14">
    <w:abstractNumId w:val="21"/>
    <w:lvlOverride w:ilvl="0">
      <w:lvl w:ilvl="0">
        <w:numFmt w:val="decimal"/>
        <w:lvlText w:val="%1."/>
        <w:lvlJc w:val="left"/>
        <w:pPr>
          <w:tabs>
            <w:tab w:val="num" w:pos="360"/>
          </w:tabs>
          <w:ind w:firstLine="792"/>
        </w:pPr>
        <w:rPr>
          <w:rFonts w:cs="Times New Roman"/>
          <w:snapToGrid/>
          <w:spacing w:val="-6"/>
          <w:w w:val="105"/>
          <w:sz w:val="24"/>
          <w:szCs w:val="24"/>
        </w:rPr>
      </w:lvl>
    </w:lvlOverride>
  </w:num>
  <w:num w:numId="15">
    <w:abstractNumId w:val="9"/>
  </w:num>
  <w:num w:numId="16">
    <w:abstractNumId w:val="16"/>
  </w:num>
  <w:num w:numId="17">
    <w:abstractNumId w:val="20"/>
  </w:num>
  <w:num w:numId="18">
    <w:abstractNumId w:val="8"/>
  </w:num>
  <w:num w:numId="19">
    <w:abstractNumId w:val="1"/>
  </w:num>
  <w:num w:numId="20">
    <w:abstractNumId w:val="12"/>
  </w:num>
  <w:num w:numId="21">
    <w:abstractNumId w:val="4"/>
  </w:num>
  <w:num w:numId="22">
    <w:abstractNumId w:val="4"/>
    <w:lvlOverride w:ilvl="0">
      <w:lvl w:ilvl="0">
        <w:numFmt w:val="decimal"/>
        <w:lvlText w:val="%1."/>
        <w:lvlJc w:val="left"/>
        <w:pPr>
          <w:tabs>
            <w:tab w:val="num" w:pos="792"/>
          </w:tabs>
          <w:ind w:firstLine="720"/>
        </w:pPr>
        <w:rPr>
          <w:rFonts w:cs="Times New Roman"/>
          <w:snapToGrid/>
          <w:spacing w:val="-3"/>
          <w:w w:val="105"/>
          <w:sz w:val="24"/>
          <w:szCs w:val="24"/>
        </w:rPr>
      </w:lvl>
    </w:lvlOverride>
  </w:num>
  <w:num w:numId="23">
    <w:abstractNumId w:val="0"/>
  </w:num>
  <w:num w:numId="24">
    <w:abstractNumId w:val="15"/>
  </w:num>
  <w:num w:numId="25">
    <w:abstractNumId w:val="11"/>
  </w:num>
  <w:num w:numId="26">
    <w:abstractNumId w:val="18"/>
  </w:num>
  <w:num w:numId="27">
    <w:abstractNumId w:val="18"/>
    <w:lvlOverride w:ilvl="0">
      <w:lvl w:ilvl="0">
        <w:numFmt w:val="decimal"/>
        <w:lvlText w:val="%1."/>
        <w:lvlJc w:val="left"/>
        <w:pPr>
          <w:tabs>
            <w:tab w:val="num" w:pos="792"/>
          </w:tabs>
          <w:ind w:left="72" w:firstLine="720"/>
        </w:pPr>
        <w:rPr>
          <w:rFonts w:cs="Times New Roman"/>
          <w:snapToGrid/>
          <w:spacing w:val="-10"/>
          <w:w w:val="105"/>
          <w:sz w:val="24"/>
          <w:szCs w:val="24"/>
        </w:rPr>
      </w:lvl>
    </w:lvlOverride>
  </w:num>
  <w:num w:numId="28">
    <w:abstractNumId w:val="22"/>
  </w:num>
  <w:num w:numId="29">
    <w:abstractNumId w:val="19"/>
  </w:num>
  <w:num w:numId="30">
    <w:abstractNumId w:val="25"/>
  </w:num>
  <w:num w:numId="31">
    <w:abstractNumId w:val="10"/>
  </w:num>
  <w:num w:numId="32">
    <w:abstractNumId w:val="23"/>
  </w:num>
  <w:num w:numId="33">
    <w:abstractNumId w:val="13"/>
  </w:num>
  <w:num w:numId="34">
    <w:abstractNumId w:val="6"/>
  </w:num>
  <w:num w:numId="35">
    <w:abstractNumId w:val="17"/>
    <w:lvlOverride w:ilvl="0">
      <w:lvl w:ilvl="0">
        <w:numFmt w:val="decimal"/>
        <w:lvlText w:val="%1."/>
        <w:lvlJc w:val="left"/>
        <w:pPr>
          <w:tabs>
            <w:tab w:val="num" w:pos="720"/>
          </w:tabs>
          <w:ind w:left="144" w:firstLine="792"/>
        </w:pPr>
        <w:rPr>
          <w:rFonts w:cs="Times New Roman"/>
          <w:snapToGrid/>
          <w:spacing w:val="-7"/>
          <w:w w:val="105"/>
          <w:sz w:val="24"/>
          <w:szCs w:val="24"/>
        </w:rPr>
      </w:lvl>
    </w:lvlOverride>
  </w:num>
  <w:num w:numId="36">
    <w:abstractNumId w:val="26"/>
  </w:num>
  <w:num w:numId="37">
    <w:abstractNumId w:val="3"/>
  </w:num>
  <w:num w:numId="38">
    <w:abstractNumId w:val="3"/>
    <w:lvlOverride w:ilvl="0">
      <w:lvl w:ilvl="0">
        <w:numFmt w:val="decimal"/>
        <w:lvlText w:val="%1."/>
        <w:lvlJc w:val="left"/>
        <w:pPr>
          <w:tabs>
            <w:tab w:val="num" w:pos="720"/>
          </w:tabs>
          <w:ind w:left="144" w:firstLine="792"/>
        </w:pPr>
        <w:rPr>
          <w:rFonts w:cs="Times New Roman"/>
          <w:snapToGrid/>
          <w:spacing w:val="-6"/>
          <w:w w:val="105"/>
          <w:sz w:val="24"/>
          <w:szCs w:val="24"/>
        </w:rPr>
      </w:lvl>
    </w:lvlOverride>
  </w:num>
  <w:num w:numId="39">
    <w:abstractNumId w:val="30"/>
  </w:num>
  <w:num w:numId="40">
    <w:abstractNumId w:val="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cryptProviderType="rsaFull" w:cryptAlgorithmClass="hash" w:cryptAlgorithmType="typeAny" w:cryptAlgorithmSid="4" w:cryptSpinCount="100000" w:hash="2GEwz/ku7iiQSVVnGnXgWbtBPY8=" w:salt="OVZ7DYcB1AxHrk1CYKSKa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8">
    <w:name w:val="Style8"/>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 16"/>
    <w:basedOn w:val="Normal"/>
    <w:uiPriority w:val="99"/>
    <w:pPr>
      <w:widowControl w:val="0"/>
      <w:autoSpaceDE w:val="0"/>
      <w:autoSpaceDN w:val="0"/>
      <w:adjustRightInd w:val="0"/>
    </w:pPr>
    <w:rPr>
      <w:rFonts w:eastAsiaTheme="minorEastAsia"/>
    </w:rPr>
  </w:style>
  <w:style w:type="paragraph" w:customStyle="1" w:styleId="Style18">
    <w:name w:val="Style 18"/>
    <w:basedOn w:val="Normal"/>
    <w:uiPriority w:val="99"/>
    <w:pPr>
      <w:widowControl w:val="0"/>
      <w:autoSpaceDE w:val="0"/>
      <w:autoSpaceDN w:val="0"/>
      <w:spacing w:line="412" w:lineRule="auto"/>
      <w:ind w:right="72" w:firstLine="720"/>
    </w:pPr>
    <w:rPr>
      <w:rFonts w:eastAsiaTheme="minorEastAsia"/>
    </w:rPr>
  </w:style>
  <w:style w:type="character" w:customStyle="1" w:styleId="Style19">
    <w:name w:val="Style19"/>
    <w:uiPriority w:val="99"/>
    <w:rPr>
      <w:sz w:val="24"/>
    </w:rPr>
  </w:style>
  <w:style w:type="paragraph" w:customStyle="1" w:styleId="Style20">
    <w:name w:val="Style 20"/>
    <w:basedOn w:val="Normal"/>
    <w:uiPriority w:val="99"/>
    <w:pPr>
      <w:widowControl w:val="0"/>
      <w:autoSpaceDE w:val="0"/>
      <w:autoSpaceDN w:val="0"/>
      <w:spacing w:line="412" w:lineRule="auto"/>
      <w:ind w:right="792" w:firstLine="720"/>
    </w:pPr>
    <w:rPr>
      <w:rFonts w:eastAsiaTheme="minorEastAsia"/>
    </w:rPr>
  </w:style>
  <w:style w:type="paragraph" w:customStyle="1" w:styleId="Style17">
    <w:name w:val="Style 17"/>
    <w:basedOn w:val="Normal"/>
    <w:uiPriority w:val="99"/>
    <w:pPr>
      <w:widowControl w:val="0"/>
      <w:autoSpaceDE w:val="0"/>
      <w:autoSpaceDN w:val="0"/>
      <w:adjustRightInd w:val="0"/>
    </w:pPr>
    <w:rPr>
      <w:rFonts w:eastAsiaTheme="minorEastAsia"/>
    </w:rPr>
  </w:style>
  <w:style w:type="paragraph" w:customStyle="1" w:styleId="Style9">
    <w:name w:val="Style 9"/>
    <w:basedOn w:val="Normal"/>
    <w:uiPriority w:val="99"/>
    <w:pPr>
      <w:widowControl w:val="0"/>
      <w:autoSpaceDE w:val="0"/>
      <w:autoSpaceDN w:val="0"/>
      <w:spacing w:before="36" w:line="211" w:lineRule="auto"/>
      <w:ind w:left="1152"/>
    </w:pPr>
    <w:rPr>
      <w:rFonts w:ascii="Tahoma" w:eastAsiaTheme="minorEastAsia" w:hAnsi="Tahoma" w:cs="Tahoma"/>
      <w:b/>
      <w:bCs/>
      <w:sz w:val="19"/>
      <w:szCs w:val="19"/>
    </w:rPr>
  </w:style>
  <w:style w:type="paragraph" w:customStyle="1" w:styleId="Style10">
    <w:name w:val="Style 10"/>
    <w:basedOn w:val="Normal"/>
    <w:uiPriority w:val="99"/>
    <w:pPr>
      <w:widowControl w:val="0"/>
      <w:autoSpaceDE w:val="0"/>
      <w:autoSpaceDN w:val="0"/>
      <w:spacing w:before="36" w:line="199" w:lineRule="auto"/>
      <w:ind w:left="504"/>
    </w:pPr>
    <w:rPr>
      <w:rFonts w:ascii="Tahoma" w:eastAsiaTheme="minorEastAsia" w:hAnsi="Tahoma" w:cs="Tahoma"/>
      <w:b/>
      <w:bCs/>
      <w:sz w:val="19"/>
      <w:szCs w:val="19"/>
    </w:rPr>
  </w:style>
  <w:style w:type="character" w:customStyle="1" w:styleId="Style21">
    <w:name w:val="Style21"/>
    <w:uiPriority w:val="99"/>
    <w:rPr>
      <w:rFonts w:ascii="Tahoma" w:hAnsi="Tahoma"/>
      <w:b/>
      <w:sz w:val="19"/>
    </w:rPr>
  </w:style>
  <w:style w:type="paragraph" w:customStyle="1" w:styleId="Style12">
    <w:name w:val="Style 12"/>
    <w:basedOn w:val="Normal"/>
    <w:uiPriority w:val="99"/>
    <w:pPr>
      <w:widowControl w:val="0"/>
      <w:autoSpaceDE w:val="0"/>
      <w:autoSpaceDN w:val="0"/>
      <w:spacing w:line="192" w:lineRule="exact"/>
    </w:pPr>
    <w:rPr>
      <w:rFonts w:ascii="Tahoma" w:eastAsiaTheme="minorEastAsia" w:hAnsi="Tahoma" w:cs="Tahoma"/>
      <w:b/>
      <w:bCs/>
      <w:sz w:val="19"/>
      <w:szCs w:val="19"/>
      <w:u w:val="single"/>
    </w:rPr>
  </w:style>
  <w:style w:type="character" w:customStyle="1" w:styleId="Style22">
    <w:name w:val="Style22"/>
    <w:uiPriority w:val="99"/>
    <w:rPr>
      <w:rFonts w:ascii="Tahoma" w:hAnsi="Tahoma"/>
      <w:b/>
      <w:sz w:val="19"/>
      <w:u w:val="single"/>
    </w:rPr>
  </w:style>
  <w:style w:type="paragraph" w:customStyle="1" w:styleId="Style13">
    <w:name w:val="Style 13"/>
    <w:basedOn w:val="Normal"/>
    <w:uiPriority w:val="99"/>
    <w:pPr>
      <w:widowControl w:val="0"/>
      <w:autoSpaceDE w:val="0"/>
      <w:autoSpaceDN w:val="0"/>
      <w:spacing w:line="192" w:lineRule="exact"/>
    </w:pPr>
    <w:rPr>
      <w:rFonts w:ascii="Tahoma" w:eastAsiaTheme="minorEastAsia" w:hAnsi="Tahoma" w:cs="Tahoma"/>
      <w:b/>
      <w:bCs/>
      <w:sz w:val="19"/>
      <w:szCs w:val="19"/>
    </w:rPr>
  </w:style>
  <w:style w:type="paragraph" w:customStyle="1" w:styleId="Style1">
    <w:name w:val="Style 1"/>
    <w:basedOn w:val="Normal"/>
    <w:uiPriority w:val="99"/>
    <w:pPr>
      <w:widowControl w:val="0"/>
      <w:autoSpaceDE w:val="0"/>
      <w:autoSpaceDN w:val="0"/>
      <w:adjustRightInd w:val="0"/>
    </w:pPr>
    <w:rPr>
      <w:rFonts w:eastAsiaTheme="minorEastAsia"/>
    </w:rPr>
  </w:style>
  <w:style w:type="paragraph" w:customStyle="1" w:styleId="Style6">
    <w:name w:val="Style 6"/>
    <w:basedOn w:val="Normal"/>
    <w:uiPriority w:val="99"/>
    <w:pPr>
      <w:widowControl w:val="0"/>
      <w:autoSpaceDE w:val="0"/>
      <w:autoSpaceDN w:val="0"/>
      <w:spacing w:before="180"/>
    </w:pPr>
    <w:rPr>
      <w:rFonts w:eastAsiaTheme="minorEastAsia"/>
      <w:sz w:val="25"/>
      <w:szCs w:val="25"/>
    </w:rPr>
  </w:style>
  <w:style w:type="paragraph" w:customStyle="1" w:styleId="Style7">
    <w:name w:val="Style 7"/>
    <w:basedOn w:val="Normal"/>
    <w:uiPriority w:val="99"/>
    <w:pPr>
      <w:widowControl w:val="0"/>
      <w:autoSpaceDE w:val="0"/>
      <w:autoSpaceDN w:val="0"/>
      <w:spacing w:line="396" w:lineRule="auto"/>
      <w:ind w:left="72" w:firstLine="720"/>
    </w:pPr>
    <w:rPr>
      <w:rFonts w:eastAsiaTheme="minorEastAsia"/>
      <w:b/>
      <w:bCs/>
      <w:sz w:val="25"/>
      <w:szCs w:val="25"/>
    </w:rPr>
  </w:style>
  <w:style w:type="paragraph" w:customStyle="1" w:styleId="Style23">
    <w:name w:val="Style23"/>
    <w:basedOn w:val="Normal"/>
    <w:pPr>
      <w:spacing w:line="480" w:lineRule="exact"/>
    </w:pPr>
    <w:rPr>
      <w:szCs w:val="20"/>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8141</Words>
  <Characters>43801</Characters>
  <Application>Microsoft Office Word</Application>
  <DocSecurity>0</DocSecurity>
  <Lines>826</Lines>
  <Paragraphs>422</Paragraphs>
  <ScaleCrop>false</ScaleCrop>
  <Company>
  </Company>
  <LinksUpToDate>false</LinksUpToDate>
  <CharactersWithSpaces>51520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2012-10-29T23:11:00Z</dcterms:created>
  <dcterms:modified xsi:type="dcterms:W3CDTF">2012-10-29T23:11:00Z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