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EFA" w:rsidRPr="00807ABB" w:rsidRDefault="00807ABB" w:rsidP="00807ABB">
      <w:pPr>
        <w:jc w:val="right"/>
        <w:rPr>
          <w:b/>
          <w:sz w:val="36"/>
        </w:rPr>
      </w:pPr>
      <w:r>
        <w:rPr>
          <w:b/>
        </w:rPr>
        <w:t>FILED AUGUST 26</w:t>
      </w:r>
      <w:r w:rsidRPr="00807ABB">
        <w:rPr>
          <w:b/>
        </w:rPr>
        <w:t>, 2009</w:t>
      </w:r>
    </w:p>
    <w:p w:rsidR="008A5EFA" w:rsidRDefault="008A5EFA"/>
    <w:p w:rsidR="008A5EFA" w:rsidRDefault="008A5EFA"/>
    <w:p w:rsidR="008A08BE" w:rsidRDefault="008A08BE"/>
    <w:p w:rsidR="008A5EFA" w:rsidRDefault="008A5EFA">
      <w:pPr>
        <w:pStyle w:val="Heading1"/>
      </w:pPr>
      <w:r>
        <w:t>STATE BAR COURT OF CALIFORNIA</w:t>
      </w:r>
    </w:p>
    <w:p w:rsidR="008A5EFA" w:rsidRDefault="008A5EFA">
      <w:pPr>
        <w:jc w:val="center"/>
        <w:rPr>
          <w:b/>
          <w:bCs/>
        </w:rPr>
      </w:pPr>
      <w:r>
        <w:rPr>
          <w:b/>
          <w:bCs/>
        </w:rPr>
        <w:t xml:space="preserve">HEARING DEPARTMENT – </w:t>
      </w:r>
      <w:bookmarkStart w:id="0" w:name="venue"/>
      <w:bookmarkEnd w:id="0"/>
      <w:r w:rsidR="00AA4FFA">
        <w:rPr>
          <w:b/>
          <w:bCs/>
        </w:rPr>
        <w:t>LOS ANGELES</w:t>
      </w:r>
    </w:p>
    <w:p w:rsidR="008A5EFA" w:rsidRDefault="008A5EFA">
      <w:pPr>
        <w:jc w:val="center"/>
        <w:rPr>
          <w:b/>
          <w:bCs/>
        </w:rPr>
      </w:pPr>
    </w:p>
    <w:tbl>
      <w:tblPr>
        <w:tblW w:w="0" w:type="auto"/>
        <w:tblInd w:w="5" w:type="dxa"/>
        <w:tblBorders>
          <w:bottom w:val="single" w:sz="4" w:space="0" w:color="auto"/>
        </w:tblBorders>
        <w:tblCellMar>
          <w:left w:w="0" w:type="dxa"/>
          <w:right w:w="0" w:type="dxa"/>
        </w:tblCellMar>
        <w:tblLook w:val="0000"/>
      </w:tblPr>
      <w:tblGrid>
        <w:gridCol w:w="4372"/>
        <w:gridCol w:w="182"/>
        <w:gridCol w:w="240"/>
        <w:gridCol w:w="1096"/>
        <w:gridCol w:w="3465"/>
      </w:tblGrid>
      <w:tr w:rsidR="008A5EFA" w:rsidTr="00B21FA6">
        <w:tblPrEx>
          <w:tblCellMar>
            <w:top w:w="0" w:type="dxa"/>
            <w:bottom w:w="0" w:type="dxa"/>
          </w:tblCellMar>
        </w:tblPrEx>
        <w:trPr>
          <w:cantSplit/>
          <w:trHeight w:val="462"/>
        </w:trPr>
        <w:tc>
          <w:tcPr>
            <w:tcW w:w="4372" w:type="dxa"/>
            <w:vMerge w:val="restart"/>
          </w:tcPr>
          <w:p w:rsidR="008A5EFA" w:rsidRDefault="008A5EFA" w:rsidP="00B21FA6">
            <w:pPr>
              <w:spacing w:line="240" w:lineRule="auto"/>
            </w:pPr>
            <w:r w:rsidRPr="00B21FA6">
              <w:t>In t</w:t>
            </w:r>
            <w:r>
              <w:t>he Matter of</w:t>
            </w:r>
          </w:p>
          <w:p w:rsidR="008A5EFA" w:rsidRDefault="008A5EFA" w:rsidP="00B21FA6">
            <w:pPr>
              <w:spacing w:line="240" w:lineRule="auto"/>
              <w:rPr>
                <w:b/>
                <w:bCs/>
              </w:rPr>
            </w:pPr>
          </w:p>
          <w:p w:rsidR="0030711F" w:rsidRPr="00CD779A" w:rsidRDefault="0030711F" w:rsidP="0030711F">
            <w:pPr>
              <w:spacing w:line="240" w:lineRule="auto"/>
              <w:rPr>
                <w:b/>
              </w:rPr>
            </w:pPr>
            <w:bookmarkStart w:id="1" w:name="resp"/>
            <w:bookmarkEnd w:id="1"/>
            <w:r>
              <w:rPr>
                <w:b/>
              </w:rPr>
              <w:t>VALERIE CANDICE WHITWORTH</w:t>
            </w:r>
            <w:r w:rsidRPr="00CD779A">
              <w:rPr>
                <w:b/>
              </w:rPr>
              <w:t>,</w:t>
            </w:r>
          </w:p>
          <w:p w:rsidR="0030711F" w:rsidRDefault="0030711F" w:rsidP="0030711F">
            <w:pPr>
              <w:spacing w:line="240" w:lineRule="auto"/>
            </w:pPr>
          </w:p>
          <w:p w:rsidR="0030711F" w:rsidRDefault="0030711F" w:rsidP="0030711F">
            <w:pPr>
              <w:spacing w:line="240" w:lineRule="auto"/>
            </w:pPr>
            <w:r>
              <w:rPr>
                <w:b/>
                <w:bCs/>
              </w:rPr>
              <w:t>Member No. 94581</w:t>
            </w:r>
            <w:r>
              <w:t>,</w:t>
            </w:r>
          </w:p>
          <w:p w:rsidR="008A5EFA" w:rsidRDefault="008A5EFA" w:rsidP="00B21FA6">
            <w:pPr>
              <w:pStyle w:val="Header"/>
              <w:tabs>
                <w:tab w:val="clear" w:pos="4320"/>
                <w:tab w:val="clear" w:pos="8640"/>
              </w:tabs>
              <w:spacing w:line="240" w:lineRule="auto"/>
            </w:pPr>
          </w:p>
          <w:p w:rsidR="008A5EFA" w:rsidRDefault="008A5EFA">
            <w:bookmarkStart w:id="2" w:name="type"/>
            <w:bookmarkEnd w:id="2"/>
            <w:r>
              <w:t>A Member of the State Bar.</w:t>
            </w:r>
          </w:p>
        </w:tc>
        <w:tc>
          <w:tcPr>
            <w:tcW w:w="182" w:type="dxa"/>
            <w:vMerge w:val="restart"/>
            <w:tcBorders>
              <w:bottom w:val="nil"/>
            </w:tcBorders>
          </w:tcPr>
          <w:p w:rsidR="008A5EFA" w:rsidRDefault="008A5EFA" w:rsidP="00B21FA6">
            <w:pPr>
              <w:spacing w:line="240" w:lineRule="auto"/>
              <w:rPr>
                <w:b/>
                <w:bCs/>
              </w:rPr>
            </w:pPr>
            <w:r>
              <w:rPr>
                <w:b/>
                <w:bCs/>
              </w:rPr>
              <w:t>)</w:t>
            </w:r>
          </w:p>
          <w:p w:rsidR="008A5EFA" w:rsidRDefault="008A5EFA" w:rsidP="00B21FA6">
            <w:pPr>
              <w:spacing w:line="240" w:lineRule="auto"/>
              <w:rPr>
                <w:b/>
                <w:bCs/>
              </w:rPr>
            </w:pPr>
            <w:r>
              <w:rPr>
                <w:b/>
                <w:bCs/>
              </w:rPr>
              <w:t>)</w:t>
            </w:r>
          </w:p>
          <w:p w:rsidR="008A5EFA" w:rsidRDefault="008A5EFA" w:rsidP="00B21FA6">
            <w:pPr>
              <w:spacing w:line="240" w:lineRule="auto"/>
              <w:rPr>
                <w:b/>
                <w:bCs/>
              </w:rPr>
            </w:pPr>
            <w:r>
              <w:rPr>
                <w:b/>
                <w:bCs/>
              </w:rPr>
              <w:t>)</w:t>
            </w:r>
          </w:p>
          <w:p w:rsidR="00B21FA6" w:rsidRDefault="008A5EFA" w:rsidP="00B21FA6">
            <w:pPr>
              <w:spacing w:line="240" w:lineRule="auto"/>
              <w:rPr>
                <w:b/>
                <w:bCs/>
              </w:rPr>
            </w:pPr>
            <w:r>
              <w:rPr>
                <w:b/>
                <w:bCs/>
              </w:rPr>
              <w:t>)</w:t>
            </w:r>
          </w:p>
          <w:p w:rsidR="00AA4FFA" w:rsidRDefault="00AA4FFA" w:rsidP="00B21FA6">
            <w:pPr>
              <w:spacing w:line="240" w:lineRule="auto"/>
              <w:rPr>
                <w:b/>
                <w:bCs/>
              </w:rPr>
            </w:pPr>
            <w:r>
              <w:rPr>
                <w:b/>
                <w:bCs/>
              </w:rPr>
              <w:t>)</w:t>
            </w:r>
          </w:p>
          <w:p w:rsidR="00AA4FFA" w:rsidRDefault="00AA4FFA" w:rsidP="00B21FA6">
            <w:pPr>
              <w:spacing w:line="240" w:lineRule="auto"/>
              <w:rPr>
                <w:b/>
                <w:bCs/>
              </w:rPr>
            </w:pPr>
            <w:r>
              <w:rPr>
                <w:b/>
                <w:bCs/>
              </w:rPr>
              <w:t>)</w:t>
            </w:r>
          </w:p>
          <w:p w:rsidR="0030711F" w:rsidRDefault="0030711F" w:rsidP="00B21FA6">
            <w:pPr>
              <w:spacing w:line="240" w:lineRule="auto"/>
              <w:rPr>
                <w:b/>
                <w:bCs/>
              </w:rPr>
            </w:pPr>
            <w:r>
              <w:rPr>
                <w:b/>
                <w:bCs/>
              </w:rPr>
              <w:t>)</w:t>
            </w:r>
          </w:p>
          <w:p w:rsidR="000873F6" w:rsidRDefault="000873F6" w:rsidP="00B21FA6">
            <w:pPr>
              <w:spacing w:line="240" w:lineRule="auto"/>
              <w:rPr>
                <w:b/>
                <w:bCs/>
              </w:rPr>
            </w:pPr>
            <w:r>
              <w:rPr>
                <w:b/>
                <w:bCs/>
              </w:rPr>
              <w:t>)</w:t>
            </w:r>
          </w:p>
        </w:tc>
        <w:tc>
          <w:tcPr>
            <w:tcW w:w="240" w:type="dxa"/>
            <w:vMerge w:val="restart"/>
            <w:tcBorders>
              <w:bottom w:val="nil"/>
            </w:tcBorders>
          </w:tcPr>
          <w:p w:rsidR="008A5EFA" w:rsidRDefault="008A5EFA">
            <w:pPr>
              <w:rPr>
                <w:b/>
                <w:bCs/>
              </w:rPr>
            </w:pPr>
          </w:p>
        </w:tc>
        <w:tc>
          <w:tcPr>
            <w:tcW w:w="1096" w:type="dxa"/>
            <w:tcBorders>
              <w:bottom w:val="nil"/>
            </w:tcBorders>
          </w:tcPr>
          <w:p w:rsidR="008A5EFA" w:rsidRPr="00C3705D" w:rsidRDefault="008A5EFA" w:rsidP="00AA4FFA">
            <w:pPr>
              <w:spacing w:line="240" w:lineRule="auto"/>
              <w:rPr>
                <w:b/>
              </w:rPr>
            </w:pPr>
            <w:r w:rsidRPr="00C3705D">
              <w:rPr>
                <w:b/>
              </w:rPr>
              <w:t>Case No.:</w:t>
            </w:r>
          </w:p>
        </w:tc>
        <w:tc>
          <w:tcPr>
            <w:tcW w:w="3465" w:type="dxa"/>
          </w:tcPr>
          <w:p w:rsidR="0030711F" w:rsidRPr="00C3705D" w:rsidRDefault="00C3705D" w:rsidP="0030711F">
            <w:pPr>
              <w:spacing w:line="240" w:lineRule="auto"/>
              <w:rPr>
                <w:b/>
                <w:bCs/>
              </w:rPr>
            </w:pPr>
            <w:bookmarkStart w:id="3" w:name="caseno"/>
            <w:bookmarkEnd w:id="3"/>
            <w:r>
              <w:rPr>
                <w:b/>
                <w:bCs/>
              </w:rPr>
              <w:t xml:space="preserve">  </w:t>
            </w:r>
            <w:r w:rsidR="0030711F">
              <w:rPr>
                <w:b/>
                <w:bCs/>
              </w:rPr>
              <w:t>09-PM-11419-DFM</w:t>
            </w:r>
          </w:p>
          <w:p w:rsidR="00C3705D" w:rsidRPr="00C3705D" w:rsidRDefault="00C3705D" w:rsidP="00C3705D">
            <w:pPr>
              <w:spacing w:line="240" w:lineRule="auto"/>
              <w:rPr>
                <w:b/>
                <w:bCs/>
              </w:rPr>
            </w:pPr>
          </w:p>
        </w:tc>
      </w:tr>
      <w:tr w:rsidR="008A5EFA" w:rsidTr="0030711F">
        <w:tblPrEx>
          <w:tblCellMar>
            <w:top w:w="0" w:type="dxa"/>
            <w:bottom w:w="0" w:type="dxa"/>
          </w:tblCellMar>
        </w:tblPrEx>
        <w:trPr>
          <w:cantSplit/>
          <w:trHeight w:val="1350"/>
        </w:trPr>
        <w:tc>
          <w:tcPr>
            <w:tcW w:w="4372" w:type="dxa"/>
            <w:vMerge/>
          </w:tcPr>
          <w:p w:rsidR="008A5EFA" w:rsidRDefault="008A5EFA"/>
        </w:tc>
        <w:tc>
          <w:tcPr>
            <w:tcW w:w="182" w:type="dxa"/>
            <w:vMerge/>
            <w:tcBorders>
              <w:bottom w:val="nil"/>
            </w:tcBorders>
          </w:tcPr>
          <w:p w:rsidR="008A5EFA" w:rsidRDefault="008A5EFA">
            <w:pPr>
              <w:rPr>
                <w:b/>
                <w:bCs/>
              </w:rPr>
            </w:pPr>
          </w:p>
        </w:tc>
        <w:tc>
          <w:tcPr>
            <w:tcW w:w="240" w:type="dxa"/>
            <w:vMerge/>
            <w:tcBorders>
              <w:bottom w:val="nil"/>
            </w:tcBorders>
          </w:tcPr>
          <w:p w:rsidR="008A5EFA" w:rsidRDefault="008A5EFA">
            <w:pPr>
              <w:rPr>
                <w:b/>
                <w:bCs/>
              </w:rPr>
            </w:pPr>
          </w:p>
        </w:tc>
        <w:tc>
          <w:tcPr>
            <w:tcW w:w="4561" w:type="dxa"/>
            <w:gridSpan w:val="2"/>
            <w:tcBorders>
              <w:bottom w:val="nil"/>
            </w:tcBorders>
          </w:tcPr>
          <w:p w:rsidR="008A5EFA" w:rsidRDefault="008A5EFA" w:rsidP="008A5EFA">
            <w:pPr>
              <w:spacing w:line="240" w:lineRule="auto"/>
              <w:rPr>
                <w:b/>
                <w:bCs/>
              </w:rPr>
            </w:pPr>
            <w:bookmarkStart w:id="4" w:name="title"/>
            <w:bookmarkEnd w:id="4"/>
          </w:p>
          <w:p w:rsidR="0030711F" w:rsidRDefault="0030711F" w:rsidP="0030711F">
            <w:pPr>
              <w:spacing w:line="240" w:lineRule="auto"/>
              <w:rPr>
                <w:b/>
                <w:bCs/>
              </w:rPr>
            </w:pPr>
            <w:r>
              <w:rPr>
                <w:b/>
                <w:bCs/>
              </w:rPr>
              <w:t>ORDER GRANTING MOTION</w:t>
            </w:r>
          </w:p>
          <w:p w:rsidR="0030711F" w:rsidRDefault="0030711F" w:rsidP="0030711F">
            <w:pPr>
              <w:spacing w:line="240" w:lineRule="auto"/>
              <w:rPr>
                <w:b/>
                <w:bCs/>
              </w:rPr>
            </w:pPr>
            <w:r>
              <w:rPr>
                <w:b/>
                <w:bCs/>
              </w:rPr>
              <w:t>TO REVOKE PROBATION &amp;</w:t>
            </w:r>
          </w:p>
          <w:p w:rsidR="008A5EFA" w:rsidRDefault="0030711F" w:rsidP="0030711F">
            <w:pPr>
              <w:spacing w:line="240" w:lineRule="auto"/>
              <w:rPr>
                <w:b/>
                <w:bCs/>
              </w:rPr>
            </w:pPr>
            <w:r>
              <w:rPr>
                <w:b/>
                <w:bCs/>
              </w:rPr>
              <w:t>ORDER OF INACTIVE ENROLLMENT</w:t>
            </w:r>
          </w:p>
        </w:tc>
      </w:tr>
    </w:tbl>
    <w:p w:rsidR="008A5EFA" w:rsidRDefault="008A5EFA"/>
    <w:p w:rsidR="008A5EFA" w:rsidRDefault="00C3705D" w:rsidP="0030711F">
      <w:pPr>
        <w:pStyle w:val="Heading1"/>
      </w:pPr>
      <w:r>
        <w:t>1</w:t>
      </w:r>
      <w:r w:rsidR="008A5EFA">
        <w:t xml:space="preserve">.  </w:t>
      </w:r>
      <w:r w:rsidR="00540130">
        <w:t>Introduction</w:t>
      </w:r>
    </w:p>
    <w:p w:rsidR="0030711F" w:rsidRDefault="0030711F" w:rsidP="0030711F">
      <w:pPr>
        <w:ind w:firstLine="720"/>
      </w:pPr>
      <w:r>
        <w:t xml:space="preserve">In this probation revocation proceeding, respondent </w:t>
      </w:r>
      <w:r>
        <w:rPr>
          <w:b/>
        </w:rPr>
        <w:t>VALERIE CANDICE WHITWORTH</w:t>
      </w:r>
      <w:r w:rsidRPr="00FB52B8">
        <w:rPr>
          <w:vertAlign w:val="superscript"/>
        </w:rPr>
        <w:footnoteReference w:id="1"/>
      </w:r>
      <w:r>
        <w:rPr>
          <w:b/>
        </w:rPr>
        <w:t xml:space="preserve"> </w:t>
      </w:r>
      <w:r>
        <w:t xml:space="preserve">is charged with </w:t>
      </w:r>
      <w:r w:rsidR="00D90F9F">
        <w:t xml:space="preserve">violating </w:t>
      </w:r>
      <w:r>
        <w:t>t</w:t>
      </w:r>
      <w:r w:rsidR="00D90F9F">
        <w:t xml:space="preserve">hree </w:t>
      </w:r>
      <w:r>
        <w:t xml:space="preserve">of </w:t>
      </w:r>
      <w:r w:rsidR="00D90F9F">
        <w:t xml:space="preserve">the </w:t>
      </w:r>
      <w:r>
        <w:t xml:space="preserve">probation conditions </w:t>
      </w:r>
      <w:r w:rsidRPr="00DF1F40">
        <w:t xml:space="preserve">imposed on her </w:t>
      </w:r>
      <w:r>
        <w:t>by the Supreme Court’s order issued on</w:t>
      </w:r>
      <w:r w:rsidRPr="00F54E0F">
        <w:t xml:space="preserve"> </w:t>
      </w:r>
      <w:r>
        <w:t>April 4, 2008.  (</w:t>
      </w:r>
      <w:r>
        <w:rPr>
          <w:i/>
          <w:iCs/>
        </w:rPr>
        <w:t>In re VALERIE CANDICE WHITWORTH on Discipline</w:t>
      </w:r>
      <w:r>
        <w:t xml:space="preserve">, case no. </w:t>
      </w:r>
      <w:proofErr w:type="gramStart"/>
      <w:r>
        <w:t>S160620 (State Bar Court case number 05</w:t>
      </w:r>
      <w:r>
        <w:noBreakHyphen/>
        <w:t>O</w:t>
      </w:r>
      <w:r>
        <w:noBreakHyphen/>
        <w:t>04988) [</w:t>
      </w:r>
      <w:r>
        <w:rPr>
          <w:i/>
        </w:rPr>
        <w:t>Whitworth</w:t>
      </w:r>
      <w:r>
        <w:t xml:space="preserve"> I</w:t>
      </w:r>
      <w:r w:rsidR="0016380B">
        <w:t>I</w:t>
      </w:r>
      <w:r>
        <w:t>].)</w:t>
      </w:r>
      <w:proofErr w:type="gramEnd"/>
      <w:r>
        <w:t xml:space="preserve">  </w:t>
      </w:r>
    </w:p>
    <w:p w:rsidR="0030711F" w:rsidRPr="00540130" w:rsidRDefault="0030711F" w:rsidP="0030711F">
      <w:pPr>
        <w:ind w:firstLine="720"/>
        <w:rPr>
          <w:b/>
          <w:bCs/>
        </w:rPr>
      </w:pPr>
      <w:r>
        <w:t>The State Bar's Office of</w:t>
      </w:r>
      <w:r w:rsidR="009E2895">
        <w:t xml:space="preserve"> Probation (Probation Office) was</w:t>
      </w:r>
      <w:r>
        <w:t xml:space="preserve"> </w:t>
      </w:r>
      <w:r w:rsidRPr="004B21AD">
        <w:t>represented by Supervising Attorney Terrie Goldade.</w:t>
      </w:r>
      <w:r>
        <w:t xml:space="preserve">  </w:t>
      </w:r>
      <w:r w:rsidR="00540130" w:rsidRPr="000E33AE">
        <w:t>Respondent acted as counsel for h</w:t>
      </w:r>
      <w:r w:rsidR="00540130">
        <w:t>ers</w:t>
      </w:r>
      <w:r w:rsidR="00540130" w:rsidRPr="000E33AE">
        <w:t>elf.</w:t>
      </w:r>
    </w:p>
    <w:p w:rsidR="00540130" w:rsidRDefault="00540130" w:rsidP="00540130">
      <w:pPr>
        <w:pStyle w:val="Heading1"/>
      </w:pPr>
      <w:r>
        <w:lastRenderedPageBreak/>
        <w:t>II</w:t>
      </w:r>
      <w:proofErr w:type="gramStart"/>
      <w:r>
        <w:t>.  Pertinent</w:t>
      </w:r>
      <w:proofErr w:type="gramEnd"/>
      <w:r>
        <w:t xml:space="preserve"> Procedural History</w:t>
      </w:r>
    </w:p>
    <w:p w:rsidR="009E2FF7" w:rsidRDefault="00540130" w:rsidP="00540130">
      <w:pPr>
        <w:ind w:firstLine="720"/>
      </w:pPr>
      <w:r>
        <w:t xml:space="preserve">On March 26, 2009, the Probation Office filed the present motion to revoke respondent’s probation.  On May 11, 2009, respondent filed her response.  </w:t>
      </w:r>
      <w:r w:rsidR="00AF4027">
        <w:t xml:space="preserve">A hearing was held on the motion on July </w:t>
      </w:r>
      <w:r w:rsidR="009E2895">
        <w:t>31, 2009, a</w:t>
      </w:r>
      <w:r w:rsidR="00AF4027">
        <w:t xml:space="preserve">nd the </w:t>
      </w:r>
      <w:r w:rsidRPr="00DB3117">
        <w:t>court took the motion under submission f</w:t>
      </w:r>
      <w:r>
        <w:t xml:space="preserve">or decision </w:t>
      </w:r>
      <w:r w:rsidR="00AF4027">
        <w:t xml:space="preserve">on </w:t>
      </w:r>
      <w:r w:rsidR="009E2895">
        <w:t>that date</w:t>
      </w:r>
      <w:r w:rsidR="00AF4027">
        <w:t>.</w:t>
      </w:r>
    </w:p>
    <w:p w:rsidR="009E2FF7" w:rsidRPr="00C45563" w:rsidRDefault="009E2FF7" w:rsidP="009E2FF7">
      <w:pPr>
        <w:jc w:val="center"/>
        <w:rPr>
          <w:b/>
        </w:rPr>
      </w:pPr>
      <w:r w:rsidRPr="00C45563">
        <w:rPr>
          <w:b/>
        </w:rPr>
        <w:t>III</w:t>
      </w:r>
      <w:proofErr w:type="gramStart"/>
      <w:r w:rsidRPr="00C45563">
        <w:rPr>
          <w:b/>
        </w:rPr>
        <w:t>.  Findings</w:t>
      </w:r>
      <w:proofErr w:type="gramEnd"/>
      <w:r w:rsidRPr="00C45563">
        <w:rPr>
          <w:b/>
        </w:rPr>
        <w:t xml:space="preserve"> of Fact and Conclusions of Law</w:t>
      </w:r>
    </w:p>
    <w:p w:rsidR="009E2FF7" w:rsidRPr="00424997" w:rsidRDefault="009E2FF7" w:rsidP="009E2FF7">
      <w:pPr>
        <w:rPr>
          <w:b/>
        </w:rPr>
      </w:pPr>
      <w:r w:rsidRPr="00424997">
        <w:rPr>
          <w:b/>
        </w:rPr>
        <w:t>Probation Violations</w:t>
      </w:r>
    </w:p>
    <w:p w:rsidR="009E2FF7" w:rsidRDefault="009E2FF7" w:rsidP="009E2FF7">
      <w:pPr>
        <w:ind w:firstLine="720"/>
      </w:pPr>
      <w:r>
        <w:t xml:space="preserve">In its April 4, 2008, order in </w:t>
      </w:r>
      <w:r w:rsidR="0016380B">
        <w:rPr>
          <w:i/>
          <w:iCs/>
        </w:rPr>
        <w:t xml:space="preserve">Whitworth </w:t>
      </w:r>
      <w:r w:rsidR="0016380B" w:rsidRPr="0016380B">
        <w:rPr>
          <w:iCs/>
        </w:rPr>
        <w:t>II</w:t>
      </w:r>
      <w:r>
        <w:t xml:space="preserve">, the Supreme Court placed respondent on one year’s stayed suspension and two years’ probation on conditions, including ninety days’ suspension.  The Supreme Court imposed the discipline in </w:t>
      </w:r>
      <w:r>
        <w:rPr>
          <w:i/>
          <w:iCs/>
        </w:rPr>
        <w:t>Whitworth</w:t>
      </w:r>
      <w:r>
        <w:t xml:space="preserve"> I</w:t>
      </w:r>
      <w:r w:rsidR="0016380B">
        <w:t>I</w:t>
      </w:r>
      <w:r>
        <w:t xml:space="preserve">, including each of the probation conditions, in accordance with a stipulation by respondent as to facts, conclusions of law, </w:t>
      </w:r>
      <w:r w:rsidRPr="00A64157">
        <w:rPr>
          <w:u w:val="single"/>
        </w:rPr>
        <w:t>and disposition</w:t>
      </w:r>
      <w:r>
        <w:rPr>
          <w:u w:val="single"/>
        </w:rPr>
        <w:t>.</w:t>
      </w:r>
      <w:r>
        <w:t xml:space="preserve">  </w:t>
      </w:r>
      <w:r w:rsidR="008663FE">
        <w:t xml:space="preserve">Accordingly, respondent’s </w:t>
      </w:r>
      <w:r>
        <w:t xml:space="preserve">misconduct here represents </w:t>
      </w:r>
      <w:r w:rsidR="008663FE">
        <w:t xml:space="preserve">both a failure to adhere to the Supreme Court’s order and </w:t>
      </w:r>
      <w:r>
        <w:t>a failure by her to comply with her own agreement.</w:t>
      </w:r>
    </w:p>
    <w:p w:rsidR="00CD71FF" w:rsidRDefault="009E2FF7" w:rsidP="009E2FF7">
      <w:pPr>
        <w:ind w:firstLine="720"/>
      </w:pPr>
      <w:r>
        <w:t xml:space="preserve">The record establishes, by a preponderance of the evidence (Bus. </w:t>
      </w:r>
      <w:proofErr w:type="gramStart"/>
      <w:r>
        <w:t>&amp; Prof. Code, § 6093, subd.</w:t>
      </w:r>
      <w:proofErr w:type="gramEnd"/>
      <w:r>
        <w:t xml:space="preserve"> (c);</w:t>
      </w:r>
      <w:r>
        <w:rPr>
          <w:rStyle w:val="FootnoteReference"/>
        </w:rPr>
        <w:footnoteReference w:id="2"/>
      </w:r>
      <w:r>
        <w:t xml:space="preserve"> Rules Proc. of State Bar, rule 561), that respondent willfully violat</w:t>
      </w:r>
      <w:r w:rsidR="00D90F9F">
        <w:t xml:space="preserve">ed </w:t>
      </w:r>
      <w:r>
        <w:t>the probation condition requir</w:t>
      </w:r>
      <w:r w:rsidR="00D10E00">
        <w:t>ing her</w:t>
      </w:r>
      <w:r w:rsidR="005925F1">
        <w:t xml:space="preserve"> to s</w:t>
      </w:r>
      <w:r>
        <w:t>u</w:t>
      </w:r>
      <w:r w:rsidR="00D10E00">
        <w:t>bmit to the Office of Probation</w:t>
      </w:r>
      <w:r>
        <w:t xml:space="preserve"> </w:t>
      </w:r>
      <w:r w:rsidRPr="00BA7015">
        <w:t xml:space="preserve">on </w:t>
      </w:r>
      <w:r w:rsidR="00D10E00">
        <w:t xml:space="preserve">or before </w:t>
      </w:r>
      <w:r w:rsidRPr="00BA7015">
        <w:t>every January 10, April 10, July 10, and October 10,</w:t>
      </w:r>
      <w:r w:rsidR="00D10E00">
        <w:t xml:space="preserve"> quarterly probation reports stating under penalty of perjury</w:t>
      </w:r>
      <w:r>
        <w:t xml:space="preserve"> whether she complied with the Rules of Professional Conduct of t</w:t>
      </w:r>
      <w:r w:rsidR="00D90F9F">
        <w:t>he State Bar, the State Bar Act</w:t>
      </w:r>
      <w:r>
        <w:t xml:space="preserve">, and all the conditions of her probation during </w:t>
      </w:r>
      <w:r w:rsidR="005925F1">
        <w:t>the preceding calendar quarter</w:t>
      </w:r>
      <w:r w:rsidR="00D10E00">
        <w:t xml:space="preserve">. </w:t>
      </w:r>
      <w:r w:rsidR="005925F1">
        <w:t xml:space="preserve"> </w:t>
      </w:r>
      <w:r w:rsidR="00D10E00">
        <w:t>S</w:t>
      </w:r>
      <w:r w:rsidR="00CD71FF">
        <w:t xml:space="preserve">he filed </w:t>
      </w:r>
      <w:r w:rsidR="008663FE">
        <w:t>the</w:t>
      </w:r>
      <w:r w:rsidR="00CD71FF">
        <w:t xml:space="preserve"> first four </w:t>
      </w:r>
      <w:r w:rsidR="00D10E00">
        <w:t xml:space="preserve">of these required </w:t>
      </w:r>
      <w:r w:rsidR="00CD71FF">
        <w:t xml:space="preserve">reports </w:t>
      </w:r>
      <w:r w:rsidR="008663FE">
        <w:t>but did not do so on a timely basis.  She</w:t>
      </w:r>
      <w:r w:rsidR="00CD71FF">
        <w:t xml:space="preserve"> completely failed to file her fifth report.</w:t>
      </w:r>
      <w:r w:rsidR="00CD71FF">
        <w:rPr>
          <w:rStyle w:val="FootnoteReference"/>
        </w:rPr>
        <w:footnoteReference w:id="3"/>
      </w:r>
    </w:p>
    <w:p w:rsidR="00363629" w:rsidRDefault="00D90F9F" w:rsidP="009E2FF7">
      <w:pPr>
        <w:ind w:firstLine="720"/>
      </w:pPr>
      <w:r>
        <w:lastRenderedPageBreak/>
        <w:t>The record further establishes, by a preponderance of the evidence, that respondent willfully violat</w:t>
      </w:r>
      <w:r w:rsidR="0083214E">
        <w:t>ed</w:t>
      </w:r>
      <w:r>
        <w:t xml:space="preserve"> the probation condition requiring her </w:t>
      </w:r>
      <w:r w:rsidR="00D10E00">
        <w:t>to file</w:t>
      </w:r>
      <w:r w:rsidR="0083214E">
        <w:t xml:space="preserve"> with </w:t>
      </w:r>
      <w:r w:rsidR="00D10E00">
        <w:t>each quarterly probation report</w:t>
      </w:r>
      <w:r w:rsidR="0083214E">
        <w:t xml:space="preserve"> a </w:t>
      </w:r>
      <w:r w:rsidR="00363629">
        <w:t xml:space="preserve">trust accounting </w:t>
      </w:r>
      <w:r w:rsidR="00D10E00">
        <w:t>certificate</w:t>
      </w:r>
      <w:r w:rsidR="0083214E">
        <w:t xml:space="preserve"> from a certified public accountant or other financial professional approved by the Probation Office, certifying whether respondent had performed specified client trust accounting procedures and maintained specified trust account records</w:t>
      </w:r>
      <w:r w:rsidR="009E48B3">
        <w:t xml:space="preserve"> during the preceding quarter</w:t>
      </w:r>
      <w:r w:rsidR="0083214E">
        <w:t xml:space="preserve">; if respondent </w:t>
      </w:r>
      <w:r w:rsidR="009E48B3">
        <w:t xml:space="preserve">did not possess any trust funds or property during the preceding quarter, she was required to so state under penalty of perjury in the probation report for that reporting period.  </w:t>
      </w:r>
    </w:p>
    <w:p w:rsidR="00363629" w:rsidRDefault="009E48B3" w:rsidP="009E2FF7">
      <w:pPr>
        <w:ind w:firstLine="720"/>
      </w:pPr>
      <w:r>
        <w:t xml:space="preserve">Respondent violated </w:t>
      </w:r>
      <w:r w:rsidR="00363629">
        <w:t xml:space="preserve">her </w:t>
      </w:r>
      <w:r>
        <w:t xml:space="preserve">trust accounting certificate condition because (1) she neither filed a trust accounting certificate with her second probation report (due October 10, 2008) nor stated in her second probation report that she did not possess any trust funds or property during the preceding quarter and (2) she neither filed </w:t>
      </w:r>
      <w:r w:rsidR="00363629">
        <w:t>a trust accounting certificate with her third probation report (due January 10, 2009) nor stated in her third probation report that she did not possess any trust funds or property during the preceding quarter.  In addition, at the hearing on the motion to revoke, respondent stipulated (1) that she neither filed a trust accounting certificate with her fourth probation report (due April 10, 2009) nor stated in her fourth probation report that she did not possess any trust funds or property during the preceding quarter and (2) that she neither filed a trust accounting certificate for the reporting period covered by her fifth probation report (due July 10, 2009) nor stated in a fifth probation report that she did not possess any trust funds or property during the preceding quarter.</w:t>
      </w:r>
    </w:p>
    <w:p w:rsidR="00CD71FF" w:rsidRDefault="00363629" w:rsidP="0016380B">
      <w:pPr>
        <w:ind w:firstLine="720"/>
      </w:pPr>
      <w:r>
        <w:t>Finally, the record establishes, by a preponderance of the evidence, that respondent willfully violated the probation condition requiring</w:t>
      </w:r>
      <w:r w:rsidR="00625821">
        <w:t xml:space="preserve"> her to report</w:t>
      </w:r>
      <w:r w:rsidR="006E439B">
        <w:t xml:space="preserve"> </w:t>
      </w:r>
      <w:r w:rsidR="00625821">
        <w:t xml:space="preserve">any change in her official membership records information </w:t>
      </w:r>
      <w:r w:rsidR="006E439B">
        <w:t xml:space="preserve">to the State Bar's Membership Records Department and the </w:t>
      </w:r>
      <w:r w:rsidR="006E439B">
        <w:lastRenderedPageBreak/>
        <w:t xml:space="preserve">Probation Office within 10 days of the change because </w:t>
      </w:r>
      <w:r w:rsidR="004A4F30">
        <w:t xml:space="preserve">she failed to report a change in </w:t>
      </w:r>
      <w:r w:rsidR="0058605E">
        <w:t xml:space="preserve">her </w:t>
      </w:r>
      <w:r w:rsidR="004A4F30">
        <w:t>membership records telephone number in about December 2008.</w:t>
      </w:r>
    </w:p>
    <w:p w:rsidR="009E2FF7" w:rsidRPr="0016380B" w:rsidRDefault="00775BA0" w:rsidP="0016380B">
      <w:pPr>
        <w:rPr>
          <w:b/>
        </w:rPr>
      </w:pPr>
      <w:r>
        <w:rPr>
          <w:b/>
        </w:rPr>
        <w:br w:type="page"/>
      </w:r>
      <w:r w:rsidR="009E2FF7" w:rsidRPr="00424997">
        <w:rPr>
          <w:b/>
        </w:rPr>
        <w:lastRenderedPageBreak/>
        <w:t>Aggravation</w:t>
      </w:r>
    </w:p>
    <w:p w:rsidR="009E2FF7" w:rsidRPr="009005D7" w:rsidRDefault="009E2FF7" w:rsidP="009E2FF7">
      <w:pPr>
        <w:pStyle w:val="Header"/>
        <w:tabs>
          <w:tab w:val="clear" w:pos="4320"/>
          <w:tab w:val="clear" w:pos="8640"/>
        </w:tabs>
        <w:ind w:firstLine="720"/>
        <w:rPr>
          <w:b/>
        </w:rPr>
      </w:pPr>
      <w:r w:rsidRPr="009005D7">
        <w:rPr>
          <w:b/>
        </w:rPr>
        <w:t>Prior Discipline</w:t>
      </w:r>
    </w:p>
    <w:p w:rsidR="0016380B" w:rsidRDefault="009E2FF7" w:rsidP="0016380B">
      <w:pPr>
        <w:pStyle w:val="Header"/>
        <w:tabs>
          <w:tab w:val="clear" w:pos="4320"/>
          <w:tab w:val="clear" w:pos="8640"/>
        </w:tabs>
        <w:ind w:firstLine="720"/>
      </w:pPr>
      <w:r>
        <w:t>Respondent</w:t>
      </w:r>
      <w:r w:rsidR="0016380B">
        <w:t xml:space="preserve"> </w:t>
      </w:r>
      <w:r>
        <w:t xml:space="preserve">has </w:t>
      </w:r>
      <w:r w:rsidR="0016380B">
        <w:t xml:space="preserve">two </w:t>
      </w:r>
      <w:r>
        <w:t>prior record</w:t>
      </w:r>
      <w:r w:rsidR="0016380B">
        <w:t>s</w:t>
      </w:r>
      <w:r>
        <w:t xml:space="preserve"> of discipline</w:t>
      </w:r>
      <w:r w:rsidR="0016380B">
        <w:t>, which are aggravating circumstances.  (Rules Proc. of State Bar, tit. IV, Stds. for Atty. Sanctions for Prof. Misconduct, std. 1.2(b</w:t>
      </w:r>
      <w:proofErr w:type="gramStart"/>
      <w:r w:rsidR="0016380B">
        <w:t>)(</w:t>
      </w:r>
      <w:proofErr w:type="gramEnd"/>
      <w:r w:rsidR="0016380B">
        <w:t>i).)</w:t>
      </w:r>
      <w:r w:rsidR="0016380B">
        <w:rPr>
          <w:rStyle w:val="FootnoteReference"/>
        </w:rPr>
        <w:t xml:space="preserve"> </w:t>
      </w:r>
      <w:r w:rsidR="0016380B">
        <w:rPr>
          <w:rStyle w:val="FootnoteReference"/>
        </w:rPr>
        <w:footnoteReference w:id="4"/>
      </w:r>
    </w:p>
    <w:p w:rsidR="0016380B" w:rsidRPr="00D51BE8" w:rsidRDefault="0016380B" w:rsidP="009E2FF7">
      <w:pPr>
        <w:pStyle w:val="Header"/>
        <w:tabs>
          <w:tab w:val="clear" w:pos="4320"/>
          <w:tab w:val="clear" w:pos="8640"/>
        </w:tabs>
        <w:ind w:firstLine="720"/>
      </w:pPr>
      <w:r>
        <w:t xml:space="preserve">Respondent’s first prior record of discipline is the private reproval </w:t>
      </w:r>
      <w:r w:rsidR="00D51BE8">
        <w:t xml:space="preserve">with conditions </w:t>
      </w:r>
      <w:r>
        <w:t xml:space="preserve">that was imposed on her </w:t>
      </w:r>
      <w:r w:rsidR="00D51BE8">
        <w:t xml:space="preserve">in </w:t>
      </w:r>
      <w:r>
        <w:t xml:space="preserve">State Bar Court </w:t>
      </w:r>
      <w:r w:rsidR="00D51BE8">
        <w:t>case number 99</w:t>
      </w:r>
      <w:r w:rsidR="00D51BE8">
        <w:noBreakHyphen/>
        <w:t>O</w:t>
      </w:r>
      <w:r w:rsidR="00D51BE8">
        <w:noBreakHyphen/>
        <w:t>12678, et al. (</w:t>
      </w:r>
      <w:r w:rsidR="00D51BE8">
        <w:rPr>
          <w:i/>
          <w:iCs/>
        </w:rPr>
        <w:t>Whitworth</w:t>
      </w:r>
      <w:r w:rsidR="00D51BE8">
        <w:t xml:space="preserve"> I) in accordance with a stipulation by respondent as to facts, conclusions of law, </w:t>
      </w:r>
      <w:r w:rsidR="00D51BE8" w:rsidRPr="00D51BE8">
        <w:t>and disposition</w:t>
      </w:r>
      <w:r w:rsidR="00D51BE8">
        <w:t xml:space="preserve"> that was approved by the State Bar Court in December 2001.  In </w:t>
      </w:r>
      <w:r w:rsidR="00D51BE8">
        <w:rPr>
          <w:i/>
          <w:iCs/>
        </w:rPr>
        <w:t>Whitworth</w:t>
      </w:r>
      <w:r w:rsidR="00D51BE8">
        <w:t xml:space="preserve"> I, respondent stipulated to </w:t>
      </w:r>
      <w:r w:rsidR="00C267F8">
        <w:t>(1) failing to maintain sufficient fund</w:t>
      </w:r>
      <w:r w:rsidR="0058605E">
        <w:t>s</w:t>
      </w:r>
      <w:r w:rsidR="00C267F8">
        <w:t xml:space="preserve"> in her client trust account </w:t>
      </w:r>
      <w:r w:rsidR="00D51BE8">
        <w:t>between October 1998 and May 2000</w:t>
      </w:r>
      <w:r w:rsidR="00C267F8">
        <w:t xml:space="preserve"> when </w:t>
      </w:r>
      <w:r w:rsidR="00D51BE8">
        <w:t xml:space="preserve">six client trust account checks were </w:t>
      </w:r>
      <w:r w:rsidR="00C267F8">
        <w:t>either returned due to insufficient funds or paid against insufficie</w:t>
      </w:r>
      <w:r w:rsidR="00D10E00">
        <w:t>nt funds; (2) failing to report to the State Bar</w:t>
      </w:r>
      <w:r w:rsidR="00C267F8">
        <w:t xml:space="preserve"> </w:t>
      </w:r>
      <w:r w:rsidR="00D10E00">
        <w:t xml:space="preserve">a $5,000 sanctions order </w:t>
      </w:r>
      <w:r w:rsidR="00C267F8">
        <w:t>imposed on her by a bankruptcy court in Nevada; and (3) failing to adequately supervise her staff</w:t>
      </w:r>
      <w:r w:rsidR="00D10E00">
        <w:t>,</w:t>
      </w:r>
      <w:r w:rsidR="00C267F8">
        <w:t xml:space="preserve"> resulting in her staff improperly paying the $5,000 in sanctions from </w:t>
      </w:r>
      <w:r w:rsidR="00CD71FF">
        <w:t xml:space="preserve">her </w:t>
      </w:r>
      <w:r w:rsidR="00C267F8">
        <w:t>client trust account.</w:t>
      </w:r>
    </w:p>
    <w:p w:rsidR="00C267F8" w:rsidRDefault="009E2FF7" w:rsidP="009E2FF7">
      <w:pPr>
        <w:pStyle w:val="Header"/>
        <w:tabs>
          <w:tab w:val="clear" w:pos="4320"/>
          <w:tab w:val="clear" w:pos="8640"/>
        </w:tabs>
        <w:ind w:firstLine="720"/>
      </w:pPr>
      <w:r>
        <w:t xml:space="preserve">In </w:t>
      </w:r>
      <w:r w:rsidR="00D10E00">
        <w:t xml:space="preserve">respondent’s second discipline, </w:t>
      </w:r>
      <w:r w:rsidR="0016380B">
        <w:rPr>
          <w:i/>
          <w:iCs/>
        </w:rPr>
        <w:t>Whitworth</w:t>
      </w:r>
      <w:r>
        <w:t xml:space="preserve"> I</w:t>
      </w:r>
      <w:r w:rsidR="0016380B">
        <w:t>I</w:t>
      </w:r>
      <w:r>
        <w:t xml:space="preserve">, respondent stipulated </w:t>
      </w:r>
      <w:r w:rsidR="00CD71FF">
        <w:t>to failing</w:t>
      </w:r>
      <w:r w:rsidR="00C13D2E">
        <w:t xml:space="preserve">, for more than three months, to </w:t>
      </w:r>
      <w:r w:rsidR="00535B18">
        <w:t>distribute</w:t>
      </w:r>
      <w:r w:rsidR="00C13D2E">
        <w:t xml:space="preserve"> $4,398.62 to her client in accordance with </w:t>
      </w:r>
      <w:r w:rsidR="00CD71FF">
        <w:t xml:space="preserve">the </w:t>
      </w:r>
      <w:r w:rsidR="00C13D2E">
        <w:t>client’s request and a superior court order.</w:t>
      </w:r>
    </w:p>
    <w:p w:rsidR="009E2FF7" w:rsidRDefault="009E2FF7" w:rsidP="009E2FF7">
      <w:pPr>
        <w:pStyle w:val="Heading1"/>
        <w:jc w:val="left"/>
      </w:pPr>
      <w:r>
        <w:t>Mitigation</w:t>
      </w:r>
    </w:p>
    <w:p w:rsidR="009E2FF7" w:rsidRDefault="009E2FF7" w:rsidP="009E2FF7">
      <w:pPr>
        <w:pStyle w:val="Header"/>
        <w:tabs>
          <w:tab w:val="clear" w:pos="4320"/>
          <w:tab w:val="clear" w:pos="8640"/>
        </w:tabs>
        <w:ind w:firstLine="720"/>
      </w:pPr>
      <w:r>
        <w:t xml:space="preserve">Respondent </w:t>
      </w:r>
      <w:r w:rsidR="0016380B">
        <w:t xml:space="preserve">did not establish any </w:t>
      </w:r>
      <w:r>
        <w:t xml:space="preserve">mitigating circumstances by clear and convincing evidence.  </w:t>
      </w:r>
      <w:proofErr w:type="gramStart"/>
      <w:r>
        <w:t>(Standard 1.2(e).)</w:t>
      </w:r>
      <w:proofErr w:type="gramEnd"/>
    </w:p>
    <w:p w:rsidR="0016380B" w:rsidRDefault="0016380B" w:rsidP="0016380B">
      <w:pPr>
        <w:pStyle w:val="Heading1"/>
      </w:pPr>
      <w:r>
        <w:lastRenderedPageBreak/>
        <w:t>IV</w:t>
      </w:r>
      <w:proofErr w:type="gramStart"/>
      <w:r>
        <w:t>.  Discussion</w:t>
      </w:r>
      <w:proofErr w:type="gramEnd"/>
    </w:p>
    <w:p w:rsidR="0016380B" w:rsidRDefault="0016380B" w:rsidP="0016380B">
      <w:pPr>
        <w:ind w:firstLine="720"/>
      </w:pPr>
      <w:r>
        <w:t>In determining the appropriate level of discipline, the court is to consider, inter alia, the seriousness of the violations, respondent’s efforts to comply with her probation conditions, respondent’s recognition of her misconduct, and the total length of stayed suspension which could be imposed as an actual suspension.</w:t>
      </w:r>
      <w:r w:rsidR="007662A2">
        <w:t xml:space="preserve">  </w:t>
      </w:r>
      <w:proofErr w:type="gramStart"/>
      <w:r w:rsidR="007662A2">
        <w:t>(</w:t>
      </w:r>
      <w:r w:rsidR="007662A2">
        <w:rPr>
          <w:i/>
        </w:rPr>
        <w:t>In the Matter of Potack</w:t>
      </w:r>
      <w:r w:rsidR="007662A2">
        <w:t xml:space="preserve"> (Review Dept. 1991) 1 Cal. State Bar Ct. Rptr. 525, </w:t>
      </w:r>
      <w:r>
        <w:t>540.)</w:t>
      </w:r>
      <w:proofErr w:type="gramEnd"/>
      <w:r>
        <w:t xml:space="preserve">  Moreover, the court must consider standard 1.7(a), which provides that, when an attorney has a prior record of discipline, </w:t>
      </w:r>
      <w:r w:rsidR="007662A2">
        <w:t>“</w:t>
      </w:r>
      <w:r>
        <w:t>the degree of discipline imposed in the current proceeding shall be greater than that imposed in the prior proceeding unless the prior discipline imposed was so remote in time to the current proceeding and the offense for which it was imposed was so minimal in severity that imposing greater discipline in the current proceed</w:t>
      </w:r>
      <w:r w:rsidR="00F3586F">
        <w:t>ing would be manifestly unjust.”</w:t>
      </w:r>
      <w:r w:rsidR="0099153B">
        <w:rPr>
          <w:rStyle w:val="FootnoteReference"/>
        </w:rPr>
        <w:footnoteReference w:id="5"/>
      </w:r>
    </w:p>
    <w:p w:rsidR="0016380B" w:rsidRDefault="0016380B" w:rsidP="0016380B">
      <w:pPr>
        <w:ind w:firstLine="720"/>
      </w:pPr>
      <w:r>
        <w:t>The State Bar contends that it is necessary and appropriate that this court actually suspend respondent for the full one-year period of the previously stayed suspension.  This court agrees.  The case of</w:t>
      </w:r>
      <w:r w:rsidR="007662A2">
        <w:t xml:space="preserve"> </w:t>
      </w:r>
      <w:r w:rsidR="007662A2">
        <w:rPr>
          <w:i/>
        </w:rPr>
        <w:t>In the Matter of Howard</w:t>
      </w:r>
      <w:r w:rsidR="007662A2">
        <w:t xml:space="preserve"> (Review Dept. 1993) 2 Cal. State Bar Ct. Rptr. 445</w:t>
      </w:r>
      <w:r>
        <w:t xml:space="preserve"> is instructive</w:t>
      </w:r>
      <w:r w:rsidR="00CD71FF">
        <w:t xml:space="preserve">, and </w:t>
      </w:r>
      <w:r>
        <w:t xml:space="preserve">the court concludes that a one-year actual suspension is the appropriate level of discipline to recommend in the present proceeding.  </w:t>
      </w:r>
      <w:r w:rsidR="007662A2">
        <w:t xml:space="preserve">In addition, the court </w:t>
      </w:r>
      <w:r w:rsidR="00294E14">
        <w:t xml:space="preserve">sua sponte </w:t>
      </w:r>
      <w:r w:rsidR="007662A2">
        <w:t>concludes that</w:t>
      </w:r>
      <w:r w:rsidR="00294E14">
        <w:t xml:space="preserve"> </w:t>
      </w:r>
      <w:r w:rsidR="007662A2" w:rsidRPr="007662A2">
        <w:t xml:space="preserve">respondent should be required to demonstrate that </w:t>
      </w:r>
      <w:r w:rsidR="00294E14">
        <w:t>s</w:t>
      </w:r>
      <w:r w:rsidR="007662A2" w:rsidRPr="007662A2">
        <w:t>he is now willing and capable of fully engaging in the rehabilitative process by strictly complying with the probation conditions that were originally imposed on h</w:t>
      </w:r>
      <w:r w:rsidR="00294E14">
        <w:t xml:space="preserve">er </w:t>
      </w:r>
      <w:r w:rsidR="007662A2" w:rsidRPr="007662A2">
        <w:t xml:space="preserve">in </w:t>
      </w:r>
      <w:r w:rsidR="00294E14" w:rsidRPr="00294E14">
        <w:rPr>
          <w:i/>
        </w:rPr>
        <w:t>Whitworth</w:t>
      </w:r>
      <w:r w:rsidR="00294E14">
        <w:t xml:space="preserve"> II</w:t>
      </w:r>
      <w:r w:rsidR="007662A2" w:rsidRPr="007662A2">
        <w:t xml:space="preserve"> (and to which respondent stipulated) by </w:t>
      </w:r>
      <w:r w:rsidR="007662A2" w:rsidRPr="007662A2">
        <w:lastRenderedPageBreak/>
        <w:t>imposing substantially similar conditions on h</w:t>
      </w:r>
      <w:r w:rsidR="00294E14">
        <w:t xml:space="preserve">er </w:t>
      </w:r>
      <w:r w:rsidR="007662A2" w:rsidRPr="007662A2">
        <w:t>for t</w:t>
      </w:r>
      <w:r w:rsidR="00294E14">
        <w:t xml:space="preserve">wo </w:t>
      </w:r>
      <w:r w:rsidR="007662A2" w:rsidRPr="007662A2">
        <w:t>years prospectively.</w:t>
      </w:r>
      <w:r w:rsidR="00294E14">
        <w:t xml:space="preserve">  (</w:t>
      </w:r>
      <w:r w:rsidR="00294E14">
        <w:rPr>
          <w:i/>
        </w:rPr>
        <w:t>In the Matter of Meyer</w:t>
      </w:r>
      <w:r w:rsidR="00294E14">
        <w:t xml:space="preserve"> (Review Dept. 1997) 3 Cal. State Bar Ct. Rptr. 697</w:t>
      </w:r>
      <w:proofErr w:type="gramStart"/>
      <w:r w:rsidR="00294E14">
        <w:t xml:space="preserve">, </w:t>
      </w:r>
      <w:r w:rsidR="007662A2" w:rsidRPr="007662A2">
        <w:t xml:space="preserve"> 705</w:t>
      </w:r>
      <w:proofErr w:type="gramEnd"/>
      <w:r w:rsidR="007662A2" w:rsidRPr="007662A2">
        <w:t>.)</w:t>
      </w:r>
    </w:p>
    <w:p w:rsidR="0016380B" w:rsidRDefault="0016380B" w:rsidP="0016380B">
      <w:pPr>
        <w:pStyle w:val="Heading1"/>
      </w:pPr>
      <w:r>
        <w:t xml:space="preserve">V.  </w:t>
      </w:r>
      <w:r w:rsidR="00F1505D">
        <w:t xml:space="preserve">Order and </w:t>
      </w:r>
      <w:r>
        <w:t>Discipline</w:t>
      </w:r>
      <w:r w:rsidR="00F1505D">
        <w:t xml:space="preserve"> Recommendation</w:t>
      </w:r>
    </w:p>
    <w:p w:rsidR="0016380B" w:rsidRDefault="0016380B" w:rsidP="0016380B">
      <w:pPr>
        <w:ind w:firstLine="720"/>
      </w:pPr>
      <w:r>
        <w:t xml:space="preserve">The court </w:t>
      </w:r>
      <w:r w:rsidR="00F1505D">
        <w:t xml:space="preserve">orders that the Probation Office’s March 26, 2009, motion to revoke respondent </w:t>
      </w:r>
      <w:r w:rsidR="00F1505D">
        <w:rPr>
          <w:b/>
        </w:rPr>
        <w:t>VALERIE CANDICE WHITWORTH’S</w:t>
      </w:r>
      <w:r w:rsidR="00F1505D">
        <w:t xml:space="preserve"> probation is GRANTED, and the court </w:t>
      </w:r>
      <w:r>
        <w:t xml:space="preserve">recommends that the probation imposed </w:t>
      </w:r>
      <w:r w:rsidR="00F1505D">
        <w:t xml:space="preserve">on respondent </w:t>
      </w:r>
      <w:r w:rsidR="00F1505D">
        <w:rPr>
          <w:b/>
        </w:rPr>
        <w:t>VALERIE CANDICE WHITWORTH</w:t>
      </w:r>
      <w:r w:rsidR="00F1505D">
        <w:t xml:space="preserve"> </w:t>
      </w:r>
      <w:r>
        <w:t xml:space="preserve">in the Supreme Court’s </w:t>
      </w:r>
      <w:r w:rsidR="00772E11">
        <w:t>April 4, 2008</w:t>
      </w:r>
      <w:r>
        <w:t>, order in case number S1</w:t>
      </w:r>
      <w:r w:rsidR="00772E11">
        <w:t>60620</w:t>
      </w:r>
      <w:r>
        <w:t xml:space="preserve"> (State Bar Court case number 0</w:t>
      </w:r>
      <w:r w:rsidR="00772E11">
        <w:t>5</w:t>
      </w:r>
      <w:r w:rsidR="00772E11">
        <w:noBreakHyphen/>
      </w:r>
      <w:r>
        <w:t>O</w:t>
      </w:r>
      <w:r w:rsidR="00772E11">
        <w:noBreakHyphen/>
        <w:t>04988)</w:t>
      </w:r>
      <w:r>
        <w:t xml:space="preserve"> be revoked; that the stay of execution of the one-year suspension be lifted; that </w:t>
      </w:r>
      <w:r w:rsidR="00F1505D">
        <w:t xml:space="preserve">she </w:t>
      </w:r>
      <w:r>
        <w:t>be suspended from the practice of law in the State of California for one year with credit given for the period of her involuntary inactive enrollment under this court’s order of inactive enrollment</w:t>
      </w:r>
      <w:r w:rsidR="00CD71FF">
        <w:t xml:space="preserve"> (Bus. </w:t>
      </w:r>
      <w:proofErr w:type="gramStart"/>
      <w:r w:rsidR="00CD71FF">
        <w:t>&amp; Prof. Code, § 6007, subd.</w:t>
      </w:r>
      <w:proofErr w:type="gramEnd"/>
      <w:r w:rsidR="00CD71FF">
        <w:t xml:space="preserve"> (d)(3</w:t>
      </w:r>
      <w:r>
        <w:t>)</w:t>
      </w:r>
      <w:r w:rsidR="00CD71FF">
        <w:t>)</w:t>
      </w:r>
      <w:r>
        <w:t>; and that she again be placed on probation for two years on the following conditions:</w:t>
      </w:r>
    </w:p>
    <w:p w:rsidR="0016380B" w:rsidRDefault="00F1505D" w:rsidP="00F63C01">
      <w:pPr>
        <w:numPr>
          <w:ilvl w:val="0"/>
          <w:numId w:val="13"/>
        </w:numPr>
        <w:spacing w:line="240" w:lineRule="auto"/>
      </w:pPr>
      <w:r>
        <w:t>Whitworth</w:t>
      </w:r>
      <w:r w:rsidR="0016380B" w:rsidRPr="005929E4">
        <w:t xml:space="preserve"> must comply with the provisions of the State Bar Act, the Rules of Professional Conduct, and all the conditions of this probation.</w:t>
      </w:r>
    </w:p>
    <w:p w:rsidR="00F63C01" w:rsidRPr="005929E4" w:rsidRDefault="00F63C01" w:rsidP="00F63C01">
      <w:pPr>
        <w:spacing w:line="240" w:lineRule="auto"/>
        <w:ind w:left="720"/>
      </w:pPr>
    </w:p>
    <w:p w:rsidR="0016380B" w:rsidRDefault="00F1505D" w:rsidP="00F63C01">
      <w:pPr>
        <w:numPr>
          <w:ilvl w:val="0"/>
          <w:numId w:val="13"/>
        </w:numPr>
        <w:spacing w:line="240" w:lineRule="auto"/>
      </w:pPr>
      <w:r>
        <w:t>Whitworth</w:t>
      </w:r>
      <w:r w:rsidR="0016380B" w:rsidRPr="005929E4">
        <w:t xml:space="preserve"> must maintain, with the State Bar's Membership Records Office </w:t>
      </w:r>
      <w:r w:rsidR="0016380B" w:rsidRPr="005929E4">
        <w:rPr>
          <w:i/>
          <w:iCs/>
        </w:rPr>
        <w:t>and</w:t>
      </w:r>
      <w:r w:rsidR="0016380B" w:rsidRPr="005929E4">
        <w:t xml:space="preserve"> the Stat</w:t>
      </w:r>
      <w:r w:rsidR="0016380B">
        <w:t>e Bar's Office of Probation, her</w:t>
      </w:r>
      <w:r w:rsidR="0016380B" w:rsidRPr="005929E4">
        <w:t xml:space="preserve"> current office address and telephone number or, </w:t>
      </w:r>
      <w:r w:rsidR="0016380B" w:rsidRPr="005929E4">
        <w:rPr>
          <w:i/>
          <w:iCs/>
        </w:rPr>
        <w:t>if no office is maintained,</w:t>
      </w:r>
      <w:r w:rsidR="0016380B" w:rsidRPr="005929E4">
        <w:t xml:space="preserve"> an address to be used for State Bar purposes. (Bus. &amp; Prof. Code, § 6002.1, subd. (</w:t>
      </w:r>
      <w:proofErr w:type="gramStart"/>
      <w:r w:rsidR="0016380B" w:rsidRPr="005929E4">
        <w:t>a</w:t>
      </w:r>
      <w:proofErr w:type="gramEnd"/>
      <w:r w:rsidR="0016380B" w:rsidRPr="005929E4">
        <w:t xml:space="preserve">).)  </w:t>
      </w:r>
      <w:r>
        <w:t>Whitworth</w:t>
      </w:r>
      <w:r w:rsidR="0016380B" w:rsidRPr="005929E4">
        <w:t xml:space="preserve"> must also maintain, with the State Bar's Membership Records Office </w:t>
      </w:r>
      <w:r w:rsidR="0016380B" w:rsidRPr="005929E4">
        <w:rPr>
          <w:i/>
          <w:iCs/>
        </w:rPr>
        <w:t>and</w:t>
      </w:r>
      <w:r w:rsidR="0016380B" w:rsidRPr="005929E4">
        <w:t xml:space="preserve"> the Stat</w:t>
      </w:r>
      <w:r w:rsidR="0016380B">
        <w:t>e Bar's Office of Probation, her</w:t>
      </w:r>
      <w:r w:rsidR="0016380B" w:rsidRPr="005929E4">
        <w:t xml:space="preserve"> current home address and telephone number. (See Bus. &amp; Prof. Code, § 6002.1, subd. (a)(5).</w:t>
      </w:r>
      <w:proofErr w:type="gramStart"/>
      <w:r w:rsidR="0016380B" w:rsidRPr="005929E4">
        <w:t xml:space="preserve">)  </w:t>
      </w:r>
      <w:r>
        <w:t>Whitworth</w:t>
      </w:r>
      <w:r w:rsidR="0016380B" w:rsidRPr="005929E4">
        <w:t>'s</w:t>
      </w:r>
      <w:proofErr w:type="gramEnd"/>
      <w:r w:rsidR="0016380B" w:rsidRPr="005929E4">
        <w:t xml:space="preserve"> home address and telephone number will </w:t>
      </w:r>
      <w:r w:rsidR="0016380B" w:rsidRPr="005929E4">
        <w:rPr>
          <w:i/>
          <w:iCs/>
        </w:rPr>
        <w:t>not</w:t>
      </w:r>
      <w:r w:rsidR="0016380B" w:rsidRPr="005929E4">
        <w:t xml:space="preserve"> be made available to the general public. (Bus. &amp; Prof. Code, § 6002.1, subd</w:t>
      </w:r>
      <w:r w:rsidR="0016380B">
        <w:t>. (d).</w:t>
      </w:r>
      <w:proofErr w:type="gramStart"/>
      <w:r w:rsidR="0016380B">
        <w:t xml:space="preserve">)  </w:t>
      </w:r>
      <w:r>
        <w:t>Whitworth</w:t>
      </w:r>
      <w:proofErr w:type="gramEnd"/>
      <w:r w:rsidR="0016380B">
        <w:t xml:space="preserve"> must notify </w:t>
      </w:r>
      <w:r w:rsidR="0016380B" w:rsidRPr="005929E4">
        <w:t>the Membership Records Office and the Office of Probation of any change in any of this information no later than 10 days after the change.</w:t>
      </w:r>
    </w:p>
    <w:p w:rsidR="00F63C01" w:rsidRPr="005929E4" w:rsidRDefault="00F63C01" w:rsidP="00F63C01">
      <w:pPr>
        <w:spacing w:line="240" w:lineRule="auto"/>
        <w:ind w:left="720"/>
      </w:pPr>
    </w:p>
    <w:p w:rsidR="0016380B" w:rsidRDefault="0016380B" w:rsidP="00F63C01">
      <w:pPr>
        <w:numPr>
          <w:ilvl w:val="0"/>
          <w:numId w:val="13"/>
        </w:numPr>
        <w:spacing w:line="240" w:lineRule="auto"/>
      </w:pPr>
      <w:r w:rsidRPr="005929E4">
        <w:t xml:space="preserve">Within 30 days from the effective date of discipline, </w:t>
      </w:r>
      <w:r w:rsidR="00F1505D">
        <w:t>Whitworth</w:t>
      </w:r>
      <w:r w:rsidRPr="005929E4">
        <w:t xml:space="preserve"> must contact the Office of Probation and schedule a meeting with </w:t>
      </w:r>
      <w:r w:rsidR="00F1505D">
        <w:t>Whitworth</w:t>
      </w:r>
      <w:r w:rsidRPr="005929E4">
        <w:t xml:space="preserve">’s assigned probation deputy to discuss these terms and conditions of probation.  Upon the direction of the Office of Probation, </w:t>
      </w:r>
      <w:r w:rsidR="00F1505D">
        <w:t>Whitworth</w:t>
      </w:r>
      <w:r w:rsidRPr="005929E4">
        <w:t xml:space="preserve"> must meet with the probation deputy either in-person or by telephone.  During the period of probation, </w:t>
      </w:r>
      <w:r w:rsidR="00F1505D">
        <w:t>Whitworth</w:t>
      </w:r>
      <w:r w:rsidRPr="005929E4">
        <w:t xml:space="preserve"> must promptly meet with the probation deputy as directed and upon request.</w:t>
      </w:r>
    </w:p>
    <w:p w:rsidR="00F63C01" w:rsidRPr="005929E4" w:rsidRDefault="00F63C01" w:rsidP="00F63C01">
      <w:pPr>
        <w:spacing w:line="240" w:lineRule="auto"/>
        <w:ind w:left="720"/>
      </w:pPr>
    </w:p>
    <w:p w:rsidR="0016380B" w:rsidRDefault="00F1505D" w:rsidP="00F63C01">
      <w:pPr>
        <w:numPr>
          <w:ilvl w:val="0"/>
          <w:numId w:val="13"/>
        </w:numPr>
        <w:spacing w:line="240" w:lineRule="auto"/>
      </w:pPr>
      <w:r>
        <w:t>Whitworth</w:t>
      </w:r>
      <w:r w:rsidR="0016380B" w:rsidRPr="005929E4">
        <w:t xml:space="preserve"> must report, in writing, to the State Bar's Office of Probation no later than January 10, April 10, July 10 and October 10 of each year or part thereof in which </w:t>
      </w:r>
      <w:r>
        <w:lastRenderedPageBreak/>
        <w:t>Whitworth</w:t>
      </w:r>
      <w:r w:rsidR="0016380B" w:rsidRPr="005929E4">
        <w:t xml:space="preserve"> is on probation (reporting dates).  However, if </w:t>
      </w:r>
      <w:r>
        <w:t>Whitworth</w:t>
      </w:r>
      <w:r w:rsidR="0016380B" w:rsidRPr="005929E4">
        <w:t xml:space="preserve">'s probation begins less than 30 days before a reporting date, </w:t>
      </w:r>
      <w:r>
        <w:t>Whitworth</w:t>
      </w:r>
      <w:r w:rsidR="0016380B" w:rsidRPr="005929E4">
        <w:t xml:space="preserve"> may submit the first report no later than the second reporting</w:t>
      </w:r>
      <w:r w:rsidR="0016380B">
        <w:t xml:space="preserve"> date after the beginning of her</w:t>
      </w:r>
      <w:r w:rsidR="0016380B" w:rsidRPr="005929E4">
        <w:t xml:space="preserve"> probation.  In each report, </w:t>
      </w:r>
      <w:r>
        <w:t>Whitworth</w:t>
      </w:r>
      <w:r w:rsidR="0016380B" w:rsidRPr="005929E4">
        <w:t xml:space="preserve"> must state that it covers the preceding calendar quarter or applicable portion thereof and certify by affidavit or under penalty of perjury under the laws of the State of California as follows:</w:t>
      </w:r>
    </w:p>
    <w:p w:rsidR="00F63C01" w:rsidRPr="005929E4" w:rsidRDefault="00F63C01" w:rsidP="00F63C01">
      <w:pPr>
        <w:spacing w:line="240" w:lineRule="auto"/>
        <w:ind w:left="720"/>
      </w:pPr>
    </w:p>
    <w:p w:rsidR="0016380B" w:rsidRDefault="0016380B" w:rsidP="0003501A">
      <w:pPr>
        <w:pStyle w:val="BodyTextIndent"/>
        <w:spacing w:line="240" w:lineRule="auto"/>
        <w:ind w:left="1440" w:hanging="720"/>
      </w:pPr>
      <w:r w:rsidRPr="005929E4">
        <w:t>(i)</w:t>
      </w:r>
      <w:r w:rsidRPr="005929E4">
        <w:tab/>
        <w:t xml:space="preserve">In the first report, whether </w:t>
      </w:r>
      <w:r w:rsidR="00F1505D">
        <w:t>Whitworth</w:t>
      </w:r>
      <w:r w:rsidRPr="005929E4">
        <w:t xml:space="preserve"> has complied with all the provisions of the State Bar Act, the Rules of Professional Conduct, and all other conditions of probation since the beginning of probation; and</w:t>
      </w:r>
    </w:p>
    <w:p w:rsidR="00F63C01" w:rsidRPr="005929E4" w:rsidRDefault="00F63C01" w:rsidP="00F63C01">
      <w:pPr>
        <w:pStyle w:val="BodyTextIndent"/>
        <w:spacing w:line="240" w:lineRule="auto"/>
        <w:ind w:left="2160" w:hanging="720"/>
      </w:pPr>
    </w:p>
    <w:p w:rsidR="00DC13E2" w:rsidRDefault="0016380B" w:rsidP="0003501A">
      <w:pPr>
        <w:pStyle w:val="BodyTextIndent"/>
        <w:spacing w:line="240" w:lineRule="auto"/>
        <w:ind w:left="1440" w:hanging="720"/>
      </w:pPr>
      <w:r w:rsidRPr="005929E4">
        <w:t>(ii)</w:t>
      </w:r>
      <w:r w:rsidRPr="005929E4">
        <w:tab/>
        <w:t xml:space="preserve">In each subsequent report, whether </w:t>
      </w:r>
      <w:r w:rsidR="00F1505D">
        <w:t>Whitworth</w:t>
      </w:r>
      <w:r w:rsidRPr="005929E4">
        <w:t xml:space="preserve"> has complied with all the provisions of the State Bar Act, the Rules of Professional Conduct, and all other conditions of probation during that period.</w:t>
      </w:r>
      <w:r>
        <w:t xml:space="preserve">  </w:t>
      </w:r>
      <w:r w:rsidRPr="005929E4">
        <w:t xml:space="preserve">During the last 20 days of this probation, </w:t>
      </w:r>
      <w:r w:rsidR="00F1505D">
        <w:t>Whitworth</w:t>
      </w:r>
      <w:r w:rsidRPr="005929E4">
        <w:t xml:space="preserve"> must sub</w:t>
      </w:r>
      <w:r>
        <w:t xml:space="preserve">mit a final report covering </w:t>
      </w:r>
      <w:r w:rsidRPr="005929E4">
        <w:t xml:space="preserve">any period of probation remaining after and not covered by the last quarterly report required under this probation condition.  In this final report, </w:t>
      </w:r>
      <w:r w:rsidR="00F1505D">
        <w:t>Whitworth</w:t>
      </w:r>
      <w:r w:rsidRPr="005929E4">
        <w:t xml:space="preserve"> must certify to the matters set forth in subparagraph (ii) of this probation condition by affidavit or under penalty of perjury under the laws of the State of California.</w:t>
      </w:r>
    </w:p>
    <w:p w:rsidR="00F63C01" w:rsidRPr="005929E4" w:rsidRDefault="00F63C01" w:rsidP="00F63C01">
      <w:pPr>
        <w:pStyle w:val="BodyTextIndent"/>
        <w:spacing w:line="240" w:lineRule="auto"/>
        <w:ind w:left="2160" w:hanging="720"/>
      </w:pPr>
    </w:p>
    <w:p w:rsidR="0016380B" w:rsidRDefault="0016380B" w:rsidP="00F63C01">
      <w:pPr>
        <w:numPr>
          <w:ilvl w:val="0"/>
          <w:numId w:val="13"/>
        </w:numPr>
        <w:spacing w:line="240" w:lineRule="auto"/>
      </w:pPr>
      <w:r w:rsidRPr="005929E4">
        <w:t xml:space="preserve">Subject to the proper or good faith assertion of any applicable privilege, </w:t>
      </w:r>
      <w:r w:rsidR="00F1505D">
        <w:t>Whitworth</w:t>
      </w:r>
      <w:r w:rsidRPr="005929E4">
        <w:t xml:space="preserve"> must fully, promptly, and truthfully answer any inquiries of the State Bar's Office of Probation that are directed to </w:t>
      </w:r>
      <w:r w:rsidR="00F1505D">
        <w:t>Whitworth</w:t>
      </w:r>
      <w:r w:rsidRPr="005929E4">
        <w:t xml:space="preserve">, whether orally or in writing, relating to whether </w:t>
      </w:r>
      <w:r w:rsidR="00F1505D">
        <w:t>Whitworth</w:t>
      </w:r>
      <w:r w:rsidRPr="005929E4">
        <w:t xml:space="preserve"> is complying or has complied with the conditions of this probation.</w:t>
      </w:r>
    </w:p>
    <w:p w:rsidR="00DC13E2" w:rsidRDefault="00DC13E2" w:rsidP="00DC13E2">
      <w:pPr>
        <w:spacing w:line="240" w:lineRule="auto"/>
        <w:ind w:left="720"/>
      </w:pPr>
    </w:p>
    <w:p w:rsidR="00B41D5F" w:rsidRDefault="00DC13E2" w:rsidP="00F63C01">
      <w:pPr>
        <w:numPr>
          <w:ilvl w:val="0"/>
          <w:numId w:val="13"/>
        </w:numPr>
        <w:spacing w:line="240" w:lineRule="auto"/>
      </w:pPr>
      <w:r>
        <w:t xml:space="preserve">Because </w:t>
      </w:r>
      <w:r w:rsidR="00F1505D">
        <w:t>Whitworth</w:t>
      </w:r>
      <w:r>
        <w:t xml:space="preserve"> resides permanently in North Carolina, she is not required to attend Ethics School or Client Trust Accounting School.  Instead, </w:t>
      </w:r>
      <w:r w:rsidR="00F1505D">
        <w:t>Whitworth</w:t>
      </w:r>
      <w:r>
        <w:t xml:space="preserve"> must complete at least six hours of </w:t>
      </w:r>
      <w:r w:rsidR="001F7055">
        <w:t>Minimum Continuing Legal Education (</w:t>
      </w:r>
      <w:r w:rsidR="001F7055" w:rsidRPr="006E2E9D">
        <w:t>MCLE</w:t>
      </w:r>
      <w:r w:rsidR="001F7055">
        <w:t xml:space="preserve">) </w:t>
      </w:r>
      <w:r>
        <w:t xml:space="preserve">courses in legal ethics plus at least six hours of </w:t>
      </w:r>
      <w:r w:rsidRPr="006E2E9D">
        <w:t>MCLE</w:t>
      </w:r>
      <w:r>
        <w:t xml:space="preserve"> courses</w:t>
      </w:r>
      <w:r w:rsidR="00CD71FF">
        <w:t xml:space="preserve"> in any area of the law</w:t>
      </w:r>
      <w:r>
        <w:t>.</w:t>
      </w:r>
      <w:r w:rsidR="006171DA">
        <w:t xml:space="preserve">  This probation condition is separate and apart from </w:t>
      </w:r>
      <w:r w:rsidR="00F1505D">
        <w:t>Whitworth</w:t>
      </w:r>
      <w:r w:rsidR="006171DA">
        <w:t xml:space="preserve">’s </w:t>
      </w:r>
      <w:r w:rsidR="006171DA" w:rsidRPr="006E2E9D">
        <w:t>MCLE</w:t>
      </w:r>
      <w:r w:rsidR="006171DA">
        <w:t xml:space="preserve"> requirements; accordingly, </w:t>
      </w:r>
      <w:r w:rsidR="00F1505D">
        <w:t>Whitworth</w:t>
      </w:r>
      <w:r w:rsidR="006171DA">
        <w:t xml:space="preserve"> is ordered not to claim any </w:t>
      </w:r>
      <w:r w:rsidR="006171DA" w:rsidRPr="006E2E9D">
        <w:t>MCLE</w:t>
      </w:r>
      <w:r w:rsidR="006171DA">
        <w:t xml:space="preserve"> credit for completing these twelve hours of courses.</w:t>
      </w:r>
    </w:p>
    <w:p w:rsidR="00B41D5F" w:rsidRDefault="00B41D5F" w:rsidP="00B41D5F">
      <w:pPr>
        <w:spacing w:line="240" w:lineRule="auto"/>
        <w:ind w:left="720"/>
      </w:pPr>
    </w:p>
    <w:p w:rsidR="00DC13E2" w:rsidRDefault="00B41D5F" w:rsidP="00744464">
      <w:pPr>
        <w:numPr>
          <w:ilvl w:val="0"/>
          <w:numId w:val="13"/>
        </w:numPr>
        <w:spacing w:line="240" w:lineRule="auto"/>
      </w:pPr>
      <w:r w:rsidRPr="002E7B0C">
        <w:t xml:space="preserve">During each calendar quarter in which </w:t>
      </w:r>
      <w:r w:rsidR="00F1505D">
        <w:t>Whitworth</w:t>
      </w:r>
      <w:r w:rsidRPr="002E7B0C">
        <w:t xml:space="preserve"> receives, possesses, or otherwise handles funds or property of a client (as used in this probation condition, the term “client” includes all persons and entities to which </w:t>
      </w:r>
      <w:r w:rsidR="00F1505D">
        <w:t>Whitworth</w:t>
      </w:r>
      <w:r w:rsidRPr="002E7B0C">
        <w:t xml:space="preserve"> owes a fiduciary or trust duty) in any manner, </w:t>
      </w:r>
      <w:r w:rsidR="00F1505D">
        <w:t>Whitworth</w:t>
      </w:r>
      <w:r w:rsidRPr="002E7B0C">
        <w:t xml:space="preserve"> must submit, to the State Bar's Office of Probation with the probation report for that quarter, a certificate from a </w:t>
      </w:r>
      <w:r>
        <w:t>c</w:t>
      </w:r>
      <w:r w:rsidRPr="002E7B0C">
        <w:t xml:space="preserve">ertified </w:t>
      </w:r>
      <w:r>
        <w:t>p</w:t>
      </w:r>
      <w:r w:rsidRPr="002E7B0C">
        <w:t xml:space="preserve">ublic </w:t>
      </w:r>
      <w:r>
        <w:t>a</w:t>
      </w:r>
      <w:r w:rsidRPr="002E7B0C">
        <w:t xml:space="preserve">ccountant </w:t>
      </w:r>
      <w:r>
        <w:t xml:space="preserve">(or other financial professional approved by the Office of Probation) </w:t>
      </w:r>
      <w:r w:rsidRPr="002E7B0C">
        <w:t>certifying:</w:t>
      </w:r>
      <w:r w:rsidR="00DC13E2">
        <w:t xml:space="preserve"> </w:t>
      </w:r>
    </w:p>
    <w:p w:rsidR="00B41D5F" w:rsidRPr="002E7B0C" w:rsidRDefault="00B41D5F" w:rsidP="00B41D5F">
      <w:pPr>
        <w:spacing w:line="240" w:lineRule="auto"/>
        <w:ind w:left="360" w:hanging="360"/>
      </w:pPr>
    </w:p>
    <w:p w:rsidR="00B41D5F" w:rsidRPr="002E7B0C" w:rsidRDefault="00B41D5F" w:rsidP="00B41D5F">
      <w:pPr>
        <w:spacing w:line="240" w:lineRule="auto"/>
        <w:ind w:left="1260" w:hanging="540"/>
      </w:pPr>
      <w:r w:rsidRPr="002E7B0C">
        <w:t>(</w:t>
      </w:r>
      <w:r>
        <w:t>A</w:t>
      </w:r>
      <w:r w:rsidRPr="002E7B0C">
        <w:t>)</w:t>
      </w:r>
      <w:r>
        <w:tab/>
      </w:r>
      <w:r w:rsidRPr="002E7B0C">
        <w:t xml:space="preserve">whether </w:t>
      </w:r>
      <w:r w:rsidR="00F1505D">
        <w:t>Whitworth</w:t>
      </w:r>
      <w:r w:rsidRPr="002E7B0C">
        <w:t xml:space="preserve"> has maintained a bank account that is designated as a “Trust Account,” “Clients’ Funds Account,” or words of similar import in a bank in the State of California (or, with the written consent of the client, in any other jurisdiction where there is a substantial relationship between the client or the client’s business and the other jurisdiction);</w:t>
      </w:r>
    </w:p>
    <w:p w:rsidR="00B41D5F" w:rsidRPr="002E7B0C" w:rsidRDefault="00B41D5F" w:rsidP="00B41D5F">
      <w:pPr>
        <w:spacing w:line="240" w:lineRule="auto"/>
      </w:pPr>
    </w:p>
    <w:p w:rsidR="00B41D5F" w:rsidRPr="002E7B0C" w:rsidRDefault="00B41D5F" w:rsidP="00B41D5F">
      <w:pPr>
        <w:spacing w:line="240" w:lineRule="auto"/>
        <w:ind w:left="1260" w:hanging="540"/>
      </w:pPr>
      <w:r>
        <w:lastRenderedPageBreak/>
        <w:t>(B)</w:t>
      </w:r>
      <w:r>
        <w:tab/>
      </w:r>
      <w:proofErr w:type="gramStart"/>
      <w:r w:rsidRPr="002E7B0C">
        <w:t>whether</w:t>
      </w:r>
      <w:proofErr w:type="gramEnd"/>
      <w:r w:rsidRPr="002E7B0C">
        <w:t xml:space="preserve"> </w:t>
      </w:r>
      <w:r w:rsidR="00F1505D">
        <w:t>Whitworth</w:t>
      </w:r>
      <w:r w:rsidRPr="002E7B0C">
        <w:t xml:space="preserve"> has, from the date of receipt of the client funds through the period ending five years from the date of appropriate disbursement of the funds, maintained:</w:t>
      </w:r>
    </w:p>
    <w:p w:rsidR="00B41D5F" w:rsidRPr="002E7B0C" w:rsidRDefault="00B41D5F" w:rsidP="00B41D5F">
      <w:pPr>
        <w:spacing w:line="240" w:lineRule="auto"/>
      </w:pPr>
    </w:p>
    <w:p w:rsidR="00B41D5F" w:rsidRPr="002E7B0C" w:rsidRDefault="00B41D5F" w:rsidP="00B41D5F">
      <w:pPr>
        <w:spacing w:line="240" w:lineRule="auto"/>
        <w:ind w:left="1440" w:hanging="180"/>
      </w:pPr>
      <w:r w:rsidRPr="002E7B0C">
        <w:t>(1)</w:t>
      </w:r>
      <w:r>
        <w:t xml:space="preserve">  </w:t>
      </w:r>
      <w:proofErr w:type="gramStart"/>
      <w:r w:rsidRPr="002E7B0C">
        <w:t>a</w:t>
      </w:r>
      <w:proofErr w:type="gramEnd"/>
      <w:r w:rsidRPr="002E7B0C">
        <w:t xml:space="preserve"> written ledger for each client on whose behalf funds are held that sets forth: </w:t>
      </w:r>
    </w:p>
    <w:p w:rsidR="00B41D5F" w:rsidRPr="002E7B0C" w:rsidRDefault="00B41D5F" w:rsidP="00B41D5F">
      <w:pPr>
        <w:spacing w:line="240" w:lineRule="auto"/>
      </w:pPr>
    </w:p>
    <w:p w:rsidR="00B41D5F" w:rsidRPr="002E7B0C" w:rsidRDefault="00B41D5F" w:rsidP="00987C19">
      <w:pPr>
        <w:spacing w:line="240" w:lineRule="auto"/>
        <w:ind w:left="1440" w:firstLine="270"/>
      </w:pPr>
      <w:r w:rsidRPr="002E7B0C">
        <w:t>(a)</w:t>
      </w:r>
      <w:r>
        <w:t xml:space="preserve">  </w:t>
      </w:r>
      <w:proofErr w:type="gramStart"/>
      <w:r w:rsidRPr="002E7B0C">
        <w:t>the</w:t>
      </w:r>
      <w:proofErr w:type="gramEnd"/>
      <w:r w:rsidRPr="002E7B0C">
        <w:t xml:space="preserve"> name and address of the client, </w:t>
      </w:r>
    </w:p>
    <w:p w:rsidR="00B41D5F" w:rsidRPr="002E7B0C" w:rsidRDefault="00B41D5F" w:rsidP="00987C19">
      <w:pPr>
        <w:spacing w:line="240" w:lineRule="auto"/>
        <w:ind w:left="1440" w:firstLine="270"/>
      </w:pPr>
      <w:r>
        <w:t xml:space="preserve">(b)  </w:t>
      </w:r>
      <w:proofErr w:type="gramStart"/>
      <w:r w:rsidRPr="002E7B0C">
        <w:t>the</w:t>
      </w:r>
      <w:proofErr w:type="gramEnd"/>
      <w:r w:rsidRPr="002E7B0C">
        <w:t xml:space="preserve"> date, amount, and source of all funds received on behalf of the client,</w:t>
      </w:r>
    </w:p>
    <w:p w:rsidR="00987C19" w:rsidRDefault="00B41D5F" w:rsidP="00987C19">
      <w:pPr>
        <w:spacing w:line="240" w:lineRule="auto"/>
        <w:ind w:left="1440" w:firstLine="270"/>
      </w:pPr>
      <w:r>
        <w:t xml:space="preserve">(c)  </w:t>
      </w:r>
      <w:proofErr w:type="gramStart"/>
      <w:r>
        <w:t>t</w:t>
      </w:r>
      <w:r w:rsidRPr="002E7B0C">
        <w:t>he</w:t>
      </w:r>
      <w:proofErr w:type="gramEnd"/>
      <w:r w:rsidRPr="002E7B0C">
        <w:t xml:space="preserve"> date, amount, payee, and purpose of each dis</w:t>
      </w:r>
      <w:r>
        <w:t>bursement made on behalf</w:t>
      </w:r>
    </w:p>
    <w:p w:rsidR="00B41D5F" w:rsidRPr="002E7B0C" w:rsidRDefault="00987C19" w:rsidP="00987C19">
      <w:pPr>
        <w:spacing w:line="240" w:lineRule="auto"/>
        <w:ind w:left="1710" w:firstLine="270"/>
      </w:pPr>
      <w:r>
        <w:t xml:space="preserve"> </w:t>
      </w:r>
      <w:r w:rsidR="00B41D5F">
        <w:t xml:space="preserve"> </w:t>
      </w:r>
      <w:proofErr w:type="gramStart"/>
      <w:r w:rsidR="00B41D5F">
        <w:t>of</w:t>
      </w:r>
      <w:proofErr w:type="gramEnd"/>
      <w:r w:rsidR="00B41D5F">
        <w:t xml:space="preserve"> the </w:t>
      </w:r>
      <w:r w:rsidR="00B41D5F" w:rsidRPr="002E7B0C">
        <w:t>client, and</w:t>
      </w:r>
    </w:p>
    <w:p w:rsidR="00B41D5F" w:rsidRPr="002E7B0C" w:rsidRDefault="00B41D5F" w:rsidP="00987C19">
      <w:pPr>
        <w:tabs>
          <w:tab w:val="left" w:pos="1530"/>
        </w:tabs>
        <w:spacing w:line="240" w:lineRule="auto"/>
        <w:ind w:left="1440" w:firstLine="270"/>
      </w:pPr>
      <w:r w:rsidRPr="002E7B0C">
        <w:t>(d)</w:t>
      </w:r>
      <w:r>
        <w:t xml:space="preserve">  </w:t>
      </w:r>
      <w:proofErr w:type="gramStart"/>
      <w:r w:rsidRPr="002E7B0C">
        <w:t>the</w:t>
      </w:r>
      <w:proofErr w:type="gramEnd"/>
      <w:r w:rsidRPr="002E7B0C">
        <w:t xml:space="preserve"> current balance for the client;</w:t>
      </w:r>
    </w:p>
    <w:p w:rsidR="00B41D5F" w:rsidRPr="002E7B0C" w:rsidRDefault="00B41D5F" w:rsidP="00B41D5F">
      <w:pPr>
        <w:spacing w:line="240" w:lineRule="auto"/>
      </w:pPr>
    </w:p>
    <w:p w:rsidR="00B41D5F" w:rsidRPr="002E7B0C" w:rsidRDefault="00B41D5F" w:rsidP="00987C19">
      <w:pPr>
        <w:spacing w:line="240" w:lineRule="auto"/>
        <w:ind w:left="1440" w:hanging="180"/>
      </w:pPr>
      <w:r w:rsidRPr="002E7B0C">
        <w:t>(2)</w:t>
      </w:r>
      <w:r>
        <w:t xml:space="preserve">  </w:t>
      </w:r>
      <w:proofErr w:type="gramStart"/>
      <w:r w:rsidRPr="002E7B0C">
        <w:t>a</w:t>
      </w:r>
      <w:proofErr w:type="gramEnd"/>
      <w:r w:rsidRPr="002E7B0C">
        <w:t xml:space="preserve"> written journal for each bank account that sets forth:</w:t>
      </w:r>
    </w:p>
    <w:p w:rsidR="00B41D5F" w:rsidRPr="002E7B0C" w:rsidRDefault="00B41D5F" w:rsidP="00B41D5F">
      <w:pPr>
        <w:spacing w:line="240" w:lineRule="auto"/>
      </w:pPr>
    </w:p>
    <w:p w:rsidR="00B41D5F" w:rsidRPr="002E7B0C" w:rsidRDefault="00B41D5F" w:rsidP="00987C19">
      <w:pPr>
        <w:spacing w:line="240" w:lineRule="auto"/>
        <w:ind w:left="1440" w:firstLine="270"/>
      </w:pPr>
      <w:r w:rsidRPr="002E7B0C">
        <w:t>(a)</w:t>
      </w:r>
      <w:r w:rsidR="00987C19">
        <w:t xml:space="preserve">  </w:t>
      </w:r>
      <w:proofErr w:type="gramStart"/>
      <w:r w:rsidRPr="002E7B0C">
        <w:t>the</w:t>
      </w:r>
      <w:proofErr w:type="gramEnd"/>
      <w:r w:rsidRPr="002E7B0C">
        <w:t xml:space="preserve"> name of the account,</w:t>
      </w:r>
    </w:p>
    <w:p w:rsidR="00B41D5F" w:rsidRPr="002E7B0C" w:rsidRDefault="00B41D5F" w:rsidP="00987C19">
      <w:pPr>
        <w:spacing w:line="240" w:lineRule="auto"/>
        <w:ind w:left="1440" w:firstLine="270"/>
      </w:pPr>
      <w:r w:rsidRPr="002E7B0C">
        <w:t>(b)</w:t>
      </w:r>
      <w:r w:rsidR="00987C19">
        <w:t xml:space="preserve">  </w:t>
      </w:r>
      <w:proofErr w:type="gramStart"/>
      <w:r w:rsidRPr="002E7B0C">
        <w:t>the</w:t>
      </w:r>
      <w:proofErr w:type="gramEnd"/>
      <w:r w:rsidRPr="002E7B0C">
        <w:t xml:space="preserve"> name and address of the bank where the account is maintained,</w:t>
      </w:r>
    </w:p>
    <w:p w:rsidR="00987C19" w:rsidRDefault="00B41D5F" w:rsidP="00987C19">
      <w:pPr>
        <w:spacing w:line="240" w:lineRule="auto"/>
        <w:ind w:left="1440" w:firstLine="270"/>
      </w:pPr>
      <w:r w:rsidRPr="002E7B0C">
        <w:t>(c)</w:t>
      </w:r>
      <w:r w:rsidR="00987C19">
        <w:t xml:space="preserve">  </w:t>
      </w:r>
      <w:proofErr w:type="gramStart"/>
      <w:r w:rsidRPr="002E7B0C">
        <w:t>the</w:t>
      </w:r>
      <w:proofErr w:type="gramEnd"/>
      <w:r w:rsidRPr="002E7B0C">
        <w:t xml:space="preserve"> date, amount, and client or beneficiary affected by each debit and</w:t>
      </w:r>
    </w:p>
    <w:p w:rsidR="00B41D5F" w:rsidRPr="002E7B0C" w:rsidRDefault="00987C19" w:rsidP="00987C19">
      <w:pPr>
        <w:spacing w:line="240" w:lineRule="auto"/>
        <w:ind w:left="1710" w:firstLine="270"/>
      </w:pPr>
      <w:r>
        <w:t xml:space="preserve"> </w:t>
      </w:r>
      <w:r w:rsidR="00B41D5F" w:rsidRPr="002E7B0C">
        <w:t xml:space="preserve"> </w:t>
      </w:r>
      <w:proofErr w:type="gramStart"/>
      <w:r w:rsidR="00B41D5F" w:rsidRPr="002E7B0C">
        <w:t>credit</w:t>
      </w:r>
      <w:proofErr w:type="gramEnd"/>
      <w:r w:rsidR="00B41D5F" w:rsidRPr="002E7B0C">
        <w:t>, and</w:t>
      </w:r>
    </w:p>
    <w:p w:rsidR="00B41D5F" w:rsidRPr="002E7B0C" w:rsidRDefault="00987C19" w:rsidP="00987C19">
      <w:pPr>
        <w:spacing w:line="240" w:lineRule="auto"/>
        <w:ind w:left="1440" w:firstLine="270"/>
      </w:pPr>
      <w:r>
        <w:t xml:space="preserve">(d)  </w:t>
      </w:r>
      <w:proofErr w:type="gramStart"/>
      <w:r w:rsidR="00B41D5F" w:rsidRPr="002E7B0C">
        <w:t>the</w:t>
      </w:r>
      <w:proofErr w:type="gramEnd"/>
      <w:r w:rsidR="00B41D5F" w:rsidRPr="002E7B0C">
        <w:t xml:space="preserve"> current balance in the account;</w:t>
      </w:r>
    </w:p>
    <w:p w:rsidR="00B41D5F" w:rsidRPr="002E7B0C" w:rsidRDefault="00B41D5F" w:rsidP="00B41D5F">
      <w:pPr>
        <w:spacing w:line="240" w:lineRule="auto"/>
      </w:pPr>
    </w:p>
    <w:p w:rsidR="00B41D5F" w:rsidRPr="002E7B0C" w:rsidRDefault="00B41D5F" w:rsidP="00987C19">
      <w:pPr>
        <w:spacing w:line="240" w:lineRule="auto"/>
        <w:ind w:left="1440" w:hanging="180"/>
      </w:pPr>
      <w:r>
        <w:t xml:space="preserve">(3)  </w:t>
      </w:r>
      <w:proofErr w:type="gramStart"/>
      <w:r w:rsidRPr="002E7B0C">
        <w:t>all</w:t>
      </w:r>
      <w:proofErr w:type="gramEnd"/>
      <w:r w:rsidRPr="002E7B0C">
        <w:t xml:space="preserve"> bank statements and cancelled checks for each bank account; and</w:t>
      </w:r>
    </w:p>
    <w:p w:rsidR="00B41D5F" w:rsidRPr="002E7B0C" w:rsidRDefault="00B41D5F" w:rsidP="00B41D5F">
      <w:pPr>
        <w:spacing w:line="240" w:lineRule="auto"/>
      </w:pPr>
    </w:p>
    <w:p w:rsidR="00987C19" w:rsidRDefault="00B41D5F" w:rsidP="00987C19">
      <w:pPr>
        <w:spacing w:line="240" w:lineRule="auto"/>
        <w:ind w:left="1440" w:hanging="180"/>
      </w:pPr>
      <w:r w:rsidRPr="002E7B0C">
        <w:t>(4)</w:t>
      </w:r>
      <w:r w:rsidR="00987C19">
        <w:t xml:space="preserve"> </w:t>
      </w:r>
      <w:r>
        <w:t xml:space="preserve"> </w:t>
      </w:r>
      <w:proofErr w:type="gramStart"/>
      <w:r w:rsidRPr="002E7B0C">
        <w:t>each</w:t>
      </w:r>
      <w:proofErr w:type="gramEnd"/>
      <w:r w:rsidRPr="002E7B0C">
        <w:t xml:space="preserve"> monthly reconciliation (balancing) of (1), (2), and (3) and, if there are any</w:t>
      </w:r>
    </w:p>
    <w:p w:rsidR="00B41D5F" w:rsidRPr="002E7B0C" w:rsidRDefault="00987C19" w:rsidP="00987C19">
      <w:pPr>
        <w:spacing w:line="240" w:lineRule="auto"/>
        <w:ind w:left="1620" w:hanging="180"/>
      </w:pPr>
      <w:r>
        <w:t xml:space="preserve">    </w:t>
      </w:r>
      <w:proofErr w:type="gramStart"/>
      <w:r w:rsidR="00B41D5F" w:rsidRPr="002E7B0C">
        <w:t>differences</w:t>
      </w:r>
      <w:proofErr w:type="gramEnd"/>
      <w:r w:rsidR="00B41D5F" w:rsidRPr="002E7B0C">
        <w:t>, an explanation of each difference; and</w:t>
      </w:r>
    </w:p>
    <w:p w:rsidR="00B41D5F" w:rsidRPr="002E7B0C" w:rsidRDefault="00B41D5F" w:rsidP="00B41D5F">
      <w:pPr>
        <w:spacing w:line="240" w:lineRule="auto"/>
      </w:pPr>
    </w:p>
    <w:p w:rsidR="00B41D5F" w:rsidRPr="002E7B0C" w:rsidRDefault="00B41D5F" w:rsidP="00987C19">
      <w:pPr>
        <w:spacing w:line="240" w:lineRule="auto"/>
        <w:ind w:left="1260" w:hanging="540"/>
      </w:pPr>
      <w:r>
        <w:t>(C)</w:t>
      </w:r>
      <w:r>
        <w:tab/>
      </w:r>
      <w:proofErr w:type="gramStart"/>
      <w:r w:rsidRPr="002E7B0C">
        <w:t>whether</w:t>
      </w:r>
      <w:proofErr w:type="gramEnd"/>
      <w:r w:rsidRPr="002E7B0C">
        <w:t xml:space="preserve"> </w:t>
      </w:r>
      <w:r w:rsidR="00F1505D">
        <w:t>Whitworth</w:t>
      </w:r>
      <w:r w:rsidRPr="002E7B0C">
        <w:t xml:space="preserve"> has, from the date of receipt of all securities and other properties held for the benefit of a client through the period ending five years from the date of appropriate disbursement of the securities and other properties, maintained a written journal that specifies:</w:t>
      </w:r>
    </w:p>
    <w:p w:rsidR="00B41D5F" w:rsidRPr="002E7B0C" w:rsidRDefault="00B41D5F" w:rsidP="00B41D5F">
      <w:pPr>
        <w:spacing w:line="240" w:lineRule="auto"/>
      </w:pPr>
    </w:p>
    <w:p w:rsidR="00B41D5F" w:rsidRPr="002E7B0C" w:rsidRDefault="00B41D5F" w:rsidP="00987C19">
      <w:pPr>
        <w:spacing w:line="240" w:lineRule="auto"/>
        <w:ind w:left="1260"/>
      </w:pPr>
      <w:r w:rsidRPr="002E7B0C">
        <w:t>(1)</w:t>
      </w:r>
      <w:r>
        <w:t xml:space="preserve">  </w:t>
      </w:r>
      <w:proofErr w:type="gramStart"/>
      <w:r w:rsidRPr="002E7B0C">
        <w:t>each</w:t>
      </w:r>
      <w:proofErr w:type="gramEnd"/>
      <w:r w:rsidRPr="002E7B0C">
        <w:t xml:space="preserve"> item of security and property held,</w:t>
      </w:r>
    </w:p>
    <w:p w:rsidR="00B41D5F" w:rsidRPr="002E7B0C" w:rsidRDefault="00B41D5F" w:rsidP="00987C19">
      <w:pPr>
        <w:spacing w:line="240" w:lineRule="auto"/>
        <w:ind w:left="1260"/>
      </w:pPr>
      <w:r w:rsidRPr="002E7B0C">
        <w:t>(2)</w:t>
      </w:r>
      <w:r>
        <w:t xml:space="preserve">  </w:t>
      </w:r>
      <w:proofErr w:type="gramStart"/>
      <w:r w:rsidRPr="002E7B0C">
        <w:t>the</w:t>
      </w:r>
      <w:proofErr w:type="gramEnd"/>
      <w:r w:rsidRPr="002E7B0C">
        <w:t xml:space="preserve"> person on whose behalf the security or property is held, </w:t>
      </w:r>
    </w:p>
    <w:p w:rsidR="00B41D5F" w:rsidRPr="002E7B0C" w:rsidRDefault="00B41D5F" w:rsidP="00987C19">
      <w:pPr>
        <w:spacing w:line="240" w:lineRule="auto"/>
        <w:ind w:left="1260"/>
      </w:pPr>
      <w:r w:rsidRPr="002E7B0C">
        <w:t>(3)</w:t>
      </w:r>
      <w:r>
        <w:t xml:space="preserve">  </w:t>
      </w:r>
      <w:proofErr w:type="gramStart"/>
      <w:r w:rsidRPr="002E7B0C">
        <w:t>the</w:t>
      </w:r>
      <w:proofErr w:type="gramEnd"/>
      <w:r w:rsidRPr="002E7B0C">
        <w:t xml:space="preserve"> date of receipt of the security or property,</w:t>
      </w:r>
    </w:p>
    <w:p w:rsidR="00B41D5F" w:rsidRPr="002E7B0C" w:rsidRDefault="00B41D5F" w:rsidP="00987C19">
      <w:pPr>
        <w:spacing w:line="240" w:lineRule="auto"/>
        <w:ind w:left="1260"/>
      </w:pPr>
      <w:r w:rsidRPr="002E7B0C">
        <w:t>(4)</w:t>
      </w:r>
      <w:r>
        <w:t xml:space="preserve">  </w:t>
      </w:r>
      <w:proofErr w:type="gramStart"/>
      <w:r w:rsidRPr="002E7B0C">
        <w:t>the</w:t>
      </w:r>
      <w:proofErr w:type="gramEnd"/>
      <w:r w:rsidRPr="002E7B0C">
        <w:t xml:space="preserve"> date of distribution of the security or property, and</w:t>
      </w:r>
    </w:p>
    <w:p w:rsidR="00B41D5F" w:rsidRPr="002E7B0C" w:rsidRDefault="00B41D5F" w:rsidP="00987C19">
      <w:pPr>
        <w:spacing w:line="240" w:lineRule="auto"/>
        <w:ind w:left="1260"/>
      </w:pPr>
      <w:r w:rsidRPr="002E7B0C">
        <w:t>(5)</w:t>
      </w:r>
      <w:r>
        <w:t xml:space="preserve">  </w:t>
      </w:r>
      <w:proofErr w:type="gramStart"/>
      <w:r w:rsidRPr="002E7B0C">
        <w:t>the</w:t>
      </w:r>
      <w:proofErr w:type="gramEnd"/>
      <w:r w:rsidRPr="002E7B0C">
        <w:t xml:space="preserve"> person to whom the security or property was distributed.</w:t>
      </w:r>
    </w:p>
    <w:p w:rsidR="00B41D5F" w:rsidRPr="002E7B0C" w:rsidRDefault="00B41D5F" w:rsidP="00B41D5F">
      <w:pPr>
        <w:spacing w:line="240" w:lineRule="auto"/>
      </w:pPr>
    </w:p>
    <w:p w:rsidR="00B41D5F" w:rsidRDefault="00B41D5F" w:rsidP="00987C19">
      <w:pPr>
        <w:spacing w:line="240" w:lineRule="auto"/>
        <w:ind w:left="720"/>
      </w:pPr>
      <w:r w:rsidRPr="002E7B0C">
        <w:t xml:space="preserve">If </w:t>
      </w:r>
      <w:r w:rsidR="00F1505D">
        <w:t>Whitworth</w:t>
      </w:r>
      <w:r w:rsidRPr="002E7B0C">
        <w:t xml:space="preserve"> does not receive, possess, or otherwise handle client funds or property in any manner during an entire calendar quarter and if </w:t>
      </w:r>
      <w:r w:rsidR="00F1505D">
        <w:t>Whitworth</w:t>
      </w:r>
      <w:r w:rsidRPr="002E7B0C">
        <w:t xml:space="preserve"> includes, in h</w:t>
      </w:r>
      <w:r>
        <w:t xml:space="preserve">er </w:t>
      </w:r>
      <w:r w:rsidRPr="002E7B0C">
        <w:t xml:space="preserve">probation report for that quarter, a statement to that effect under penalty of perjury under the laws of the State of California, </w:t>
      </w:r>
      <w:r w:rsidR="00F1505D">
        <w:t>Whitworth</w:t>
      </w:r>
      <w:r w:rsidRPr="002E7B0C">
        <w:t xml:space="preserve"> is not required to submit a certificate for that quarter.</w:t>
      </w:r>
    </w:p>
    <w:p w:rsidR="00B41D5F" w:rsidRPr="002E7B0C" w:rsidRDefault="00B41D5F" w:rsidP="00B41D5F">
      <w:pPr>
        <w:spacing w:line="240" w:lineRule="auto"/>
        <w:ind w:left="360"/>
      </w:pPr>
    </w:p>
    <w:p w:rsidR="001F7055" w:rsidRDefault="0071030D" w:rsidP="001F7055">
      <w:pPr>
        <w:numPr>
          <w:ilvl w:val="0"/>
          <w:numId w:val="13"/>
        </w:numPr>
        <w:spacing w:line="240" w:lineRule="auto"/>
      </w:pPr>
      <w:r>
        <w:t xml:space="preserve">Because </w:t>
      </w:r>
      <w:r w:rsidR="00F1505D">
        <w:t>Whitworth</w:t>
      </w:r>
      <w:r w:rsidR="001F7055">
        <w:t xml:space="preserve"> suffers from Multiple Sclerosis</w:t>
      </w:r>
      <w:r>
        <w:t>,</w:t>
      </w:r>
      <w:r w:rsidR="001F7055">
        <w:t xml:space="preserve"> she is unable to </w:t>
      </w:r>
      <w:r w:rsidR="00CD71FF">
        <w:t xml:space="preserve">take </w:t>
      </w:r>
      <w:r w:rsidR="001F7055">
        <w:t xml:space="preserve">the Multistate Professional Responsibility Examination (MPRE).  Accordingly, in lieu of being required to take and pass the MPRE, </w:t>
      </w:r>
      <w:r w:rsidR="00F1505D">
        <w:t>Whitworth</w:t>
      </w:r>
      <w:r w:rsidR="001F7055">
        <w:t xml:space="preserve"> is required to complete at least six hours of </w:t>
      </w:r>
      <w:r w:rsidR="001F7055" w:rsidRPr="006E2E9D">
        <w:lastRenderedPageBreak/>
        <w:t>MCLE</w:t>
      </w:r>
      <w:r w:rsidR="001F7055">
        <w:t xml:space="preserve"> courses in general legal ethics within the first year of her probation.</w:t>
      </w:r>
      <w:r>
        <w:rPr>
          <w:rStyle w:val="FootnoteReference"/>
        </w:rPr>
        <w:footnoteReference w:id="6"/>
      </w:r>
      <w:r w:rsidR="001F7055">
        <w:t xml:space="preserve">  This probation condition is separate and apart from </w:t>
      </w:r>
      <w:r w:rsidR="00F1505D">
        <w:t>Whitworth</w:t>
      </w:r>
      <w:r w:rsidR="001F7055">
        <w:t xml:space="preserve">’s </w:t>
      </w:r>
      <w:r w:rsidR="001F7055" w:rsidRPr="006E2E9D">
        <w:t>MCLE</w:t>
      </w:r>
      <w:r w:rsidR="001F7055">
        <w:t xml:space="preserve"> requirements; accordingly, </w:t>
      </w:r>
      <w:r w:rsidR="00F1505D">
        <w:t>Whitworth</w:t>
      </w:r>
      <w:r w:rsidR="001F7055">
        <w:t xml:space="preserve"> is ordered not to claim any </w:t>
      </w:r>
      <w:r w:rsidR="001F7055" w:rsidRPr="006E2E9D">
        <w:t>MCLE</w:t>
      </w:r>
      <w:r w:rsidR="001F7055">
        <w:t xml:space="preserve"> credit for completing these six hours of courses. </w:t>
      </w:r>
    </w:p>
    <w:p w:rsidR="001F7055" w:rsidRDefault="001F7055" w:rsidP="001F7055">
      <w:pPr>
        <w:spacing w:line="240" w:lineRule="auto"/>
        <w:ind w:left="720"/>
      </w:pPr>
    </w:p>
    <w:p w:rsidR="001F7055" w:rsidRDefault="00F1505D" w:rsidP="001F7055">
      <w:pPr>
        <w:numPr>
          <w:ilvl w:val="0"/>
          <w:numId w:val="13"/>
        </w:numPr>
        <w:spacing w:line="240" w:lineRule="auto"/>
      </w:pPr>
      <w:r>
        <w:t>Whitworth</w:t>
      </w:r>
      <w:r w:rsidR="0016380B" w:rsidRPr="005929E4">
        <w:t xml:space="preserve">'s </w:t>
      </w:r>
      <w:r w:rsidR="006171DA">
        <w:t xml:space="preserve">new two-year </w:t>
      </w:r>
      <w:r w:rsidR="0016380B" w:rsidRPr="005929E4">
        <w:t xml:space="preserve">probation will commence on the effective date of the Supreme Court order </w:t>
      </w:r>
      <w:r w:rsidR="00F63C01">
        <w:t>in this matter</w:t>
      </w:r>
      <w:r w:rsidR="006171DA">
        <w:t>.</w:t>
      </w:r>
    </w:p>
    <w:p w:rsidR="00F63C01" w:rsidRPr="005929E4" w:rsidRDefault="00F63C01" w:rsidP="00F63C01">
      <w:pPr>
        <w:spacing w:line="240" w:lineRule="auto"/>
        <w:ind w:left="720"/>
      </w:pPr>
    </w:p>
    <w:p w:rsidR="0016380B" w:rsidRDefault="0016380B" w:rsidP="0016380B">
      <w:pPr>
        <w:pStyle w:val="Heading1"/>
      </w:pPr>
      <w:r>
        <w:t>VI</w:t>
      </w:r>
      <w:proofErr w:type="gramStart"/>
      <w:r>
        <w:t>.  Rule</w:t>
      </w:r>
      <w:proofErr w:type="gramEnd"/>
      <w:r>
        <w:t xml:space="preserve"> 9.20</w:t>
      </w:r>
      <w:r w:rsidR="00535B18">
        <w:t>,</w:t>
      </w:r>
      <w:r>
        <w:t xml:space="preserve"> </w:t>
      </w:r>
      <w:r w:rsidR="00535B18">
        <w:t xml:space="preserve">MPRE, </w:t>
      </w:r>
      <w:r>
        <w:t>and Costs</w:t>
      </w:r>
    </w:p>
    <w:p w:rsidR="0016380B" w:rsidRDefault="0016380B" w:rsidP="0016380B">
      <w:pPr>
        <w:ind w:firstLine="720"/>
      </w:pPr>
      <w:r>
        <w:t xml:space="preserve">The court recommends that </w:t>
      </w:r>
      <w:r w:rsidR="00F1505D">
        <w:t>Whitworth</w:t>
      </w:r>
      <w:r>
        <w:t xml:space="preserve"> be ordered to comply with California Rules of Court, rule 9.20 and to perform the acts specified in subdivisions (a) and (c) of that rule within 30 and 40 calendar days, respectively, after the effective date of the Supreme Court’s order in this matter.</w:t>
      </w:r>
      <w:r>
        <w:rPr>
          <w:rStyle w:val="FootnoteReference"/>
        </w:rPr>
        <w:footnoteReference w:id="7"/>
      </w:r>
    </w:p>
    <w:p w:rsidR="008212ED" w:rsidRDefault="00775BA0" w:rsidP="0016380B">
      <w:pPr>
        <w:ind w:firstLine="720"/>
      </w:pPr>
      <w:r>
        <w:t>As noted and explained above, t</w:t>
      </w:r>
      <w:r w:rsidR="00535B18" w:rsidRPr="00535B18">
        <w:t xml:space="preserve">he court does not recommend that </w:t>
      </w:r>
      <w:r w:rsidR="00F1505D">
        <w:t>Whitworth</w:t>
      </w:r>
      <w:r w:rsidR="00535B18" w:rsidRPr="00535B18">
        <w:t xml:space="preserve"> be required to take and pass </w:t>
      </w:r>
      <w:r w:rsidR="00535B18">
        <w:t xml:space="preserve">the </w:t>
      </w:r>
      <w:r w:rsidR="008212ED">
        <w:t xml:space="preserve">MPRE </w:t>
      </w:r>
      <w:r w:rsidR="00535B18" w:rsidRPr="00535B18">
        <w:t>because she suffers from Multiple Sc</w:t>
      </w:r>
      <w:r w:rsidR="00BB5692">
        <w:t>l</w:t>
      </w:r>
      <w:r w:rsidR="00535B18" w:rsidRPr="00535B18">
        <w:t>erosis and is unable sit</w:t>
      </w:r>
      <w:r w:rsidR="00535B18">
        <w:t xml:space="preserve"> for the examination.  In</w:t>
      </w:r>
      <w:r w:rsidR="008212ED">
        <w:t xml:space="preserve">stead, </w:t>
      </w:r>
      <w:r>
        <w:t xml:space="preserve">as noted above, it is recommended that </w:t>
      </w:r>
      <w:r w:rsidR="00F1505D">
        <w:t>Whitworth</w:t>
      </w:r>
      <w:r w:rsidR="008212ED">
        <w:t xml:space="preserve"> </w:t>
      </w:r>
      <w:r>
        <w:t>be</w:t>
      </w:r>
      <w:r w:rsidR="001F7055">
        <w:t xml:space="preserve"> required </w:t>
      </w:r>
      <w:r>
        <w:t xml:space="preserve">as a condition of probation </w:t>
      </w:r>
      <w:r w:rsidR="001F7055">
        <w:t xml:space="preserve">to complete at least six hours of </w:t>
      </w:r>
      <w:r w:rsidR="001F7055" w:rsidRPr="006E2E9D">
        <w:t>MCLE</w:t>
      </w:r>
      <w:r w:rsidR="001F7055">
        <w:t xml:space="preserve"> courses in general legal ethics within the first year of her probation (see probation condition 8, </w:t>
      </w:r>
      <w:r w:rsidR="001F7055" w:rsidRPr="00F0652C">
        <w:rPr>
          <w:i/>
        </w:rPr>
        <w:t>ante</w:t>
      </w:r>
      <w:r w:rsidR="001F7055">
        <w:t xml:space="preserve">).  </w:t>
      </w:r>
    </w:p>
    <w:p w:rsidR="0016380B" w:rsidRDefault="0016380B" w:rsidP="0016380B">
      <w:pPr>
        <w:ind w:firstLine="720"/>
      </w:pPr>
      <w:r>
        <w:t>Finally, the court recommends that costs be awarded to the State Bar in accordance with Business and Professions Code section 6086.10 and be enforceable both as provided in Business and Professions Code section 6140.7 and as a money judgment.</w:t>
      </w:r>
    </w:p>
    <w:p w:rsidR="0016380B" w:rsidRDefault="0016380B" w:rsidP="0016380B">
      <w:pPr>
        <w:pStyle w:val="Heading1"/>
      </w:pPr>
      <w:r>
        <w:lastRenderedPageBreak/>
        <w:t>VII</w:t>
      </w:r>
      <w:proofErr w:type="gramStart"/>
      <w:r>
        <w:t>.  Order</w:t>
      </w:r>
      <w:proofErr w:type="gramEnd"/>
      <w:r>
        <w:t xml:space="preserve"> of Inactive Enrollment</w:t>
      </w:r>
    </w:p>
    <w:p w:rsidR="0016380B" w:rsidRDefault="00775BA0" w:rsidP="00775BA0">
      <w:pPr>
        <w:ind w:firstLine="720"/>
      </w:pPr>
      <w:r>
        <w:t>The requirements for involuntary inactive enrollment under Business and Professions Code section 6007, subdivision (d</w:t>
      </w:r>
      <w:proofErr w:type="gramStart"/>
      <w:r>
        <w:t>)(</w:t>
      </w:r>
      <w:proofErr w:type="gramEnd"/>
      <w:r>
        <w:t>1), have been met.  Therefore, t</w:t>
      </w:r>
      <w:r w:rsidR="0016380B">
        <w:t>he</w:t>
      </w:r>
      <w:r w:rsidR="00F3586F">
        <w:t xml:space="preserve"> </w:t>
      </w:r>
      <w:r w:rsidR="0016380B">
        <w:t xml:space="preserve">court orders that </w:t>
      </w:r>
      <w:r w:rsidR="00F63C01">
        <w:rPr>
          <w:b/>
        </w:rPr>
        <w:t>VALERIE CANDICE WHITWORTH</w:t>
      </w:r>
      <w:r w:rsidR="00F63C01">
        <w:t xml:space="preserve"> </w:t>
      </w:r>
      <w:r w:rsidR="0016380B">
        <w:t xml:space="preserve">be involuntarily enrolled as an inactive member of the State Bar under </w:t>
      </w:r>
      <w:r w:rsidR="00F3586F">
        <w:t xml:space="preserve">Business and Professions Code section 6007, subdivision (d)(1), </w:t>
      </w:r>
      <w:r w:rsidR="0016380B">
        <w:t xml:space="preserve">effective three days after service of this order by mail (Rules Proc. of State Bar, rule 564).  Unless otherwise ordered by the State Bar Court or the Supreme Court, </w:t>
      </w:r>
      <w:r w:rsidR="00F1505D">
        <w:t>Whitworth</w:t>
      </w:r>
      <w:r w:rsidR="0016380B">
        <w:t xml:space="preserve">’s involuntary inactive enrollment under this order will terminate, without the necessity of further court order, on the earlier of the effective date of the Supreme Court order in this matter or one year after her involuntary inactive enrollment commences. </w:t>
      </w:r>
      <w:r w:rsidR="00F3586F">
        <w:t xml:space="preserve"> </w:t>
      </w:r>
      <w:r w:rsidR="0016380B">
        <w:t xml:space="preserve">(See Bus. </w:t>
      </w:r>
      <w:proofErr w:type="gramStart"/>
      <w:r w:rsidR="0016380B">
        <w:t>&amp; Prof. Code, § 6007, subd.</w:t>
      </w:r>
      <w:proofErr w:type="gramEnd"/>
      <w:r w:rsidR="0016380B">
        <w:t xml:space="preserve"> (d)</w:t>
      </w:r>
      <w:proofErr w:type="gramStart"/>
      <w:r w:rsidR="0016380B">
        <w:t>(2); Rules Proc. of State Bar, rule 564.)</w:t>
      </w:r>
      <w:proofErr w:type="gramEnd"/>
    </w:p>
    <w:p w:rsidR="0016380B" w:rsidRDefault="0016380B" w:rsidP="0016380B">
      <w:pPr>
        <w:pStyle w:val="Header"/>
        <w:tabs>
          <w:tab w:val="clear" w:pos="4320"/>
          <w:tab w:val="clear" w:pos="8640"/>
        </w:tabs>
        <w:spacing w:line="240" w:lineRule="auto"/>
      </w:pPr>
    </w:p>
    <w:p w:rsidR="00F3586F" w:rsidRDefault="00F3586F" w:rsidP="0016380B">
      <w:pPr>
        <w:pStyle w:val="Header"/>
        <w:tabs>
          <w:tab w:val="clear" w:pos="4320"/>
          <w:tab w:val="clear" w:pos="8640"/>
        </w:tabs>
        <w:spacing w:line="240" w:lineRule="auto"/>
      </w:pPr>
    </w:p>
    <w:p w:rsidR="0016380B" w:rsidRDefault="0016380B" w:rsidP="0016380B">
      <w:pPr>
        <w:pStyle w:val="Header"/>
        <w:tabs>
          <w:tab w:val="clear" w:pos="4320"/>
          <w:tab w:val="clear" w:pos="8640"/>
        </w:tabs>
        <w:spacing w:line="240" w:lineRule="auto"/>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tblPr>
      <w:tblGrid>
        <w:gridCol w:w="4779"/>
        <w:gridCol w:w="4545"/>
      </w:tblGrid>
      <w:tr w:rsidR="008A5EFA" w:rsidTr="002831BE">
        <w:tblPrEx>
          <w:tblCellMar>
            <w:top w:w="0" w:type="dxa"/>
            <w:bottom w:w="0" w:type="dxa"/>
          </w:tblCellMar>
        </w:tblPrEx>
        <w:trPr>
          <w:trHeight w:val="137"/>
        </w:trPr>
        <w:tc>
          <w:tcPr>
            <w:tcW w:w="4779" w:type="dxa"/>
            <w:tcBorders>
              <w:left w:val="nil"/>
              <w:bottom w:val="nil"/>
            </w:tcBorders>
          </w:tcPr>
          <w:p w:rsidR="008A5EFA" w:rsidRDefault="008A5EFA" w:rsidP="00CD71FF">
            <w:pPr>
              <w:pStyle w:val="Header"/>
              <w:tabs>
                <w:tab w:val="clear" w:pos="4320"/>
                <w:tab w:val="clear" w:pos="8640"/>
              </w:tabs>
              <w:spacing w:line="240" w:lineRule="auto"/>
            </w:pPr>
            <w:r>
              <w:t xml:space="preserve">Dated:  </w:t>
            </w:r>
            <w:r w:rsidR="00FF3291">
              <w:t>August</w:t>
            </w:r>
            <w:r w:rsidR="00B65054">
              <w:t xml:space="preserve"> </w:t>
            </w:r>
            <w:r w:rsidR="00CD71FF">
              <w:t>26</w:t>
            </w:r>
            <w:r>
              <w:t>, 200</w:t>
            </w:r>
            <w:r w:rsidR="00B65054">
              <w:t>9</w:t>
            </w:r>
            <w:r>
              <w:t>.</w:t>
            </w:r>
          </w:p>
        </w:tc>
        <w:tc>
          <w:tcPr>
            <w:tcW w:w="4545" w:type="dxa"/>
            <w:tcBorders>
              <w:top w:val="single" w:sz="4" w:space="0" w:color="auto"/>
              <w:bottom w:val="nil"/>
              <w:right w:val="nil"/>
            </w:tcBorders>
          </w:tcPr>
          <w:p w:rsidR="008A5EFA" w:rsidRPr="00F3586F" w:rsidRDefault="00F3586F" w:rsidP="001C59E1">
            <w:pPr>
              <w:spacing w:line="240" w:lineRule="auto"/>
              <w:rPr>
                <w:b/>
              </w:rPr>
            </w:pPr>
            <w:r w:rsidRPr="00F3586F">
              <w:rPr>
                <w:b/>
              </w:rPr>
              <w:t>DONALD F. MILES</w:t>
            </w:r>
          </w:p>
        </w:tc>
      </w:tr>
      <w:tr w:rsidR="008A5EFA" w:rsidTr="002831BE">
        <w:tblPrEx>
          <w:tblCellMar>
            <w:top w:w="0" w:type="dxa"/>
            <w:bottom w:w="0" w:type="dxa"/>
          </w:tblCellMar>
        </w:tblPrEx>
        <w:trPr>
          <w:trHeight w:val="282"/>
        </w:trPr>
        <w:tc>
          <w:tcPr>
            <w:tcW w:w="4779" w:type="dxa"/>
            <w:tcBorders>
              <w:left w:val="nil"/>
              <w:bottom w:val="nil"/>
            </w:tcBorders>
          </w:tcPr>
          <w:p w:rsidR="008A5EFA" w:rsidRDefault="008A5EFA"/>
        </w:tc>
        <w:tc>
          <w:tcPr>
            <w:tcW w:w="4545" w:type="dxa"/>
            <w:tcBorders>
              <w:bottom w:val="nil"/>
              <w:right w:val="nil"/>
            </w:tcBorders>
          </w:tcPr>
          <w:p w:rsidR="008A5EFA" w:rsidRDefault="008A5EFA">
            <w:r>
              <w:t>Judge of the State Bar Court</w:t>
            </w:r>
          </w:p>
        </w:tc>
      </w:tr>
    </w:tbl>
    <w:p w:rsidR="008A5EFA" w:rsidRDefault="008A5EFA"/>
    <w:sectPr w:rsidR="008A5EFA">
      <w:footerReference w:type="even" r:id="rId8"/>
      <w:footerReference w:type="default" r:id="rId9"/>
      <w:footerReference w:type="first" r:id="rId10"/>
      <w:pgSz w:w="12240" w:h="15840" w:code="1"/>
      <w:pgMar w:top="1440" w:right="1440" w:bottom="36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472B" w:rsidRDefault="000E472B">
      <w:pPr>
        <w:spacing w:line="240" w:lineRule="auto"/>
      </w:pPr>
      <w:r>
        <w:separator/>
      </w:r>
    </w:p>
  </w:endnote>
  <w:endnote w:type="continuationSeparator" w:id="0">
    <w:p w:rsidR="000E472B" w:rsidRDefault="000E472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30D" w:rsidRDefault="0071030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1030D" w:rsidRDefault="0071030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30D" w:rsidRDefault="0071030D">
    <w:pPr>
      <w:pStyle w:val="Footer"/>
      <w:framePr w:wrap="around" w:vAnchor="text" w:hAnchor="margin" w:xAlign="center" w:y="1"/>
      <w:rPr>
        <w:rStyle w:val="PageNumber"/>
      </w:rPr>
    </w:pPr>
    <w:r>
      <w:rPr>
        <w:rStyle w:val="PageNumber"/>
      </w:rPr>
      <w:t>-</w:t>
    </w:r>
    <w:r>
      <w:rPr>
        <w:rStyle w:val="PageNumber"/>
      </w:rPr>
      <w:fldChar w:fldCharType="begin"/>
    </w:r>
    <w:r>
      <w:rPr>
        <w:rStyle w:val="PageNumber"/>
      </w:rPr>
      <w:instrText xml:space="preserve">PAGE  </w:instrText>
    </w:r>
    <w:r>
      <w:rPr>
        <w:rStyle w:val="PageNumber"/>
      </w:rPr>
      <w:fldChar w:fldCharType="separate"/>
    </w:r>
    <w:r w:rsidR="00807ABB">
      <w:rPr>
        <w:rStyle w:val="PageNumber"/>
        <w:noProof/>
      </w:rPr>
      <w:t>11</w:t>
    </w:r>
    <w:r>
      <w:rPr>
        <w:rStyle w:val="PageNumber"/>
      </w:rPr>
      <w:fldChar w:fldCharType="end"/>
    </w:r>
    <w:r>
      <w:rPr>
        <w:rStyle w:val="PageNumber"/>
      </w:rPr>
      <w:t>-</w:t>
    </w:r>
  </w:p>
  <w:p w:rsidR="0071030D" w:rsidRDefault="0071030D">
    <w:pPr>
      <w:pStyle w:val="Footer"/>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30D" w:rsidRDefault="0071030D">
    <w:pPr>
      <w:pStyle w:val="Footer"/>
      <w:framePr w:wrap="around" w:vAnchor="text" w:hAnchor="margin" w:xAlign="center" w:y="1"/>
      <w:rPr>
        <w:rStyle w:val="PageNumber"/>
      </w:rPr>
    </w:pPr>
  </w:p>
  <w:p w:rsidR="0071030D" w:rsidRDefault="0071030D">
    <w:pPr>
      <w:pStyle w:val="Footer"/>
      <w:framePr w:wrap="around" w:vAnchor="text" w:hAnchor="margin" w:xAlign="center" w:y="1"/>
      <w:rPr>
        <w:rStyle w:val="PageNumber"/>
      </w:rPr>
    </w:pPr>
  </w:p>
  <w:p w:rsidR="0071030D" w:rsidRDefault="007103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472B" w:rsidRDefault="000E472B">
      <w:pPr>
        <w:spacing w:line="240" w:lineRule="auto"/>
      </w:pPr>
      <w:r>
        <w:separator/>
      </w:r>
    </w:p>
  </w:footnote>
  <w:footnote w:type="continuationSeparator" w:id="0">
    <w:p w:rsidR="000E472B" w:rsidRDefault="000E472B">
      <w:pPr>
        <w:spacing w:line="240" w:lineRule="auto"/>
      </w:pPr>
      <w:r>
        <w:continuationSeparator/>
      </w:r>
    </w:p>
  </w:footnote>
  <w:footnote w:id="1">
    <w:p w:rsidR="0071030D" w:rsidRDefault="0071030D" w:rsidP="0030711F">
      <w:pPr>
        <w:pStyle w:val="FootnoteText"/>
        <w:spacing w:line="240" w:lineRule="auto"/>
      </w:pPr>
      <w:r>
        <w:rPr>
          <w:rStyle w:val="FootnoteReference"/>
        </w:rPr>
        <w:footnoteRef/>
      </w:r>
      <w:r>
        <w:t xml:space="preserve"> </w:t>
      </w:r>
      <w:r w:rsidRPr="00B355F0">
        <w:t xml:space="preserve">Respondent was admitted to the practice of law on </w:t>
      </w:r>
      <w:r>
        <w:t>December 16, 1980</w:t>
      </w:r>
      <w:r w:rsidRPr="00B355F0">
        <w:t>, and has been a member of the State Bar</w:t>
      </w:r>
      <w:r>
        <w:t xml:space="preserve"> of California since that time.</w:t>
      </w:r>
    </w:p>
  </w:footnote>
  <w:footnote w:id="2">
    <w:p w:rsidR="0071030D" w:rsidRDefault="0071030D" w:rsidP="009E2FF7">
      <w:pPr>
        <w:pStyle w:val="FootnoteTextJwayne"/>
      </w:pPr>
      <w:r>
        <w:rPr>
          <w:rStyle w:val="FootnoteReference"/>
        </w:rPr>
        <w:footnoteRef/>
      </w:r>
      <w:r>
        <w:t xml:space="preserve"> Unless otherwise indicated, all further statutory references are to the Business and Professions Code.</w:t>
      </w:r>
    </w:p>
    <w:p w:rsidR="0071030D" w:rsidRDefault="0071030D" w:rsidP="009E2FF7">
      <w:pPr>
        <w:pStyle w:val="FootnoteTextJwayne"/>
      </w:pPr>
    </w:p>
  </w:footnote>
  <w:footnote w:id="3">
    <w:p w:rsidR="0071030D" w:rsidRDefault="0071030D" w:rsidP="00CD71FF">
      <w:pPr>
        <w:pStyle w:val="FootnoteTextJwayne"/>
      </w:pPr>
    </w:p>
  </w:footnote>
  <w:footnote w:id="4">
    <w:p w:rsidR="0071030D" w:rsidRDefault="0071030D" w:rsidP="0016380B">
      <w:pPr>
        <w:pStyle w:val="FootnoteText"/>
      </w:pPr>
      <w:r>
        <w:rPr>
          <w:rStyle w:val="FootnoteReference"/>
        </w:rPr>
        <w:footnoteRef/>
      </w:r>
      <w:r>
        <w:t xml:space="preserve"> All further references to standard(s) are to this source.</w:t>
      </w:r>
    </w:p>
  </w:footnote>
  <w:footnote w:id="5">
    <w:p w:rsidR="0071030D" w:rsidRDefault="0071030D" w:rsidP="0099153B">
      <w:pPr>
        <w:pStyle w:val="FootnoteTextJwayne"/>
      </w:pPr>
      <w:r>
        <w:rPr>
          <w:rStyle w:val="FootnoteReference"/>
        </w:rPr>
        <w:footnoteRef/>
      </w:r>
      <w:r>
        <w:t xml:space="preserve"> </w:t>
      </w:r>
      <w:r w:rsidRPr="0099153B">
        <w:t>Even though standard 1.7(b) provides for disbarment when an attorney has two or more prior records of discipline like respondent does, that standard is not applicable when probation violations are charged in a probation revocation proceeding under section 6093 instead of an original disciplinary proceeding under section 6068, subdivision (k).</w:t>
      </w:r>
      <w:r>
        <w:t xml:space="preserve">  </w:t>
      </w:r>
      <w:proofErr w:type="gramStart"/>
      <w:r>
        <w:t>(</w:t>
      </w:r>
      <w:r>
        <w:rPr>
          <w:i/>
        </w:rPr>
        <w:t>In the Matter of Carr</w:t>
      </w:r>
      <w:r>
        <w:t xml:space="preserve"> (Review Dept. 1992) 2 Cal. State Bar Ct. Rptr. 244, </w:t>
      </w:r>
      <w:r w:rsidRPr="0099153B">
        <w:t>257, fn. 13.)</w:t>
      </w:r>
      <w:proofErr w:type="gramEnd"/>
    </w:p>
    <w:p w:rsidR="0071030D" w:rsidRDefault="0071030D" w:rsidP="0099153B">
      <w:pPr>
        <w:pStyle w:val="FootnoteTextJwayne"/>
      </w:pPr>
    </w:p>
  </w:footnote>
  <w:footnote w:id="6">
    <w:p w:rsidR="0071030D" w:rsidRDefault="0071030D" w:rsidP="0071030D">
      <w:pPr>
        <w:pStyle w:val="FootnoteText"/>
        <w:spacing w:line="240" w:lineRule="auto"/>
      </w:pPr>
      <w:r>
        <w:rPr>
          <w:rStyle w:val="FootnoteReference"/>
        </w:rPr>
        <w:footnoteRef/>
      </w:r>
      <w:r w:rsidR="008663FE">
        <w:t xml:space="preserve"> This recommendation </w:t>
      </w:r>
      <w:r>
        <w:t xml:space="preserve">is based on the comparable provision in the </w:t>
      </w:r>
      <w:r w:rsidRPr="0071030D">
        <w:rPr>
          <w:i/>
        </w:rPr>
        <w:t xml:space="preserve">Whitworth </w:t>
      </w:r>
      <w:r w:rsidRPr="008663FE">
        <w:t>II</w:t>
      </w:r>
      <w:r>
        <w:t xml:space="preserve"> discipline order.  </w:t>
      </w:r>
      <w:r w:rsidR="00775BA0">
        <w:t>Further, t</w:t>
      </w:r>
      <w:r>
        <w:t>his recommended requirement, tha</w:t>
      </w:r>
      <w:r w:rsidR="00775BA0">
        <w:t xml:space="preserve">t respondent take six hours of </w:t>
      </w:r>
      <w:proofErr w:type="spellStart"/>
      <w:r w:rsidR="00775BA0">
        <w:t>M</w:t>
      </w:r>
      <w:r>
        <w:t>CLE</w:t>
      </w:r>
      <w:proofErr w:type="spellEnd"/>
      <w:r>
        <w:t xml:space="preserve"> courses </w:t>
      </w:r>
      <w:r w:rsidRPr="008663FE">
        <w:rPr>
          <w:u w:val="single"/>
        </w:rPr>
        <w:t>in the first year</w:t>
      </w:r>
      <w:r>
        <w:t xml:space="preserve"> of her probation, is in addition to the recommendation</w:t>
      </w:r>
      <w:r w:rsidR="00775BA0">
        <w:t>,</w:t>
      </w:r>
      <w:r>
        <w:t xml:space="preserve"> contained in paragraph 6 above, that she complete an additional twelve hours of </w:t>
      </w:r>
      <w:proofErr w:type="spellStart"/>
      <w:r>
        <w:t>MCLE</w:t>
      </w:r>
      <w:proofErr w:type="spellEnd"/>
      <w:r>
        <w:t xml:space="preserve"> study during the </w:t>
      </w:r>
      <w:r w:rsidR="00775BA0">
        <w:t xml:space="preserve">overall </w:t>
      </w:r>
      <w:r>
        <w:t>term of her probation.</w:t>
      </w:r>
    </w:p>
  </w:footnote>
  <w:footnote w:id="7">
    <w:p w:rsidR="0071030D" w:rsidRDefault="0071030D" w:rsidP="0016380B">
      <w:pPr>
        <w:spacing w:line="240" w:lineRule="auto"/>
        <w:ind w:firstLine="720"/>
      </w:pPr>
      <w:r>
        <w:rPr>
          <w:rStyle w:val="FootnoteReference"/>
        </w:rPr>
        <w:footnoteRef/>
      </w:r>
      <w:r>
        <w:t xml:space="preserve"> Whitworth </w:t>
      </w:r>
      <w:r w:rsidRPr="00BE0038">
        <w:t>is required to file a rule 9.20(c) affidavit even if she has no clients</w:t>
      </w:r>
      <w:r>
        <w:t>.</w:t>
      </w:r>
      <w:r w:rsidRPr="00BE0038">
        <w:t xml:space="preserve"> </w:t>
      </w:r>
      <w:r>
        <w:t xml:space="preserve"> </w:t>
      </w:r>
      <w:proofErr w:type="gramStart"/>
      <w:r w:rsidRPr="00BE0038">
        <w:t>(</w:t>
      </w:r>
      <w:r w:rsidRPr="00BE0038">
        <w:rPr>
          <w:i/>
          <w:iCs/>
        </w:rPr>
        <w:t>Powers v. State Bar</w:t>
      </w:r>
      <w:r w:rsidRPr="00BE0038">
        <w:t xml:space="preserve"> (1988) 44 Cal.3d 337, 341.)</w:t>
      </w:r>
      <w:proofErr w:type="gramEnd"/>
    </w:p>
    <w:p w:rsidR="0071030D" w:rsidRDefault="0071030D" w:rsidP="0016380B">
      <w:pPr>
        <w:spacing w:line="240" w:lineRule="auto"/>
        <w:ind w:firstLine="720"/>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F3076"/>
    <w:multiLevelType w:val="hybridMultilevel"/>
    <w:tmpl w:val="6A06CC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994F00"/>
    <w:multiLevelType w:val="hybridMultilevel"/>
    <w:tmpl w:val="60EEE6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A26FCB"/>
    <w:multiLevelType w:val="hybridMultilevel"/>
    <w:tmpl w:val="3CD053F0"/>
    <w:lvl w:ilvl="0" w:tplc="2AA69D84">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459350DE"/>
    <w:multiLevelType w:val="hybridMultilevel"/>
    <w:tmpl w:val="49CEF1F0"/>
    <w:lvl w:ilvl="0" w:tplc="0409000F">
      <w:start w:val="1"/>
      <w:numFmt w:val="decimal"/>
      <w:lvlText w:val="%1."/>
      <w:lvlJc w:val="left"/>
      <w:pPr>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8FD523B"/>
    <w:multiLevelType w:val="hybridMultilevel"/>
    <w:tmpl w:val="B40A6B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CE0A96"/>
    <w:multiLevelType w:val="hybridMultilevel"/>
    <w:tmpl w:val="C958C8F2"/>
    <w:lvl w:ilvl="0" w:tplc="2CD2C720">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4AE91D47"/>
    <w:multiLevelType w:val="hybridMultilevel"/>
    <w:tmpl w:val="CFD4A6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00D5ADC"/>
    <w:multiLevelType w:val="hybridMultilevel"/>
    <w:tmpl w:val="05C8100C"/>
    <w:lvl w:ilvl="0" w:tplc="0409000F">
      <w:start w:val="1"/>
      <w:numFmt w:val="decimal"/>
      <w:lvlText w:val="%1."/>
      <w:lvlJc w:val="left"/>
      <w:pPr>
        <w:ind w:left="765"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8918B9"/>
    <w:multiLevelType w:val="hybridMultilevel"/>
    <w:tmpl w:val="EA10262C"/>
    <w:lvl w:ilvl="0" w:tplc="F20A17DE">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57FC2078"/>
    <w:multiLevelType w:val="hybridMultilevel"/>
    <w:tmpl w:val="8D8A6E76"/>
    <w:lvl w:ilvl="0" w:tplc="D09809D4">
      <w:start w:val="2"/>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9C81939"/>
    <w:multiLevelType w:val="hybridMultilevel"/>
    <w:tmpl w:val="78746556"/>
    <w:lvl w:ilvl="0" w:tplc="F8E651C4">
      <w:start w:val="1"/>
      <w:numFmt w:val="lowerRoman"/>
      <w:lvlText w:val="%1."/>
      <w:lvlJc w:val="left"/>
      <w:pPr>
        <w:ind w:left="2520" w:hanging="360"/>
      </w:pPr>
      <w:rPr>
        <w:rFonts w:ascii="Times New Roman" w:eastAsia="Times New Roman" w:hAnsi="Times New Roman"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69443125"/>
    <w:multiLevelType w:val="hybridMultilevel"/>
    <w:tmpl w:val="F4866D68"/>
    <w:lvl w:ilvl="0" w:tplc="16889D16">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7EBD7B4C"/>
    <w:multiLevelType w:val="hybridMultilevel"/>
    <w:tmpl w:val="2F8EB08E"/>
    <w:lvl w:ilvl="0" w:tplc="96CCAA2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9"/>
  </w:num>
  <w:num w:numId="2">
    <w:abstractNumId w:val="2"/>
  </w:num>
  <w:num w:numId="3">
    <w:abstractNumId w:val="8"/>
  </w:num>
  <w:num w:numId="4">
    <w:abstractNumId w:val="11"/>
  </w:num>
  <w:num w:numId="5">
    <w:abstractNumId w:val="5"/>
  </w:num>
  <w:num w:numId="6">
    <w:abstractNumId w:val="12"/>
  </w:num>
  <w:num w:numId="7">
    <w:abstractNumId w:val="7"/>
  </w:num>
  <w:num w:numId="8">
    <w:abstractNumId w:val="3"/>
  </w:num>
  <w:num w:numId="9">
    <w:abstractNumId w:val="10"/>
  </w:num>
  <w:num w:numId="10">
    <w:abstractNumId w:val="4"/>
  </w:num>
  <w:num w:numId="11">
    <w:abstractNumId w:val="1"/>
  </w:num>
  <w:num w:numId="12">
    <w:abstractNumId w:val="0"/>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B21FA6"/>
    <w:rsid w:val="00005C5B"/>
    <w:rsid w:val="00006A65"/>
    <w:rsid w:val="00010DF1"/>
    <w:rsid w:val="0001252E"/>
    <w:rsid w:val="000136A5"/>
    <w:rsid w:val="00023ED1"/>
    <w:rsid w:val="0003501A"/>
    <w:rsid w:val="00050FC5"/>
    <w:rsid w:val="00052186"/>
    <w:rsid w:val="000547D1"/>
    <w:rsid w:val="00062869"/>
    <w:rsid w:val="000659FE"/>
    <w:rsid w:val="00071839"/>
    <w:rsid w:val="000761B4"/>
    <w:rsid w:val="00076852"/>
    <w:rsid w:val="00080006"/>
    <w:rsid w:val="000873F6"/>
    <w:rsid w:val="00090389"/>
    <w:rsid w:val="00095835"/>
    <w:rsid w:val="000969F9"/>
    <w:rsid w:val="000970FB"/>
    <w:rsid w:val="000A0EDF"/>
    <w:rsid w:val="000B3A0A"/>
    <w:rsid w:val="000B6A06"/>
    <w:rsid w:val="000B7B40"/>
    <w:rsid w:val="000B7C11"/>
    <w:rsid w:val="000C00B7"/>
    <w:rsid w:val="000C0B37"/>
    <w:rsid w:val="000C4DB0"/>
    <w:rsid w:val="000C77E4"/>
    <w:rsid w:val="000D0CCD"/>
    <w:rsid w:val="000E2838"/>
    <w:rsid w:val="000E472B"/>
    <w:rsid w:val="000F69FA"/>
    <w:rsid w:val="00106843"/>
    <w:rsid w:val="0011108A"/>
    <w:rsid w:val="00115E67"/>
    <w:rsid w:val="00121CF2"/>
    <w:rsid w:val="00134343"/>
    <w:rsid w:val="00143320"/>
    <w:rsid w:val="001440B4"/>
    <w:rsid w:val="00150E62"/>
    <w:rsid w:val="001536C9"/>
    <w:rsid w:val="0015397F"/>
    <w:rsid w:val="001554DA"/>
    <w:rsid w:val="00157028"/>
    <w:rsid w:val="0016036B"/>
    <w:rsid w:val="00162142"/>
    <w:rsid w:val="0016380B"/>
    <w:rsid w:val="001701FF"/>
    <w:rsid w:val="00170DAF"/>
    <w:rsid w:val="00182395"/>
    <w:rsid w:val="001926D9"/>
    <w:rsid w:val="0019360C"/>
    <w:rsid w:val="00197128"/>
    <w:rsid w:val="001A75FA"/>
    <w:rsid w:val="001B0BF5"/>
    <w:rsid w:val="001B42C9"/>
    <w:rsid w:val="001B64CC"/>
    <w:rsid w:val="001B671F"/>
    <w:rsid w:val="001B6A72"/>
    <w:rsid w:val="001C2B53"/>
    <w:rsid w:val="001C44AB"/>
    <w:rsid w:val="001C59E1"/>
    <w:rsid w:val="001D02E1"/>
    <w:rsid w:val="001E54B7"/>
    <w:rsid w:val="001F1A78"/>
    <w:rsid w:val="001F3416"/>
    <w:rsid w:val="001F360F"/>
    <w:rsid w:val="001F3CA3"/>
    <w:rsid w:val="001F7055"/>
    <w:rsid w:val="00205ACD"/>
    <w:rsid w:val="00206CE6"/>
    <w:rsid w:val="00210B3C"/>
    <w:rsid w:val="00212E76"/>
    <w:rsid w:val="0021323E"/>
    <w:rsid w:val="0023233F"/>
    <w:rsid w:val="00233C8B"/>
    <w:rsid w:val="00233DC8"/>
    <w:rsid w:val="002372E0"/>
    <w:rsid w:val="0024347B"/>
    <w:rsid w:val="00243EFD"/>
    <w:rsid w:val="00243F53"/>
    <w:rsid w:val="00244F11"/>
    <w:rsid w:val="00270B85"/>
    <w:rsid w:val="002712C8"/>
    <w:rsid w:val="00275366"/>
    <w:rsid w:val="002831BE"/>
    <w:rsid w:val="00292B4B"/>
    <w:rsid w:val="00294CD4"/>
    <w:rsid w:val="00294E14"/>
    <w:rsid w:val="0029786A"/>
    <w:rsid w:val="002A1FD9"/>
    <w:rsid w:val="002C1CC0"/>
    <w:rsid w:val="002C6C0D"/>
    <w:rsid w:val="002C75E6"/>
    <w:rsid w:val="002D6755"/>
    <w:rsid w:val="002F16B0"/>
    <w:rsid w:val="002F3B71"/>
    <w:rsid w:val="002F54DA"/>
    <w:rsid w:val="002F70CD"/>
    <w:rsid w:val="003003B9"/>
    <w:rsid w:val="003015B2"/>
    <w:rsid w:val="003038EB"/>
    <w:rsid w:val="003055BC"/>
    <w:rsid w:val="0030711F"/>
    <w:rsid w:val="00312F55"/>
    <w:rsid w:val="00315CD8"/>
    <w:rsid w:val="003322AA"/>
    <w:rsid w:val="0034160F"/>
    <w:rsid w:val="00355410"/>
    <w:rsid w:val="0035711C"/>
    <w:rsid w:val="00363629"/>
    <w:rsid w:val="00377C14"/>
    <w:rsid w:val="00382799"/>
    <w:rsid w:val="0038420B"/>
    <w:rsid w:val="00390088"/>
    <w:rsid w:val="00392DEF"/>
    <w:rsid w:val="00395669"/>
    <w:rsid w:val="003A51CF"/>
    <w:rsid w:val="003B3003"/>
    <w:rsid w:val="003C4181"/>
    <w:rsid w:val="003D236D"/>
    <w:rsid w:val="003E642D"/>
    <w:rsid w:val="003E678D"/>
    <w:rsid w:val="003F141F"/>
    <w:rsid w:val="0040761B"/>
    <w:rsid w:val="00410CA1"/>
    <w:rsid w:val="00411E83"/>
    <w:rsid w:val="00413F5C"/>
    <w:rsid w:val="00422A13"/>
    <w:rsid w:val="004261F2"/>
    <w:rsid w:val="0044283A"/>
    <w:rsid w:val="00445C43"/>
    <w:rsid w:val="00456294"/>
    <w:rsid w:val="00460918"/>
    <w:rsid w:val="00477B14"/>
    <w:rsid w:val="00484E40"/>
    <w:rsid w:val="004911DB"/>
    <w:rsid w:val="0049761D"/>
    <w:rsid w:val="004A4F30"/>
    <w:rsid w:val="004B7FAC"/>
    <w:rsid w:val="004C6C54"/>
    <w:rsid w:val="004D2168"/>
    <w:rsid w:val="004D5E55"/>
    <w:rsid w:val="004D77D8"/>
    <w:rsid w:val="004E44E4"/>
    <w:rsid w:val="004F79D8"/>
    <w:rsid w:val="00531002"/>
    <w:rsid w:val="00535B18"/>
    <w:rsid w:val="00540130"/>
    <w:rsid w:val="00553AE3"/>
    <w:rsid w:val="00556E67"/>
    <w:rsid w:val="005572CE"/>
    <w:rsid w:val="00564158"/>
    <w:rsid w:val="00571CD1"/>
    <w:rsid w:val="0057565F"/>
    <w:rsid w:val="00577201"/>
    <w:rsid w:val="00580209"/>
    <w:rsid w:val="00580952"/>
    <w:rsid w:val="00582D66"/>
    <w:rsid w:val="00585D27"/>
    <w:rsid w:val="0058605E"/>
    <w:rsid w:val="005925F1"/>
    <w:rsid w:val="0059632C"/>
    <w:rsid w:val="005A0886"/>
    <w:rsid w:val="005B10DB"/>
    <w:rsid w:val="005B2793"/>
    <w:rsid w:val="005C2305"/>
    <w:rsid w:val="005D6B32"/>
    <w:rsid w:val="005E68ED"/>
    <w:rsid w:val="005F161C"/>
    <w:rsid w:val="006063C3"/>
    <w:rsid w:val="006171DA"/>
    <w:rsid w:val="006241E7"/>
    <w:rsid w:val="00625821"/>
    <w:rsid w:val="00631A07"/>
    <w:rsid w:val="00632220"/>
    <w:rsid w:val="006365DA"/>
    <w:rsid w:val="006422D2"/>
    <w:rsid w:val="006518AC"/>
    <w:rsid w:val="00661CD3"/>
    <w:rsid w:val="00664A68"/>
    <w:rsid w:val="00670DC2"/>
    <w:rsid w:val="00673F0D"/>
    <w:rsid w:val="00675331"/>
    <w:rsid w:val="006822D7"/>
    <w:rsid w:val="00685FE5"/>
    <w:rsid w:val="006932A6"/>
    <w:rsid w:val="006946D3"/>
    <w:rsid w:val="006A6997"/>
    <w:rsid w:val="006B4472"/>
    <w:rsid w:val="006C4AFC"/>
    <w:rsid w:val="006D740A"/>
    <w:rsid w:val="006E439B"/>
    <w:rsid w:val="006E69FA"/>
    <w:rsid w:val="006F12B4"/>
    <w:rsid w:val="006F2A0C"/>
    <w:rsid w:val="006F5E6F"/>
    <w:rsid w:val="00704DB7"/>
    <w:rsid w:val="0071030D"/>
    <w:rsid w:val="0072440F"/>
    <w:rsid w:val="00730EBC"/>
    <w:rsid w:val="00744464"/>
    <w:rsid w:val="00762CC7"/>
    <w:rsid w:val="007630D6"/>
    <w:rsid w:val="00765F33"/>
    <w:rsid w:val="007662A2"/>
    <w:rsid w:val="0076739A"/>
    <w:rsid w:val="00772E11"/>
    <w:rsid w:val="00773E61"/>
    <w:rsid w:val="00775BA0"/>
    <w:rsid w:val="00777406"/>
    <w:rsid w:val="007822A5"/>
    <w:rsid w:val="007849E6"/>
    <w:rsid w:val="007A6410"/>
    <w:rsid w:val="007B295D"/>
    <w:rsid w:val="007B2F79"/>
    <w:rsid w:val="007C170D"/>
    <w:rsid w:val="007C682B"/>
    <w:rsid w:val="007E71D6"/>
    <w:rsid w:val="007F25A1"/>
    <w:rsid w:val="007F3A72"/>
    <w:rsid w:val="00802008"/>
    <w:rsid w:val="00804E41"/>
    <w:rsid w:val="00807483"/>
    <w:rsid w:val="00807ABB"/>
    <w:rsid w:val="00811445"/>
    <w:rsid w:val="00812FC2"/>
    <w:rsid w:val="0081304C"/>
    <w:rsid w:val="00813A52"/>
    <w:rsid w:val="00817DD6"/>
    <w:rsid w:val="008212ED"/>
    <w:rsid w:val="008318D5"/>
    <w:rsid w:val="0083214E"/>
    <w:rsid w:val="008373B3"/>
    <w:rsid w:val="00840E2B"/>
    <w:rsid w:val="00846675"/>
    <w:rsid w:val="00850108"/>
    <w:rsid w:val="008518AF"/>
    <w:rsid w:val="008627B0"/>
    <w:rsid w:val="008663FE"/>
    <w:rsid w:val="00867027"/>
    <w:rsid w:val="008758A5"/>
    <w:rsid w:val="00880E3A"/>
    <w:rsid w:val="00891FBF"/>
    <w:rsid w:val="00892024"/>
    <w:rsid w:val="008947AC"/>
    <w:rsid w:val="008A08BE"/>
    <w:rsid w:val="008A22E6"/>
    <w:rsid w:val="008A5EFA"/>
    <w:rsid w:val="008B1E48"/>
    <w:rsid w:val="008B7C83"/>
    <w:rsid w:val="008C0D65"/>
    <w:rsid w:val="008C2128"/>
    <w:rsid w:val="008C2D39"/>
    <w:rsid w:val="008C77F9"/>
    <w:rsid w:val="008D4781"/>
    <w:rsid w:val="008D6ADE"/>
    <w:rsid w:val="008F149F"/>
    <w:rsid w:val="008F5DBB"/>
    <w:rsid w:val="008F5EDD"/>
    <w:rsid w:val="00901469"/>
    <w:rsid w:val="009263F9"/>
    <w:rsid w:val="00940242"/>
    <w:rsid w:val="0094332F"/>
    <w:rsid w:val="009462B8"/>
    <w:rsid w:val="009646F4"/>
    <w:rsid w:val="0096487C"/>
    <w:rsid w:val="00966372"/>
    <w:rsid w:val="00967745"/>
    <w:rsid w:val="00971B98"/>
    <w:rsid w:val="009764DB"/>
    <w:rsid w:val="00986582"/>
    <w:rsid w:val="00987C19"/>
    <w:rsid w:val="0099153B"/>
    <w:rsid w:val="00992B20"/>
    <w:rsid w:val="00994D32"/>
    <w:rsid w:val="009954CC"/>
    <w:rsid w:val="009A309A"/>
    <w:rsid w:val="009B1E06"/>
    <w:rsid w:val="009C0657"/>
    <w:rsid w:val="009C17D4"/>
    <w:rsid w:val="009C578C"/>
    <w:rsid w:val="009D1055"/>
    <w:rsid w:val="009E2895"/>
    <w:rsid w:val="009E2FF7"/>
    <w:rsid w:val="009E48B3"/>
    <w:rsid w:val="00A0384C"/>
    <w:rsid w:val="00A11372"/>
    <w:rsid w:val="00A1403F"/>
    <w:rsid w:val="00A27CC5"/>
    <w:rsid w:val="00A30FBA"/>
    <w:rsid w:val="00A33EC8"/>
    <w:rsid w:val="00A53973"/>
    <w:rsid w:val="00A53FBE"/>
    <w:rsid w:val="00A62DF4"/>
    <w:rsid w:val="00A70370"/>
    <w:rsid w:val="00A85197"/>
    <w:rsid w:val="00A90000"/>
    <w:rsid w:val="00A91696"/>
    <w:rsid w:val="00A9372E"/>
    <w:rsid w:val="00AA4FFA"/>
    <w:rsid w:val="00AB29D7"/>
    <w:rsid w:val="00AB52B7"/>
    <w:rsid w:val="00AC06FF"/>
    <w:rsid w:val="00AC33C7"/>
    <w:rsid w:val="00AC426E"/>
    <w:rsid w:val="00AC7752"/>
    <w:rsid w:val="00AD080C"/>
    <w:rsid w:val="00AD723A"/>
    <w:rsid w:val="00AE00CA"/>
    <w:rsid w:val="00AE4B63"/>
    <w:rsid w:val="00AE4FE1"/>
    <w:rsid w:val="00AE732F"/>
    <w:rsid w:val="00AF4027"/>
    <w:rsid w:val="00B00387"/>
    <w:rsid w:val="00B06721"/>
    <w:rsid w:val="00B10DD4"/>
    <w:rsid w:val="00B128C3"/>
    <w:rsid w:val="00B12E70"/>
    <w:rsid w:val="00B169D0"/>
    <w:rsid w:val="00B21FA6"/>
    <w:rsid w:val="00B27F46"/>
    <w:rsid w:val="00B355F0"/>
    <w:rsid w:val="00B41D5F"/>
    <w:rsid w:val="00B5489B"/>
    <w:rsid w:val="00B556FA"/>
    <w:rsid w:val="00B64049"/>
    <w:rsid w:val="00B65054"/>
    <w:rsid w:val="00B664FF"/>
    <w:rsid w:val="00B76A76"/>
    <w:rsid w:val="00B82053"/>
    <w:rsid w:val="00B91D3F"/>
    <w:rsid w:val="00B91FEF"/>
    <w:rsid w:val="00BA0578"/>
    <w:rsid w:val="00BA05D0"/>
    <w:rsid w:val="00BA29FD"/>
    <w:rsid w:val="00BA779D"/>
    <w:rsid w:val="00BB28E1"/>
    <w:rsid w:val="00BB5692"/>
    <w:rsid w:val="00BB5977"/>
    <w:rsid w:val="00BC0177"/>
    <w:rsid w:val="00BC4BE6"/>
    <w:rsid w:val="00BD2CB3"/>
    <w:rsid w:val="00BD7B3E"/>
    <w:rsid w:val="00BE3B5C"/>
    <w:rsid w:val="00BE7443"/>
    <w:rsid w:val="00BE78F8"/>
    <w:rsid w:val="00BF148F"/>
    <w:rsid w:val="00C006E0"/>
    <w:rsid w:val="00C10504"/>
    <w:rsid w:val="00C106A3"/>
    <w:rsid w:val="00C12048"/>
    <w:rsid w:val="00C13D2E"/>
    <w:rsid w:val="00C212C3"/>
    <w:rsid w:val="00C267F8"/>
    <w:rsid w:val="00C27BE2"/>
    <w:rsid w:val="00C3051A"/>
    <w:rsid w:val="00C30867"/>
    <w:rsid w:val="00C33068"/>
    <w:rsid w:val="00C36F5C"/>
    <w:rsid w:val="00C3705D"/>
    <w:rsid w:val="00C3719E"/>
    <w:rsid w:val="00C40FAA"/>
    <w:rsid w:val="00C41877"/>
    <w:rsid w:val="00C43E2A"/>
    <w:rsid w:val="00C46396"/>
    <w:rsid w:val="00C46B6D"/>
    <w:rsid w:val="00C53CA3"/>
    <w:rsid w:val="00C56F6D"/>
    <w:rsid w:val="00C63D4E"/>
    <w:rsid w:val="00C7621D"/>
    <w:rsid w:val="00C933EC"/>
    <w:rsid w:val="00CA1741"/>
    <w:rsid w:val="00CA7A5B"/>
    <w:rsid w:val="00CB1746"/>
    <w:rsid w:val="00CB286F"/>
    <w:rsid w:val="00CB727B"/>
    <w:rsid w:val="00CC36D9"/>
    <w:rsid w:val="00CC6847"/>
    <w:rsid w:val="00CC6F70"/>
    <w:rsid w:val="00CC7EAC"/>
    <w:rsid w:val="00CD4975"/>
    <w:rsid w:val="00CD71FF"/>
    <w:rsid w:val="00CE6C27"/>
    <w:rsid w:val="00CE7061"/>
    <w:rsid w:val="00CF4D4F"/>
    <w:rsid w:val="00CF7C43"/>
    <w:rsid w:val="00D10E00"/>
    <w:rsid w:val="00D1268E"/>
    <w:rsid w:val="00D14FF0"/>
    <w:rsid w:val="00D152B7"/>
    <w:rsid w:val="00D179DC"/>
    <w:rsid w:val="00D23039"/>
    <w:rsid w:val="00D25E03"/>
    <w:rsid w:val="00D3032E"/>
    <w:rsid w:val="00D31528"/>
    <w:rsid w:val="00D32FB3"/>
    <w:rsid w:val="00D41EDF"/>
    <w:rsid w:val="00D51BE8"/>
    <w:rsid w:val="00D644B0"/>
    <w:rsid w:val="00D707BD"/>
    <w:rsid w:val="00D71220"/>
    <w:rsid w:val="00D81963"/>
    <w:rsid w:val="00D81EE8"/>
    <w:rsid w:val="00D83104"/>
    <w:rsid w:val="00D90F9F"/>
    <w:rsid w:val="00D92AB8"/>
    <w:rsid w:val="00D94CD8"/>
    <w:rsid w:val="00D953F1"/>
    <w:rsid w:val="00DA1569"/>
    <w:rsid w:val="00DA176E"/>
    <w:rsid w:val="00DA5B84"/>
    <w:rsid w:val="00DB3EE1"/>
    <w:rsid w:val="00DB612B"/>
    <w:rsid w:val="00DC13E2"/>
    <w:rsid w:val="00DC3121"/>
    <w:rsid w:val="00DC43BD"/>
    <w:rsid w:val="00DC4D97"/>
    <w:rsid w:val="00DD136C"/>
    <w:rsid w:val="00DD6C48"/>
    <w:rsid w:val="00DE33D2"/>
    <w:rsid w:val="00DE57E8"/>
    <w:rsid w:val="00DE6301"/>
    <w:rsid w:val="00DF1415"/>
    <w:rsid w:val="00DF7B64"/>
    <w:rsid w:val="00E01F96"/>
    <w:rsid w:val="00E02B70"/>
    <w:rsid w:val="00E235D1"/>
    <w:rsid w:val="00E23CE2"/>
    <w:rsid w:val="00E313EE"/>
    <w:rsid w:val="00E32083"/>
    <w:rsid w:val="00E3325D"/>
    <w:rsid w:val="00E36E5A"/>
    <w:rsid w:val="00E410AA"/>
    <w:rsid w:val="00E411D8"/>
    <w:rsid w:val="00E44703"/>
    <w:rsid w:val="00E5079D"/>
    <w:rsid w:val="00E57616"/>
    <w:rsid w:val="00E72ABC"/>
    <w:rsid w:val="00E81353"/>
    <w:rsid w:val="00E82DAB"/>
    <w:rsid w:val="00E946F4"/>
    <w:rsid w:val="00EA6577"/>
    <w:rsid w:val="00EB52C6"/>
    <w:rsid w:val="00EC0400"/>
    <w:rsid w:val="00EC6738"/>
    <w:rsid w:val="00ED2A06"/>
    <w:rsid w:val="00ED619A"/>
    <w:rsid w:val="00ED64C0"/>
    <w:rsid w:val="00EF0FD4"/>
    <w:rsid w:val="00EF20A1"/>
    <w:rsid w:val="00EF31AB"/>
    <w:rsid w:val="00F041BC"/>
    <w:rsid w:val="00F04CDA"/>
    <w:rsid w:val="00F14FAD"/>
    <w:rsid w:val="00F1505D"/>
    <w:rsid w:val="00F155F2"/>
    <w:rsid w:val="00F159B5"/>
    <w:rsid w:val="00F33749"/>
    <w:rsid w:val="00F3586F"/>
    <w:rsid w:val="00F44EC0"/>
    <w:rsid w:val="00F500DF"/>
    <w:rsid w:val="00F63C01"/>
    <w:rsid w:val="00F651AF"/>
    <w:rsid w:val="00F66750"/>
    <w:rsid w:val="00F706EE"/>
    <w:rsid w:val="00F75BD2"/>
    <w:rsid w:val="00F80099"/>
    <w:rsid w:val="00F803DC"/>
    <w:rsid w:val="00F81A8D"/>
    <w:rsid w:val="00F83646"/>
    <w:rsid w:val="00F93BA9"/>
    <w:rsid w:val="00FA5064"/>
    <w:rsid w:val="00FA5AC2"/>
    <w:rsid w:val="00FB1054"/>
    <w:rsid w:val="00FB52B8"/>
    <w:rsid w:val="00FB5EE0"/>
    <w:rsid w:val="00FC7A3B"/>
    <w:rsid w:val="00FD051F"/>
    <w:rsid w:val="00FE20E7"/>
    <w:rsid w:val="00FE6286"/>
    <w:rsid w:val="00FE7DF8"/>
    <w:rsid w:val="00FF32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FA6"/>
    <w:pPr>
      <w:spacing w:line="480" w:lineRule="auto"/>
    </w:pPr>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link w:val="Heading2Char"/>
    <w:qFormat/>
    <w:pPr>
      <w:keepNext/>
      <w:outlineLvl w:val="1"/>
    </w:pPr>
    <w:rPr>
      <w:iCs/>
    </w:rPr>
  </w:style>
  <w:style w:type="paragraph" w:styleId="Heading3">
    <w:name w:val="heading 3"/>
    <w:basedOn w:val="Normal"/>
    <w:next w:val="Normal"/>
    <w:qFormat/>
    <w:pPr>
      <w:keepNext/>
      <w:outlineLvl w:val="2"/>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8"/>
      <w:ind w:right="90"/>
    </w:pPr>
    <w:rPr>
      <w:sz w:val="19"/>
      <w:szCs w:val="19"/>
    </w:rPr>
  </w:style>
  <w:style w:type="paragraph" w:styleId="Header">
    <w:name w:val="header"/>
    <w:basedOn w:val="Normal"/>
    <w:link w:val="HeaderChar"/>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link w:val="FootnoteTextChar"/>
    <w:semiHidden/>
    <w:qFormat/>
    <w:pPr>
      <w:ind w:firstLine="720"/>
    </w:pPr>
    <w:rPr>
      <w:szCs w:val="20"/>
    </w:rPr>
  </w:style>
  <w:style w:type="character" w:styleId="FootnoteReference">
    <w:name w:val="footnote reference"/>
    <w:basedOn w:val="DefaultParagraphFont"/>
    <w:rPr>
      <w:vertAlign w:val="superscript"/>
    </w:rPr>
  </w:style>
  <w:style w:type="paragraph" w:styleId="BodyTextIndent">
    <w:name w:val="Body Text Indent"/>
    <w:basedOn w:val="Normal"/>
    <w:semiHidden/>
    <w:pPr>
      <w:ind w:left="720"/>
    </w:pPr>
  </w:style>
  <w:style w:type="paragraph" w:styleId="BodyTextIndent2">
    <w:name w:val="Body Text Indent 2"/>
    <w:basedOn w:val="Normal"/>
    <w:semiHidden/>
  </w:style>
  <w:style w:type="paragraph" w:styleId="BodyText">
    <w:name w:val="Body Text"/>
    <w:basedOn w:val="Normal"/>
    <w:semiHidden/>
    <w:rPr>
      <w:b/>
      <w:bCs/>
      <w:i/>
      <w:iCs/>
    </w:rPr>
  </w:style>
  <w:style w:type="character" w:customStyle="1" w:styleId="HeaderChar">
    <w:name w:val="Header Char"/>
    <w:basedOn w:val="DefaultParagraphFont"/>
    <w:link w:val="Header"/>
    <w:semiHidden/>
    <w:rsid w:val="001F1A78"/>
    <w:rPr>
      <w:sz w:val="24"/>
      <w:szCs w:val="24"/>
    </w:rPr>
  </w:style>
  <w:style w:type="paragraph" w:customStyle="1" w:styleId="JWayne">
    <w:name w:val="JWayne"/>
    <w:basedOn w:val="Normal"/>
    <w:qFormat/>
    <w:rsid w:val="0024347B"/>
    <w:pPr>
      <w:jc w:val="center"/>
    </w:pPr>
    <w:rPr>
      <w:b/>
      <w:caps/>
    </w:rPr>
  </w:style>
  <w:style w:type="paragraph" w:customStyle="1" w:styleId="JWayneHead2">
    <w:name w:val="JWayne Head2"/>
    <w:basedOn w:val="Normal"/>
    <w:qFormat/>
    <w:rsid w:val="0024347B"/>
    <w:rPr>
      <w:b/>
    </w:rPr>
  </w:style>
  <w:style w:type="paragraph" w:customStyle="1" w:styleId="JWayneHead1">
    <w:name w:val="JWayne Head1"/>
    <w:basedOn w:val="Normal"/>
    <w:qFormat/>
    <w:rsid w:val="0024347B"/>
    <w:pPr>
      <w:jc w:val="center"/>
    </w:pPr>
    <w:rPr>
      <w:b/>
      <w:caps/>
    </w:rPr>
  </w:style>
  <w:style w:type="paragraph" w:customStyle="1" w:styleId="JWayneHead3">
    <w:name w:val="JWayne Head3"/>
    <w:basedOn w:val="Normal"/>
    <w:qFormat/>
    <w:rsid w:val="0024347B"/>
    <w:pPr>
      <w:ind w:firstLine="720"/>
    </w:pPr>
    <w:rPr>
      <w:b/>
    </w:rPr>
  </w:style>
  <w:style w:type="paragraph" w:customStyle="1" w:styleId="JWayneHead4">
    <w:name w:val="JWayne Head4"/>
    <w:basedOn w:val="Normal"/>
    <w:qFormat/>
    <w:rsid w:val="0024347B"/>
    <w:pPr>
      <w:ind w:left="720" w:firstLine="720"/>
    </w:pPr>
    <w:rPr>
      <w:b/>
    </w:rPr>
  </w:style>
  <w:style w:type="character" w:customStyle="1" w:styleId="FootnoteTextChar">
    <w:name w:val="Footnote Text Char"/>
    <w:basedOn w:val="DefaultParagraphFont"/>
    <w:link w:val="FootnoteText"/>
    <w:semiHidden/>
    <w:rsid w:val="0024347B"/>
    <w:rPr>
      <w:sz w:val="24"/>
    </w:rPr>
  </w:style>
  <w:style w:type="paragraph" w:customStyle="1" w:styleId="FootnoteTextJwayne">
    <w:name w:val="Footnote Text Jwayne"/>
    <w:basedOn w:val="FootnoteText"/>
    <w:qFormat/>
    <w:rsid w:val="0024347B"/>
    <w:pPr>
      <w:spacing w:line="240" w:lineRule="auto"/>
    </w:pPr>
    <w:rPr>
      <w:szCs w:val="22"/>
    </w:rPr>
  </w:style>
  <w:style w:type="character" w:customStyle="1" w:styleId="Heading2Char">
    <w:name w:val="Heading 2 Char"/>
    <w:basedOn w:val="DefaultParagraphFont"/>
    <w:link w:val="Heading2"/>
    <w:rsid w:val="0024347B"/>
    <w:rPr>
      <w:iCs/>
      <w:sz w:val="24"/>
      <w:szCs w:val="24"/>
    </w:rPr>
  </w:style>
  <w:style w:type="paragraph" w:styleId="BalloonText">
    <w:name w:val="Balloon Text"/>
    <w:basedOn w:val="Normal"/>
    <w:link w:val="BalloonTextChar"/>
    <w:uiPriority w:val="99"/>
    <w:semiHidden/>
    <w:unhideWhenUsed/>
    <w:rsid w:val="00BB569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69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45646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V:\cnsl_wkgp\Counsel%20Forms\SBC_no_line_plead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0B382-3353-48AA-A937-64AC67C91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SBC_no_line_pleading.dot</Template>
  <TotalTime>1</TotalTime>
  <Pages>11</Pages>
  <Words>2671</Words>
  <Characters>15230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STATE BAR COURT OF CALIFORNIA</vt:lpstr>
    </vt:vector>
  </TitlesOfParts>
  <Company>State Bar of California</Company>
  <LinksUpToDate>false</LinksUpToDate>
  <CharactersWithSpaces>17866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BAR COURT OF CALIFORNIA</dc:title>
  <dc:subject/>
  <dc:creator>J. Wayne Morrison</dc:creator>
  <cp:keywords/>
  <dc:description/>
  <cp:lastModifiedBy>Tammy Cleaver</cp:lastModifiedBy>
  <cp:revision>2</cp:revision>
  <cp:lastPrinted>2009-08-26T21:19:00Z</cp:lastPrinted>
  <dcterms:created xsi:type="dcterms:W3CDTF">2009-08-27T16:18:00Z</dcterms:created>
  <dcterms:modified xsi:type="dcterms:W3CDTF">2009-08-27T16:18:00Z</dcterms:modified>
</cp:coreProperties>
</file>