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B89" w:rsidRPr="00551F1F" w:rsidRDefault="00551F1F" w:rsidP="00551F1F">
      <w:pPr>
        <w:jc w:val="right"/>
        <w:rPr>
          <w:sz w:val="36"/>
        </w:rPr>
      </w:pPr>
      <w:r w:rsidRPr="00551F1F">
        <w:t>FILED AUGUST 1</w:t>
      </w:r>
      <w:r>
        <w:t>8</w:t>
      </w:r>
      <w:r w:rsidRPr="00551F1F">
        <w:t>, 2010</w:t>
      </w:r>
    </w:p>
    <w:p w:rsidR="003669F9" w:rsidRDefault="003669F9" w:rsidP="00AA7832">
      <w:pPr>
        <w:jc w:val="center"/>
        <w:rPr>
          <w:b/>
        </w:rPr>
      </w:pPr>
    </w:p>
    <w:p w:rsidR="009B3678" w:rsidRDefault="009B3678" w:rsidP="00AA7832">
      <w:pPr>
        <w:jc w:val="center"/>
        <w:rPr>
          <w:b/>
        </w:rPr>
      </w:pPr>
    </w:p>
    <w:p w:rsidR="00A45EED" w:rsidRDefault="00A45EED" w:rsidP="00AA7832">
      <w:pPr>
        <w:jc w:val="center"/>
        <w:rPr>
          <w:b/>
        </w:rPr>
      </w:pPr>
    </w:p>
    <w:p w:rsidR="009B3678" w:rsidRDefault="009B3678" w:rsidP="00AA7832">
      <w:pPr>
        <w:jc w:val="center"/>
        <w:rPr>
          <w:b/>
        </w:rPr>
      </w:pPr>
    </w:p>
    <w:p w:rsidR="00AA7832" w:rsidRDefault="00AA7832" w:rsidP="00AA7832">
      <w:pPr>
        <w:jc w:val="center"/>
        <w:rPr>
          <w:b/>
        </w:rPr>
      </w:pPr>
      <w:r w:rsidRPr="00686EC6">
        <w:rPr>
          <w:b/>
        </w:rPr>
        <w:t>STATE BAR COURT OF CALIFORNIA</w:t>
      </w:r>
    </w:p>
    <w:p w:rsidR="00AA7832" w:rsidRPr="00686EC6" w:rsidRDefault="00AA7832" w:rsidP="00AA7832">
      <w:pPr>
        <w:jc w:val="center"/>
        <w:rPr>
          <w:b/>
        </w:rPr>
      </w:pPr>
    </w:p>
    <w:p w:rsidR="00AA7832" w:rsidRDefault="00AA7832" w:rsidP="00AA7832">
      <w:pPr>
        <w:spacing w:line="480" w:lineRule="auto"/>
        <w:jc w:val="center"/>
        <w:rPr>
          <w:b/>
          <w:bCs/>
        </w:rPr>
      </w:pPr>
      <w:r>
        <w:rPr>
          <w:b/>
          <w:bCs/>
        </w:rPr>
        <w:t>HEARING DEPARTMENT – LOS ANGELES</w:t>
      </w:r>
    </w:p>
    <w:p w:rsidR="003669F9" w:rsidRDefault="003669F9" w:rsidP="00AA7832">
      <w:pPr>
        <w:spacing w:line="480" w:lineRule="auto"/>
        <w:jc w:val="center"/>
        <w:rPr>
          <w:b/>
          <w:bCs/>
        </w:rPr>
      </w:pPr>
    </w:p>
    <w:tbl>
      <w:tblPr>
        <w:tblW w:w="0" w:type="auto"/>
        <w:tblInd w:w="5" w:type="dxa"/>
        <w:tblBorders>
          <w:bottom w:val="single" w:sz="4" w:space="0" w:color="auto"/>
        </w:tblBorders>
        <w:tblCellMar>
          <w:left w:w="0" w:type="dxa"/>
          <w:right w:w="0" w:type="dxa"/>
        </w:tblCellMar>
        <w:tblLook w:val="0000"/>
      </w:tblPr>
      <w:tblGrid>
        <w:gridCol w:w="4372"/>
        <w:gridCol w:w="182"/>
        <w:gridCol w:w="240"/>
        <w:gridCol w:w="1096"/>
        <w:gridCol w:w="3465"/>
      </w:tblGrid>
      <w:tr w:rsidR="00AA7832" w:rsidTr="00957B89">
        <w:trPr>
          <w:cantSplit/>
          <w:trHeight w:val="462"/>
        </w:trPr>
        <w:tc>
          <w:tcPr>
            <w:tcW w:w="4372" w:type="dxa"/>
            <w:vMerge w:val="restart"/>
          </w:tcPr>
          <w:p w:rsidR="00AA7832" w:rsidRDefault="00AA7832" w:rsidP="00AA7832">
            <w:r>
              <w:t>In the Matter of</w:t>
            </w:r>
          </w:p>
          <w:p w:rsidR="00AA7832" w:rsidRDefault="00AA7832" w:rsidP="00AA7832">
            <w:pPr>
              <w:rPr>
                <w:b/>
                <w:bCs/>
              </w:rPr>
            </w:pPr>
          </w:p>
          <w:p w:rsidR="00AA7832" w:rsidRPr="009E2E16" w:rsidRDefault="009B3678" w:rsidP="00AA7832">
            <w:pPr>
              <w:spacing w:line="235" w:lineRule="exact"/>
            </w:pPr>
            <w:bookmarkStart w:id="0" w:name="resp"/>
            <w:bookmarkEnd w:id="0"/>
            <w:r>
              <w:rPr>
                <w:b/>
                <w:bCs/>
              </w:rPr>
              <w:t>STEPHEN THOMAS BORRELLI</w:t>
            </w:r>
            <w:r w:rsidR="00AA7832" w:rsidRPr="009E2E16">
              <w:rPr>
                <w:b/>
                <w:bCs/>
              </w:rPr>
              <w:t>,</w:t>
            </w:r>
          </w:p>
          <w:p w:rsidR="00AA7832" w:rsidRDefault="00AA7832" w:rsidP="00AA7832">
            <w:pPr>
              <w:rPr>
                <w:b/>
                <w:bCs/>
              </w:rPr>
            </w:pPr>
          </w:p>
          <w:p w:rsidR="00AA7832" w:rsidRDefault="00AA7832" w:rsidP="00AA7832">
            <w:pPr>
              <w:rPr>
                <w:b/>
                <w:bCs/>
              </w:rPr>
            </w:pPr>
            <w:r>
              <w:rPr>
                <w:b/>
                <w:bCs/>
              </w:rPr>
              <w:t xml:space="preserve">Member No.  </w:t>
            </w:r>
            <w:bookmarkStart w:id="1" w:name="member"/>
            <w:bookmarkEnd w:id="1"/>
            <w:r w:rsidR="009B3678">
              <w:rPr>
                <w:b/>
                <w:bCs/>
              </w:rPr>
              <w:t>143746</w:t>
            </w:r>
            <w:r>
              <w:rPr>
                <w:b/>
                <w:bCs/>
              </w:rPr>
              <w:t>,</w:t>
            </w:r>
          </w:p>
          <w:p w:rsidR="00AA7832" w:rsidRDefault="00AA7832" w:rsidP="00AA7832">
            <w:pPr>
              <w:rPr>
                <w:b/>
                <w:bCs/>
              </w:rPr>
            </w:pPr>
          </w:p>
          <w:p w:rsidR="00AA7832" w:rsidRDefault="00AA7832" w:rsidP="00AA7832">
            <w:r>
              <w:t>A Member of the State Bar.</w:t>
            </w:r>
          </w:p>
        </w:tc>
        <w:tc>
          <w:tcPr>
            <w:tcW w:w="182" w:type="dxa"/>
            <w:vMerge w:val="restart"/>
            <w:tcBorders>
              <w:bottom w:val="nil"/>
            </w:tcBorders>
          </w:tcPr>
          <w:p w:rsidR="00AA7832" w:rsidRDefault="00AA7832" w:rsidP="00AA7832">
            <w:pPr>
              <w:rPr>
                <w:b/>
                <w:bCs/>
              </w:rPr>
            </w:pPr>
            <w:r>
              <w:rPr>
                <w:b/>
                <w:bCs/>
              </w:rPr>
              <w:t>)</w:t>
            </w:r>
          </w:p>
          <w:p w:rsidR="00AA7832" w:rsidRDefault="00AA7832" w:rsidP="00AA7832">
            <w:pPr>
              <w:rPr>
                <w:b/>
                <w:bCs/>
              </w:rPr>
            </w:pPr>
            <w:r>
              <w:rPr>
                <w:b/>
                <w:bCs/>
              </w:rPr>
              <w:t>)</w:t>
            </w:r>
          </w:p>
          <w:p w:rsidR="00AA7832" w:rsidRDefault="00AA7832" w:rsidP="00AA7832">
            <w:pPr>
              <w:rPr>
                <w:b/>
                <w:bCs/>
              </w:rPr>
            </w:pPr>
            <w:r>
              <w:rPr>
                <w:b/>
                <w:bCs/>
              </w:rPr>
              <w:t>)</w:t>
            </w:r>
          </w:p>
          <w:p w:rsidR="00AA7832" w:rsidRDefault="00AA7832" w:rsidP="00AA7832">
            <w:pPr>
              <w:rPr>
                <w:b/>
                <w:bCs/>
              </w:rPr>
            </w:pPr>
            <w:r>
              <w:rPr>
                <w:b/>
                <w:bCs/>
              </w:rPr>
              <w:t>)</w:t>
            </w:r>
          </w:p>
          <w:p w:rsidR="00AA7832" w:rsidRDefault="00AA7832" w:rsidP="00AA7832">
            <w:pPr>
              <w:rPr>
                <w:b/>
                <w:bCs/>
              </w:rPr>
            </w:pPr>
            <w:r>
              <w:rPr>
                <w:b/>
                <w:bCs/>
              </w:rPr>
              <w:t>)</w:t>
            </w:r>
          </w:p>
          <w:p w:rsidR="00AA7832" w:rsidRDefault="00AA7832" w:rsidP="00AA7832">
            <w:pPr>
              <w:rPr>
                <w:b/>
                <w:bCs/>
              </w:rPr>
            </w:pPr>
            <w:r>
              <w:rPr>
                <w:b/>
                <w:bCs/>
              </w:rPr>
              <w:t>)</w:t>
            </w:r>
          </w:p>
          <w:p w:rsidR="00AA7832" w:rsidRDefault="00AA7832" w:rsidP="00AA7832">
            <w:pPr>
              <w:rPr>
                <w:b/>
                <w:bCs/>
              </w:rPr>
            </w:pPr>
            <w:r>
              <w:rPr>
                <w:b/>
                <w:bCs/>
              </w:rPr>
              <w:t>)</w:t>
            </w:r>
          </w:p>
        </w:tc>
        <w:tc>
          <w:tcPr>
            <w:tcW w:w="240" w:type="dxa"/>
            <w:vMerge w:val="restart"/>
            <w:tcBorders>
              <w:bottom w:val="nil"/>
            </w:tcBorders>
          </w:tcPr>
          <w:p w:rsidR="00AA7832" w:rsidRDefault="00AA7832" w:rsidP="00AA7832">
            <w:pPr>
              <w:rPr>
                <w:b/>
                <w:bCs/>
              </w:rPr>
            </w:pPr>
          </w:p>
        </w:tc>
        <w:tc>
          <w:tcPr>
            <w:tcW w:w="1096" w:type="dxa"/>
            <w:tcBorders>
              <w:bottom w:val="nil"/>
            </w:tcBorders>
          </w:tcPr>
          <w:p w:rsidR="00AA7832" w:rsidRDefault="00AA7832" w:rsidP="00AA7832">
            <w:r>
              <w:t>Case No.:</w:t>
            </w:r>
          </w:p>
        </w:tc>
        <w:tc>
          <w:tcPr>
            <w:tcW w:w="3465" w:type="dxa"/>
          </w:tcPr>
          <w:p w:rsidR="00AA7832" w:rsidRDefault="00AA7832" w:rsidP="009B3678">
            <w:pPr>
              <w:rPr>
                <w:b/>
                <w:bCs/>
              </w:rPr>
            </w:pPr>
            <w:bookmarkStart w:id="2" w:name="caseno"/>
            <w:bookmarkEnd w:id="2"/>
            <w:r>
              <w:rPr>
                <w:b/>
                <w:bCs/>
              </w:rPr>
              <w:t>10-AE-0</w:t>
            </w:r>
            <w:r w:rsidR="009B3678">
              <w:rPr>
                <w:b/>
                <w:bCs/>
              </w:rPr>
              <w:t>6880</w:t>
            </w:r>
            <w:r w:rsidRPr="009E2E16">
              <w:rPr>
                <w:b/>
                <w:bCs/>
              </w:rPr>
              <w:t>-DFM</w:t>
            </w:r>
          </w:p>
        </w:tc>
      </w:tr>
      <w:tr w:rsidR="00AA7832" w:rsidTr="00957B89">
        <w:trPr>
          <w:cantSplit/>
          <w:trHeight w:val="1480"/>
        </w:trPr>
        <w:tc>
          <w:tcPr>
            <w:tcW w:w="4372" w:type="dxa"/>
            <w:vMerge/>
          </w:tcPr>
          <w:p w:rsidR="00AA7832" w:rsidRDefault="00AA7832" w:rsidP="00AA7832"/>
        </w:tc>
        <w:tc>
          <w:tcPr>
            <w:tcW w:w="182" w:type="dxa"/>
            <w:vMerge/>
            <w:tcBorders>
              <w:bottom w:val="nil"/>
            </w:tcBorders>
          </w:tcPr>
          <w:p w:rsidR="00AA7832" w:rsidRDefault="00AA7832" w:rsidP="00AA7832">
            <w:pPr>
              <w:rPr>
                <w:b/>
                <w:bCs/>
              </w:rPr>
            </w:pPr>
          </w:p>
        </w:tc>
        <w:tc>
          <w:tcPr>
            <w:tcW w:w="240" w:type="dxa"/>
            <w:vMerge/>
            <w:tcBorders>
              <w:bottom w:val="nil"/>
            </w:tcBorders>
          </w:tcPr>
          <w:p w:rsidR="00AA7832" w:rsidRDefault="00AA7832" w:rsidP="00AA7832">
            <w:pPr>
              <w:rPr>
                <w:b/>
                <w:bCs/>
              </w:rPr>
            </w:pPr>
          </w:p>
        </w:tc>
        <w:tc>
          <w:tcPr>
            <w:tcW w:w="4561" w:type="dxa"/>
            <w:gridSpan w:val="2"/>
            <w:tcBorders>
              <w:bottom w:val="nil"/>
            </w:tcBorders>
          </w:tcPr>
          <w:p w:rsidR="00AA7832" w:rsidRDefault="00AA7832" w:rsidP="00AA7832">
            <w:pPr>
              <w:rPr>
                <w:b/>
                <w:bCs/>
              </w:rPr>
            </w:pPr>
            <w:bookmarkStart w:id="3" w:name="title"/>
            <w:bookmarkEnd w:id="3"/>
            <w:r w:rsidRPr="009E2E16">
              <w:rPr>
                <w:b/>
                <w:bCs/>
              </w:rPr>
              <w:t>ORDER GRANTING MOTION FOR INVOLUNTARY INACTIVE ENROLLMENT</w:t>
            </w:r>
          </w:p>
        </w:tc>
      </w:tr>
    </w:tbl>
    <w:p w:rsidR="003669F9" w:rsidRDefault="003669F9">
      <w:pPr>
        <w:spacing w:line="235" w:lineRule="exact"/>
      </w:pPr>
    </w:p>
    <w:p w:rsidR="00412183" w:rsidRDefault="00412183" w:rsidP="00434E2C">
      <w:pPr>
        <w:tabs>
          <w:tab w:val="center" w:pos="4680"/>
        </w:tabs>
        <w:spacing w:line="470" w:lineRule="exact"/>
        <w:jc w:val="center"/>
      </w:pPr>
      <w:r>
        <w:rPr>
          <w:b/>
          <w:bCs/>
        </w:rPr>
        <w:t>Introduction</w:t>
      </w:r>
    </w:p>
    <w:p w:rsidR="00412183" w:rsidRDefault="00412183" w:rsidP="006B2772">
      <w:pPr>
        <w:spacing w:line="470" w:lineRule="exact"/>
        <w:ind w:firstLine="720"/>
      </w:pPr>
      <w:r>
        <w:t xml:space="preserve">On </w:t>
      </w:r>
      <w:r w:rsidR="00AC695A">
        <w:t>July 16</w:t>
      </w:r>
      <w:r w:rsidR="006B2772">
        <w:t>,</w:t>
      </w:r>
      <w:r w:rsidR="00B96055">
        <w:t xml:space="preserve"> 2010</w:t>
      </w:r>
      <w:r w:rsidR="00AC695A">
        <w:t>,</w:t>
      </w:r>
      <w:r w:rsidR="006B2772">
        <w:t xml:space="preserve"> the Presiding </w:t>
      </w:r>
      <w:r>
        <w:t>Arbitrator of the State Bar’s Mandator</w:t>
      </w:r>
      <w:r w:rsidR="006B2772">
        <w:t xml:space="preserve">y Fee Arbitration Program, </w:t>
      </w:r>
      <w:r w:rsidR="00B96055">
        <w:t>Joel Mark</w:t>
      </w:r>
      <w:r w:rsidR="006B2772">
        <w:t xml:space="preserve"> </w:t>
      </w:r>
      <w:r>
        <w:t>(Presiding Arbitrator), and his designee, its Director and Special Deputy T</w:t>
      </w:r>
      <w:r w:rsidR="00AA7832">
        <w:t>rial Counsel</w:t>
      </w:r>
      <w:r w:rsidR="006B2772">
        <w:t xml:space="preserve"> Jill A. Sperber, </w:t>
      </w:r>
      <w:r>
        <w:t>filed a motion seeking the involun</w:t>
      </w:r>
      <w:r w:rsidR="004E1B45">
        <w:t>tary enrollment of Award Debtor</w:t>
      </w:r>
      <w:r>
        <w:rPr>
          <w:b/>
          <w:bCs/>
        </w:rPr>
        <w:t xml:space="preserve"> </w:t>
      </w:r>
      <w:r w:rsidR="00AC695A">
        <w:rPr>
          <w:b/>
          <w:bCs/>
        </w:rPr>
        <w:t>STEPHEN THOMAS BORRELLI</w:t>
      </w:r>
      <w:r w:rsidR="001E1C4A">
        <w:rPr>
          <w:bCs/>
        </w:rPr>
        <w:t xml:space="preserve"> </w:t>
      </w:r>
      <w:r w:rsidR="004E1B45">
        <w:rPr>
          <w:bCs/>
        </w:rPr>
        <w:t>(</w:t>
      </w:r>
      <w:r w:rsidR="004E1B45">
        <w:t>Award Debtor)</w:t>
      </w:r>
      <w:r>
        <w:t xml:space="preserve"> under Business and Professions Code section 6203, subdivision (d)</w:t>
      </w:r>
      <w:r>
        <w:rPr>
          <w:rStyle w:val="FootnoteReference"/>
          <w:vertAlign w:val="superscript"/>
        </w:rPr>
        <w:footnoteReference w:id="1"/>
      </w:r>
      <w:r>
        <w:t xml:space="preserve"> due to </w:t>
      </w:r>
      <w:r w:rsidR="00AA7832">
        <w:t>Award Debtor’s</w:t>
      </w:r>
      <w:r>
        <w:t xml:space="preserve"> failure to pay </w:t>
      </w:r>
      <w:r w:rsidR="00B73D07">
        <w:t>a final and binding fee arbitration award</w:t>
      </w:r>
      <w:r>
        <w:t>.  The m</w:t>
      </w:r>
      <w:r w:rsidR="006B2772">
        <w:t>otio</w:t>
      </w:r>
      <w:r w:rsidR="00404AD1">
        <w:t xml:space="preserve">n was properly served on </w:t>
      </w:r>
      <w:r w:rsidR="00D51C9D">
        <w:t>July 15</w:t>
      </w:r>
      <w:r w:rsidR="00B96055">
        <w:t>, 2010</w:t>
      </w:r>
      <w:r>
        <w:t>, at Award Debtor’s official membership records address, by certified mail, return receipt r</w:t>
      </w:r>
      <w:r w:rsidR="002C1E6C">
        <w:t xml:space="preserve">equested, and by regular mail. </w:t>
      </w:r>
      <w:r>
        <w:t>(Bus. &amp; Prof. Code, §6002.1, subd. (c); Rules Proc. of State Bar, rule 701(b).</w:t>
      </w:r>
      <w:r>
        <w:rPr>
          <w:rStyle w:val="FootnoteReference"/>
          <w:vertAlign w:val="superscript"/>
        </w:rPr>
        <w:footnoteReference w:id="2"/>
      </w:r>
      <w:r>
        <w:t>)</w:t>
      </w:r>
      <w:r w:rsidR="00957B89">
        <w:t xml:space="preserve"> </w:t>
      </w:r>
    </w:p>
    <w:p w:rsidR="00984FA8" w:rsidRDefault="00412183" w:rsidP="00C10D17">
      <w:pPr>
        <w:spacing w:line="470" w:lineRule="exact"/>
        <w:ind w:firstLine="720"/>
      </w:pPr>
      <w:r w:rsidRPr="00954A77">
        <w:t xml:space="preserve">Award Debtor </w:t>
      </w:r>
      <w:r w:rsidR="00957B89" w:rsidRPr="00954A77">
        <w:t xml:space="preserve">received </w:t>
      </w:r>
      <w:r w:rsidR="001C780E" w:rsidRPr="001C780E">
        <w:t>proper</w:t>
      </w:r>
      <w:r w:rsidR="00957B89" w:rsidRPr="001C780E">
        <w:t xml:space="preserve"> notice</w:t>
      </w:r>
      <w:r w:rsidR="00957B89" w:rsidRPr="00954A77">
        <w:t xml:space="preserve"> of this proceeding but </w:t>
      </w:r>
      <w:r w:rsidRPr="00954A77">
        <w:t>did not file a response to th</w:t>
      </w:r>
      <w:r w:rsidR="002C1E6C" w:rsidRPr="00954A77">
        <w:t xml:space="preserve">e motion or request a hearing. </w:t>
      </w:r>
      <w:r w:rsidRPr="00954A77">
        <w:t>(Rules 702(a) and (b) and 704.)</w:t>
      </w:r>
      <w:r w:rsidR="00957B89">
        <w:t xml:space="preserve">  </w:t>
      </w:r>
      <w:r>
        <w:t xml:space="preserve">The court </w:t>
      </w:r>
      <w:r w:rsidR="00957B89">
        <w:t xml:space="preserve">then </w:t>
      </w:r>
      <w:r>
        <w:t xml:space="preserve">ordered that the matter be submitted for decision without a hearing on </w:t>
      </w:r>
      <w:r w:rsidR="009D071E">
        <w:t>August 3</w:t>
      </w:r>
      <w:r w:rsidR="00B96055">
        <w:t>, 2010</w:t>
      </w:r>
      <w:r>
        <w:t>.</w:t>
      </w:r>
    </w:p>
    <w:p w:rsidR="00C10D17" w:rsidRPr="00C10D17" w:rsidRDefault="00C10D17" w:rsidP="00C10D17">
      <w:pPr>
        <w:spacing w:line="470" w:lineRule="exact"/>
        <w:ind w:firstLine="720"/>
      </w:pPr>
    </w:p>
    <w:p w:rsidR="00412183" w:rsidRDefault="00412183" w:rsidP="00434E2C">
      <w:pPr>
        <w:tabs>
          <w:tab w:val="center" w:pos="4680"/>
        </w:tabs>
        <w:spacing w:line="470" w:lineRule="exact"/>
        <w:jc w:val="center"/>
      </w:pPr>
      <w:r>
        <w:rPr>
          <w:b/>
          <w:bCs/>
        </w:rPr>
        <w:t>Findings of Fact and Conclusions of Law</w:t>
      </w:r>
    </w:p>
    <w:p w:rsidR="00412183" w:rsidRDefault="00412183" w:rsidP="002E36AD">
      <w:pPr>
        <w:tabs>
          <w:tab w:val="left" w:pos="-1440"/>
        </w:tabs>
        <w:spacing w:line="470" w:lineRule="exact"/>
        <w:ind w:left="720" w:hanging="720"/>
        <w:jc w:val="both"/>
      </w:pPr>
      <w:r>
        <w:rPr>
          <w:b/>
          <w:bCs/>
        </w:rPr>
        <w:t>Jurisdiction</w:t>
      </w:r>
    </w:p>
    <w:p w:rsidR="00412183" w:rsidRDefault="00412183" w:rsidP="002E36AD">
      <w:pPr>
        <w:spacing w:line="470" w:lineRule="exact"/>
        <w:ind w:firstLine="720"/>
        <w:jc w:val="both"/>
      </w:pPr>
      <w:r>
        <w:t xml:space="preserve">Award Debtor was admitted to the practice of law in California on </w:t>
      </w:r>
      <w:r w:rsidR="00E8595B">
        <w:t>December 11</w:t>
      </w:r>
      <w:r w:rsidR="001D3875">
        <w:t>, 1989</w:t>
      </w:r>
      <w:r>
        <w:t>, and has been a member of the State Bar at all times since.</w:t>
      </w:r>
    </w:p>
    <w:p w:rsidR="00B96055" w:rsidRPr="00B96055" w:rsidRDefault="00B96055" w:rsidP="00B96055">
      <w:pPr>
        <w:spacing w:line="470" w:lineRule="exact"/>
        <w:rPr>
          <w:b/>
        </w:rPr>
      </w:pPr>
      <w:r w:rsidRPr="00B96055">
        <w:rPr>
          <w:b/>
        </w:rPr>
        <w:t>Case 10-AE-0</w:t>
      </w:r>
      <w:r w:rsidR="00E8595B">
        <w:rPr>
          <w:b/>
        </w:rPr>
        <w:t>6880</w:t>
      </w:r>
    </w:p>
    <w:p w:rsidR="00512100" w:rsidRDefault="00645B13" w:rsidP="006B2772">
      <w:pPr>
        <w:spacing w:line="470" w:lineRule="exact"/>
        <w:ind w:firstLine="720"/>
      </w:pPr>
      <w:r>
        <w:t xml:space="preserve">On </w:t>
      </w:r>
      <w:r w:rsidR="0029245B">
        <w:t>April 23, 2008</w:t>
      </w:r>
      <w:r>
        <w:t xml:space="preserve">, the </w:t>
      </w:r>
      <w:r w:rsidR="0029245B">
        <w:t>Los Angeles County Bar</w:t>
      </w:r>
      <w:r>
        <w:t xml:space="preserve"> Association served its Findings and Award in a fee arbitration between Award Debtor and </w:t>
      </w:r>
      <w:r w:rsidR="00251167">
        <w:t>Michelle and Robin</w:t>
      </w:r>
      <w:r w:rsidR="00017782">
        <w:t xml:space="preserve"> Villa</w:t>
      </w:r>
      <w:r w:rsidR="00084B2D">
        <w:t xml:space="preserve"> (the Villas)</w:t>
      </w:r>
      <w:r>
        <w:t>.  The award required Award Debtor to refund $</w:t>
      </w:r>
      <w:r w:rsidR="00DE46C0">
        <w:t>10,025</w:t>
      </w:r>
      <w:r>
        <w:t xml:space="preserve"> in attorneys’ fees and costs</w:t>
      </w:r>
      <w:r w:rsidR="00084B2D">
        <w:t xml:space="preserve"> to the Villas</w:t>
      </w:r>
      <w:r>
        <w:t>.</w:t>
      </w:r>
      <w:r w:rsidR="00FC0579">
        <w:t xml:space="preserve">  This award became binding on </w:t>
      </w:r>
      <w:r w:rsidR="00DE46C0">
        <w:t>May 23, 2008</w:t>
      </w:r>
      <w:r w:rsidR="00FC0579">
        <w:t>.</w:t>
      </w:r>
    </w:p>
    <w:p w:rsidR="001361F1" w:rsidRDefault="00FC0579" w:rsidP="006B2772">
      <w:pPr>
        <w:spacing w:line="470" w:lineRule="exact"/>
        <w:ind w:firstLine="720"/>
      </w:pPr>
      <w:r>
        <w:t xml:space="preserve">When Award Debtor failed to pay the award, </w:t>
      </w:r>
      <w:r w:rsidR="00084B2D">
        <w:t>the</w:t>
      </w:r>
      <w:r w:rsidR="002E72D6">
        <w:t xml:space="preserve"> Villa</w:t>
      </w:r>
      <w:r w:rsidR="00084B2D">
        <w:t>s</w:t>
      </w:r>
      <w:r>
        <w:t xml:space="preserve"> sought the assistance of the State Bar in enforcing the award.  </w:t>
      </w:r>
      <w:r w:rsidR="001361F1">
        <w:t>Thereafter, Award Debtor sporadically communicated with the State Bar.  On March 25,</w:t>
      </w:r>
      <w:r w:rsidR="00A62536">
        <w:t xml:space="preserve"> 2010,</w:t>
      </w:r>
      <w:r w:rsidR="001361F1">
        <w:t xml:space="preserve"> Award Debtor </w:t>
      </w:r>
      <w:r w:rsidR="00AB1CF9">
        <w:t xml:space="preserve">communicated to the State Bar that “[i]f [he was] practicing law,” he was willing to make payments to </w:t>
      </w:r>
      <w:r w:rsidR="00084B2D">
        <w:t>the Villas</w:t>
      </w:r>
      <w:r w:rsidR="001361F1">
        <w:t xml:space="preserve"> </w:t>
      </w:r>
      <w:r w:rsidR="00AB1CF9">
        <w:t>in the amount of $500 a month.</w:t>
      </w:r>
      <w:r w:rsidR="001361F1">
        <w:t xml:space="preserve">  </w:t>
      </w:r>
      <w:r w:rsidR="00084B2D">
        <w:t xml:space="preserve">The Villas objected to Award Debtor’s offer and made a counter-proposal that he pay a lump sum payment of $8,000.  The State Bar </w:t>
      </w:r>
      <w:r w:rsidR="000401D0">
        <w:t>therefore</w:t>
      </w:r>
      <w:r w:rsidR="00084B2D">
        <w:t xml:space="preserve"> requested that Award Debtor either accept the Villas’ offer or complete his financial status form so the State Bar could evaluate </w:t>
      </w:r>
      <w:r w:rsidR="000401D0">
        <w:t>the merits of</w:t>
      </w:r>
      <w:r w:rsidR="00084B2D">
        <w:t xml:space="preserve"> Award Debtor’s payment plan proposal.</w:t>
      </w:r>
    </w:p>
    <w:p w:rsidR="00084B2D" w:rsidRDefault="000219A6" w:rsidP="006B2772">
      <w:pPr>
        <w:spacing w:line="470" w:lineRule="exact"/>
        <w:ind w:firstLine="720"/>
      </w:pPr>
      <w:r>
        <w:t xml:space="preserve">Despite repeated communications </w:t>
      </w:r>
      <w:r w:rsidR="001E3A1A">
        <w:t>between Award Debtor</w:t>
      </w:r>
      <w:r w:rsidR="0008524D" w:rsidRPr="0008524D">
        <w:t xml:space="preserve"> </w:t>
      </w:r>
      <w:r w:rsidR="0008524D">
        <w:t>and the State Bar</w:t>
      </w:r>
      <w:r>
        <w:t xml:space="preserve">, </w:t>
      </w:r>
      <w:r w:rsidR="0008524D">
        <w:t xml:space="preserve">he failed to accept the Villas’ counter-proposal or </w:t>
      </w:r>
      <w:r w:rsidR="001E3A1A">
        <w:t>s</w:t>
      </w:r>
      <w:r w:rsidR="0008524D">
        <w:t>end his</w:t>
      </w:r>
      <w:r>
        <w:t xml:space="preserve"> financial status</w:t>
      </w:r>
      <w:r w:rsidR="001E3A1A">
        <w:t xml:space="preserve"> form</w:t>
      </w:r>
      <w:r w:rsidR="0008524D">
        <w:t xml:space="preserve"> to the State Bar</w:t>
      </w:r>
      <w:r>
        <w:t xml:space="preserve">.  </w:t>
      </w:r>
      <w:r w:rsidR="0008524D">
        <w:t xml:space="preserve">Award Debtor also failed to pay </w:t>
      </w:r>
      <w:r w:rsidR="00EE48F0">
        <w:t>any portion of the arbitration award to the Villas.  A balance of $10,025, plus interest, remains.</w:t>
      </w:r>
    </w:p>
    <w:p w:rsidR="00412183" w:rsidRDefault="00412183" w:rsidP="006B2772">
      <w:pPr>
        <w:spacing w:line="470" w:lineRule="exact"/>
        <w:ind w:firstLine="720"/>
      </w:pPr>
      <w:r>
        <w:t>The court finds that the Presiding Arbitrator has met the burden of demonstrating by clear and convincing evidence that Award Debtor has failed to comply with the arbitration award and has not proposed a payment plan acceptable to the client or to the State Bar.  (Section 6203, subd. (d)(2)(A); rule 705(a).)</w:t>
      </w:r>
    </w:p>
    <w:p w:rsidR="00412183" w:rsidRDefault="00412183" w:rsidP="006B2772">
      <w:pPr>
        <w:spacing w:line="470" w:lineRule="exact"/>
        <w:ind w:firstLine="720"/>
      </w:pPr>
      <w:r>
        <w:t>The court also finds that Award Debtor has not met the burden of demonstrating by clea</w:t>
      </w:r>
      <w:r w:rsidR="008E4C4A">
        <w:t xml:space="preserve">r </w:t>
      </w:r>
      <w:r w:rsidR="008E4C4A">
        <w:lastRenderedPageBreak/>
        <w:t xml:space="preserve">and convincing evidence that </w:t>
      </w:r>
      <w:r>
        <w:t>he is not personally responsible for making or ensur</w:t>
      </w:r>
      <w:r w:rsidR="004946E6">
        <w:t>ing payment of the award,</w:t>
      </w:r>
      <w:r w:rsidR="008E4C4A">
        <w:t xml:space="preserve"> that </w:t>
      </w:r>
      <w:r>
        <w:t>h</w:t>
      </w:r>
      <w:r w:rsidR="004946E6">
        <w:t>e is unable to pay it,</w:t>
      </w:r>
      <w:r w:rsidR="008E4C4A">
        <w:t xml:space="preserve"> or that </w:t>
      </w:r>
      <w:r>
        <w:t>he has proposed and agrees to comply with a payment plan which the State Bar has unreasonably rejected as unsatisfactory.  (Section 6203,</w:t>
      </w:r>
      <w:r w:rsidR="00E64B4D">
        <w:t xml:space="preserve"> subd. (d)(2)(B); rule 705(b).)</w:t>
      </w:r>
    </w:p>
    <w:p w:rsidR="00412183" w:rsidRDefault="00412183" w:rsidP="00434E2C">
      <w:pPr>
        <w:tabs>
          <w:tab w:val="center" w:pos="4680"/>
        </w:tabs>
        <w:spacing w:line="470" w:lineRule="exact"/>
        <w:jc w:val="center"/>
      </w:pPr>
      <w:r>
        <w:rPr>
          <w:b/>
          <w:bCs/>
        </w:rPr>
        <w:t>Order of Involuntary Inactive Enrollment</w:t>
      </w:r>
    </w:p>
    <w:p w:rsidR="00412183" w:rsidRDefault="00412183" w:rsidP="006B2772">
      <w:pPr>
        <w:spacing w:line="470" w:lineRule="exact"/>
        <w:ind w:firstLine="720"/>
      </w:pPr>
      <w:r w:rsidRPr="00434E2C">
        <w:rPr>
          <w:bCs/>
        </w:rPr>
        <w:t>Accordingly,</w:t>
      </w:r>
      <w:r>
        <w:rPr>
          <w:b/>
          <w:bCs/>
        </w:rPr>
        <w:t xml:space="preserve"> IT IS HEREBY ORDERED</w:t>
      </w:r>
      <w:r>
        <w:t xml:space="preserve"> that the State Bar’s motion for involuntary inactive enrollment is </w:t>
      </w:r>
      <w:r>
        <w:rPr>
          <w:b/>
          <w:bCs/>
        </w:rPr>
        <w:t>GRANTED</w:t>
      </w:r>
      <w:r>
        <w:t xml:space="preserve"> and that Award Debtor </w:t>
      </w:r>
      <w:r w:rsidR="00EE48F0">
        <w:rPr>
          <w:b/>
          <w:bCs/>
        </w:rPr>
        <w:t>STEPHEN THOMAS BORRELLI</w:t>
      </w:r>
      <w:r w:rsidR="00E64B4D">
        <w:rPr>
          <w:bCs/>
        </w:rPr>
        <w:t xml:space="preserve"> </w:t>
      </w:r>
      <w:r>
        <w:t xml:space="preserve">be enrolled as an inactive member of the State Bar of California pursuant to section 6203, subdivision (d)(1), effective </w:t>
      </w:r>
      <w:r w:rsidR="00512100">
        <w:t>five</w:t>
      </w:r>
      <w:r>
        <w:t xml:space="preserve"> days from the date of service of this order.  (Rule 708(b)(1).)</w:t>
      </w:r>
    </w:p>
    <w:p w:rsidR="00412183" w:rsidRDefault="00412183" w:rsidP="00E64B4D">
      <w:pPr>
        <w:spacing w:line="470" w:lineRule="exact"/>
        <w:ind w:firstLine="720"/>
      </w:pPr>
      <w:r>
        <w:rPr>
          <w:b/>
          <w:bCs/>
        </w:rPr>
        <w:t>IT IS FURTHER ORDERED</w:t>
      </w:r>
      <w:r>
        <w:t xml:space="preserve"> that Award Debtor must remain involuntarily enrolled as an inactive member of the State Bar until:</w:t>
      </w:r>
      <w:r w:rsidR="00E64B4D">
        <w:t xml:space="preserve"> </w:t>
      </w:r>
      <w:r w:rsidR="002E36AD">
        <w:t xml:space="preserve">(1) </w:t>
      </w:r>
      <w:r>
        <w:t xml:space="preserve">he has paid the arbitration award to </w:t>
      </w:r>
      <w:r w:rsidR="00251167">
        <w:t>Michelle and Robin</w:t>
      </w:r>
      <w:r w:rsidR="00EE48F0">
        <w:t xml:space="preserve"> Villa</w:t>
      </w:r>
      <w:r w:rsidR="002E36AD">
        <w:t xml:space="preserve"> in the amount of </w:t>
      </w:r>
      <w:r w:rsidR="00EE48F0">
        <w:t>$10,025</w:t>
      </w:r>
      <w:r w:rsidR="00E64B4D">
        <w:t xml:space="preserve">, plus interest at the rate of </w:t>
      </w:r>
      <w:r w:rsidR="00434E2C">
        <w:t xml:space="preserve">10 percent per annum from </w:t>
      </w:r>
      <w:r w:rsidR="00EE48F0">
        <w:t>May 24, 2008</w:t>
      </w:r>
      <w:r w:rsidR="00434E2C">
        <w:t xml:space="preserve">, </w:t>
      </w:r>
      <w:r w:rsidR="00645B13">
        <w:t xml:space="preserve">the </w:t>
      </w:r>
      <w:r w:rsidR="00EE48F0">
        <w:t>day after the award became binding</w:t>
      </w:r>
      <w:r>
        <w:t>;</w:t>
      </w:r>
      <w:r w:rsidR="008E4C4A">
        <w:t xml:space="preserve"> </w:t>
      </w:r>
      <w:r w:rsidR="002E36AD">
        <w:t>and (2</w:t>
      </w:r>
      <w:r w:rsidR="00E64B4D">
        <w:t xml:space="preserve">) </w:t>
      </w:r>
      <w:r>
        <w:t xml:space="preserve">the court </w:t>
      </w:r>
      <w:r w:rsidR="002E36AD">
        <w:t>grants a motion</w:t>
      </w:r>
      <w:r w:rsidR="00512100">
        <w:t xml:space="preserve"> to terminate his</w:t>
      </w:r>
      <w:r>
        <w:t xml:space="preserve"> inactive enrollment pursuant to rule 710. </w:t>
      </w:r>
    </w:p>
    <w:p w:rsidR="00412183" w:rsidRDefault="00412183" w:rsidP="00E64B4D">
      <w:pPr>
        <w:spacing w:line="470" w:lineRule="exact"/>
        <w:ind w:firstLine="720"/>
      </w:pPr>
      <w:r>
        <w:t xml:space="preserve">Reasonable costs are awarded to the State Bar </w:t>
      </w:r>
      <w:r w:rsidR="00E64B4D">
        <w:t xml:space="preserve">upon </w:t>
      </w:r>
      <w:r>
        <w:t>the Presiding Arbitrator’s submissio</w:t>
      </w:r>
      <w:r w:rsidR="002E36AD">
        <w:t xml:space="preserve">n of a bill of costs.  (Section </w:t>
      </w:r>
      <w:r>
        <w:t>6203, subd.</w:t>
      </w:r>
      <w:r w:rsidR="002E36AD">
        <w:t xml:space="preserve"> </w:t>
      </w:r>
      <w:r>
        <w:t xml:space="preserve">(d)(3); rule 708(b)(2).)   </w:t>
      </w:r>
    </w:p>
    <w:p w:rsidR="00412183" w:rsidRDefault="00412183" w:rsidP="006B2772">
      <w:pPr>
        <w:spacing w:line="470" w:lineRule="exact"/>
      </w:pPr>
    </w:p>
    <w:p w:rsidR="00954A77" w:rsidRDefault="00954A77" w:rsidP="006B2772">
      <w:pPr>
        <w:spacing w:line="470" w:lineRule="exact"/>
      </w:pPr>
    </w:p>
    <w:p w:rsidR="00412183" w:rsidRDefault="00412183" w:rsidP="006B2772">
      <w:pPr>
        <w:spacing w:line="470" w:lineRule="exact"/>
      </w:pPr>
    </w:p>
    <w:tbl>
      <w:tblPr>
        <w:tblW w:w="0" w:type="auto"/>
        <w:jc w:val="center"/>
        <w:tblLayout w:type="fixed"/>
        <w:tblCellMar>
          <w:left w:w="0" w:type="dxa"/>
          <w:right w:w="0" w:type="dxa"/>
        </w:tblCellMar>
        <w:tblLook w:val="0000"/>
      </w:tblPr>
      <w:tblGrid>
        <w:gridCol w:w="4758"/>
        <w:gridCol w:w="4602"/>
      </w:tblGrid>
      <w:tr w:rsidR="00412183" w:rsidRPr="009E2E16">
        <w:trPr>
          <w:jc w:val="center"/>
        </w:trPr>
        <w:tc>
          <w:tcPr>
            <w:tcW w:w="4758" w:type="dxa"/>
            <w:tcBorders>
              <w:top w:val="single" w:sz="6" w:space="0" w:color="FFFFFF"/>
              <w:left w:val="single" w:sz="6" w:space="0" w:color="FFFFFF"/>
              <w:bottom w:val="single" w:sz="6" w:space="0" w:color="FFFFFF"/>
              <w:right w:val="single" w:sz="6" w:space="0" w:color="FFFFFF"/>
            </w:tcBorders>
          </w:tcPr>
          <w:p w:rsidR="00412183" w:rsidRPr="009E2E16" w:rsidRDefault="00412183" w:rsidP="006B2772">
            <w:pPr>
              <w:spacing w:line="120" w:lineRule="exact"/>
            </w:pPr>
          </w:p>
          <w:p w:rsidR="00412183" w:rsidRPr="009E2E16" w:rsidRDefault="00412183" w:rsidP="00EE48F0">
            <w:pPr>
              <w:spacing w:after="120" w:line="235" w:lineRule="exact"/>
            </w:pPr>
            <w:r w:rsidRPr="009E2E16">
              <w:t xml:space="preserve">Dated:  </w:t>
            </w:r>
            <w:bookmarkStart w:id="4" w:name="Date"/>
            <w:bookmarkEnd w:id="4"/>
            <w:r w:rsidR="00EE48F0">
              <w:t>August ___</w:t>
            </w:r>
            <w:r w:rsidR="00512100">
              <w:t>, 2010</w:t>
            </w:r>
          </w:p>
        </w:tc>
        <w:tc>
          <w:tcPr>
            <w:tcW w:w="4602" w:type="dxa"/>
            <w:tcBorders>
              <w:top w:val="single" w:sz="7" w:space="0" w:color="000000"/>
              <w:left w:val="single" w:sz="6" w:space="0" w:color="FFFFFF"/>
              <w:bottom w:val="single" w:sz="6" w:space="0" w:color="FFFFFF"/>
              <w:right w:val="single" w:sz="6" w:space="0" w:color="FFFFFF"/>
            </w:tcBorders>
          </w:tcPr>
          <w:p w:rsidR="00412183" w:rsidRPr="009E2E16" w:rsidRDefault="00412183" w:rsidP="006B2772">
            <w:pPr>
              <w:spacing w:line="120" w:lineRule="exact"/>
            </w:pPr>
          </w:p>
          <w:p w:rsidR="00412183" w:rsidRPr="009E2E16" w:rsidRDefault="002E36AD" w:rsidP="006B2772">
            <w:pPr>
              <w:spacing w:line="235" w:lineRule="exact"/>
            </w:pPr>
            <w:bookmarkStart w:id="5" w:name="Judge"/>
            <w:bookmarkEnd w:id="5"/>
            <w:r w:rsidRPr="009E2E16">
              <w:t>DONALD F. MILES</w:t>
            </w:r>
          </w:p>
          <w:p w:rsidR="00412183" w:rsidRPr="009E2E16" w:rsidRDefault="00412183" w:rsidP="006B2772">
            <w:pPr>
              <w:spacing w:after="120" w:line="235" w:lineRule="exact"/>
            </w:pPr>
            <w:r w:rsidRPr="009E2E16">
              <w:t>Judge of the State Bar Court</w:t>
            </w:r>
          </w:p>
        </w:tc>
      </w:tr>
    </w:tbl>
    <w:p w:rsidR="00412183" w:rsidRDefault="00412183" w:rsidP="006B2772">
      <w:pPr>
        <w:spacing w:line="235" w:lineRule="exact"/>
      </w:pPr>
    </w:p>
    <w:sectPr w:rsidR="00412183" w:rsidSect="00412183">
      <w:footerReference w:type="default" r:id="rId7"/>
      <w:type w:val="continuous"/>
      <w:pgSz w:w="12240" w:h="15840"/>
      <w:pgMar w:top="1440" w:right="1440" w:bottom="360" w:left="1440" w:header="1440" w:footer="36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24D" w:rsidRDefault="0008524D" w:rsidP="00412183">
      <w:r>
        <w:separator/>
      </w:r>
    </w:p>
  </w:endnote>
  <w:endnote w:type="continuationSeparator" w:id="0">
    <w:p w:rsidR="0008524D" w:rsidRDefault="0008524D" w:rsidP="004121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4D" w:rsidRDefault="0008524D">
    <w:pPr>
      <w:spacing w:line="732" w:lineRule="exact"/>
    </w:pPr>
  </w:p>
  <w:p w:rsidR="0008524D" w:rsidRDefault="0008524D">
    <w:pPr>
      <w:framePr w:w="9361" w:wrap="notBeside" w:vAnchor="text" w:hAnchor="text" w:x="1" w:y="1"/>
      <w:jc w:val="center"/>
    </w:pPr>
    <w:r>
      <w:sym w:font="Symbol" w:char="F02D"/>
    </w:r>
    <w:fldSimple w:instr="PAGE ">
      <w:r w:rsidR="00213D27">
        <w:rPr>
          <w:noProof/>
        </w:rPr>
        <w:t>3</w:t>
      </w:r>
    </w:fldSimple>
    <w:r>
      <w:sym w:font="Symbol" w:char="F02D"/>
    </w:r>
  </w:p>
  <w:p w:rsidR="0008524D" w:rsidRDefault="0008524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24D" w:rsidRDefault="0008524D" w:rsidP="00412183">
      <w:r>
        <w:separator/>
      </w:r>
    </w:p>
  </w:footnote>
  <w:footnote w:type="continuationSeparator" w:id="0">
    <w:p w:rsidR="0008524D" w:rsidRDefault="0008524D" w:rsidP="00412183">
      <w:r>
        <w:continuationSeparator/>
      </w:r>
    </w:p>
  </w:footnote>
  <w:footnote w:id="1">
    <w:p w:rsidR="0008524D" w:rsidRDefault="0008524D" w:rsidP="00AC695A">
      <w:pPr>
        <w:spacing w:after="240"/>
        <w:ind w:firstLine="720"/>
      </w:pPr>
      <w:r>
        <w:rPr>
          <w:rStyle w:val="FootnoteReference"/>
          <w:vertAlign w:val="superscript"/>
        </w:rPr>
        <w:footnoteRef/>
      </w:r>
      <w:r>
        <w:t xml:space="preserve">References to “section” are to the provisions of the Business and Professions Code unless otherwise stated. </w:t>
      </w:r>
    </w:p>
  </w:footnote>
  <w:footnote w:id="2">
    <w:p w:rsidR="0008524D" w:rsidRDefault="0008524D" w:rsidP="00AC695A">
      <w:pPr>
        <w:spacing w:after="240"/>
        <w:ind w:firstLine="720"/>
      </w:pPr>
      <w:r>
        <w:rPr>
          <w:rStyle w:val="FootnoteReference"/>
          <w:vertAlign w:val="superscript"/>
        </w:rPr>
        <w:footnoteRef/>
      </w:r>
      <w:r>
        <w:t>References to “rule” are to the Rules of Procedure of the State Bar, unless otherwise noted.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2183"/>
    <w:rsid w:val="00017782"/>
    <w:rsid w:val="000219A6"/>
    <w:rsid w:val="00027784"/>
    <w:rsid w:val="00031A1A"/>
    <w:rsid w:val="000401D0"/>
    <w:rsid w:val="00084B2D"/>
    <w:rsid w:val="0008524D"/>
    <w:rsid w:val="001361F1"/>
    <w:rsid w:val="001C780E"/>
    <w:rsid w:val="001D3875"/>
    <w:rsid w:val="001E1C4A"/>
    <w:rsid w:val="001E3A1A"/>
    <w:rsid w:val="002038B9"/>
    <w:rsid w:val="00213D27"/>
    <w:rsid w:val="0023047A"/>
    <w:rsid w:val="0023143A"/>
    <w:rsid w:val="00251167"/>
    <w:rsid w:val="0029245B"/>
    <w:rsid w:val="002C1E6C"/>
    <w:rsid w:val="002E36AD"/>
    <w:rsid w:val="002E72D6"/>
    <w:rsid w:val="00310D9F"/>
    <w:rsid w:val="00326102"/>
    <w:rsid w:val="003669F9"/>
    <w:rsid w:val="003769E2"/>
    <w:rsid w:val="0038391D"/>
    <w:rsid w:val="003943D6"/>
    <w:rsid w:val="003A79E9"/>
    <w:rsid w:val="00404AD1"/>
    <w:rsid w:val="00412183"/>
    <w:rsid w:val="00434E2C"/>
    <w:rsid w:val="0045680F"/>
    <w:rsid w:val="004946E6"/>
    <w:rsid w:val="004E1B45"/>
    <w:rsid w:val="005010AC"/>
    <w:rsid w:val="00512100"/>
    <w:rsid w:val="00551F1F"/>
    <w:rsid w:val="00645B13"/>
    <w:rsid w:val="006B2772"/>
    <w:rsid w:val="00703418"/>
    <w:rsid w:val="00714832"/>
    <w:rsid w:val="0076463F"/>
    <w:rsid w:val="007C4AA2"/>
    <w:rsid w:val="007D2133"/>
    <w:rsid w:val="00837652"/>
    <w:rsid w:val="008E4C4A"/>
    <w:rsid w:val="00910C2A"/>
    <w:rsid w:val="00954A77"/>
    <w:rsid w:val="00957B89"/>
    <w:rsid w:val="00961C42"/>
    <w:rsid w:val="00984FA8"/>
    <w:rsid w:val="0099424A"/>
    <w:rsid w:val="009B3678"/>
    <w:rsid w:val="009B4E9E"/>
    <w:rsid w:val="009C170E"/>
    <w:rsid w:val="009D071E"/>
    <w:rsid w:val="009E2E16"/>
    <w:rsid w:val="00A45EED"/>
    <w:rsid w:val="00A62536"/>
    <w:rsid w:val="00AA7832"/>
    <w:rsid w:val="00AB1CF9"/>
    <w:rsid w:val="00AC695A"/>
    <w:rsid w:val="00B3451E"/>
    <w:rsid w:val="00B73D07"/>
    <w:rsid w:val="00B96055"/>
    <w:rsid w:val="00BD3A61"/>
    <w:rsid w:val="00BD5646"/>
    <w:rsid w:val="00C10D17"/>
    <w:rsid w:val="00C213F7"/>
    <w:rsid w:val="00C23E97"/>
    <w:rsid w:val="00C26265"/>
    <w:rsid w:val="00C73128"/>
    <w:rsid w:val="00C9694F"/>
    <w:rsid w:val="00D07411"/>
    <w:rsid w:val="00D51C9D"/>
    <w:rsid w:val="00D57384"/>
    <w:rsid w:val="00D949F8"/>
    <w:rsid w:val="00DE46C0"/>
    <w:rsid w:val="00E30754"/>
    <w:rsid w:val="00E547AA"/>
    <w:rsid w:val="00E64B4D"/>
    <w:rsid w:val="00E8595B"/>
    <w:rsid w:val="00EE48F0"/>
    <w:rsid w:val="00FC0579"/>
    <w:rsid w:val="00FC45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A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47AA"/>
  </w:style>
  <w:style w:type="paragraph" w:styleId="FootnoteText">
    <w:name w:val="footnote text"/>
    <w:basedOn w:val="Normal"/>
    <w:link w:val="FootnoteTextChar"/>
    <w:uiPriority w:val="99"/>
    <w:semiHidden/>
    <w:unhideWhenUsed/>
    <w:rsid w:val="00C9694F"/>
    <w:rPr>
      <w:sz w:val="20"/>
      <w:szCs w:val="20"/>
    </w:rPr>
  </w:style>
  <w:style w:type="character" w:customStyle="1" w:styleId="FootnoteTextChar">
    <w:name w:val="Footnote Text Char"/>
    <w:basedOn w:val="DefaultParagraphFont"/>
    <w:link w:val="FootnoteText"/>
    <w:uiPriority w:val="99"/>
    <w:semiHidden/>
    <w:rsid w:val="00C9694F"/>
    <w:rPr>
      <w:rFonts w:ascii="Times New Roman" w:hAnsi="Times New Roman"/>
    </w:rPr>
  </w:style>
  <w:style w:type="paragraph" w:styleId="BalloonText">
    <w:name w:val="Balloon Text"/>
    <w:basedOn w:val="Normal"/>
    <w:link w:val="BalloonTextChar"/>
    <w:uiPriority w:val="99"/>
    <w:semiHidden/>
    <w:unhideWhenUsed/>
    <w:rsid w:val="00D07411"/>
    <w:rPr>
      <w:rFonts w:ascii="Tahoma" w:hAnsi="Tahoma" w:cs="Tahoma"/>
      <w:sz w:val="16"/>
      <w:szCs w:val="16"/>
    </w:rPr>
  </w:style>
  <w:style w:type="character" w:customStyle="1" w:styleId="BalloonTextChar">
    <w:name w:val="Balloon Text Char"/>
    <w:basedOn w:val="DefaultParagraphFont"/>
    <w:link w:val="BalloonText"/>
    <w:uiPriority w:val="99"/>
    <w:semiHidden/>
    <w:rsid w:val="00D074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09BA-87D1-4501-819A-BF21B4A78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3793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Tammy Cleaver</cp:lastModifiedBy>
  <cp:revision>2</cp:revision>
  <cp:lastPrinted>2010-08-18T18:19:00Z</cp:lastPrinted>
  <dcterms:created xsi:type="dcterms:W3CDTF">2010-08-19T16:11:00Z</dcterms:created>
  <dcterms:modified xsi:type="dcterms:W3CDTF">2010-08-19T16:11:00Z</dcterms:modified>
</cp:coreProperties>
</file>