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0A00E3" w:rsidRDefault="000A00E3" w:rsidP="000A00E3">
      <w:pPr>
        <w:jc w:val="right"/>
        <w:rPr>
          <w:b/>
          <w:sz w:val="36"/>
        </w:rPr>
      </w:pPr>
      <w:r w:rsidRPr="000A00E3">
        <w:rPr>
          <w:b/>
        </w:rPr>
        <w:t>FILED JULY 7,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625220">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6"/>
        <w:gridCol w:w="3465"/>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625220">
            <w:pPr>
              <w:rPr>
                <w:b/>
                <w:bCs/>
              </w:rPr>
            </w:pPr>
            <w:bookmarkStart w:id="1" w:name="resp"/>
            <w:bookmarkEnd w:id="1"/>
            <w:r>
              <w:rPr>
                <w:b/>
                <w:bCs/>
              </w:rPr>
              <w:t>DAVID ESTEL ALLEN, JR.</w:t>
            </w:r>
          </w:p>
          <w:p w:rsidR="00625220" w:rsidRDefault="00625220">
            <w:pPr>
              <w:rPr>
                <w:b/>
                <w:bCs/>
              </w:rPr>
            </w:pPr>
          </w:p>
          <w:p w:rsidR="003D3B12" w:rsidRDefault="003D3B12">
            <w:pPr>
              <w:rPr>
                <w:b/>
                <w:bCs/>
              </w:rPr>
            </w:pPr>
            <w:r>
              <w:rPr>
                <w:b/>
                <w:bCs/>
              </w:rPr>
              <w:t xml:space="preserve">Member No.  </w:t>
            </w:r>
            <w:bookmarkStart w:id="2" w:name="member"/>
            <w:bookmarkEnd w:id="2"/>
            <w:r w:rsidR="00625220">
              <w:rPr>
                <w:b/>
                <w:bCs/>
              </w:rPr>
              <w:t>73848</w:t>
            </w:r>
          </w:p>
          <w:p w:rsidR="003D3B12" w:rsidRDefault="003D3B12">
            <w:pPr>
              <w:rPr>
                <w:b/>
                <w:bCs/>
              </w:rPr>
            </w:pPr>
          </w:p>
          <w:p w:rsidR="003D3B12" w:rsidRDefault="00707712">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707712" w:rsidP="00625220">
            <w:pPr>
              <w:rPr>
                <w:b/>
                <w:bCs/>
              </w:rPr>
            </w:pPr>
            <w:bookmarkStart w:id="4" w:name="caseno"/>
            <w:bookmarkEnd w:id="4"/>
            <w:r>
              <w:rPr>
                <w:b/>
                <w:bCs/>
              </w:rPr>
              <w:t>10-AE-0</w:t>
            </w:r>
            <w:r w:rsidR="00625220">
              <w:rPr>
                <w:b/>
                <w:bCs/>
              </w:rPr>
              <w:t>5458-RAP</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707712">
            <w:pPr>
              <w:rPr>
                <w:b/>
                <w:bCs/>
              </w:rPr>
            </w:pPr>
            <w:bookmarkStart w:id="5" w:name="title"/>
            <w:bookmarkEnd w:id="5"/>
            <w:r>
              <w:rPr>
                <w:b/>
                <w:bCs/>
              </w:rPr>
              <w:t>ORDER GRANTING MOTION FOR INVOLUNTARY INACTIVE ENROLLMENT (Bus. &amp; Prof. Code § 6203, subd. (d); Rules Proc. of State Bar, rule 700, et seq.)</w:t>
            </w:r>
          </w:p>
        </w:tc>
      </w:tr>
    </w:tbl>
    <w:p w:rsidR="003D3B12" w:rsidRDefault="003D3B12">
      <w:pPr>
        <w:spacing w:line="480" w:lineRule="auto"/>
      </w:pPr>
    </w:p>
    <w:p w:rsidR="0021113D" w:rsidRDefault="0021113D" w:rsidP="00E36531">
      <w:pPr>
        <w:spacing w:line="480" w:lineRule="auto"/>
        <w:jc w:val="center"/>
      </w:pPr>
      <w:r>
        <w:rPr>
          <w:b/>
          <w:bCs/>
          <w:u w:val="single"/>
        </w:rPr>
        <w:t>INTRODUCTION</w:t>
      </w:r>
    </w:p>
    <w:p w:rsidR="0021113D" w:rsidRDefault="0021113D" w:rsidP="00E36531">
      <w:pPr>
        <w:spacing w:line="480" w:lineRule="auto"/>
        <w:ind w:firstLine="720"/>
      </w:pPr>
      <w:r>
        <w:t xml:space="preserve">On </w:t>
      </w:r>
      <w:r w:rsidR="00625220">
        <w:t>June 1</w:t>
      </w:r>
      <w:r w:rsidR="00AA089E">
        <w:t>, 2010</w:t>
      </w:r>
      <w:r>
        <w:t>, the Presiding Arbitrator of the State Bar’s Mandatory Fee Arbitration Program filed a motion seeking th</w:t>
      </w:r>
      <w:r w:rsidR="001E3233">
        <w:t>e involuntary inactive enrollmen</w:t>
      </w:r>
      <w:r>
        <w:t xml:space="preserve">t of Award Debtor </w:t>
      </w:r>
      <w:r w:rsidR="007D3C02">
        <w:t>David Estel Allen, Jr.,</w:t>
      </w:r>
      <w:r>
        <w:t xml:space="preserve"> pursuant to Business and Professions Code section 620</w:t>
      </w:r>
      <w:r w:rsidR="00D048A8">
        <w:t>3, subdivision (</w:t>
      </w:r>
      <w:r>
        <w:t>d)</w:t>
      </w:r>
      <w:r>
        <w:rPr>
          <w:rStyle w:val="FootnoteReference"/>
        </w:rPr>
        <w:footnoteReference w:id="1"/>
      </w:r>
      <w:r>
        <w:t xml:space="preserve"> due</w:t>
      </w:r>
      <w:r w:rsidR="00D63C78">
        <w:t xml:space="preserve"> to his failure to pay pursuant to a</w:t>
      </w:r>
      <w:r>
        <w:t xml:space="preserve"> </w:t>
      </w:r>
      <w:r w:rsidR="00D63C78">
        <w:t>post-mediation fee dispu</w:t>
      </w:r>
      <w:r w:rsidR="00C5651F">
        <w:t>te settle</w:t>
      </w:r>
      <w:r w:rsidR="00D63C78">
        <w:t>ment agreement</w:t>
      </w:r>
      <w:r>
        <w:t xml:space="preserve">.  The motion was served at his official membership records address on </w:t>
      </w:r>
      <w:r w:rsidR="00AA089E">
        <w:t>that same date</w:t>
      </w:r>
      <w:r>
        <w:t xml:space="preserve"> by certified mail, return receipt requested</w:t>
      </w:r>
      <w:r w:rsidR="004243E1">
        <w:t>, and by regular m</w:t>
      </w:r>
      <w:r>
        <w:t>ail.</w:t>
      </w:r>
    </w:p>
    <w:p w:rsidR="0021113D" w:rsidRDefault="0021113D" w:rsidP="00E36531">
      <w:pPr>
        <w:spacing w:line="480" w:lineRule="auto"/>
        <w:ind w:firstLine="720"/>
      </w:pPr>
      <w:r>
        <w:t xml:space="preserve">The </w:t>
      </w:r>
      <w:r w:rsidR="00AA089E">
        <w:t>court</w:t>
      </w:r>
      <w:r>
        <w:t xml:space="preserve">’s notice of assignment was properly served on Award Debtor at his official address on </w:t>
      </w:r>
      <w:r w:rsidR="004243E1">
        <w:t>June 7,</w:t>
      </w:r>
      <w:r w:rsidR="001E389F">
        <w:t xml:space="preserve"> 2010</w:t>
      </w:r>
      <w:r>
        <w:t>.  It was not returned as undeliverable.</w:t>
      </w:r>
    </w:p>
    <w:p w:rsidR="0021113D" w:rsidRDefault="0021113D" w:rsidP="00E36531">
      <w:pPr>
        <w:spacing w:line="480" w:lineRule="auto"/>
        <w:ind w:firstLine="720"/>
      </w:pPr>
      <w:r>
        <w:t xml:space="preserve">Award Debtor did not file a response to the motion or request a hearing.  (Rules 702(a) and (b) and 704.) </w:t>
      </w:r>
    </w:p>
    <w:p w:rsidR="0021113D" w:rsidRDefault="0021113D" w:rsidP="00E36531">
      <w:pPr>
        <w:spacing w:line="480" w:lineRule="auto"/>
        <w:ind w:firstLine="720"/>
      </w:pPr>
      <w:r>
        <w:lastRenderedPageBreak/>
        <w:t xml:space="preserve">The matter was submitted for decision on </w:t>
      </w:r>
      <w:r w:rsidR="004243E1">
        <w:t>June 18</w:t>
      </w:r>
      <w:r w:rsidR="001E389F">
        <w:t>, 2010</w:t>
      </w:r>
      <w:r>
        <w:t>.</w:t>
      </w:r>
      <w:r w:rsidR="00F230E8">
        <w:rPr>
          <w:rStyle w:val="FootnoteReference"/>
        </w:rPr>
        <w:footnoteReference w:id="2"/>
      </w:r>
    </w:p>
    <w:p w:rsidR="0021113D" w:rsidRDefault="0021113D" w:rsidP="00E36531">
      <w:pPr>
        <w:spacing w:line="480" w:lineRule="auto"/>
        <w:jc w:val="center"/>
      </w:pPr>
      <w:r>
        <w:rPr>
          <w:b/>
          <w:bCs/>
          <w:u w:val="single"/>
        </w:rPr>
        <w:t>FINDINGS OF FACT AND CONCLUSIONS OF LAW</w:t>
      </w:r>
    </w:p>
    <w:p w:rsidR="0021113D" w:rsidRDefault="0021113D" w:rsidP="00E36531">
      <w:pPr>
        <w:spacing w:line="480" w:lineRule="auto"/>
      </w:pPr>
      <w:r>
        <w:rPr>
          <w:b/>
          <w:bCs/>
          <w:u w:val="single"/>
        </w:rPr>
        <w:t>Jurisdiction</w:t>
      </w:r>
    </w:p>
    <w:p w:rsidR="0021113D" w:rsidRDefault="0021113D" w:rsidP="00E36531">
      <w:pPr>
        <w:spacing w:line="480" w:lineRule="auto"/>
        <w:ind w:firstLine="720"/>
      </w:pPr>
      <w:r>
        <w:t xml:space="preserve">Award Debtor was admitted to the practice of law in California on </w:t>
      </w:r>
      <w:r w:rsidR="00977A3F">
        <w:t>May 2</w:t>
      </w:r>
      <w:r w:rsidR="00B9700B">
        <w:t>, 19</w:t>
      </w:r>
      <w:r w:rsidR="00977A3F">
        <w:t>77</w:t>
      </w:r>
      <w:r>
        <w:t>, and has been a member of the State Bar at all times since.</w:t>
      </w:r>
    </w:p>
    <w:p w:rsidR="0021113D" w:rsidRDefault="0021113D" w:rsidP="00E36531">
      <w:pPr>
        <w:spacing w:line="480" w:lineRule="auto"/>
      </w:pPr>
      <w:r>
        <w:rPr>
          <w:b/>
          <w:bCs/>
          <w:u w:val="single"/>
        </w:rPr>
        <w:t>Facts</w:t>
      </w:r>
    </w:p>
    <w:p w:rsidR="0021113D" w:rsidRDefault="0021113D" w:rsidP="00E36531">
      <w:pPr>
        <w:spacing w:line="480" w:lineRule="auto"/>
        <w:ind w:firstLine="720"/>
      </w:pPr>
      <w:r>
        <w:t xml:space="preserve">On </w:t>
      </w:r>
      <w:r w:rsidR="001667E1">
        <w:t>September 24</w:t>
      </w:r>
      <w:r w:rsidR="00B9700B">
        <w:t>, 200</w:t>
      </w:r>
      <w:r w:rsidR="001667E1">
        <w:t>8</w:t>
      </w:r>
      <w:r w:rsidR="00B9700B">
        <w:t xml:space="preserve">, the </w:t>
      </w:r>
      <w:r w:rsidR="001667E1">
        <w:t xml:space="preserve">Orange County </w:t>
      </w:r>
      <w:r>
        <w:t>Bar Association</w:t>
      </w:r>
      <w:r w:rsidR="001667E1">
        <w:t xml:space="preserve"> </w:t>
      </w:r>
      <w:r w:rsidR="00B9700B">
        <w:t>ser</w:t>
      </w:r>
      <w:r w:rsidR="001667E1">
        <w:t>ved a</w:t>
      </w:r>
      <w:r w:rsidR="001667E1" w:rsidRPr="001667E1">
        <w:t xml:space="preserve"> </w:t>
      </w:r>
      <w:r w:rsidR="001667E1">
        <w:t>post-mediation fee dispute settlement agreement dir</w:t>
      </w:r>
      <w:r>
        <w:t xml:space="preserve">ecting </w:t>
      </w:r>
      <w:r w:rsidR="00B9700B">
        <w:t xml:space="preserve">the </w:t>
      </w:r>
      <w:r w:rsidR="00B9700B" w:rsidRPr="00E05C57">
        <w:t>Award Debtor</w:t>
      </w:r>
      <w:r w:rsidR="00B9700B">
        <w:t xml:space="preserve"> </w:t>
      </w:r>
      <w:r>
        <w:t xml:space="preserve">to refund to his former client </w:t>
      </w:r>
      <w:r w:rsidR="00E16042">
        <w:t>Sowuanee Buntukampol</w:t>
      </w:r>
      <w:r w:rsidR="00B9700B">
        <w:t xml:space="preserve"> </w:t>
      </w:r>
      <w:r>
        <w:t>the sum of $</w:t>
      </w:r>
      <w:r w:rsidR="00B9700B">
        <w:t>25</w:t>
      </w:r>
      <w:r w:rsidR="00E16042">
        <w:t>0</w:t>
      </w:r>
      <w:r w:rsidR="00B9700B">
        <w:t>0</w:t>
      </w:r>
      <w:r w:rsidR="00E16042">
        <w:t xml:space="preserve"> in attorney fees</w:t>
      </w:r>
      <w:r>
        <w:t>.  (</w:t>
      </w:r>
      <w:r w:rsidR="00E16042" w:rsidRPr="00E16042">
        <w:rPr>
          <w:i/>
        </w:rPr>
        <w:t>Buntukampol v. Allen</w:t>
      </w:r>
      <w:r w:rsidR="00E16042">
        <w:t>, Orange County Bar Association</w:t>
      </w:r>
      <w:r>
        <w:t xml:space="preserve">, case no. </w:t>
      </w:r>
      <w:r w:rsidR="00E16042">
        <w:t>MA-08-4759</w:t>
      </w:r>
      <w:r>
        <w:t xml:space="preserve">.)  The </w:t>
      </w:r>
      <w:r w:rsidR="007D32D1">
        <w:t>settlement was</w:t>
      </w:r>
      <w:r>
        <w:t xml:space="preserve"> final by </w:t>
      </w:r>
      <w:r w:rsidR="007D32D1">
        <w:t>agreement of the parties</w:t>
      </w:r>
      <w:r>
        <w:t>.</w:t>
      </w:r>
    </w:p>
    <w:p w:rsidR="0021113D" w:rsidRDefault="0021113D" w:rsidP="00E36531">
      <w:pPr>
        <w:spacing w:line="480" w:lineRule="auto"/>
        <w:ind w:firstLine="720"/>
      </w:pPr>
      <w:r>
        <w:t xml:space="preserve">On </w:t>
      </w:r>
      <w:r w:rsidR="00B9700B">
        <w:t xml:space="preserve">April </w:t>
      </w:r>
      <w:r w:rsidR="007D32D1">
        <w:t>27, 2009, Buntukampol</w:t>
      </w:r>
      <w:r>
        <w:t xml:space="preserve"> sent Award Debtor </w:t>
      </w:r>
      <w:r w:rsidR="007D32D1">
        <w:t xml:space="preserve">a certified </w:t>
      </w:r>
      <w:r>
        <w:t>letter</w:t>
      </w:r>
      <w:r w:rsidR="007D32D1">
        <w:t xml:space="preserve"> demanding payment pursuant to the settlement agreement.  He signed for the letter on May 7, 2007.</w:t>
      </w:r>
      <w:r>
        <w:t xml:space="preserve">  </w:t>
      </w:r>
      <w:r w:rsidR="007D32D1">
        <w:t>A</w:t>
      </w:r>
      <w:r>
        <w:t xml:space="preserve">ward Debtor did not respond to the demand.  On </w:t>
      </w:r>
      <w:r w:rsidR="007D32D1">
        <w:t>May 26</w:t>
      </w:r>
      <w:r w:rsidR="00B9700B">
        <w:t>, 2009</w:t>
      </w:r>
      <w:r>
        <w:t>,</w:t>
      </w:r>
      <w:r w:rsidR="00B9700B">
        <w:t xml:space="preserve"> </w:t>
      </w:r>
      <w:r>
        <w:t xml:space="preserve">submitted a request for enforcement of the </w:t>
      </w:r>
      <w:r w:rsidR="007D32D1">
        <w:t>settlement agreement</w:t>
      </w:r>
      <w:r>
        <w:t xml:space="preserve"> pursuant to section 620</w:t>
      </w:r>
      <w:r w:rsidR="00D048A8">
        <w:t>3, subdivision (</w:t>
      </w:r>
      <w:r>
        <w:t>d) to the State Bar’s Office</w:t>
      </w:r>
      <w:r w:rsidR="00B9700B">
        <w:t xml:space="preserve"> of Mandatory Fee Arbitration (</w:t>
      </w:r>
      <w:r>
        <w:t xml:space="preserve">State Bar).  </w:t>
      </w:r>
    </w:p>
    <w:p w:rsidR="00603589" w:rsidRDefault="0021113D" w:rsidP="00E36531">
      <w:pPr>
        <w:spacing w:line="480" w:lineRule="auto"/>
        <w:ind w:firstLine="720"/>
      </w:pPr>
      <w:r>
        <w:t xml:space="preserve">On </w:t>
      </w:r>
      <w:r w:rsidR="007D32D1">
        <w:t>June 19</w:t>
      </w:r>
      <w:r w:rsidR="00B9700B">
        <w:t>, 2009</w:t>
      </w:r>
      <w:r>
        <w:t xml:space="preserve">, the enforcement request was served on Award Debtor by certified mail, return receipt requested, and by regular mail at his official membership records address.  Award Debtor also was notified of the consequences for failing to comply with the </w:t>
      </w:r>
      <w:r w:rsidR="006D6961">
        <w:t>settlement agreement</w:t>
      </w:r>
      <w:r>
        <w:t xml:space="preserve"> or to respond to the enforcement request by</w:t>
      </w:r>
      <w:r w:rsidR="006D6961">
        <w:t xml:space="preserve"> July 19</w:t>
      </w:r>
      <w:r w:rsidR="007D2566">
        <w:t>, 2009</w:t>
      </w:r>
      <w:r>
        <w:t xml:space="preserve">.  Award Debtor </w:t>
      </w:r>
      <w:r w:rsidR="006D6961">
        <w:t xml:space="preserve">signed for the certified letter on June 24, 2009.  He </w:t>
      </w:r>
      <w:r>
        <w:t>did not respond to the letter</w:t>
      </w:r>
      <w:r w:rsidR="006D6961">
        <w:t>.</w:t>
      </w:r>
    </w:p>
    <w:p w:rsidR="0021113D" w:rsidRDefault="0021113D" w:rsidP="00E36531">
      <w:pPr>
        <w:spacing w:line="480" w:lineRule="auto"/>
        <w:ind w:firstLine="720"/>
      </w:pPr>
      <w:r>
        <w:lastRenderedPageBreak/>
        <w:t xml:space="preserve">By letter dated </w:t>
      </w:r>
      <w:r w:rsidR="006D6961">
        <w:t>July 2</w:t>
      </w:r>
      <w:r w:rsidR="00603589">
        <w:t>7, 2009,</w:t>
      </w:r>
      <w:r>
        <w:t xml:space="preserve"> the State Bar advised Award Debtor that the matter was being forwarded to the Presiding Arbitrator to issue an order im</w:t>
      </w:r>
      <w:r w:rsidR="00603589">
        <w:t>posing administrative penalties</w:t>
      </w:r>
      <w:r>
        <w:t>.  Award Debtor did not respond to the letter.</w:t>
      </w:r>
    </w:p>
    <w:p w:rsidR="00A45C75" w:rsidRDefault="0021113D" w:rsidP="00E36531">
      <w:pPr>
        <w:spacing w:line="480" w:lineRule="auto"/>
        <w:ind w:firstLine="720"/>
      </w:pPr>
      <w:r>
        <w:t xml:space="preserve">On </w:t>
      </w:r>
      <w:r w:rsidR="00A45C75">
        <w:t>August 1</w:t>
      </w:r>
      <w:r w:rsidR="00603589">
        <w:t>1, 2009</w:t>
      </w:r>
      <w:r>
        <w:t>, the State</w:t>
      </w:r>
      <w:r w:rsidR="00603589">
        <w:t xml:space="preserve"> Bar served an order imposing $</w:t>
      </w:r>
      <w:r w:rsidR="00A45C75">
        <w:t>100</w:t>
      </w:r>
      <w:r>
        <w:t>0 in administrative penalties on Award Debtor and staying their imposition for 14 days to allow hi</w:t>
      </w:r>
      <w:r w:rsidR="00603589">
        <w:t>m</w:t>
      </w:r>
      <w:r>
        <w:t xml:space="preserve"> to provid</w:t>
      </w:r>
      <w:r w:rsidR="00A45C75">
        <w:t>e pay pursuant to the settlement agreement or to propose a payment plan</w:t>
      </w:r>
      <w:r>
        <w:t xml:space="preserve">.  Copies of the order were served on Award Debtor at his official membership records address by certified mail and by regular mail. </w:t>
      </w:r>
      <w:r w:rsidR="00603589">
        <w:t xml:space="preserve"> </w:t>
      </w:r>
      <w:r w:rsidR="00A45C75">
        <w:t>He signed for the certified letter on August 18, 2009.</w:t>
      </w:r>
    </w:p>
    <w:p w:rsidR="00A45C75" w:rsidRDefault="00A45C75" w:rsidP="00E36531">
      <w:pPr>
        <w:spacing w:line="480" w:lineRule="auto"/>
        <w:ind w:firstLine="720"/>
      </w:pPr>
      <w:r>
        <w:t>On May, 19, 2010, t</w:t>
      </w:r>
      <w:r w:rsidR="00603589">
        <w:t xml:space="preserve">he State Bar </w:t>
      </w:r>
      <w:r>
        <w:t>sent Award Debtor a letter advising of its intent to file the instant motion because of his continued failure to pay the settlement or propose a payment plan.</w:t>
      </w:r>
    </w:p>
    <w:p w:rsidR="0021113D" w:rsidRDefault="0021113D" w:rsidP="00E36531">
      <w:pPr>
        <w:spacing w:line="480" w:lineRule="auto"/>
        <w:ind w:firstLine="720"/>
      </w:pPr>
      <w:r>
        <w:t>Award Debt</w:t>
      </w:r>
      <w:r w:rsidR="00A45C75">
        <w:t>or has not paid the award or communicated with</w:t>
      </w:r>
      <w:r>
        <w:t xml:space="preserve"> the State Bar </w:t>
      </w:r>
      <w:r w:rsidR="00A45C75">
        <w:t xml:space="preserve">as of May 28, 2010.  He has not indicated that he is not personally responsible or unable to pay the refund pursuant to the settlement agreement.  </w:t>
      </w:r>
    </w:p>
    <w:p w:rsidR="0021113D" w:rsidRDefault="0021113D" w:rsidP="00E36531">
      <w:pPr>
        <w:spacing w:line="480" w:lineRule="auto"/>
      </w:pPr>
      <w:r>
        <w:rPr>
          <w:b/>
          <w:bCs/>
          <w:u w:val="single"/>
        </w:rPr>
        <w:t>Legal Conclusions</w:t>
      </w:r>
    </w:p>
    <w:p w:rsidR="0021113D" w:rsidRDefault="0021113D" w:rsidP="00E36531">
      <w:pPr>
        <w:spacing w:line="480" w:lineRule="auto"/>
        <w:ind w:firstLine="720"/>
      </w:pPr>
      <w:r>
        <w:t xml:space="preserve">The </w:t>
      </w:r>
      <w:r w:rsidR="00AA089E">
        <w:t>court</w:t>
      </w:r>
      <w:r>
        <w:t xml:space="preserve"> finds that the Presiding Arbitrator has met the burden of demonstrating by clear and convincing evidence that Award Debtor has failed to comply with the </w:t>
      </w:r>
      <w:r w:rsidR="00735FDB">
        <w:t>settlement agreement</w:t>
      </w:r>
      <w:r>
        <w:t xml:space="preserve"> and has not proposed a payment plan acceptable to the client or to the State Bar.  (Section 620</w:t>
      </w:r>
      <w:r w:rsidR="00D048A8">
        <w:t>3, subd. (</w:t>
      </w:r>
      <w:r w:rsidR="00C07093">
        <w:t>d)(2)(A</w:t>
      </w:r>
      <w:r>
        <w:t>); Rule 705(a).)</w:t>
      </w:r>
    </w:p>
    <w:p w:rsidR="0021113D" w:rsidRDefault="0021113D" w:rsidP="00E36531">
      <w:pPr>
        <w:spacing w:line="480" w:lineRule="auto"/>
        <w:ind w:firstLine="720"/>
      </w:pPr>
      <w:r>
        <w:t xml:space="preserve">The </w:t>
      </w:r>
      <w:r w:rsidR="00AA089E">
        <w:t>court</w:t>
      </w:r>
      <w:r>
        <w:t xml:space="preserve"> also finds that Award Debtor has not met the burden of demonstrating by clear and convincing evidence that he is not personally responsible for making or ensuring payment of the award; that he is unable to pay it; or that he has proposed and agrees to comply with a payment plan which the State Bar has unreasonably rejected as unsatisfactory.  (Section 620</w:t>
      </w:r>
      <w:r w:rsidR="00D048A8">
        <w:t>3, subd. (</w:t>
      </w:r>
      <w:r>
        <w:t>d)(2)(B); Rule 705(b).)</w:t>
      </w:r>
    </w:p>
    <w:p w:rsidR="0021113D" w:rsidRDefault="0021113D" w:rsidP="00E36531">
      <w:pPr>
        <w:spacing w:line="480" w:lineRule="auto"/>
        <w:jc w:val="center"/>
      </w:pPr>
      <w:r>
        <w:rPr>
          <w:b/>
          <w:bCs/>
          <w:u w:val="single"/>
        </w:rPr>
        <w:lastRenderedPageBreak/>
        <w:t>ORDER</w:t>
      </w:r>
    </w:p>
    <w:p w:rsidR="0021113D" w:rsidRDefault="0021113D" w:rsidP="00E36531">
      <w:pPr>
        <w:spacing w:line="480" w:lineRule="auto"/>
        <w:ind w:firstLine="720"/>
      </w:pPr>
      <w:r>
        <w:rPr>
          <w:b/>
          <w:bCs/>
        </w:rPr>
        <w:t>IT IS ORDERED</w:t>
      </w:r>
      <w:r>
        <w:t xml:space="preserve"> that Award Debtor, </w:t>
      </w:r>
      <w:r w:rsidR="007D3C02">
        <w:t>David Estel Allen, Jr.,</w:t>
      </w:r>
      <w:r>
        <w:t xml:space="preserve"> be enrolled as an inactive member of the State Bar of California pursuant to Business and Professions Code section 620</w:t>
      </w:r>
      <w:r w:rsidR="00D048A8">
        <w:t>3, subdivision (</w:t>
      </w:r>
      <w:r>
        <w:t>d)(1), effective five days from the date of service of this order.  (Rules Proc. of State Bar, rule 708(b)(1).)</w:t>
      </w:r>
    </w:p>
    <w:p w:rsidR="0021113D" w:rsidRDefault="0021113D" w:rsidP="00E36531">
      <w:pPr>
        <w:spacing w:line="480" w:lineRule="auto"/>
        <w:ind w:firstLine="720"/>
      </w:pPr>
      <w:r>
        <w:rPr>
          <w:b/>
          <w:bCs/>
        </w:rPr>
        <w:t>IT IS FURTHER ORDERED</w:t>
      </w:r>
      <w:r>
        <w:t xml:space="preserve"> that Award Debtor shall remain involuntarily enrolled as an inactive member of</w:t>
      </w:r>
      <w:r w:rsidR="00735FDB">
        <w:t xml:space="preserve"> the State Bar until 1) he has complied with the settlement agreement by paying to </w:t>
      </w:r>
      <w:r w:rsidR="00E16042">
        <w:t>Sowuanee Buntukampol</w:t>
      </w:r>
      <w:r w:rsidR="00735FDB">
        <w:t xml:space="preserve"> </w:t>
      </w:r>
      <w:r>
        <w:t>the amount of $</w:t>
      </w:r>
      <w:r w:rsidR="00735FDB">
        <w:t>2</w:t>
      </w:r>
      <w:r w:rsidR="008A1367">
        <w:t>5</w:t>
      </w:r>
      <w:r w:rsidR="00735FDB">
        <w:t>0</w:t>
      </w:r>
      <w:r w:rsidR="008A1367">
        <w:t>0</w:t>
      </w:r>
      <w:r>
        <w:t xml:space="preserve"> plus interest at the rate of ten percent per annum from </w:t>
      </w:r>
      <w:r w:rsidR="00735FDB">
        <w:t>September 24</w:t>
      </w:r>
      <w:r w:rsidR="008A1367">
        <w:t>, 200</w:t>
      </w:r>
      <w:r w:rsidR="00735FDB">
        <w:t>8</w:t>
      </w:r>
      <w:r>
        <w:t>;  2) he has paid the administrative penalty of $</w:t>
      </w:r>
      <w:r w:rsidR="00735FDB">
        <w:t>100</w:t>
      </w:r>
      <w:r>
        <w:t xml:space="preserve">0 assessed by the presiding arbitrator's order filed </w:t>
      </w:r>
      <w:r w:rsidR="00735FDB">
        <w:t>August 1</w:t>
      </w:r>
      <w:r w:rsidR="008A1367">
        <w:t>1, 2009</w:t>
      </w:r>
      <w:r>
        <w:t>;  and 3)  the court grants a motion to terminate the inactive enrollment pursuant to Rule 710, Rules Proc. of State Bar.</w:t>
      </w:r>
    </w:p>
    <w:p w:rsidR="0021113D" w:rsidRDefault="00601E8B" w:rsidP="00E36531">
      <w:pPr>
        <w:spacing w:line="480" w:lineRule="auto"/>
        <w:ind w:firstLine="720"/>
      </w:pPr>
      <w:r>
        <w:t>Reasonable costs are aw</w:t>
      </w:r>
      <w:r w:rsidR="0021113D">
        <w:t>arded to the State Bar upon the Presiding Arbitrator’s submission of a bill of costs.  (Bus. &amp; Prof. Code, § 620</w:t>
      </w:r>
      <w:r w:rsidR="00D048A8">
        <w:t>3, subd. (</w:t>
      </w:r>
      <w:r w:rsidR="0021113D">
        <w:t>d)(3); Rules Proc. of State Bar, rule 708(b)(2).)</w:t>
      </w:r>
    </w:p>
    <w:p w:rsidR="0021113D" w:rsidRDefault="0021113D"/>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45527B">
            <w:pPr>
              <w:pStyle w:val="Header"/>
              <w:tabs>
                <w:tab w:val="clear" w:pos="4320"/>
                <w:tab w:val="clear" w:pos="8640"/>
              </w:tabs>
            </w:pPr>
            <w:r>
              <w:t xml:space="preserve">Dated:  </w:t>
            </w:r>
            <w:r w:rsidR="0045527B">
              <w:t>July 7, 2010.</w:t>
            </w:r>
          </w:p>
        </w:tc>
        <w:tc>
          <w:tcPr>
            <w:tcW w:w="4565" w:type="dxa"/>
            <w:tcBorders>
              <w:top w:val="single" w:sz="4" w:space="0" w:color="auto"/>
              <w:bottom w:val="nil"/>
              <w:right w:val="nil"/>
            </w:tcBorders>
          </w:tcPr>
          <w:p w:rsidR="003D3B12" w:rsidRDefault="00AA2B74">
            <w:bookmarkStart w:id="6" w:name="judge"/>
            <w:bookmarkEnd w:id="6"/>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 xml:space="preserve">Judge of the State Bar </w:t>
            </w:r>
            <w:r w:rsidR="00AA089E">
              <w:t>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A5A" w:rsidRDefault="00116A5A">
      <w:r>
        <w:separator/>
      </w:r>
    </w:p>
  </w:endnote>
  <w:endnote w:type="continuationSeparator" w:id="0">
    <w:p w:rsidR="00116A5A" w:rsidRDefault="00116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12" w:rsidRDefault="0074019C" w:rsidP="003B44D5">
    <w:pPr>
      <w:pStyle w:val="Footer"/>
      <w:framePr w:wrap="around" w:vAnchor="text" w:hAnchor="margin" w:xAlign="center" w:y="1"/>
      <w:rPr>
        <w:rStyle w:val="PageNumber"/>
      </w:rPr>
    </w:pPr>
    <w:r>
      <w:rPr>
        <w:rStyle w:val="PageNumber"/>
      </w:rPr>
      <w:fldChar w:fldCharType="begin"/>
    </w:r>
    <w:r w:rsidR="003D3B12">
      <w:rPr>
        <w:rStyle w:val="PageNumber"/>
      </w:rPr>
      <w:instrText xml:space="preserve">PAGE  </w:instrText>
    </w:r>
    <w:r>
      <w:rPr>
        <w:rStyle w:val="PageNumber"/>
      </w:rPr>
      <w:fldChar w:fldCharType="end"/>
    </w:r>
  </w:p>
  <w:p w:rsidR="003D3B12" w:rsidRDefault="003D3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D5" w:rsidRDefault="0074019C" w:rsidP="00200B09">
    <w:pPr>
      <w:pStyle w:val="Footer"/>
      <w:framePr w:wrap="around" w:vAnchor="text" w:hAnchor="margin" w:xAlign="center" w:y="1"/>
      <w:rPr>
        <w:rStyle w:val="PageNumber"/>
      </w:rPr>
    </w:pPr>
    <w:r>
      <w:rPr>
        <w:rStyle w:val="PageNumber"/>
      </w:rPr>
      <w:fldChar w:fldCharType="begin"/>
    </w:r>
    <w:r w:rsidR="003B44D5">
      <w:rPr>
        <w:rStyle w:val="PageNumber"/>
      </w:rPr>
      <w:instrText xml:space="preserve">PAGE  </w:instrText>
    </w:r>
    <w:r>
      <w:rPr>
        <w:rStyle w:val="PageNumber"/>
      </w:rPr>
      <w:fldChar w:fldCharType="separate"/>
    </w:r>
    <w:r w:rsidR="000A00E3">
      <w:rPr>
        <w:rStyle w:val="PageNumber"/>
        <w:noProof/>
      </w:rPr>
      <w:t>- 4 -</w:t>
    </w:r>
    <w:r>
      <w:rPr>
        <w:rStyle w:val="PageNumber"/>
      </w:rPr>
      <w:fldChar w:fldCharType="end"/>
    </w:r>
  </w:p>
  <w:p w:rsidR="003D3B12" w:rsidRDefault="003D3B1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12" w:rsidRDefault="003D3B12">
    <w:pPr>
      <w:pStyle w:val="Footer"/>
      <w:framePr w:wrap="around" w:vAnchor="text" w:hAnchor="margin" w:xAlign="center" w:y="1"/>
      <w:rPr>
        <w:rStyle w:val="PageNumber"/>
      </w:rPr>
    </w:pPr>
  </w:p>
  <w:p w:rsidR="003D3B12" w:rsidRDefault="003D3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A5A" w:rsidRDefault="00116A5A">
      <w:r>
        <w:separator/>
      </w:r>
    </w:p>
  </w:footnote>
  <w:footnote w:type="continuationSeparator" w:id="0">
    <w:p w:rsidR="00116A5A" w:rsidRDefault="00116A5A">
      <w:r>
        <w:continuationSeparator/>
      </w:r>
    </w:p>
  </w:footnote>
  <w:footnote w:id="1">
    <w:p w:rsidR="0021113D" w:rsidRDefault="0021113D">
      <w:pPr>
        <w:spacing w:after="240"/>
        <w:ind w:left="720" w:right="720"/>
      </w:pPr>
      <w:r>
        <w:rPr>
          <w:rStyle w:val="FootnoteReference"/>
        </w:rPr>
        <w:footnoteRef/>
      </w:r>
      <w:r>
        <w:t>All future references to “section” are to the Business and Professions Code and to “rule” are to the Rules of Procedure of the State Bar unless otherwise stated.</w:t>
      </w:r>
    </w:p>
  </w:footnote>
  <w:footnote w:id="2">
    <w:p w:rsidR="00F230E8" w:rsidRDefault="00F230E8">
      <w:pPr>
        <w:pStyle w:val="FootnoteText"/>
      </w:pPr>
      <w:r>
        <w:rPr>
          <w:rStyle w:val="FootnoteReference"/>
        </w:rPr>
        <w:footnoteRef/>
      </w:r>
      <w:r>
        <w:t>The court’s submission order, properly served on the Award Debtor at his official address on April 19, 2010, was not returned as undeliverable.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doNotTrackMoves/>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13D"/>
    <w:rsid w:val="00006687"/>
    <w:rsid w:val="00052359"/>
    <w:rsid w:val="000A00E3"/>
    <w:rsid w:val="000B6AB8"/>
    <w:rsid w:val="00116A5A"/>
    <w:rsid w:val="00131CBF"/>
    <w:rsid w:val="001667E1"/>
    <w:rsid w:val="001A6EDA"/>
    <w:rsid w:val="001E3233"/>
    <w:rsid w:val="001E389F"/>
    <w:rsid w:val="00200B09"/>
    <w:rsid w:val="0021113D"/>
    <w:rsid w:val="00364CA1"/>
    <w:rsid w:val="003B44D5"/>
    <w:rsid w:val="003D3B12"/>
    <w:rsid w:val="004243E1"/>
    <w:rsid w:val="0045527B"/>
    <w:rsid w:val="00535FC5"/>
    <w:rsid w:val="00571702"/>
    <w:rsid w:val="005F7604"/>
    <w:rsid w:val="00601E8B"/>
    <w:rsid w:val="00603589"/>
    <w:rsid w:val="00625220"/>
    <w:rsid w:val="006D6961"/>
    <w:rsid w:val="00707712"/>
    <w:rsid w:val="00735FDB"/>
    <w:rsid w:val="0074019C"/>
    <w:rsid w:val="007D2566"/>
    <w:rsid w:val="007D32D1"/>
    <w:rsid w:val="007D3C02"/>
    <w:rsid w:val="008A1367"/>
    <w:rsid w:val="00977A3F"/>
    <w:rsid w:val="009B3E1A"/>
    <w:rsid w:val="009B4C13"/>
    <w:rsid w:val="00A22020"/>
    <w:rsid w:val="00A26774"/>
    <w:rsid w:val="00A45C75"/>
    <w:rsid w:val="00A50CB1"/>
    <w:rsid w:val="00AA089E"/>
    <w:rsid w:val="00AA2B74"/>
    <w:rsid w:val="00B9700B"/>
    <w:rsid w:val="00BD64EE"/>
    <w:rsid w:val="00C07093"/>
    <w:rsid w:val="00C5651F"/>
    <w:rsid w:val="00CA7E1F"/>
    <w:rsid w:val="00CE1DE9"/>
    <w:rsid w:val="00D048A8"/>
    <w:rsid w:val="00D63C78"/>
    <w:rsid w:val="00DF6C86"/>
    <w:rsid w:val="00E16042"/>
    <w:rsid w:val="00E321BD"/>
    <w:rsid w:val="00E32AEB"/>
    <w:rsid w:val="00E36531"/>
    <w:rsid w:val="00E41BD1"/>
    <w:rsid w:val="00EE393C"/>
    <w:rsid w:val="00EE3AFC"/>
    <w:rsid w:val="00F230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74"/>
    <w:rPr>
      <w:sz w:val="24"/>
      <w:szCs w:val="24"/>
    </w:rPr>
  </w:style>
  <w:style w:type="paragraph" w:styleId="Heading1">
    <w:name w:val="heading 1"/>
    <w:basedOn w:val="Normal"/>
    <w:next w:val="Normal"/>
    <w:qFormat/>
    <w:rsid w:val="00A2677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6774"/>
    <w:pPr>
      <w:spacing w:before="28"/>
      <w:ind w:right="90"/>
    </w:pPr>
    <w:rPr>
      <w:sz w:val="19"/>
      <w:szCs w:val="19"/>
    </w:rPr>
  </w:style>
  <w:style w:type="paragraph" w:styleId="Header">
    <w:name w:val="header"/>
    <w:basedOn w:val="Normal"/>
    <w:semiHidden/>
    <w:rsid w:val="00A26774"/>
    <w:pPr>
      <w:tabs>
        <w:tab w:val="center" w:pos="4320"/>
        <w:tab w:val="right" w:pos="8640"/>
      </w:tabs>
    </w:pPr>
  </w:style>
  <w:style w:type="paragraph" w:styleId="Footer">
    <w:name w:val="footer"/>
    <w:basedOn w:val="Normal"/>
    <w:semiHidden/>
    <w:rsid w:val="00A26774"/>
    <w:pPr>
      <w:tabs>
        <w:tab w:val="center" w:pos="4320"/>
        <w:tab w:val="right" w:pos="8640"/>
      </w:tabs>
    </w:pPr>
  </w:style>
  <w:style w:type="character" w:styleId="PageNumber">
    <w:name w:val="page number"/>
    <w:basedOn w:val="DefaultParagraphFont"/>
    <w:semiHidden/>
    <w:rsid w:val="00A26774"/>
  </w:style>
  <w:style w:type="paragraph" w:styleId="FootnoteText">
    <w:name w:val="footnote text"/>
    <w:basedOn w:val="Normal"/>
    <w:semiHidden/>
    <w:rsid w:val="00A26774"/>
    <w:pPr>
      <w:ind w:firstLine="720"/>
    </w:pPr>
    <w:rPr>
      <w:szCs w:val="20"/>
    </w:rPr>
  </w:style>
  <w:style w:type="character" w:styleId="FootnoteReference">
    <w:name w:val="footnote reference"/>
    <w:basedOn w:val="DefaultParagraphFont"/>
    <w:uiPriority w:val="99"/>
    <w:rsid w:val="00A26774"/>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EndnoteText">
    <w:name w:val="endnote text"/>
    <w:basedOn w:val="Normal"/>
    <w:link w:val="EndnoteTextChar"/>
    <w:uiPriority w:val="99"/>
    <w:semiHidden/>
    <w:unhideWhenUsed/>
    <w:rsid w:val="0021113D"/>
    <w:rPr>
      <w:sz w:val="20"/>
      <w:szCs w:val="20"/>
    </w:rPr>
  </w:style>
  <w:style w:type="character" w:customStyle="1" w:styleId="EndnoteTextChar">
    <w:name w:val="Endnote Text Char"/>
    <w:basedOn w:val="DefaultParagraphFont"/>
    <w:link w:val="EndnoteText"/>
    <w:uiPriority w:val="99"/>
    <w:semiHidden/>
    <w:rsid w:val="0021113D"/>
  </w:style>
  <w:style w:type="character" w:styleId="EndnoteReference">
    <w:name w:val="endnote reference"/>
    <w:basedOn w:val="DefaultParagraphFont"/>
    <w:uiPriority w:val="99"/>
    <w:semiHidden/>
    <w:unhideWhenUsed/>
    <w:rsid w:val="0021113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4</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Angela Owens-Carpenter</cp:lastModifiedBy>
  <cp:revision>6</cp:revision>
  <cp:lastPrinted>2010-07-06T23:24:00Z</cp:lastPrinted>
  <dcterms:created xsi:type="dcterms:W3CDTF">2010-07-06T23:14:00Z</dcterms:created>
  <dcterms:modified xsi:type="dcterms:W3CDTF">2010-07-07T20:25:00Z</dcterms:modified>
</cp:coreProperties>
</file>