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10,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CHERYL JANE ERBER,</w:t>
            </w:r>
          </w:p>
          <w:p>
            <w:pPr>
              <w:rPr>
                <w:b/>
                <w:bCs/>
              </w:rPr>
            </w:pPr>
          </w:p>
          <w:p>
            <w:pPr>
              <w:rPr>
                <w:b/>
                <w:bCs/>
              </w:rPr>
            </w:pPr>
            <w:r>
              <w:rPr>
                <w:b/>
                <w:bCs/>
              </w:rPr>
              <w:t>Member No.  151382,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10-O-01018 (10-O-03798)-PEM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spacing w:line="480" w:lineRule="auto"/>
      </w:pPr>
    </w:p>
    <w:p>
      <w:pPr>
        <w:spacing w:line="480" w:lineRule="auto"/>
      </w:pPr>
      <w:r>
        <w:tab/>
        <w:t>Respondent Cheryl Jane Erber (respondent) was charged with failing to perform legal services with competence and/or failing to promptly refund an unearned fee in two client matters.  She failed to participate either in person or through counsel, and her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4, 1990, and has been a member since then.</w:t>
      </w:r>
    </w:p>
    <w:p>
      <w:pPr>
        <w:spacing w:line="480" w:lineRule="auto"/>
        <w:rPr>
          <w:b/>
        </w:rPr>
      </w:pPr>
      <w:r>
        <w:rPr>
          <w:b/>
        </w:rPr>
        <w:t>Procedural Requirements Have Been Satisfied</w:t>
      </w:r>
    </w:p>
    <w:p>
      <w:pPr>
        <w:spacing w:line="480" w:lineRule="auto"/>
      </w:pPr>
      <w:r>
        <w:tab/>
        <w:t xml:space="preserve">A 20-day letter was mailed to respondent at respondent’s official membership records address on January 12, 2011.  Thereafter, the State Bar had contact with respondent at the telephonic 20-day meeting on February 2, 2011.  </w:t>
      </w:r>
    </w:p>
    <w:p>
      <w:pPr>
        <w:spacing w:line="480" w:lineRule="auto"/>
      </w:pPr>
      <w:r>
        <w:tab/>
        <w:t>On February 28, 2011, the State Bar filed and properly served the NDC on respondent by certified mail, return receipt requested, at her membership records address.  The NDC notified respondent that her failure to participate in the proceeding would result in a disbarment recommendation.  (Rule 5.41.)  The NDC was returned unclaimed by the U.S. Postal Service.</w:t>
      </w:r>
    </w:p>
    <w:p>
      <w:pPr>
        <w:spacing w:line="480" w:lineRule="auto"/>
      </w:pPr>
      <w:r>
        <w:rPr>
          <w:b/>
        </w:rPr>
        <w:tab/>
      </w:r>
      <w:r>
        <w:t>Thereafter, the State Bar attempted to reach respondent by telephone twice at her official membership records telephone number but each time a busy signal was received.  The State Bar also attempted to reach respondent at another telephone number obtained by internet research, but an automated message advised the caller that the telephone number was no longer in service or was disconnected.  The State Bar also sent respondent an email to an email address contained in respondent’s case file.</w:t>
      </w:r>
      <w:r>
        <w:rPr>
          <w:rStyle w:val="FootnoteReference"/>
        </w:rPr>
        <w:footnoteReference w:id="3"/>
      </w:r>
      <w:r>
        <w:t xml:space="preserve">    </w:t>
      </w:r>
    </w:p>
    <w:p>
      <w:pPr>
        <w:spacing w:line="480" w:lineRule="auto"/>
      </w:pPr>
      <w:r>
        <w:rPr>
          <w:b/>
        </w:rPr>
        <w:tab/>
      </w:r>
      <w:r>
        <w:t xml:space="preserve">Respondent failed to file a response to the NDC.  On April 19, 2011, the State Bar filed and properly served a motion for entry of respondent’s default.  The motion complied with all </w:t>
      </w:r>
      <w:r>
        <w:lastRenderedPageBreak/>
        <w:t>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May 9, 2011.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rPr>
          <w:b/>
        </w:rPr>
        <w:tab/>
      </w:r>
      <w:r>
        <w:t>Respondent also did not seek to have her default set aside or vacated.  (Rule 5.83(C)(1) [attorney has 180 days to file motion to set aside default].)  On January 18, 2012, the State Bar filed the petition for disbarment.  As required by rule 5.85(A), the State Bar reported in the petition that:  (1) it has had no contact with respondent since the default was entered;</w:t>
      </w:r>
    </w:p>
    <w:p>
      <w:pPr>
        <w:spacing w:line="480" w:lineRule="auto"/>
      </w:pPr>
      <w:r>
        <w:t xml:space="preserve">(2) respondent has other disciplinary investigations pending; (3) respondent has no record of prior discipline; and (4) the Client Security Fund has not made payments resulting from respondent’s conduct.  Respondent did not respond to the petition for disbarment or move to set aside or vacate the default.  The case was submitted for decision on February 14,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pPr>
        <w:spacing w:line="480" w:lineRule="auto"/>
        <w:rPr>
          <w:b/>
        </w:rPr>
      </w:pPr>
      <w:r>
        <w:tab/>
      </w:r>
      <w:r>
        <w:rPr>
          <w:b/>
        </w:rPr>
        <w:t>1.</w:t>
      </w:r>
      <w:r>
        <w:rPr>
          <w:b/>
        </w:rPr>
        <w:tab/>
        <w:t>Case Number 10-O-01018 (The Frager Matter)</w:t>
      </w:r>
    </w:p>
    <w:p>
      <w:pPr>
        <w:spacing w:line="480" w:lineRule="auto"/>
      </w:pPr>
      <w:r>
        <w:rPr>
          <w:b/>
        </w:rPr>
        <w:tab/>
      </w:r>
      <w:r>
        <w:t>Count One - respondent willfully violated rule 3-110(A) of the Rules of Professional Conduct (RPC) (failing to perform legal services with competence) by failing to timely file a complete temporary protective order or temporary restraining order on behalf of her client.</w:t>
      </w:r>
    </w:p>
    <w:p>
      <w:pPr>
        <w:spacing w:line="480" w:lineRule="auto"/>
      </w:pPr>
      <w:r>
        <w:tab/>
        <w:t xml:space="preserve">Count Two – respondent willfully violated rule 3-700(D)(2) of the RPC (failing to promptly refund unearned fees) by failing to refund promptly any part of a $1,500 fee paid in advance that has not been earned.  </w:t>
      </w:r>
    </w:p>
    <w:p>
      <w:pPr>
        <w:spacing w:line="480" w:lineRule="auto"/>
        <w:rPr>
          <w:b/>
        </w:rPr>
      </w:pPr>
      <w:r>
        <w:tab/>
      </w:r>
      <w:r>
        <w:rPr>
          <w:b/>
        </w:rPr>
        <w:t>2.</w:t>
      </w:r>
      <w:r>
        <w:rPr>
          <w:b/>
        </w:rPr>
        <w:tab/>
        <w:t xml:space="preserve">Case Number 10-O-03798 (The Mattauch Matter) </w:t>
      </w:r>
    </w:p>
    <w:p>
      <w:pPr>
        <w:spacing w:line="480" w:lineRule="auto"/>
        <w:rPr>
          <w:b/>
        </w:rPr>
      </w:pPr>
      <w:r>
        <w:rPr>
          <w:b/>
        </w:rPr>
        <w:tab/>
      </w:r>
      <w:r>
        <w:t>Count Three</w:t>
      </w:r>
      <w:r>
        <w:rPr>
          <w:b/>
        </w:rPr>
        <w:t xml:space="preserve"> – </w:t>
      </w:r>
      <w:r>
        <w:t>respondent willfully violated rule 3-700(D)(2) of the RPC by failing to refund promptly any part of a $2,000 fee paid in advance that has not been earned.</w:t>
      </w:r>
      <w:r>
        <w:rPr>
          <w:b/>
        </w:rPr>
        <w:t xml:space="preserve">          </w:t>
      </w:r>
      <w:r>
        <w:rPr>
          <w:b/>
        </w:rPr>
        <w:tab/>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(2) reasonable diligence was used to notify respondent of the proceedings prior to the entry of her default, as</w:t>
      </w:r>
      <w:r>
        <w:rPr>
          <w:b/>
        </w:rPr>
        <w:t xml:space="preserve"> </w:t>
      </w:r>
      <w:r>
        <w:t xml:space="preserve">the State Bar had contact with respondent at the telephonic 20-day meeting; the NDC was served on respondent at her membership records address by certified mail; the State Bar attempted to reach respondent by telephone twice at her official membership records telephone number and at another telephone number obtained by internet research; and the State Bar sent respondent an email to an email address contained in respondent’s case file.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her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Cheryl Jane Erber be disbarred from the practice of law in the State of California and that her name be stricken from the roll of attorneys.</w:t>
      </w:r>
    </w:p>
    <w:p>
      <w:pPr>
        <w:spacing w:line="480" w:lineRule="auto"/>
        <w:rPr>
          <w:b/>
        </w:rPr>
      </w:pPr>
      <w:r>
        <w:rPr>
          <w:b/>
        </w:rPr>
        <w:t>Restitution</w:t>
      </w:r>
    </w:p>
    <w:p>
      <w:pPr>
        <w:spacing w:line="480" w:lineRule="auto"/>
      </w:pPr>
      <w:r>
        <w:rPr>
          <w:b/>
        </w:rPr>
        <w:tab/>
      </w:r>
      <w:r>
        <w:t xml:space="preserve">The court also recommends that respondent be ordered to make restitution to the following payees:  </w:t>
      </w:r>
    </w:p>
    <w:p>
      <w:pPr>
        <w:spacing w:line="480" w:lineRule="auto"/>
      </w:pPr>
      <w:r>
        <w:tab/>
        <w:t xml:space="preserve">(1)  Bruce Frager in the amount of $1,500 plus 10 percent interest per year from  </w:t>
      </w:r>
      <w:r>
        <w:tab/>
      </w:r>
      <w:r>
        <w:tab/>
        <w:t xml:space="preserve"> </w:t>
      </w:r>
      <w:r>
        <w:tab/>
        <w:t xml:space="preserve">       November 18, 2010; and</w:t>
      </w:r>
    </w:p>
    <w:p>
      <w:pPr>
        <w:spacing w:line="480" w:lineRule="auto"/>
      </w:pPr>
      <w:r>
        <w:tab/>
        <w:t>(2)  Michael Mattauch in the amount of $3,650</w:t>
      </w:r>
      <w:r>
        <w:rPr>
          <w:rStyle w:val="FootnoteReference"/>
        </w:rPr>
        <w:footnoteReference w:id="4"/>
      </w:r>
      <w:r>
        <w:t xml:space="preserve"> plus 10 percent interest per year from  </w:t>
      </w:r>
      <w:r>
        <w:tab/>
      </w:r>
      <w:r>
        <w:tab/>
        <w:t xml:space="preserve">       March 26, 2010.</w:t>
      </w:r>
    </w:p>
    <w:p>
      <w:pPr>
        <w:spacing w:line="480" w:lineRule="auto"/>
      </w:pPr>
      <w:r>
        <w:tab/>
        <w:t xml:space="preserve">Any restitution owed to the Client Security Fund is enforceable as provided in Business and Professions Code section 6140.5, subdivisions (c) and (d).  </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rPr>
          <w:b/>
        </w:rPr>
      </w:pPr>
      <w:r>
        <w:rPr>
          <w:b/>
        </w:rPr>
        <w:br w:type="page"/>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In accordance with Business and Professions Code section 6007, subdivision (c)(4), the court orders that Cheryl Jane Erber, State Bar number 151382, be involuntarily enrolled as an inactive member of the State Bar of California, effective three calendar days after the service of this decision and order.  (Rules Proc. of State Bar,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April _____, 2012</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Respondent, however, does not have an email address maintained on the State Bar’s official membership records.  </w:t>
      </w:r>
    </w:p>
  </w:footnote>
  <w:footnote w:id="4">
    <w:p>
      <w:pPr>
        <w:pStyle w:val="FootnoteText"/>
      </w:pPr>
      <w:r>
        <w:rPr>
          <w:rStyle w:val="FootnoteReference"/>
        </w:rPr>
        <w:footnoteRef/>
      </w:r>
      <w:r>
        <w:t xml:space="preserve"> This figure represents the small claims judgment Mattauch obtained against respondent.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nG1bvd62iIpMuuNzxgkX1YWWqCQ=" w:salt="Vv002M0RNd8VVqJczEridQ=="/>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7384</Characters>
  <Application>Microsoft Office Word</Application>
  <DocSecurity>0</DocSecurity>
  <Lines>157</Lines>
  <Paragraphs>73</Paragraphs>
  <ScaleCrop>false</ScaleCrop>
  <Manager/>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2012-04-13T23:42:00Z</dcterms:created>
  <dcterms:modified xsi:type="dcterms:W3CDTF">2012-04-13T23:42:00Z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