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16,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THOMAS JAMES WALLACE,</w:t>
            </w:r>
          </w:p>
          <w:p>
            <w:pPr>
              <w:rPr>
                <w:b/>
                <w:bCs/>
              </w:rPr>
            </w:pPr>
          </w:p>
          <w:p>
            <w:pPr>
              <w:rPr>
                <w:b/>
                <w:bCs/>
              </w:rPr>
            </w:pPr>
            <w:r>
              <w:rPr>
                <w:b/>
                <w:bCs/>
              </w:rPr>
              <w:t>Member No.  220396,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10-O-05506 (10-O-07293)-PEM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Thomas James Wallace (respondent) was charged with two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July 18, 2002, and has been a member since then.</w:t>
      </w:r>
    </w:p>
    <w:p>
      <w:pPr>
        <w:spacing w:line="480" w:lineRule="auto"/>
        <w:rPr>
          <w:b/>
        </w:rPr>
      </w:pPr>
      <w:r>
        <w:rPr>
          <w:b/>
        </w:rPr>
        <w:t>Procedural Requirements Have Been Satisfied</w:t>
      </w:r>
    </w:p>
    <w:p>
      <w:pPr>
        <w:spacing w:line="480" w:lineRule="auto"/>
      </w:pPr>
      <w:r>
        <w:rPr>
          <w:b/>
        </w:rPr>
        <w:tab/>
      </w:r>
      <w:r>
        <w:t xml:space="preserve">On August 29, 2011, the State Bar filed and properly served the NDC on respondent by certified mail, return receipt requested, and by regular mail, at his membership records address.  No return receipt was received by the deputy trial counsel assigned to this matter.  The NDC notified respondent that his failure to participate in the proceeding would result in a disbarment recommendation.  (Rule 5.41.)  </w:t>
      </w:r>
    </w:p>
    <w:p>
      <w:pPr>
        <w:spacing w:line="480" w:lineRule="auto"/>
      </w:pPr>
      <w:r>
        <w:rPr>
          <w:b/>
        </w:rPr>
        <w:tab/>
      </w:r>
      <w:r>
        <w:t>Respondent had actual notice of this proceeding.  On September 27, 2011, State Bar Deputy Trial Counsel Christine Souhrada (DTC Souhrada) called respondent’s membership records telephone number twice and left voicemail messages stating, among other things, that  disciplinary charges had been filed against respondent on August 29; that his response was due on September 23; that no response had been received; and, in the second message, that on September 26, the State Bar had filed for respondent’s default.</w:t>
      </w:r>
      <w:r>
        <w:rPr>
          <w:rStyle w:val="FootnoteReference"/>
        </w:rPr>
        <w:footnoteReference w:id="4"/>
      </w:r>
      <w:r>
        <w:t xml:space="preserve">  DTC Souhrada asked that  respondent call her and provided her telephone number.  The next day, DTC Souhrada received a </w:t>
      </w:r>
      <w:r>
        <w:lastRenderedPageBreak/>
        <w:t xml:space="preserve">voicemail message from respondent in which he stated, in part, that he had received DTC Souhrada’s message. </w:t>
      </w:r>
    </w:p>
    <w:p>
      <w:pPr>
        <w:spacing w:line="480" w:lineRule="auto"/>
        <w:ind w:firstLine="720"/>
        <w:rPr>
          <w:b/>
        </w:rPr>
      </w:pPr>
      <w:r>
        <w:t>Respondent, however, failed to file a response to the NDC.  On September 26, 2011, the State Bar filed and properly served on respondent’s membership records address,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w:t>
      </w:r>
      <w:r>
        <w:rPr>
          <w:rStyle w:val="FootnoteReference"/>
        </w:rPr>
        <w:footnoteReference w:id="5"/>
      </w:r>
      <w:r>
        <w:t xml:space="preserve">  Respondent did not file a response to the motion, and his default was entered on October 20,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April 18, 2012, the State Bar filed the petition for disbarment.  As required by rule 5.85(A), the State Bar reported in the petition that: </w:t>
      </w:r>
      <w:r>
        <w:rPr>
          <w:b/>
        </w:rPr>
        <w:t xml:space="preserve"> </w:t>
      </w:r>
      <w:r>
        <w:t>(1) there has been no contact with respondent since the default was entered; (2) there are two disciplinary investigations pending against respondent; (3) respondent has no prior record of discipline; and (4) the Client Security Fund has not made payments resulting from respondent’s conduct.</w:t>
      </w:r>
      <w:r>
        <w:rPr>
          <w:b/>
        </w:rPr>
        <w:t xml:space="preserve">  </w:t>
      </w:r>
      <w:r>
        <w:t xml:space="preserve">Respondent did not respond to the petition for disbarment or move to set aside or vacate the default.  The case was submitted for decision on May 22,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 xml:space="preserve">Case Numbers 10-O-05506 &amp; 10-O-07293 </w:t>
      </w:r>
    </w:p>
    <w:p>
      <w:pPr>
        <w:spacing w:line="480" w:lineRule="auto"/>
      </w:pPr>
      <w:r>
        <w:tab/>
        <w:t xml:space="preserve">Count One – respondent willfully violated rule 4-100(A) of the Rules of Professional Conduct (preserving identity of funds and property of a client) by failing to withdraw his personal funds from the trust account at the earliest possible time, using the trust account for personal purposes, and making payments from the account for respondent’s personal expenses unrelated to client matters.  </w:t>
      </w:r>
    </w:p>
    <w:p>
      <w:pPr>
        <w:spacing w:line="480" w:lineRule="auto"/>
      </w:pPr>
      <w:r>
        <w:tab/>
        <w:t xml:space="preserve">Count Two – respondent willfully violated section 6068, subdivision (i) (failing to cooperate/participate in a disciplinary investigation) by failing to respond to the State Bar’s letters and failing to otherwise cooperate or participate in State Bar investigations.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rPr>
          <w:b/>
        </w:rPr>
        <w:tab/>
      </w:r>
      <w:r>
        <w:t xml:space="preserve">(2) respondent had actual notice of this proceeding, as he left a voicemail message for DTC Souhrada in which he acknowledged receipt of a message from Souhrada regarding this disciplinary matter; </w:t>
      </w:r>
    </w:p>
    <w:p>
      <w:pPr>
        <w:spacing w:line="480" w:lineRule="auto"/>
        <w:ind w:firstLine="720"/>
      </w:pP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Thomas James Wallace be disbarred from the practice of law in the State of California and that his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Thomas James Wallace, State Bar number 220396, be involuntarily enrolled as </w:t>
      </w:r>
    </w:p>
    <w:p>
      <w:r>
        <w:t>/ / /</w:t>
      </w:r>
    </w:p>
    <w:p/>
    <w:p>
      <w:r>
        <w:t>/ / /</w:t>
      </w:r>
      <w:r>
        <w:br w:type="page"/>
      </w:r>
    </w:p>
    <w:p>
      <w:pPr>
        <w:spacing w:line="480" w:lineRule="auto"/>
      </w:pPr>
      <w:r>
        <w:t>an inactive member of the State Bar of California, effective three calendar days after the service of this decision and order.  (Rules Proc. of State Bar,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August ______, 2012</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In the first message, DTC Souhrada stated that the State Bar was moving for respondent’s default.  </w:t>
      </w:r>
    </w:p>
  </w:footnote>
  <w:footnote w:id="5">
    <w:p>
      <w:pPr>
        <w:pStyle w:val="FootnoteText"/>
      </w:pPr>
      <w:r>
        <w:rPr>
          <w:rStyle w:val="FootnoteReference"/>
        </w:rPr>
        <w:footnoteRef/>
      </w:r>
      <w:r>
        <w:t xml:space="preserve"> On September 28, 2011, the State Bar filed and served on respondent by regular mail a supplemental declaration of DTC Souhrada in support of the motion for entry of respondent’s default.  This declaration establishes that respondent had actual notice of this disciplinary proceeding.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KYDeHw81xlFmvtLsumA/IkU1oA0=" w:salt="dI+EkpSTNJNOu+GhoIw8NQ=="/>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6739</Characters>
  <Application>Microsoft Office Word</Application>
  <DocSecurity>0</DocSecurity>
  <Lines>146</Lines>
  <Paragraphs>64</Paragraphs>
  <ScaleCrop>false</ScaleCrop>
  <Manager/>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2012-08-20T22:34:00Z</dcterms:created>
  <dcterms:modified xsi:type="dcterms:W3CDTF">2012-08-20T22:34:00Z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