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JANUARY 5, 2012</w:t>
      </w:r>
    </w:p>
    <w:p/>
    <w:p/>
    <w:p/>
    <w:p/>
    <w:p>
      <w:pPr>
        <w:pStyle w:val="Heading1"/>
      </w:pPr>
      <w:r>
        <w:t>STATE BAR COURT OF CALIFORNIA</w:t>
      </w:r>
    </w:p>
    <w:p>
      <w:pPr>
        <w:jc w:val="center"/>
        <w:rPr>
          <w:b/>
          <w:bCs/>
        </w:rPr>
      </w:pPr>
      <w:r>
        <w:rPr>
          <w:b/>
          <w:bCs/>
        </w:rPr>
        <w:t>HEARING DEPARTMENT – LOS ANGELES</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225"/>
        <w:gridCol w:w="330"/>
        <w:gridCol w:w="390"/>
        <w:gridCol w:w="946"/>
        <w:gridCol w:w="3464"/>
      </w:tblGrid>
      <w:tr>
        <w:trPr>
          <w:cantSplit/>
          <w:trHeight w:val="462"/>
        </w:trPr>
        <w:tc>
          <w:tcPr>
            <w:tcW w:w="4225" w:type="dxa"/>
            <w:vMerge w:val="restart"/>
          </w:tcPr>
          <w:p>
            <w:r>
              <w:t>In the Matter of</w:t>
            </w:r>
          </w:p>
          <w:p>
            <w:pPr>
              <w:rPr>
                <w:b/>
                <w:bCs/>
              </w:rPr>
            </w:pPr>
          </w:p>
          <w:p>
            <w:pPr>
              <w:rPr>
                <w:bCs/>
              </w:rPr>
            </w:pPr>
            <w:r>
              <w:rPr>
                <w:bCs/>
              </w:rPr>
              <w:t>DAVID VERNON SKINNER,</w:t>
            </w:r>
          </w:p>
          <w:p>
            <w:pPr>
              <w:rPr>
                <w:bCs/>
              </w:rPr>
            </w:pPr>
          </w:p>
          <w:p>
            <w:pPr>
              <w:rPr>
                <w:bCs/>
              </w:rPr>
            </w:pPr>
            <w:r>
              <w:rPr>
                <w:bCs/>
              </w:rPr>
              <w:t>Member No. 123426,</w:t>
            </w:r>
          </w:p>
          <w:p/>
          <w:p>
            <w:r>
              <w:t>A Member of the State Bar.</w:t>
            </w:r>
          </w:p>
        </w:tc>
        <w:tc>
          <w:tcPr>
            <w:tcW w:w="330"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90" w:type="dxa"/>
            <w:vMerge w:val="restart"/>
            <w:tcBorders>
              <w:bottom w:val="nil"/>
            </w:tcBorders>
          </w:tcPr>
          <w:p>
            <w:pPr>
              <w:rPr>
                <w:b/>
                <w:bCs/>
              </w:rPr>
            </w:pPr>
          </w:p>
        </w:tc>
        <w:tc>
          <w:tcPr>
            <w:tcW w:w="946" w:type="dxa"/>
            <w:tcBorders>
              <w:bottom w:val="nil"/>
            </w:tcBorders>
          </w:tcPr>
          <w:p>
            <w:r>
              <w:t xml:space="preserve">Case No.  </w:t>
            </w:r>
          </w:p>
        </w:tc>
        <w:tc>
          <w:tcPr>
            <w:tcW w:w="3464" w:type="dxa"/>
          </w:tcPr>
          <w:p>
            <w:pPr>
              <w:rPr>
                <w:bCs/>
              </w:rPr>
            </w:pPr>
            <w:r>
              <w:rPr>
                <w:bCs/>
              </w:rPr>
              <w:t>10-O-05924-DFM</w:t>
            </w:r>
          </w:p>
          <w:p>
            <w:pPr>
              <w:rPr>
                <w:bCs/>
              </w:rPr>
            </w:pPr>
          </w:p>
        </w:tc>
      </w:tr>
      <w:tr>
        <w:trPr>
          <w:cantSplit/>
          <w:trHeight w:val="1480"/>
        </w:trPr>
        <w:tc>
          <w:tcPr>
            <w:tcW w:w="4225" w:type="dxa"/>
            <w:vMerge/>
          </w:tcPr>
          <w:p/>
        </w:tc>
        <w:tc>
          <w:tcPr>
            <w:tcW w:w="330" w:type="dxa"/>
            <w:vMerge/>
            <w:tcBorders>
              <w:bottom w:val="nil"/>
            </w:tcBorders>
          </w:tcPr>
          <w:p>
            <w:pPr>
              <w:rPr>
                <w:b/>
                <w:bCs/>
              </w:rPr>
            </w:pPr>
          </w:p>
        </w:tc>
        <w:tc>
          <w:tcPr>
            <w:tcW w:w="390" w:type="dxa"/>
            <w:vMerge/>
            <w:tcBorders>
              <w:bottom w:val="nil"/>
            </w:tcBorders>
          </w:tcPr>
          <w:p>
            <w:pPr>
              <w:rPr>
                <w:b/>
                <w:bCs/>
              </w:rPr>
            </w:pPr>
          </w:p>
        </w:tc>
        <w:tc>
          <w:tcPr>
            <w:tcW w:w="4410" w:type="dxa"/>
            <w:gridSpan w:val="2"/>
            <w:tcBorders>
              <w:bottom w:val="nil"/>
            </w:tcBorders>
          </w:tcPr>
          <w:p>
            <w:pPr>
              <w:rPr>
                <w:bCs/>
              </w:rPr>
            </w:pPr>
            <w:r>
              <w:rPr>
                <w:bCs/>
              </w:rPr>
              <w:t xml:space="preserve">DECISION AND ORDER OF INVOLUNTARY INACTIVE ENROLLMENT  </w:t>
            </w:r>
          </w:p>
        </w:tc>
      </w:tr>
    </w:tbl>
    <w:p/>
    <w:p>
      <w:pPr>
        <w:spacing w:line="480" w:lineRule="auto"/>
        <w:jc w:val="center"/>
      </w:pPr>
      <w:r>
        <w:rPr>
          <w:b/>
        </w:rPr>
        <w:t>INTRODUCTION</w:t>
      </w:r>
    </w:p>
    <w:p>
      <w:pPr>
        <w:spacing w:line="480" w:lineRule="auto"/>
        <w:ind w:firstLine="720"/>
      </w:pPr>
      <w:r>
        <w:t>Respondent David Vernon Skinner (Respondent) was charged with eight counts of misconduct in three client matters.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the requirements of rule 5.85 have been satisfied and, therefore, recommends that Respondent be disbarred from the practice of law.</w:t>
      </w:r>
    </w:p>
    <w:p>
      <w:pPr>
        <w:spacing w:line="480" w:lineRule="auto"/>
        <w:ind w:firstLine="720"/>
      </w:pPr>
    </w:p>
    <w:p>
      <w:pPr>
        <w:spacing w:line="480" w:lineRule="auto"/>
        <w:jc w:val="center"/>
      </w:pPr>
      <w:r>
        <w:rPr>
          <w:b/>
        </w:rPr>
        <w:lastRenderedPageBreak/>
        <w:t>FINDINGS AND CONCLUSIONS</w:t>
      </w:r>
    </w:p>
    <w:p>
      <w:pPr>
        <w:pStyle w:val="Header"/>
        <w:tabs>
          <w:tab w:val="clear" w:pos="4320"/>
          <w:tab w:val="clear" w:pos="8640"/>
        </w:tabs>
        <w:spacing w:line="480" w:lineRule="auto"/>
      </w:pPr>
      <w:r>
        <w:rPr>
          <w:b/>
          <w:bCs/>
        </w:rPr>
        <w:t>Jurisdiction</w:t>
      </w:r>
    </w:p>
    <w:p>
      <w:pPr>
        <w:pStyle w:val="Header"/>
        <w:tabs>
          <w:tab w:val="clear" w:pos="4320"/>
          <w:tab w:val="clear" w:pos="8640"/>
        </w:tabs>
        <w:spacing w:line="480" w:lineRule="auto"/>
        <w:ind w:firstLine="720"/>
      </w:pPr>
      <w:r>
        <w:t>Respondent was admitted to the practice of law in California on June 10, 1986, and has been a member of the State Bar at all relevant times.</w:t>
      </w:r>
    </w:p>
    <w:p>
      <w:pPr>
        <w:spacing w:line="480" w:lineRule="auto"/>
        <w:rPr>
          <w:b/>
        </w:rPr>
      </w:pPr>
      <w:r>
        <w:rPr>
          <w:b/>
        </w:rPr>
        <w:t>Procedural Requirements Have Been Satisfied</w:t>
      </w:r>
    </w:p>
    <w:p>
      <w:pPr>
        <w:spacing w:line="480" w:lineRule="auto"/>
        <w:ind w:firstLine="720"/>
      </w:pPr>
      <w:r>
        <w:t>The court finds that all of the procedural requirements set forth in Rule 5.85, subdivisions (E)(1)(a)-(c) have been satisfied.</w:t>
      </w:r>
    </w:p>
    <w:p>
      <w:pPr>
        <w:spacing w:line="480" w:lineRule="auto"/>
        <w:ind w:firstLine="720"/>
      </w:pPr>
      <w:r>
        <w:t xml:space="preserve">On April 4, 2011, the State Bar properly served the NDC on Respondent at his membership records address in Rancho Santa Margarita, California, by certified mail, return receipt requested.  The NDC notified Respondent that his failure to participate in the proceeding would result in a disbarment recommendation.  (Rule 5.41.)  The NDC was returned by the Post Office bearing a stamp indicating that it was being returned to the sender and was unable to be forwarded.  </w:t>
      </w:r>
    </w:p>
    <w:p>
      <w:pPr>
        <w:spacing w:line="480" w:lineRule="auto"/>
        <w:ind w:firstLine="720"/>
      </w:pPr>
      <w:r>
        <w:t xml:space="preserve">Prior to filing the NDC, the State Bar had successfully communicated with Respondent at a New York address and telephone number and at a different email address from the one listed in his membership records.  In addition to serving him at his membership records address, the State Bar sent a copy of the NDC to Respondent both at the New York address and at the email address.  Neither this letter nor the email was returned as undeliverable.  The State Bar also telephoned Respondent at the New York telephone number and left a message informing him of this proceeding.  Respondent did not respond to these additional efforts to contact him.  </w:t>
      </w:r>
    </w:p>
    <w:p>
      <w:pPr>
        <w:spacing w:line="480" w:lineRule="auto"/>
        <w:ind w:firstLine="720"/>
      </w:pPr>
      <w:r>
        <w:t xml:space="preserve">Respondent failed to file a response to the NDC.  On May 2, 2011, the State Bar filed a motion for entry of his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again that his failure to participate in the proceeding would result in a </w:t>
      </w:r>
      <w:r>
        <w:lastRenderedPageBreak/>
        <w:t>disbarment recommendation.  After Respondent did not file a response to the motion, his default was entered on May 18, 2011.  He was also placed on involuntary inactive status and has remained inactive since that time.</w:t>
      </w:r>
    </w:p>
    <w:p>
      <w:pPr>
        <w:spacing w:line="480" w:lineRule="auto"/>
        <w:ind w:firstLine="720"/>
      </w:pPr>
      <w:r>
        <w:t>Respondent did not seek to have his default set aside or vacated.  (Rule 5.83, subd. (C)(1) [attorney has 180 days to file motion to set aside default].)  On November 16, 2011, the State Bar filed the petition for disbarment.  As required by rule 5.85, subdivision (A), the State Bar reported in the petition that:  (1) it has had no contact with Respondent since the default was entered; (2) no other disciplinary charges are pending against Respondent but there are four other investigation matters pending; (3) Respondent does not have a record of prior discipline; and (4) the Client Security Fund has not paid out any claims as a result of Respondent’s misconduct.  Respondent has not responded to the petition or moved to set aside or vacate the default.</w:t>
      </w:r>
    </w:p>
    <w:p>
      <w:pPr>
        <w:spacing w:line="480" w:lineRule="auto"/>
        <w:rPr>
          <w:b/>
        </w:rPr>
      </w:pPr>
      <w:r>
        <w:rPr>
          <w:b/>
        </w:rPr>
        <w:t>The Admitted Factual Allegations Warrant the Imposition of Discipline</w:t>
      </w: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a finding that Respondent violated a statute, rule or court order that would warrant the imposition of discipline.  (Rule 5.85, subd. (E)(1)(d).)</w:t>
      </w:r>
    </w:p>
    <w:p>
      <w:pPr>
        <w:spacing w:line="480" w:lineRule="auto"/>
        <w:ind w:firstLine="720"/>
        <w:rPr>
          <w:b/>
        </w:rPr>
      </w:pPr>
      <w:r>
        <w:rPr>
          <w:b/>
        </w:rPr>
        <w:t>Case No. 10-O-05924</w:t>
      </w:r>
    </w:p>
    <w:p>
      <w:pPr>
        <w:pStyle w:val="ListParagraph"/>
        <w:spacing w:line="480" w:lineRule="auto"/>
        <w:ind w:left="0" w:firstLine="720"/>
      </w:pPr>
      <w:r>
        <w:t xml:space="preserve">Count One – Respondent violated Business and Profession Code section 6106 (moral turpitude) by misappropriating $7,650 in settlement funds belonging to his client, Commercial Services Group.  </w:t>
      </w:r>
    </w:p>
    <w:p>
      <w:pPr>
        <w:spacing w:line="480" w:lineRule="auto"/>
        <w:ind w:firstLine="720"/>
        <w:rPr>
          <w:b/>
        </w:rPr>
      </w:pPr>
      <w:r>
        <w:rPr>
          <w:b/>
        </w:rPr>
        <w:t>Case No. 10-O-08237</w:t>
      </w:r>
    </w:p>
    <w:p>
      <w:pPr>
        <w:spacing w:line="480" w:lineRule="auto"/>
        <w:ind w:firstLine="720"/>
      </w:pPr>
      <w:r>
        <w:t xml:space="preserve">Count Two – Respondent violated rule 4-100(A) of the Rules of Professional Conduct (trust account violation) by failing to deposit into his client trust account $5,100 of advanced costs he collected from his client, Tuff Shed, Inc.  </w:t>
      </w:r>
    </w:p>
    <w:p>
      <w:pPr>
        <w:spacing w:line="480" w:lineRule="auto"/>
        <w:ind w:firstLine="720"/>
      </w:pPr>
      <w:r>
        <w:t>Count Three – Respondent violated Business and Profession Code</w:t>
      </w:r>
      <w:r>
        <w:rPr>
          <w:rStyle w:val="FootnoteReference"/>
        </w:rPr>
        <w:footnoteReference w:id="3"/>
      </w:r>
      <w:r>
        <w:t xml:space="preserve"> section 6106 by misappropriating the $5,100 in advanced costs he had collected from Tuff Shed, Inc.  </w:t>
      </w:r>
    </w:p>
    <w:p>
      <w:pPr>
        <w:spacing w:line="480" w:lineRule="auto"/>
        <w:ind w:firstLine="720"/>
      </w:pPr>
      <w:r>
        <w:t xml:space="preserve">Count Four – Respondent violated rule 4-100(B)(1) of the Rules of Professional Conduct (failure to notify client of receipt of client funds) by failing to notify Tuff Shed, Inc., that he had received $21,700 in settlement funds belonging to the client.  </w:t>
      </w:r>
    </w:p>
    <w:p>
      <w:pPr>
        <w:spacing w:line="480" w:lineRule="auto"/>
        <w:ind w:firstLine="720"/>
      </w:pPr>
      <w:r>
        <w:t xml:space="preserve">Count Five – Respondent violated section 6106 by misappropriating the $21,700 in settlement funds belonging to Tuff Shed, Inc.  </w:t>
      </w:r>
    </w:p>
    <w:p>
      <w:pPr>
        <w:spacing w:line="480" w:lineRule="auto"/>
        <w:ind w:firstLine="720"/>
      </w:pPr>
      <w:r>
        <w:t xml:space="preserve">Count Six – Respondent violated section 6068, subdivision (i) (failure to cooperate in investigation) by failing to respond to the State Bar’s investigation letters regarding the Tuff Shed, Inc., matter. </w:t>
      </w:r>
    </w:p>
    <w:p>
      <w:pPr>
        <w:spacing w:line="480" w:lineRule="auto"/>
        <w:ind w:firstLine="720"/>
        <w:rPr>
          <w:b/>
        </w:rPr>
      </w:pPr>
      <w:r>
        <w:rPr>
          <w:b/>
        </w:rPr>
        <w:t>Case No. 10-O-08108</w:t>
      </w:r>
    </w:p>
    <w:p>
      <w:pPr>
        <w:spacing w:line="480" w:lineRule="auto"/>
        <w:ind w:firstLine="720"/>
      </w:pPr>
      <w:r>
        <w:t xml:space="preserve">Count Seven – Respondent violated rule 4-100(B)(4) of the Rules of Professional Conduct (failure to pay client funds promptly) by failing to return $500 in advanced costs to his client, US Tech Solutions.  </w:t>
      </w:r>
    </w:p>
    <w:p>
      <w:pPr>
        <w:spacing w:line="480" w:lineRule="auto"/>
        <w:ind w:firstLine="720"/>
      </w:pPr>
      <w:r>
        <w:t xml:space="preserve">Count Eight – Respondent violated section 6068, subdivision (i), by failing to respond to the State Bar’s investigation letters regarding the US Tech Solutions matter.  </w:t>
      </w:r>
    </w:p>
    <w:p>
      <w:pPr>
        <w:spacing w:line="480" w:lineRule="auto"/>
        <w:jc w:val="center"/>
        <w:rPr>
          <w:b/>
        </w:rPr>
      </w:pPr>
      <w:r>
        <w:rPr>
          <w:b/>
        </w:rPr>
        <w:t>RECOMMENDATION</w:t>
      </w:r>
    </w:p>
    <w:p>
      <w:pPr>
        <w:spacing w:line="480" w:lineRule="auto"/>
      </w:pPr>
      <w:r>
        <w:rPr>
          <w:b/>
        </w:rPr>
        <w:t>Disbarment</w:t>
      </w:r>
    </w:p>
    <w:p>
      <w:pPr>
        <w:spacing w:line="480" w:lineRule="auto"/>
        <w:ind w:firstLine="720"/>
      </w:pPr>
      <w:r>
        <w:t xml:space="preserve">Having found that all of the requirements of Rule 5.85, subdivision (E) are satisfied, the court recommends that respondent David Vernon Skinner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 xml:space="preserve">The court further recommends that Respondent be required to make restitution to </w:t>
      </w:r>
    </w:p>
    <w:p>
      <w:pPr>
        <w:spacing w:line="480" w:lineRule="auto"/>
      </w:pPr>
      <w:r>
        <w:t xml:space="preserve">(1) Commercial Services Group in the amount of $7,650, plus interest of 10 percent per year from October 19, 2009; (2) Tuff Shed, Inc., in the amount $26,800, plus interest of 10 percent per year from October 12, 2009; and (3) US Tech Solutions in the amount of $500, plus interest of 10 percent per year from May 11, 2010 (or reimburse the Client Security Fund to the extent of any payment from the Fund to these former clients, in accordance with Business and Professions Code section 6140.5). </w:t>
      </w:r>
    </w:p>
    <w:p>
      <w:pPr>
        <w:spacing w:line="480" w:lineRule="auto"/>
        <w:rPr>
          <w:b/>
        </w:rPr>
      </w:pPr>
      <w:r>
        <w:rPr>
          <w:b/>
        </w:rPr>
        <w:t>Rule 9.20</w:t>
      </w:r>
    </w:p>
    <w:p>
      <w:pPr>
        <w:spacing w:line="480" w:lineRule="auto"/>
        <w:ind w:firstLine="720"/>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section 6086.10, such costs being enforceable both as provided in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section 6007, subdivision (c)(4), the court orders that </w:t>
      </w:r>
      <w:r>
        <w:rPr>
          <w:b/>
        </w:rPr>
        <w:t>David Vernon Skinner</w:t>
      </w:r>
      <w:r>
        <w:t>, Member No. 123426, be involuntarily enrolled as an inactive member of the State Bar of California, effective three calendar days after the service of this decision and order.  (Rules Proc. of State Bar, rule 5.111, subd. (D).)</w:t>
      </w:r>
      <w:r>
        <w:rPr>
          <w:rStyle w:val="FootnoteReference"/>
        </w:rPr>
        <w:t xml:space="preserve"> </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January _____, 2012</w:t>
            </w:r>
          </w:p>
        </w:tc>
        <w:tc>
          <w:tcPr>
            <w:tcW w:w="4560" w:type="dxa"/>
            <w:tcBorders>
              <w:top w:val="single" w:sz="4" w:space="0" w:color="auto"/>
              <w:bottom w:val="nil"/>
              <w:right w:val="nil"/>
            </w:tcBorders>
          </w:tcPr>
          <w:p>
            <w:r>
              <w:t>DONALD F. MILES</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990" w:right="1440" w:bottom="180" w:left="1440" w:header="720" w:footer="576"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1128"/>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 subd. (E)(2).)</w:t>
      </w:r>
    </w:p>
  </w:footnote>
  <w:footnote w:id="3">
    <w:p>
      <w:pPr>
        <w:pStyle w:val="FootnoteText"/>
      </w:pPr>
      <w:r>
        <w:rPr>
          <w:rStyle w:val="FootnoteReference"/>
        </w:rPr>
        <w:footnoteRef/>
      </w:r>
      <w:r>
        <w:t xml:space="preserve"> Unless otherwise indicated, all further references to sections are to the Business and Professions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F9E3F87"/>
    <w:multiLevelType w:val="hybridMultilevel"/>
    <w:tmpl w:val="A9941370"/>
    <w:lvl w:ilvl="0" w:tplc="9FCC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0"/>
  </w:num>
  <w:num w:numId="8">
    <w:abstractNumId w:val="5"/>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wYIAPCOcQrJoznTV38tzsBkn+/o=" w:salt="b6hoChOW91ENRmkRM5Xq9Q=="/>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7"/>
    <w:rPr>
      <w:sz w:val="24"/>
      <w:szCs w:val="24"/>
    </w:rPr>
  </w:style>
  <w:style w:type="paragraph" w:styleId="Heading1">
    <w:name w:val="heading 1"/>
    <w:basedOn w:val="Normal"/>
    <w:next w:val="Normal"/>
    <w:qFormat/>
    <w:rsid w:val="005B1C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1C17"/>
    <w:pPr>
      <w:spacing w:before="28"/>
      <w:ind w:right="90"/>
    </w:pPr>
    <w:rPr>
      <w:sz w:val="19"/>
      <w:szCs w:val="19"/>
    </w:rPr>
  </w:style>
  <w:style w:type="paragraph" w:styleId="Header">
    <w:name w:val="header"/>
    <w:basedOn w:val="Normal"/>
    <w:semiHidden/>
    <w:rsid w:val="005B1C17"/>
    <w:pPr>
      <w:tabs>
        <w:tab w:val="center" w:pos="4320"/>
        <w:tab w:val="right" w:pos="8640"/>
      </w:tabs>
    </w:pPr>
  </w:style>
  <w:style w:type="paragraph" w:styleId="Footer">
    <w:name w:val="footer"/>
    <w:basedOn w:val="Normal"/>
    <w:semiHidden/>
    <w:rsid w:val="005B1C17"/>
    <w:pPr>
      <w:tabs>
        <w:tab w:val="center" w:pos="4320"/>
        <w:tab w:val="right" w:pos="8640"/>
      </w:tabs>
    </w:pPr>
  </w:style>
  <w:style w:type="character" w:styleId="PageNumber">
    <w:name w:val="page number"/>
    <w:basedOn w:val="DefaultParagraphFont"/>
    <w:semiHidden/>
    <w:rsid w:val="005B1C17"/>
  </w:style>
  <w:style w:type="paragraph" w:styleId="FootnoteText">
    <w:name w:val="footnote text"/>
    <w:basedOn w:val="Normal"/>
    <w:link w:val="FootnoteTextChar"/>
    <w:semiHidden/>
    <w:rsid w:val="005B1C17"/>
    <w:pPr>
      <w:ind w:firstLine="720"/>
    </w:pPr>
    <w:rPr>
      <w:szCs w:val="20"/>
    </w:rPr>
  </w:style>
  <w:style w:type="character" w:styleId="FootnoteReference">
    <w:name w:val="footnote reference"/>
    <w:basedOn w:val="DefaultParagraphFont"/>
    <w:semiHidden/>
    <w:rsid w:val="005B1C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BA70B6"/>
    <w:pPr>
      <w:ind w:left="720"/>
      <w:contextualSpacing/>
    </w:pPr>
  </w:style>
  <w:style w:type="character" w:customStyle="1" w:styleId="FootnoteTextChar">
    <w:name w:val="Footnote Text Char"/>
    <w:basedOn w:val="DefaultParagraphFont"/>
    <w:link w:val="FootnoteText"/>
    <w:semiHidden/>
    <w:rsid w:val="00D72B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6850</Characters>
  <Application>Microsoft Office Word</Application>
  <DocSecurity>0</DocSecurity>
  <Lines>148</Lines>
  <Paragraphs>71</Paragraphs>
  <ScaleCrop>false</ScaleCrop>
  <Company>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2012-01-17T22:21:00Z</dcterms:created>
  <dcterms:modified xsi:type="dcterms:W3CDTF">2012-01-17T22:21:00Z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